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4.xml" ContentType="application/vnd.openxmlformats-officedocument.drawingml.chartshapes+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5.xml" ContentType="application/vnd.openxmlformats-officedocument.drawingml.chartshapes+xml"/>
  <Override PartName="/word/charts/chart18.xml" ContentType="application/vnd.openxmlformats-officedocument.drawingml.chart+xml"/>
  <Override PartName="/word/drawings/drawing6.xml" ContentType="application/vnd.openxmlformats-officedocument.drawingml.chartshapes+xml"/>
  <Override PartName="/word/charts/chart19.xml" ContentType="application/vnd.openxmlformats-officedocument.drawingml.chart+xml"/>
  <Override PartName="/word/drawings/drawing7.xml" ContentType="application/vnd.openxmlformats-officedocument.drawingml.chartshapes+xml"/>
  <Override PartName="/word/charts/chart20.xml" ContentType="application/vnd.openxmlformats-officedocument.drawingml.chart+xml"/>
  <Override PartName="/word/drawings/drawing8.xml" ContentType="application/vnd.openxmlformats-officedocument.drawingml.chartshapes+xml"/>
  <Override PartName="/word/charts/chart21.xml" ContentType="application/vnd.openxmlformats-officedocument.drawingml.chart+xml"/>
  <Override PartName="/word/drawings/drawing9.xml" ContentType="application/vnd.openxmlformats-officedocument.drawingml.chartshapes+xml"/>
  <Override PartName="/word/charts/chart22.xml" ContentType="application/vnd.openxmlformats-officedocument.drawingml.chart+xml"/>
  <Override PartName="/word/drawings/drawing10.xml" ContentType="application/vnd.openxmlformats-officedocument.drawingml.chartshapes+xml"/>
  <Override PartName="/word/charts/chart23.xml" ContentType="application/vnd.openxmlformats-officedocument.drawingml.chart+xml"/>
  <Override PartName="/word/drawings/drawing11.xml" ContentType="application/vnd.openxmlformats-officedocument.drawingml.chartshapes+xml"/>
  <Override PartName="/word/charts/chart24.xml" ContentType="application/vnd.openxmlformats-officedocument.drawingml.chart+xml"/>
  <Override PartName="/word/drawings/drawing12.xml" ContentType="application/vnd.openxmlformats-officedocument.drawingml.chartshapes+xml"/>
  <Override PartName="/word/charts/chart25.xml" ContentType="application/vnd.openxmlformats-officedocument.drawingml.chart+xml"/>
  <Override PartName="/word/drawings/drawing13.xml" ContentType="application/vnd.openxmlformats-officedocument.drawingml.chartshapes+xml"/>
  <Override PartName="/word/charts/chart26.xml" ContentType="application/vnd.openxmlformats-officedocument.drawingml.chart+xml"/>
  <Override PartName="/word/drawings/drawing14.xml" ContentType="application/vnd.openxmlformats-officedocument.drawingml.chartshapes+xml"/>
  <Override PartName="/word/charts/chart27.xml" ContentType="application/vnd.openxmlformats-officedocument.drawingml.chart+xml"/>
  <Override PartName="/word/drawings/drawing15.xml" ContentType="application/vnd.openxmlformats-officedocument.drawingml.chartshapes+xml"/>
  <Override PartName="/word/charts/chart28.xml" ContentType="application/vnd.openxmlformats-officedocument.drawingml.chart+xml"/>
  <Override PartName="/word/drawings/drawing16.xml" ContentType="application/vnd.openxmlformats-officedocument.drawingml.chartshapes+xml"/>
  <Override PartName="/word/charts/chart29.xml" ContentType="application/vnd.openxmlformats-officedocument.drawingml.chart+xml"/>
  <Override PartName="/word/drawings/drawing17.xml" ContentType="application/vnd.openxmlformats-officedocument.drawingml.chartshapes+xml"/>
  <Override PartName="/word/charts/chart30.xml" ContentType="application/vnd.openxmlformats-officedocument.drawingml.chart+xml"/>
  <Override PartName="/word/drawings/drawing18.xml" ContentType="application/vnd.openxmlformats-officedocument.drawingml.chartshapes+xml"/>
  <Override PartName="/word/charts/chart31.xml" ContentType="application/vnd.openxmlformats-officedocument.drawingml.chart+xml"/>
  <Override PartName="/word/drawings/drawing19.xml" ContentType="application/vnd.openxmlformats-officedocument.drawingml.chartshapes+xml"/>
  <Override PartName="/word/charts/chart32.xml" ContentType="application/vnd.openxmlformats-officedocument.drawingml.chart+xml"/>
  <Override PartName="/word/charts/chart33.xml" ContentType="application/vnd.openxmlformats-officedocument.drawingml.chart+xml"/>
  <Override PartName="/word/drawings/drawing20.xml" ContentType="application/vnd.openxmlformats-officedocument.drawingml.chartshapes+xml"/>
  <Override PartName="/word/charts/chart34.xml" ContentType="application/vnd.openxmlformats-officedocument.drawingml.chart+xml"/>
  <Override PartName="/word/drawings/drawing21.xml" ContentType="application/vnd.openxmlformats-officedocument.drawingml.chartshapes+xml"/>
  <Override PartName="/word/charts/chart35.xml" ContentType="application/vnd.openxmlformats-officedocument.drawingml.chart+xml"/>
  <Override PartName="/word/drawings/drawing22.xml" ContentType="application/vnd.openxmlformats-officedocument.drawingml.chartshapes+xml"/>
  <Override PartName="/word/charts/chart36.xml" ContentType="application/vnd.openxmlformats-officedocument.drawingml.chart+xml"/>
  <Override PartName="/word/drawings/drawing23.xml" ContentType="application/vnd.openxmlformats-officedocument.drawingml.chartshapes+xml"/>
  <Override PartName="/word/charts/chart37.xml" ContentType="application/vnd.openxmlformats-officedocument.drawingml.chart+xml"/>
  <Override PartName="/word/drawings/drawing24.xml" ContentType="application/vnd.openxmlformats-officedocument.drawingml.chartshapes+xml"/>
  <Override PartName="/word/charts/chart38.xml" ContentType="application/vnd.openxmlformats-officedocument.drawingml.chart+xml"/>
  <Override PartName="/word/drawings/drawing25.xml" ContentType="application/vnd.openxmlformats-officedocument.drawingml.chartshapes+xml"/>
  <Override PartName="/word/charts/chart39.xml" ContentType="application/vnd.openxmlformats-officedocument.drawingml.chart+xml"/>
  <Override PartName="/word/drawings/drawing26.xml" ContentType="application/vnd.openxmlformats-officedocument.drawingml.chartshapes+xml"/>
  <Override PartName="/word/charts/chart40.xml" ContentType="application/vnd.openxmlformats-officedocument.drawingml.chart+xml"/>
  <Override PartName="/word/drawings/drawing27.xml" ContentType="application/vnd.openxmlformats-officedocument.drawingml.chartshapes+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drawings/drawing28.xml" ContentType="application/vnd.openxmlformats-officedocument.drawingml.chartshapes+xml"/>
  <Override PartName="/word/charts/chart45.xml" ContentType="application/vnd.openxmlformats-officedocument.drawingml.chart+xml"/>
  <Override PartName="/word/drawings/drawing29.xml" ContentType="application/vnd.openxmlformats-officedocument.drawingml.chartshapes+xml"/>
  <Override PartName="/word/charts/chart46.xml" ContentType="application/vnd.openxmlformats-officedocument.drawingml.chart+xml"/>
  <Override PartName="/word/drawings/drawing30.xml" ContentType="application/vnd.openxmlformats-officedocument.drawingml.chartshapes+xml"/>
  <Override PartName="/word/charts/chart47.xml" ContentType="application/vnd.openxmlformats-officedocument.drawingml.chart+xml"/>
  <Override PartName="/word/drawings/drawing31.xml" ContentType="application/vnd.openxmlformats-officedocument.drawingml.chartshapes+xml"/>
  <Override PartName="/word/charts/chart48.xml" ContentType="application/vnd.openxmlformats-officedocument.drawingml.chart+xml"/>
  <Override PartName="/word/drawings/drawing32.xml" ContentType="application/vnd.openxmlformats-officedocument.drawingml.chartshapes+xml"/>
  <Override PartName="/word/charts/chart49.xml" ContentType="application/vnd.openxmlformats-officedocument.drawingml.chart+xml"/>
  <Override PartName="/word/charts/chart50.xml" ContentType="application/vnd.openxmlformats-officedocument.drawingml.chart+xml"/>
  <Override PartName="/word/drawings/drawing33.xml" ContentType="application/vnd.openxmlformats-officedocument.drawingml.chartshapes+xml"/>
  <Override PartName="/word/charts/chart51.xml" ContentType="application/vnd.openxmlformats-officedocument.drawingml.chart+xml"/>
  <Override PartName="/word/drawings/drawing34.xml" ContentType="application/vnd.openxmlformats-officedocument.drawingml.chartshapes+xml"/>
  <Override PartName="/word/charts/chart52.xml" ContentType="application/vnd.openxmlformats-officedocument.drawingml.chart+xml"/>
  <Override PartName="/word/drawings/drawing35.xml" ContentType="application/vnd.openxmlformats-officedocument.drawingml.chartshapes+xml"/>
  <Override PartName="/word/charts/chart53.xml" ContentType="application/vnd.openxmlformats-officedocument.drawingml.chart+xml"/>
  <Override PartName="/word/drawings/drawing36.xml" ContentType="application/vnd.openxmlformats-officedocument.drawingml.chartshapes+xml"/>
  <Override PartName="/word/charts/chart54.xml" ContentType="application/vnd.openxmlformats-officedocument.drawingml.chart+xml"/>
  <Override PartName="/word/drawings/drawing37.xml" ContentType="application/vnd.openxmlformats-officedocument.drawingml.chartshapes+xml"/>
  <Override PartName="/word/charts/chart55.xml" ContentType="application/vnd.openxmlformats-officedocument.drawingml.chart+xml"/>
  <Override PartName="/word/drawings/drawing38.xml" ContentType="application/vnd.openxmlformats-officedocument.drawingml.chartshapes+xml"/>
  <Override PartName="/word/charts/chart56.xml" ContentType="application/vnd.openxmlformats-officedocument.drawingml.chart+xml"/>
  <Override PartName="/word/charts/chart57.xml" ContentType="application/vnd.openxmlformats-officedocument.drawingml.chart+xml"/>
  <Override PartName="/word/drawings/drawing39.xml" ContentType="application/vnd.openxmlformats-officedocument.drawingml.chartshapes+xml"/>
  <Override PartName="/word/charts/chart58.xml" ContentType="application/vnd.openxmlformats-officedocument.drawingml.chart+xml"/>
  <Override PartName="/word/drawings/drawing40.xml" ContentType="application/vnd.openxmlformats-officedocument.drawingml.chartshapes+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rawings/drawing41.xml" ContentType="application/vnd.openxmlformats-officedocument.drawingml.chartshapes+xml"/>
  <Override PartName="/word/charts/chart62.xml" ContentType="application/vnd.openxmlformats-officedocument.drawingml.chart+xml"/>
  <Override PartName="/word/drawings/drawing42.xml" ContentType="application/vnd.openxmlformats-officedocument.drawingml.chartshapes+xml"/>
  <Override PartName="/word/charts/chart63.xml" ContentType="application/vnd.openxmlformats-officedocument.drawingml.chart+xml"/>
  <Override PartName="/word/drawings/drawing43.xml" ContentType="application/vnd.openxmlformats-officedocument.drawingml.chartshapes+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drawings/drawing44.xml" ContentType="application/vnd.openxmlformats-officedocument.drawingml.chartshapes+xml"/>
  <Override PartName="/word/charts/chart67.xml" ContentType="application/vnd.openxmlformats-officedocument.drawingml.chart+xml"/>
  <Override PartName="/word/drawings/drawing45.xml" ContentType="application/vnd.openxmlformats-officedocument.drawingml.chartshapes+xml"/>
  <Override PartName="/word/charts/chart68.xml" ContentType="application/vnd.openxmlformats-officedocument.drawingml.chart+xml"/>
  <Override PartName="/word/drawings/drawing46.xml" ContentType="application/vnd.openxmlformats-officedocument.drawingml.chartshapes+xml"/>
  <Override PartName="/word/charts/chart69.xml" ContentType="application/vnd.openxmlformats-officedocument.drawingml.chart+xml"/>
  <Override PartName="/word/drawings/drawing47.xml" ContentType="application/vnd.openxmlformats-officedocument.drawingml.chartshapes+xml"/>
  <Override PartName="/word/charts/chart70.xml" ContentType="application/vnd.openxmlformats-officedocument.drawingml.chart+xml"/>
  <Override PartName="/word/drawings/drawing48.xml" ContentType="application/vnd.openxmlformats-officedocument.drawingml.chartshapes+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drawings/drawing49.xml" ContentType="application/vnd.openxmlformats-officedocument.drawingml.chartshapes+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drawings/drawing50.xml" ContentType="application/vnd.openxmlformats-officedocument.drawingml.chartshapes+xml"/>
  <Override PartName="/word/charts/chart98.xml" ContentType="application/vnd.openxmlformats-officedocument.drawingml.chart+xml"/>
  <Override PartName="/word/charts/chart99.xml" ContentType="application/vnd.openxmlformats-officedocument.drawingml.chart+xml"/>
  <Override PartName="/word/drawings/drawing51.xml" ContentType="application/vnd.openxmlformats-officedocument.drawingml.chartshapes+xml"/>
  <Override PartName="/word/charts/chart100.xml" ContentType="application/vnd.openxmlformats-officedocument.drawingml.chart+xml"/>
  <Override PartName="/word/drawings/drawing52.xml" ContentType="application/vnd.openxmlformats-officedocument.drawingml.chartshapes+xml"/>
  <Override PartName="/word/charts/chart101.xml" ContentType="application/vnd.openxmlformats-officedocument.drawingml.chart+xml"/>
  <Override PartName="/word/charts/chart102.xml" ContentType="application/vnd.openxmlformats-officedocument.drawingml.chart+xml"/>
  <Override PartName="/word/drawings/drawing53.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03.xml" ContentType="application/vnd.openxmlformats-officedocument.drawingml.chart+xml"/>
  <Override PartName="/word/theme/themeOverride2.xml" ContentType="application/vnd.openxmlformats-officedocument.themeOverride+xml"/>
  <Override PartName="/word/charts/chart104.xml" ContentType="application/vnd.openxmlformats-officedocument.drawingml.chart+xml"/>
  <Override PartName="/word/theme/themeOverride3.xml" ContentType="application/vnd.openxmlformats-officedocument.themeOverride+xml"/>
  <Override PartName="/word/charts/chart105.xml" ContentType="application/vnd.openxmlformats-officedocument.drawingml.chart+xml"/>
  <Override PartName="/word/theme/themeOverride4.xml" ContentType="application/vnd.openxmlformats-officedocument.themeOverride+xml"/>
  <Override PartName="/word/charts/chart106.xml" ContentType="application/vnd.openxmlformats-officedocument.drawingml.chart+xml"/>
  <Override PartName="/word/theme/themeOverride5.xml" ContentType="application/vnd.openxmlformats-officedocument.themeOverride+xml"/>
  <Override PartName="/word/charts/chart107.xml" ContentType="application/vnd.openxmlformats-officedocument.drawingml.chart+xml"/>
  <Override PartName="/word/theme/themeOverride6.xml" ContentType="application/vnd.openxmlformats-officedocument.themeOverride+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4DD" w:rsidRDefault="002464DD" w:rsidP="00436FB8">
      <w:pPr>
        <w:spacing w:line="280" w:lineRule="exact"/>
        <w:jc w:val="distribute"/>
        <w:rPr>
          <w:rFonts w:ascii="微軟正黑體" w:eastAsia="微軟正黑體" w:hAnsi="微軟正黑體" w:cs="Times New Roman"/>
          <w:sz w:val="20"/>
          <w:szCs w:val="20"/>
        </w:rPr>
        <w:sectPr w:rsidR="002464DD" w:rsidSect="001D5C1C">
          <w:headerReference w:type="first" r:id="rId9"/>
          <w:footerReference w:type="first" r:id="rId10"/>
          <w:pgSz w:w="11906" w:h="16838"/>
          <w:pgMar w:top="1134" w:right="1418" w:bottom="1134" w:left="1418" w:header="851" w:footer="992" w:gutter="0"/>
          <w:cols w:space="425"/>
          <w:docGrid w:type="lines" w:linePitch="360"/>
        </w:sectPr>
      </w:pPr>
      <w:r>
        <w:rPr>
          <w:noProof/>
        </w:rPr>
        <w:drawing>
          <wp:anchor distT="0" distB="0" distL="114300" distR="114300" simplePos="0" relativeHeight="252686336" behindDoc="0" locked="0" layoutInCell="1" allowOverlap="1">
            <wp:simplePos x="0" y="0"/>
            <wp:positionH relativeFrom="column">
              <wp:posOffset>-913130</wp:posOffset>
            </wp:positionH>
            <wp:positionV relativeFrom="paragraph">
              <wp:posOffset>-720090</wp:posOffset>
            </wp:positionV>
            <wp:extent cx="7556500" cy="10705915"/>
            <wp:effectExtent l="0" t="0" r="6350" b="635"/>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556500" cy="10705915"/>
                    </a:xfrm>
                    <a:prstGeom prst="rect">
                      <a:avLst/>
                    </a:prstGeom>
                  </pic:spPr>
                </pic:pic>
              </a:graphicData>
            </a:graphic>
            <wp14:sizeRelH relativeFrom="page">
              <wp14:pctWidth>0</wp14:pctWidth>
            </wp14:sizeRelH>
            <wp14:sizeRelV relativeFrom="page">
              <wp14:pctHeight>0</wp14:pctHeight>
            </wp14:sizeRelV>
          </wp:anchor>
        </w:drawing>
      </w:r>
    </w:p>
    <w:tbl>
      <w:tblPr>
        <w:tblStyle w:val="a5"/>
        <w:tblpPr w:leftFromText="180" w:rightFromText="180" w:vertAnchor="page" w:horzAnchor="margin" w:tblpY="1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4"/>
        <w:gridCol w:w="240"/>
        <w:gridCol w:w="1971"/>
      </w:tblGrid>
      <w:tr w:rsidR="00436FB8" w:rsidRPr="00B56DCA" w:rsidTr="00103BC7">
        <w:tc>
          <w:tcPr>
            <w:tcW w:w="624" w:type="dxa"/>
          </w:tcPr>
          <w:p w:rsidR="00436FB8" w:rsidRPr="00436FB8" w:rsidRDefault="00436FB8" w:rsidP="00436FB8">
            <w:pPr>
              <w:spacing w:line="280" w:lineRule="exact"/>
              <w:jc w:val="distribute"/>
              <w:rPr>
                <w:rFonts w:ascii="微軟正黑體" w:eastAsia="微軟正黑體" w:hAnsi="微軟正黑體" w:cs="Times New Roman"/>
                <w:sz w:val="20"/>
                <w:szCs w:val="20"/>
              </w:rPr>
            </w:pPr>
            <w:r w:rsidRPr="00436FB8">
              <w:rPr>
                <w:rFonts w:ascii="微軟正黑體" w:eastAsia="微軟正黑體" w:hAnsi="微軟正黑體" w:cs="Times New Roman"/>
                <w:sz w:val="20"/>
                <w:szCs w:val="20"/>
              </w:rPr>
              <w:lastRenderedPageBreak/>
              <w:t>編號</w:t>
            </w:r>
          </w:p>
        </w:tc>
        <w:tc>
          <w:tcPr>
            <w:tcW w:w="240" w:type="dxa"/>
          </w:tcPr>
          <w:p w:rsidR="00436FB8" w:rsidRPr="00436FB8" w:rsidRDefault="00436FB8" w:rsidP="00436FB8">
            <w:pPr>
              <w:spacing w:line="280" w:lineRule="exact"/>
              <w:jc w:val="center"/>
              <w:rPr>
                <w:rFonts w:ascii="微軟正黑體" w:eastAsia="微軟正黑體" w:hAnsi="微軟正黑體" w:cs="Times New Roman"/>
                <w:sz w:val="20"/>
                <w:szCs w:val="20"/>
              </w:rPr>
            </w:pPr>
            <w:r w:rsidRPr="00436FB8">
              <w:rPr>
                <w:rFonts w:ascii="微軟正黑體" w:eastAsia="微軟正黑體" w:hAnsi="微軟正黑體" w:cs="Times New Roman"/>
                <w:sz w:val="20"/>
                <w:szCs w:val="20"/>
              </w:rPr>
              <w:t>：</w:t>
            </w:r>
          </w:p>
        </w:tc>
        <w:tc>
          <w:tcPr>
            <w:tcW w:w="1971" w:type="dxa"/>
          </w:tcPr>
          <w:p w:rsidR="00436FB8" w:rsidRPr="00436FB8" w:rsidRDefault="00436FB8" w:rsidP="00436FB8">
            <w:pPr>
              <w:spacing w:line="280" w:lineRule="exact"/>
              <w:rPr>
                <w:rFonts w:ascii="微軟正黑體" w:eastAsia="微軟正黑體" w:hAnsi="微軟正黑體" w:cs="Times New Roman"/>
                <w:sz w:val="20"/>
                <w:szCs w:val="20"/>
              </w:rPr>
            </w:pPr>
            <w:r w:rsidRPr="00436FB8">
              <w:rPr>
                <w:rFonts w:ascii="微軟正黑體" w:eastAsia="微軟正黑體" w:hAnsi="微軟正黑體" w:cs="Times New Roman"/>
                <w:sz w:val="20"/>
                <w:szCs w:val="20"/>
              </w:rPr>
              <w:t>(110)015.0803</w:t>
            </w:r>
          </w:p>
        </w:tc>
      </w:tr>
      <w:tr w:rsidR="00436FB8" w:rsidRPr="00B56DCA" w:rsidTr="00103BC7">
        <w:tc>
          <w:tcPr>
            <w:tcW w:w="624" w:type="dxa"/>
          </w:tcPr>
          <w:p w:rsidR="00436FB8" w:rsidRPr="00436FB8" w:rsidRDefault="00436FB8" w:rsidP="00436FB8">
            <w:pPr>
              <w:spacing w:line="280" w:lineRule="exact"/>
              <w:jc w:val="distribute"/>
              <w:rPr>
                <w:rFonts w:ascii="微軟正黑體" w:eastAsia="微軟正黑體" w:hAnsi="微軟正黑體" w:cs="Times New Roman"/>
                <w:sz w:val="20"/>
                <w:szCs w:val="20"/>
              </w:rPr>
            </w:pPr>
            <w:r w:rsidRPr="00436FB8">
              <w:rPr>
                <w:rFonts w:ascii="微軟正黑體" w:eastAsia="微軟正黑體" w:hAnsi="微軟正黑體" w:cs="Times New Roman"/>
                <w:sz w:val="20"/>
                <w:szCs w:val="20"/>
              </w:rPr>
              <w:t>GPN</w:t>
            </w:r>
          </w:p>
        </w:tc>
        <w:tc>
          <w:tcPr>
            <w:tcW w:w="240" w:type="dxa"/>
          </w:tcPr>
          <w:p w:rsidR="00436FB8" w:rsidRPr="00436FB8" w:rsidRDefault="00436FB8" w:rsidP="00436FB8">
            <w:pPr>
              <w:spacing w:line="280" w:lineRule="exact"/>
              <w:jc w:val="center"/>
              <w:rPr>
                <w:rFonts w:ascii="微軟正黑體" w:eastAsia="微軟正黑體" w:hAnsi="微軟正黑體" w:cs="Times New Roman"/>
                <w:sz w:val="20"/>
                <w:szCs w:val="20"/>
              </w:rPr>
            </w:pPr>
            <w:r w:rsidRPr="00436FB8">
              <w:rPr>
                <w:rFonts w:ascii="微軟正黑體" w:eastAsia="微軟正黑體" w:hAnsi="微軟正黑體" w:cs="Times New Roman"/>
                <w:sz w:val="20"/>
                <w:szCs w:val="20"/>
              </w:rPr>
              <w:t>：</w:t>
            </w:r>
          </w:p>
        </w:tc>
        <w:tc>
          <w:tcPr>
            <w:tcW w:w="1971" w:type="dxa"/>
          </w:tcPr>
          <w:p w:rsidR="00436FB8" w:rsidRPr="00436FB8" w:rsidRDefault="00436FB8" w:rsidP="00436FB8">
            <w:pPr>
              <w:spacing w:line="280" w:lineRule="exact"/>
              <w:rPr>
                <w:rFonts w:ascii="微軟正黑體" w:eastAsia="微軟正黑體" w:hAnsi="微軟正黑體" w:cs="Times New Roman"/>
                <w:sz w:val="20"/>
                <w:szCs w:val="20"/>
              </w:rPr>
            </w:pPr>
            <w:r w:rsidRPr="00436FB8">
              <w:rPr>
                <w:rFonts w:ascii="微軟正黑體" w:eastAsia="微軟正黑體" w:hAnsi="微軟正黑體" w:cs="Times New Roman" w:hint="eastAsia"/>
                <w:sz w:val="20"/>
                <w:szCs w:val="20"/>
              </w:rPr>
              <w:t>1011002300</w:t>
            </w:r>
          </w:p>
        </w:tc>
      </w:tr>
      <w:tr w:rsidR="00436FB8" w:rsidRPr="00B56DCA" w:rsidTr="00103BC7">
        <w:tc>
          <w:tcPr>
            <w:tcW w:w="624" w:type="dxa"/>
          </w:tcPr>
          <w:p w:rsidR="00436FB8" w:rsidRPr="00436FB8" w:rsidRDefault="00436FB8" w:rsidP="00436FB8">
            <w:pPr>
              <w:spacing w:line="280" w:lineRule="exact"/>
              <w:jc w:val="distribute"/>
              <w:rPr>
                <w:rFonts w:ascii="微軟正黑體" w:eastAsia="微軟正黑體" w:hAnsi="微軟正黑體" w:cs="Times New Roman"/>
                <w:sz w:val="20"/>
                <w:szCs w:val="20"/>
              </w:rPr>
            </w:pPr>
            <w:r w:rsidRPr="00436FB8">
              <w:rPr>
                <w:rFonts w:ascii="微軟正黑體" w:eastAsia="微軟正黑體" w:hAnsi="微軟正黑體" w:cs="Times New Roman"/>
                <w:sz w:val="20"/>
                <w:szCs w:val="20"/>
              </w:rPr>
              <w:t>ISBN</w:t>
            </w:r>
          </w:p>
        </w:tc>
        <w:tc>
          <w:tcPr>
            <w:tcW w:w="240" w:type="dxa"/>
          </w:tcPr>
          <w:p w:rsidR="00436FB8" w:rsidRPr="00436FB8" w:rsidRDefault="00436FB8" w:rsidP="00436FB8">
            <w:pPr>
              <w:spacing w:line="280" w:lineRule="exact"/>
              <w:jc w:val="center"/>
              <w:rPr>
                <w:rFonts w:ascii="微軟正黑體" w:eastAsia="微軟正黑體" w:hAnsi="微軟正黑體" w:cs="Times New Roman"/>
                <w:sz w:val="20"/>
                <w:szCs w:val="20"/>
              </w:rPr>
            </w:pPr>
            <w:r w:rsidRPr="00436FB8">
              <w:rPr>
                <w:rFonts w:ascii="微軟正黑體" w:eastAsia="微軟正黑體" w:hAnsi="微軟正黑體" w:cs="Times New Roman"/>
                <w:sz w:val="20"/>
                <w:szCs w:val="20"/>
              </w:rPr>
              <w:t>：</w:t>
            </w:r>
          </w:p>
        </w:tc>
        <w:tc>
          <w:tcPr>
            <w:tcW w:w="1971" w:type="dxa"/>
          </w:tcPr>
          <w:p w:rsidR="00436FB8" w:rsidRPr="00436FB8" w:rsidRDefault="00436FB8" w:rsidP="00436FB8">
            <w:pPr>
              <w:spacing w:line="280" w:lineRule="exact"/>
              <w:rPr>
                <w:rFonts w:ascii="微軟正黑體" w:eastAsia="微軟正黑體" w:hAnsi="微軟正黑體" w:cs="Times New Roman"/>
                <w:sz w:val="20"/>
                <w:szCs w:val="20"/>
              </w:rPr>
            </w:pPr>
            <w:r w:rsidRPr="00436FB8">
              <w:rPr>
                <w:rFonts w:ascii="微軟正黑體" w:eastAsia="微軟正黑體" w:hAnsi="微軟正黑體"/>
                <w:sz w:val="20"/>
                <w:szCs w:val="20"/>
              </w:rPr>
              <w:t>978-986-5467-77-7</w:t>
            </w:r>
          </w:p>
        </w:tc>
      </w:tr>
    </w:tbl>
    <w:p w:rsidR="009F7B18" w:rsidRPr="00B56DCA" w:rsidRDefault="009F7B18" w:rsidP="009F7B18">
      <w:pPr>
        <w:spacing w:line="400" w:lineRule="exact"/>
        <w:rPr>
          <w:rFonts w:ascii="微軟正黑體" w:eastAsia="微軟正黑體" w:hAnsi="微軟正黑體"/>
        </w:rPr>
      </w:pPr>
    </w:p>
    <w:p w:rsidR="009F7B18" w:rsidRPr="00B56DCA" w:rsidRDefault="009F7B18" w:rsidP="009F7B18">
      <w:pPr>
        <w:spacing w:line="400" w:lineRule="exact"/>
        <w:rPr>
          <w:rFonts w:ascii="微軟正黑體" w:eastAsia="微軟正黑體" w:hAnsi="微軟正黑體"/>
        </w:rPr>
      </w:pPr>
    </w:p>
    <w:p w:rsidR="009F7B18" w:rsidRPr="002E5A05" w:rsidRDefault="009F7B18" w:rsidP="009F7B18">
      <w:pPr>
        <w:spacing w:line="400" w:lineRule="exact"/>
        <w:rPr>
          <w:rFonts w:ascii="微軟正黑體" w:eastAsia="微軟正黑體" w:hAnsi="微軟正黑體"/>
        </w:rPr>
      </w:pPr>
    </w:p>
    <w:p w:rsidR="009F7B18" w:rsidRPr="002E5A05" w:rsidRDefault="009F7B18" w:rsidP="009F7B18">
      <w:pPr>
        <w:spacing w:line="400" w:lineRule="exact"/>
        <w:rPr>
          <w:rFonts w:ascii="微軟正黑體" w:eastAsia="微軟正黑體" w:hAnsi="微軟正黑體"/>
        </w:rPr>
      </w:pPr>
    </w:p>
    <w:p w:rsidR="009F7B18" w:rsidRPr="002E5A05" w:rsidRDefault="009F7B18" w:rsidP="009F7B18">
      <w:pPr>
        <w:spacing w:line="400" w:lineRule="exact"/>
        <w:rPr>
          <w:rFonts w:ascii="微軟正黑體" w:eastAsia="微軟正黑體" w:hAnsi="微軟正黑體"/>
        </w:rPr>
      </w:pPr>
    </w:p>
    <w:p w:rsidR="009F7B18" w:rsidRPr="002E5A05" w:rsidRDefault="009F7B18" w:rsidP="009F7B18">
      <w:pPr>
        <w:spacing w:line="400" w:lineRule="exact"/>
        <w:rPr>
          <w:rFonts w:ascii="微軟正黑體" w:eastAsia="微軟正黑體" w:hAnsi="微軟正黑體"/>
        </w:rPr>
      </w:pPr>
    </w:p>
    <w:p w:rsidR="009F7B18" w:rsidRPr="002E5A05" w:rsidRDefault="009F7B18" w:rsidP="009F7B18">
      <w:pPr>
        <w:spacing w:line="400" w:lineRule="exact"/>
        <w:rPr>
          <w:rFonts w:ascii="微軟正黑體" w:eastAsia="微軟正黑體" w:hAnsi="微軟正黑體"/>
        </w:rPr>
      </w:pPr>
    </w:p>
    <w:p w:rsidR="009F7B18" w:rsidRPr="002E5A05" w:rsidRDefault="009F7B18" w:rsidP="009F7B18">
      <w:pPr>
        <w:spacing w:line="400" w:lineRule="exact"/>
        <w:rPr>
          <w:rFonts w:ascii="微軟正黑體" w:eastAsia="微軟正黑體" w:hAnsi="微軟正黑體"/>
        </w:rPr>
      </w:pPr>
    </w:p>
    <w:p w:rsidR="009F7B18" w:rsidRPr="002E5A05" w:rsidRDefault="009F7B18" w:rsidP="009F7B18">
      <w:pPr>
        <w:jc w:val="center"/>
        <w:rPr>
          <w:rFonts w:ascii="微軟正黑體" w:eastAsia="微軟正黑體" w:hAnsi="微軟正黑體"/>
          <w:b/>
          <w:sz w:val="72"/>
          <w:szCs w:val="72"/>
        </w:rPr>
      </w:pPr>
      <w:r w:rsidRPr="002E5A05">
        <w:rPr>
          <w:rFonts w:ascii="微軟正黑體" w:eastAsia="微軟正黑體" w:hAnsi="微軟正黑體" w:hint="eastAsia"/>
          <w:b/>
          <w:sz w:val="72"/>
          <w:szCs w:val="72"/>
        </w:rPr>
        <w:t>老年經濟安全制度專刊</w:t>
      </w:r>
    </w:p>
    <w:p w:rsidR="009F7B18" w:rsidRPr="00A7382C" w:rsidRDefault="009F7B18" w:rsidP="009F7B18">
      <w:pPr>
        <w:jc w:val="center"/>
        <w:rPr>
          <w:rFonts w:ascii="微軟正黑體" w:eastAsia="微軟正黑體" w:hAnsi="微軟正黑體"/>
          <w:sz w:val="40"/>
          <w:szCs w:val="40"/>
        </w:rPr>
      </w:pPr>
      <w:r w:rsidRPr="00A7382C">
        <w:rPr>
          <w:rFonts w:ascii="微軟正黑體" w:eastAsia="微軟正黑體" w:hAnsi="微軟正黑體" w:hint="eastAsia"/>
          <w:sz w:val="40"/>
          <w:szCs w:val="40"/>
        </w:rPr>
        <w:t>第</w:t>
      </w:r>
      <w:r w:rsidR="00087087">
        <w:rPr>
          <w:rFonts w:ascii="微軟正黑體" w:eastAsia="微軟正黑體" w:hAnsi="微軟正黑體" w:hint="eastAsia"/>
          <w:sz w:val="40"/>
          <w:szCs w:val="40"/>
        </w:rPr>
        <w:t>5</w:t>
      </w:r>
      <w:r w:rsidRPr="00A7382C">
        <w:rPr>
          <w:rFonts w:ascii="微軟正黑體" w:eastAsia="微軟正黑體" w:hAnsi="微軟正黑體" w:hint="eastAsia"/>
          <w:sz w:val="40"/>
          <w:szCs w:val="40"/>
        </w:rPr>
        <w:t>期</w:t>
      </w:r>
    </w:p>
    <w:p w:rsidR="009F7B18" w:rsidRPr="002E5A05" w:rsidRDefault="009F7B18" w:rsidP="009F7B18">
      <w:pPr>
        <w:rPr>
          <w:rFonts w:ascii="微軟正黑體" w:eastAsia="微軟正黑體" w:hAnsi="微軟正黑體"/>
        </w:rPr>
      </w:pPr>
    </w:p>
    <w:p w:rsidR="009F7B18" w:rsidRDefault="009F7B18" w:rsidP="009F7B18">
      <w:pPr>
        <w:rPr>
          <w:rFonts w:ascii="微軟正黑體" w:eastAsia="微軟正黑體" w:hAnsi="微軟正黑體"/>
        </w:rPr>
      </w:pPr>
    </w:p>
    <w:p w:rsidR="009F7B18" w:rsidRPr="002E5A05" w:rsidRDefault="009F7B18" w:rsidP="009F7B18">
      <w:pPr>
        <w:rPr>
          <w:rFonts w:ascii="微軟正黑體" w:eastAsia="微軟正黑體" w:hAnsi="微軟正黑體"/>
        </w:rPr>
      </w:pPr>
    </w:p>
    <w:p w:rsidR="009F7B18" w:rsidRPr="002E5A05" w:rsidRDefault="009F7B18" w:rsidP="009F7B18">
      <w:pPr>
        <w:rPr>
          <w:rFonts w:ascii="微軟正黑體" w:eastAsia="微軟正黑體" w:hAnsi="微軟正黑體"/>
        </w:rPr>
      </w:pPr>
    </w:p>
    <w:p w:rsidR="009F7B18" w:rsidRPr="002E5A05" w:rsidRDefault="009F7B18" w:rsidP="009F7B18">
      <w:pPr>
        <w:rPr>
          <w:rFonts w:ascii="微軟正黑體" w:eastAsia="微軟正黑體" w:hAnsi="微軟正黑體"/>
        </w:rPr>
      </w:pPr>
    </w:p>
    <w:p w:rsidR="009F7B18" w:rsidRPr="002E5A05" w:rsidRDefault="009F7B18" w:rsidP="009F7B18">
      <w:pPr>
        <w:rPr>
          <w:rFonts w:ascii="微軟正黑體" w:eastAsia="微軟正黑體" w:hAnsi="微軟正黑體"/>
        </w:rPr>
      </w:pPr>
    </w:p>
    <w:p w:rsidR="009F7B18" w:rsidRPr="002E5A05" w:rsidRDefault="009F7B18" w:rsidP="009F7B18">
      <w:pPr>
        <w:rPr>
          <w:rFonts w:ascii="微軟正黑體" w:eastAsia="微軟正黑體" w:hAnsi="微軟正黑體"/>
        </w:rPr>
      </w:pPr>
    </w:p>
    <w:p w:rsidR="009F7B18" w:rsidRPr="002E5A05" w:rsidRDefault="009F7B18" w:rsidP="009F7B18">
      <w:pPr>
        <w:jc w:val="center"/>
        <w:rPr>
          <w:rFonts w:ascii="微軟正黑體" w:eastAsia="微軟正黑體" w:hAnsi="微軟正黑體"/>
          <w:sz w:val="32"/>
          <w:szCs w:val="32"/>
        </w:rPr>
      </w:pPr>
      <w:r w:rsidRPr="009F7B18">
        <w:rPr>
          <w:rFonts w:ascii="微軟正黑體" w:eastAsia="微軟正黑體" w:hAnsi="微軟正黑體" w:hint="eastAsia"/>
          <w:sz w:val="32"/>
          <w:szCs w:val="32"/>
        </w:rPr>
        <w:t>本專刊係編撰人員之</w:t>
      </w:r>
      <w:r w:rsidRPr="002E5A05">
        <w:rPr>
          <w:rFonts w:ascii="微軟正黑體" w:eastAsia="微軟正黑體" w:hAnsi="微軟正黑體" w:hint="eastAsia"/>
          <w:sz w:val="32"/>
          <w:szCs w:val="32"/>
        </w:rPr>
        <w:t>觀點，不代表本會意見</w:t>
      </w:r>
    </w:p>
    <w:p w:rsidR="009F7B18" w:rsidRPr="002E5A05" w:rsidRDefault="009F7B18" w:rsidP="009F7B18">
      <w:pPr>
        <w:rPr>
          <w:rFonts w:ascii="微軟正黑體" w:eastAsia="微軟正黑體" w:hAnsi="微軟正黑體"/>
        </w:rPr>
      </w:pPr>
    </w:p>
    <w:p w:rsidR="009F7B18" w:rsidRPr="002E5A05" w:rsidRDefault="009F7B18" w:rsidP="009F7B18">
      <w:pPr>
        <w:rPr>
          <w:rFonts w:ascii="微軟正黑體" w:eastAsia="微軟正黑體" w:hAnsi="微軟正黑體"/>
        </w:rPr>
      </w:pPr>
    </w:p>
    <w:p w:rsidR="009F7B18" w:rsidRPr="002E5A05" w:rsidRDefault="009F7B18" w:rsidP="009F7B18">
      <w:pPr>
        <w:jc w:val="center"/>
        <w:rPr>
          <w:rFonts w:ascii="微軟正黑體" w:eastAsia="微軟正黑體" w:hAnsi="微軟正黑體"/>
          <w:b/>
          <w:sz w:val="40"/>
          <w:szCs w:val="40"/>
        </w:rPr>
      </w:pPr>
      <w:r w:rsidRPr="002E5A05">
        <w:rPr>
          <w:rFonts w:ascii="微軟正黑體" w:eastAsia="微軟正黑體" w:hAnsi="微軟正黑體" w:hint="eastAsia"/>
          <w:b/>
          <w:sz w:val="40"/>
          <w:szCs w:val="40"/>
        </w:rPr>
        <w:t>國家發展委員會</w:t>
      </w:r>
      <w:r w:rsidRPr="002E5A05">
        <w:rPr>
          <w:rFonts w:ascii="微軟正黑體" w:eastAsia="微軟正黑體" w:hAnsi="微軟正黑體"/>
          <w:b/>
          <w:sz w:val="40"/>
          <w:szCs w:val="40"/>
        </w:rPr>
        <w:t xml:space="preserve"> </w:t>
      </w:r>
      <w:r w:rsidRPr="002E5A05">
        <w:rPr>
          <w:rFonts w:ascii="微軟正黑體" w:eastAsia="微軟正黑體" w:hAnsi="微軟正黑體" w:hint="eastAsia"/>
          <w:b/>
          <w:sz w:val="40"/>
          <w:szCs w:val="40"/>
        </w:rPr>
        <w:t>人力發展處</w:t>
      </w:r>
      <w:r w:rsidRPr="002E5A05">
        <w:rPr>
          <w:rFonts w:ascii="微軟正黑體" w:eastAsia="微軟正黑體" w:hAnsi="微軟正黑體"/>
          <w:b/>
          <w:sz w:val="40"/>
          <w:szCs w:val="40"/>
        </w:rPr>
        <w:t xml:space="preserve"> </w:t>
      </w:r>
      <w:r w:rsidRPr="002E5A05">
        <w:rPr>
          <w:rFonts w:ascii="微軟正黑體" w:eastAsia="微軟正黑體" w:hAnsi="微軟正黑體" w:hint="eastAsia"/>
          <w:b/>
          <w:sz w:val="40"/>
          <w:szCs w:val="40"/>
        </w:rPr>
        <w:t>編</w:t>
      </w:r>
      <w:r>
        <w:rPr>
          <w:rFonts w:ascii="微軟正黑體" w:eastAsia="微軟正黑體" w:hAnsi="微軟正黑體" w:hint="eastAsia"/>
          <w:b/>
          <w:sz w:val="40"/>
          <w:szCs w:val="40"/>
        </w:rPr>
        <w:t>著</w:t>
      </w:r>
    </w:p>
    <w:p w:rsidR="009F7B18" w:rsidRPr="002E5A05" w:rsidRDefault="00C23EB0" w:rsidP="009F7B18">
      <w:pPr>
        <w:jc w:val="center"/>
        <w:rPr>
          <w:rFonts w:ascii="微軟正黑體" w:eastAsia="微軟正黑體" w:hAnsi="微軟正黑體"/>
          <w:b/>
          <w:sz w:val="40"/>
          <w:szCs w:val="40"/>
        </w:rPr>
      </w:pPr>
      <w:r>
        <w:rPr>
          <w:rFonts w:ascii="微軟正黑體" w:eastAsia="微軟正黑體" w:hAnsi="微軟正黑體" w:hint="eastAsia"/>
          <w:b/>
          <w:sz w:val="40"/>
          <w:szCs w:val="40"/>
        </w:rPr>
        <w:t>中華</w:t>
      </w:r>
      <w:r w:rsidR="009F7B18" w:rsidRPr="002E5A05">
        <w:rPr>
          <w:rFonts w:ascii="微軟正黑體" w:eastAsia="微軟正黑體" w:hAnsi="微軟正黑體" w:hint="eastAsia"/>
          <w:b/>
          <w:sz w:val="40"/>
          <w:szCs w:val="40"/>
        </w:rPr>
        <w:t>民國</w:t>
      </w:r>
      <w:r w:rsidR="00087087">
        <w:rPr>
          <w:rFonts w:ascii="微軟正黑體" w:eastAsia="微軟正黑體" w:hAnsi="微軟正黑體"/>
          <w:b/>
          <w:sz w:val="40"/>
          <w:szCs w:val="40"/>
        </w:rPr>
        <w:t>1</w:t>
      </w:r>
      <w:r w:rsidR="00087087">
        <w:rPr>
          <w:rFonts w:ascii="微軟正黑體" w:eastAsia="微軟正黑體" w:hAnsi="微軟正黑體" w:hint="eastAsia"/>
          <w:b/>
          <w:sz w:val="40"/>
          <w:szCs w:val="40"/>
        </w:rPr>
        <w:t>10</w:t>
      </w:r>
      <w:r w:rsidR="009F7B18" w:rsidRPr="002E5A05">
        <w:rPr>
          <w:rFonts w:ascii="微軟正黑體" w:eastAsia="微軟正黑體" w:hAnsi="微軟正黑體" w:hint="eastAsia"/>
          <w:b/>
          <w:sz w:val="40"/>
          <w:szCs w:val="40"/>
        </w:rPr>
        <w:t>年12月</w:t>
      </w:r>
    </w:p>
    <w:p w:rsidR="001A6C3F" w:rsidRDefault="001A6C3F" w:rsidP="009F7B18">
      <w:pPr>
        <w:spacing w:line="400" w:lineRule="exact"/>
        <w:rPr>
          <w:rFonts w:ascii="微軟正黑體" w:eastAsia="微軟正黑體" w:hAnsi="微軟正黑體"/>
        </w:rPr>
        <w:sectPr w:rsidR="001A6C3F" w:rsidSect="001D5C1C">
          <w:pgSz w:w="11906" w:h="16838"/>
          <w:pgMar w:top="1134" w:right="1418" w:bottom="1134" w:left="1418" w:header="851" w:footer="992" w:gutter="0"/>
          <w:cols w:space="425"/>
          <w:docGrid w:type="lines" w:linePitch="360"/>
        </w:sectPr>
      </w:pPr>
    </w:p>
    <w:p w:rsidR="001A6C3F" w:rsidRDefault="001A6C3F" w:rsidP="009F7B18">
      <w:pPr>
        <w:spacing w:line="400" w:lineRule="exact"/>
        <w:rPr>
          <w:rFonts w:ascii="微軟正黑體" w:eastAsia="微軟正黑體" w:hAnsi="微軟正黑體"/>
        </w:rPr>
        <w:sectPr w:rsidR="001A6C3F" w:rsidSect="001D5C1C">
          <w:pgSz w:w="11906" w:h="16838"/>
          <w:pgMar w:top="1134" w:right="1418" w:bottom="1134" w:left="1418" w:header="851" w:footer="992" w:gutter="0"/>
          <w:cols w:space="425"/>
          <w:docGrid w:type="lines" w:linePitch="360"/>
        </w:sectPr>
      </w:pPr>
    </w:p>
    <w:p w:rsidR="00580D8F" w:rsidRPr="00F0717A" w:rsidRDefault="00580D8F" w:rsidP="00580D8F">
      <w:pPr>
        <w:spacing w:line="400" w:lineRule="exact"/>
        <w:jc w:val="center"/>
        <w:rPr>
          <w:rFonts w:ascii="微軟正黑體" w:eastAsia="微軟正黑體" w:hAnsi="微軟正黑體"/>
          <w:b/>
          <w:sz w:val="40"/>
          <w:szCs w:val="40"/>
        </w:rPr>
      </w:pPr>
      <w:r w:rsidRPr="00F0717A">
        <w:rPr>
          <w:rFonts w:ascii="微軟正黑體" w:eastAsia="微軟正黑體" w:hAnsi="微軟正黑體" w:hint="eastAsia"/>
          <w:b/>
          <w:sz w:val="40"/>
          <w:szCs w:val="40"/>
        </w:rPr>
        <w:lastRenderedPageBreak/>
        <w:t>序</w:t>
      </w:r>
    </w:p>
    <w:p w:rsidR="00741863" w:rsidRPr="007D7EA3" w:rsidRDefault="00580D8F" w:rsidP="007F383F">
      <w:pPr>
        <w:tabs>
          <w:tab w:val="left" w:pos="6379"/>
        </w:tabs>
        <w:spacing w:beforeLines="100" w:before="360" w:line="400" w:lineRule="exact"/>
        <w:jc w:val="both"/>
        <w:rPr>
          <w:rFonts w:ascii="微軟正黑體" w:eastAsia="微軟正黑體" w:hAnsi="微軟正黑體"/>
        </w:rPr>
      </w:pPr>
      <w:r w:rsidRPr="00F0717A">
        <w:rPr>
          <w:rFonts w:ascii="微軟正黑體" w:eastAsia="微軟正黑體" w:hAnsi="微軟正黑體" w:hint="eastAsia"/>
        </w:rPr>
        <w:t xml:space="preserve">   </w:t>
      </w:r>
      <w:r w:rsidRPr="007D7EA3">
        <w:rPr>
          <w:rFonts w:ascii="微軟正黑體" w:eastAsia="微軟正黑體" w:hAnsi="微軟正黑體" w:hint="eastAsia"/>
        </w:rPr>
        <w:t xml:space="preserve"> 有鑒於我國現行年金體</w:t>
      </w:r>
      <w:r w:rsidR="00D27F05">
        <w:rPr>
          <w:rFonts w:ascii="微軟正黑體" w:eastAsia="微軟正黑體" w:hAnsi="微軟正黑體" w:hint="eastAsia"/>
        </w:rPr>
        <w:t>系涵蓋多項制度，並分屬不同部會主管，制度資料散見於所屬部會相關統計</w:t>
      </w:r>
      <w:r w:rsidRPr="007D7EA3">
        <w:rPr>
          <w:rFonts w:ascii="微軟正黑體" w:eastAsia="微軟正黑體" w:hAnsi="微軟正黑體" w:hint="eastAsia"/>
        </w:rPr>
        <w:t>，不利外界瞭解我國整體老年經濟安全保障制度之全貌，爰國家發展委員會於103年1月成立後，由人力發展處</w:t>
      </w:r>
      <w:r w:rsidR="00D27F05">
        <w:rPr>
          <w:rFonts w:ascii="微軟正黑體" w:eastAsia="微軟正黑體" w:hAnsi="微軟正黑體" w:hint="eastAsia"/>
        </w:rPr>
        <w:t>蒐</w:t>
      </w:r>
      <w:r w:rsidRPr="007D7EA3">
        <w:rPr>
          <w:rFonts w:ascii="微軟正黑體" w:eastAsia="微軟正黑體" w:hAnsi="微軟正黑體" w:hint="eastAsia"/>
        </w:rPr>
        <w:t>集並分析國內及國際年金制度相關資訊，綜整出版「老年經濟安全制度專刊」，期能掌握國內外年金制度發展及改革趨勢，俾利各界針對年金議題進行深入交流與討論。</w:t>
      </w:r>
    </w:p>
    <w:p w:rsidR="00580D8F" w:rsidRPr="00EC1D12" w:rsidRDefault="00741863" w:rsidP="007D7EA3">
      <w:pPr>
        <w:spacing w:beforeLines="30" w:before="108" w:line="400" w:lineRule="exact"/>
        <w:jc w:val="both"/>
        <w:rPr>
          <w:rFonts w:ascii="微軟正黑體" w:eastAsia="微軟正黑體" w:hAnsi="微軟正黑體"/>
        </w:rPr>
      </w:pPr>
      <w:r w:rsidRPr="00D44CD4">
        <w:rPr>
          <w:rFonts w:ascii="微軟正黑體" w:eastAsia="微軟正黑體" w:hAnsi="微軟正黑體" w:hint="eastAsia"/>
        </w:rPr>
        <w:t xml:space="preserve">    </w:t>
      </w:r>
      <w:r w:rsidR="00D27F05" w:rsidRPr="00D44CD4">
        <w:rPr>
          <w:rFonts w:ascii="微軟正黑體" w:eastAsia="微軟正黑體" w:hAnsi="微軟正黑體" w:hint="eastAsia"/>
        </w:rPr>
        <w:t>本刊</w:t>
      </w:r>
      <w:r w:rsidR="00825F83" w:rsidRPr="00D44CD4">
        <w:rPr>
          <w:rFonts w:ascii="微軟正黑體" w:eastAsia="微軟正黑體" w:hAnsi="微軟正黑體" w:hint="eastAsia"/>
        </w:rPr>
        <w:t>自103年9月起業出版</w:t>
      </w:r>
      <w:r w:rsidR="00D44CD4" w:rsidRPr="00D44CD4">
        <w:rPr>
          <w:rFonts w:ascii="微軟正黑體" w:eastAsia="微軟正黑體" w:hAnsi="微軟正黑體" w:hint="eastAsia"/>
        </w:rPr>
        <w:t>4</w:t>
      </w:r>
      <w:r w:rsidR="00825F83" w:rsidRPr="00D44CD4">
        <w:rPr>
          <w:rFonts w:ascii="微軟正黑體" w:eastAsia="微軟正黑體" w:hAnsi="微軟正黑體" w:hint="eastAsia"/>
        </w:rPr>
        <w:t>期，本(</w:t>
      </w:r>
      <w:r w:rsidR="00D44CD4" w:rsidRPr="00D44CD4">
        <w:rPr>
          <w:rFonts w:ascii="微軟正黑體" w:eastAsia="微軟正黑體" w:hAnsi="微軟正黑體" w:hint="eastAsia"/>
        </w:rPr>
        <w:t>110</w:t>
      </w:r>
      <w:r w:rsidR="00825F83" w:rsidRPr="00D44CD4">
        <w:rPr>
          <w:rFonts w:ascii="微軟正黑體" w:eastAsia="微軟正黑體" w:hAnsi="微軟正黑體" w:hint="eastAsia"/>
        </w:rPr>
        <w:t>)年12月再完成第</w:t>
      </w:r>
      <w:r w:rsidR="00D44CD4" w:rsidRPr="00D44CD4">
        <w:rPr>
          <w:rFonts w:ascii="微軟正黑體" w:eastAsia="微軟正黑體" w:hAnsi="微軟正黑體" w:hint="eastAsia"/>
        </w:rPr>
        <w:t>5期專</w:t>
      </w:r>
      <w:r w:rsidR="00D44CD4" w:rsidRPr="00EC1D12">
        <w:rPr>
          <w:rFonts w:ascii="微軟正黑體" w:eastAsia="微軟正黑體" w:hAnsi="微軟正黑體" w:hint="eastAsia"/>
        </w:rPr>
        <w:t>刊，並延續第4期之多元性及專業性，分為</w:t>
      </w:r>
      <w:r w:rsidR="002F26C2" w:rsidRPr="00EC1D12">
        <w:rPr>
          <w:rFonts w:ascii="微軟正黑體" w:eastAsia="微軟正黑體" w:hAnsi="微軟正黑體" w:hint="eastAsia"/>
        </w:rPr>
        <w:t>「制度概況」、「國際情勢」</w:t>
      </w:r>
      <w:r w:rsidR="00C5514A" w:rsidRPr="00EC1D12">
        <w:rPr>
          <w:rFonts w:ascii="微軟正黑體" w:eastAsia="微軟正黑體" w:hAnsi="微軟正黑體" w:hint="eastAsia"/>
        </w:rPr>
        <w:t>、</w:t>
      </w:r>
      <w:r w:rsidR="002F26C2" w:rsidRPr="00EC1D12">
        <w:rPr>
          <w:rFonts w:ascii="微軟正黑體" w:eastAsia="微軟正黑體" w:hAnsi="微軟正黑體" w:hint="eastAsia"/>
        </w:rPr>
        <w:t>「名家觀點」及「制度動態」等4</w:t>
      </w:r>
      <w:r w:rsidR="00D27F05" w:rsidRPr="00EC1D12">
        <w:rPr>
          <w:rFonts w:ascii="微軟正黑體" w:eastAsia="微軟正黑體" w:hAnsi="微軟正黑體" w:hint="eastAsia"/>
        </w:rPr>
        <w:t>項單元；</w:t>
      </w:r>
      <w:r w:rsidR="002F26C2" w:rsidRPr="00EC1D12">
        <w:rPr>
          <w:rFonts w:ascii="微軟正黑體" w:eastAsia="微軟正黑體" w:hAnsi="微軟正黑體" w:hint="eastAsia"/>
        </w:rPr>
        <w:t>其中「國際情勢」及「名家觀點」單元採對外邀稿方式編輯</w:t>
      </w:r>
      <w:r w:rsidR="004B0C33" w:rsidRPr="00EC1D12">
        <w:rPr>
          <w:rFonts w:ascii="微軟正黑體" w:eastAsia="微軟正黑體" w:hAnsi="微軟正黑體" w:hint="eastAsia"/>
        </w:rPr>
        <w:t>。</w:t>
      </w:r>
      <w:r w:rsidR="00ED63AD">
        <w:rPr>
          <w:rFonts w:ascii="微軟正黑體" w:eastAsia="微軟正黑體" w:hAnsi="微軟正黑體" w:hint="eastAsia"/>
        </w:rPr>
        <w:t>本期</w:t>
      </w:r>
      <w:r w:rsidR="004B0C33" w:rsidRPr="00EC1D12">
        <w:rPr>
          <w:rFonts w:ascii="微軟正黑體" w:eastAsia="微軟正黑體" w:hAnsi="微軟正黑體" w:hint="eastAsia"/>
        </w:rPr>
        <w:t>專刊</w:t>
      </w:r>
      <w:r w:rsidR="00580D8F" w:rsidRPr="00EC1D12">
        <w:rPr>
          <w:rFonts w:ascii="微軟正黑體" w:eastAsia="微軟正黑體" w:hAnsi="微軟正黑體" w:hint="eastAsia"/>
        </w:rPr>
        <w:t>內容摘要說明如次：</w:t>
      </w:r>
    </w:p>
    <w:p w:rsidR="00580D8F" w:rsidRPr="00EC1D12" w:rsidRDefault="002C0D3C" w:rsidP="001C21B9">
      <w:pPr>
        <w:spacing w:beforeLines="30" w:before="108" w:line="400" w:lineRule="exact"/>
        <w:ind w:firstLineChars="200" w:firstLine="480"/>
        <w:jc w:val="both"/>
        <w:rPr>
          <w:rFonts w:ascii="微軟正黑體" w:eastAsia="微軟正黑體" w:hAnsi="微軟正黑體"/>
        </w:rPr>
      </w:pPr>
      <w:r w:rsidRPr="00EC1D12">
        <w:rPr>
          <w:rFonts w:ascii="微軟正黑體" w:eastAsia="微軟正黑體" w:hAnsi="微軟正黑體" w:hint="eastAsia"/>
        </w:rPr>
        <w:t>「</w:t>
      </w:r>
      <w:r w:rsidR="007D7EA3" w:rsidRPr="00EC1D12">
        <w:rPr>
          <w:rFonts w:ascii="微軟正黑體" w:eastAsia="微軟正黑體" w:hAnsi="微軟正黑體" w:hint="eastAsia"/>
        </w:rPr>
        <w:t>制度概況」</w:t>
      </w:r>
      <w:r w:rsidR="002B687F" w:rsidRPr="00EC1D12">
        <w:rPr>
          <w:rFonts w:ascii="微軟正黑體" w:eastAsia="微軟正黑體" w:hAnsi="微軟正黑體" w:hint="eastAsia"/>
        </w:rPr>
        <w:t>單元</w:t>
      </w:r>
      <w:r w:rsidR="007D7EA3" w:rsidRPr="00EC1D12">
        <w:rPr>
          <w:rFonts w:ascii="微軟正黑體" w:eastAsia="微軟正黑體" w:hAnsi="微軟正黑體" w:hint="eastAsia"/>
        </w:rPr>
        <w:t>係</w:t>
      </w:r>
      <w:r w:rsidR="00580D8F" w:rsidRPr="00EC1D12">
        <w:rPr>
          <w:rFonts w:ascii="微軟正黑體" w:eastAsia="微軟正黑體" w:hAnsi="微軟正黑體" w:hint="eastAsia"/>
        </w:rPr>
        <w:t>呈現</w:t>
      </w:r>
      <w:r w:rsidR="001C21B9" w:rsidRPr="00EC1D12">
        <w:rPr>
          <w:rFonts w:ascii="微軟正黑體" w:eastAsia="微軟正黑體" w:hAnsi="微軟正黑體" w:hint="eastAsia"/>
        </w:rPr>
        <w:t>我國</w:t>
      </w:r>
      <w:r w:rsidR="00580D8F" w:rsidRPr="00EC1D12">
        <w:rPr>
          <w:rFonts w:ascii="微軟正黑體" w:eastAsia="微軟正黑體" w:hAnsi="微軟正黑體" w:hint="eastAsia"/>
        </w:rPr>
        <w:t>各</w:t>
      </w:r>
      <w:r w:rsidR="007D7EA3" w:rsidRPr="00EC1D12">
        <w:rPr>
          <w:rFonts w:ascii="微軟正黑體" w:eastAsia="微軟正黑體" w:hAnsi="微軟正黑體" w:hint="eastAsia"/>
        </w:rPr>
        <w:t>年金</w:t>
      </w:r>
      <w:r w:rsidR="00580D8F" w:rsidRPr="00EC1D12">
        <w:rPr>
          <w:rFonts w:ascii="微軟正黑體" w:eastAsia="微軟正黑體" w:hAnsi="微軟正黑體" w:hint="eastAsia"/>
        </w:rPr>
        <w:t>制度</w:t>
      </w:r>
      <w:r w:rsidR="007D7EA3" w:rsidRPr="00EC1D12">
        <w:rPr>
          <w:rFonts w:ascii="微軟正黑體" w:eastAsia="微軟正黑體" w:hAnsi="微軟正黑體" w:hint="eastAsia"/>
        </w:rPr>
        <w:t>10</w:t>
      </w:r>
      <w:r w:rsidR="00D44CD4" w:rsidRPr="00EC1D12">
        <w:rPr>
          <w:rFonts w:ascii="微軟正黑體" w:eastAsia="微軟正黑體" w:hAnsi="微軟正黑體" w:hint="eastAsia"/>
        </w:rPr>
        <w:t>9</w:t>
      </w:r>
      <w:r w:rsidR="00580D8F" w:rsidRPr="00EC1D12">
        <w:rPr>
          <w:rFonts w:ascii="微軟正黑體" w:eastAsia="微軟正黑體" w:hAnsi="微軟正黑體" w:hint="eastAsia"/>
        </w:rPr>
        <w:t>年</w:t>
      </w:r>
      <w:r w:rsidR="007D7EA3" w:rsidRPr="00EC1D12">
        <w:rPr>
          <w:rFonts w:ascii="微軟正黑體" w:eastAsia="微軟正黑體" w:hAnsi="微軟正黑體" w:hint="eastAsia"/>
        </w:rPr>
        <w:t>統計概況，共分為4部分：「</w:t>
      </w:r>
      <w:r w:rsidR="00580D8F" w:rsidRPr="00EC1D12">
        <w:rPr>
          <w:rFonts w:ascii="微軟正黑體" w:eastAsia="微軟正黑體" w:hAnsi="微軟正黑體" w:hint="eastAsia"/>
        </w:rPr>
        <w:t>概論</w:t>
      </w:r>
      <w:r w:rsidR="007D7EA3" w:rsidRPr="00EC1D12">
        <w:rPr>
          <w:rFonts w:ascii="微軟正黑體" w:eastAsia="微軟正黑體" w:hAnsi="微軟正黑體" w:hint="eastAsia"/>
        </w:rPr>
        <w:t>」係</w:t>
      </w:r>
      <w:r w:rsidRPr="00EC1D12">
        <w:rPr>
          <w:rFonts w:ascii="微軟正黑體" w:eastAsia="微軟正黑體" w:hAnsi="微軟正黑體" w:hint="eastAsia"/>
        </w:rPr>
        <w:t>綜</w:t>
      </w:r>
      <w:r w:rsidR="006A28F7" w:rsidRPr="00EC1D12">
        <w:rPr>
          <w:rFonts w:ascii="微軟正黑體" w:eastAsia="微軟正黑體" w:hAnsi="微軟正黑體" w:hint="eastAsia"/>
        </w:rPr>
        <w:t>覽我</w:t>
      </w:r>
      <w:r w:rsidR="00580D8F" w:rsidRPr="00EC1D12">
        <w:rPr>
          <w:rFonts w:ascii="微軟正黑體" w:eastAsia="微軟正黑體" w:hAnsi="微軟正黑體" w:hint="eastAsia"/>
        </w:rPr>
        <w:t>國</w:t>
      </w:r>
      <w:r w:rsidR="006A28F7" w:rsidRPr="00EC1D12">
        <w:rPr>
          <w:rFonts w:ascii="微軟正黑體" w:eastAsia="微軟正黑體" w:hAnsi="微軟正黑體" w:hint="eastAsia"/>
        </w:rPr>
        <w:t>年金</w:t>
      </w:r>
      <w:r w:rsidR="00580D8F" w:rsidRPr="00EC1D12">
        <w:rPr>
          <w:rFonts w:ascii="微軟正黑體" w:eastAsia="微軟正黑體" w:hAnsi="微軟正黑體" w:hint="eastAsia"/>
        </w:rPr>
        <w:t>制度</w:t>
      </w:r>
      <w:r w:rsidR="007D7EA3" w:rsidRPr="00EC1D12">
        <w:rPr>
          <w:rFonts w:ascii="微軟正黑體" w:eastAsia="微軟正黑體" w:hAnsi="微軟正黑體" w:hint="eastAsia"/>
        </w:rPr>
        <w:t>及</w:t>
      </w:r>
      <w:r w:rsidRPr="00EC1D12">
        <w:rPr>
          <w:rFonts w:ascii="微軟正黑體" w:eastAsia="微軟正黑體" w:hAnsi="微軟正黑體" w:hint="eastAsia"/>
        </w:rPr>
        <w:t>性別統計</w:t>
      </w:r>
      <w:r w:rsidR="007D7EA3" w:rsidRPr="00EC1D12">
        <w:rPr>
          <w:rFonts w:ascii="微軟正黑體" w:eastAsia="微軟正黑體" w:hAnsi="微軟正黑體" w:hint="eastAsia"/>
        </w:rPr>
        <w:t>；「</w:t>
      </w:r>
      <w:r w:rsidR="00580D8F" w:rsidRPr="00EC1D12">
        <w:rPr>
          <w:rFonts w:ascii="微軟正黑體" w:eastAsia="微軟正黑體" w:hAnsi="微軟正黑體" w:hint="eastAsia"/>
        </w:rPr>
        <w:t>社會保險</w:t>
      </w:r>
      <w:r w:rsidR="007D7EA3" w:rsidRPr="00EC1D12">
        <w:rPr>
          <w:rFonts w:ascii="微軟正黑體" w:eastAsia="微軟正黑體" w:hAnsi="微軟正黑體" w:hint="eastAsia"/>
        </w:rPr>
        <w:t>」</w:t>
      </w:r>
      <w:r w:rsidR="00580D8F" w:rsidRPr="00EC1D12">
        <w:rPr>
          <w:rFonts w:ascii="微軟正黑體" w:eastAsia="微軟正黑體" w:hAnsi="微軟正黑體" w:hint="eastAsia"/>
        </w:rPr>
        <w:t>分述各</w:t>
      </w:r>
      <w:r w:rsidR="00ED63AD">
        <w:rPr>
          <w:rFonts w:ascii="微軟正黑體" w:eastAsia="微軟正黑體" w:hAnsi="微軟正黑體" w:hint="eastAsia"/>
        </w:rPr>
        <w:t>社會</w:t>
      </w:r>
      <w:r w:rsidR="00580D8F" w:rsidRPr="00EC1D12">
        <w:rPr>
          <w:rFonts w:ascii="微軟正黑體" w:eastAsia="微軟正黑體" w:hAnsi="微軟正黑體" w:hint="eastAsia"/>
        </w:rPr>
        <w:t>保險之</w:t>
      </w:r>
      <w:r w:rsidRPr="00EC1D12">
        <w:rPr>
          <w:rFonts w:ascii="微軟正黑體" w:eastAsia="微軟正黑體" w:hAnsi="微軟正黑體" w:hint="eastAsia"/>
        </w:rPr>
        <w:t>納</w:t>
      </w:r>
      <w:r w:rsidR="00580D8F" w:rsidRPr="00EC1D12">
        <w:rPr>
          <w:rFonts w:ascii="微軟正黑體" w:eastAsia="微軟正黑體" w:hAnsi="微軟正黑體" w:hint="eastAsia"/>
        </w:rPr>
        <w:t>保、給付及財務概況等；</w:t>
      </w:r>
      <w:r w:rsidR="007D7EA3" w:rsidRPr="00EC1D12">
        <w:rPr>
          <w:rFonts w:ascii="微軟正黑體" w:eastAsia="微軟正黑體" w:hAnsi="微軟正黑體" w:hint="eastAsia"/>
        </w:rPr>
        <w:t>「</w:t>
      </w:r>
      <w:r w:rsidR="00580D8F" w:rsidRPr="00EC1D12">
        <w:rPr>
          <w:rFonts w:ascii="微軟正黑體" w:eastAsia="微軟正黑體" w:hAnsi="微軟正黑體" w:hint="eastAsia"/>
        </w:rPr>
        <w:t>職業別退休金</w:t>
      </w:r>
      <w:r w:rsidR="007D7EA3" w:rsidRPr="00EC1D12">
        <w:rPr>
          <w:rFonts w:ascii="微軟正黑體" w:eastAsia="微軟正黑體" w:hAnsi="微軟正黑體" w:hint="eastAsia"/>
        </w:rPr>
        <w:t>」分述各</w:t>
      </w:r>
      <w:r w:rsidR="00ED63AD">
        <w:rPr>
          <w:rFonts w:ascii="微軟正黑體" w:eastAsia="微軟正黑體" w:hAnsi="微軟正黑體" w:hint="eastAsia"/>
        </w:rPr>
        <w:t>退休金</w:t>
      </w:r>
      <w:r w:rsidR="007D7EA3" w:rsidRPr="00EC1D12">
        <w:rPr>
          <w:rFonts w:ascii="微軟正黑體" w:eastAsia="微軟正黑體" w:hAnsi="微軟正黑體" w:hint="eastAsia"/>
        </w:rPr>
        <w:t>制度之參加、給付及財務概況等；「</w:t>
      </w:r>
      <w:r w:rsidR="006A28F7" w:rsidRPr="00EC1D12">
        <w:rPr>
          <w:rFonts w:ascii="微軟正黑體" w:eastAsia="微軟正黑體" w:hAnsi="微軟正黑體" w:hint="eastAsia"/>
        </w:rPr>
        <w:t>高齡化商業保險</w:t>
      </w:r>
      <w:r w:rsidR="007D7EA3" w:rsidRPr="00EC1D12">
        <w:rPr>
          <w:rFonts w:ascii="微軟正黑體" w:eastAsia="微軟正黑體" w:hAnsi="微軟正黑體" w:hint="eastAsia"/>
        </w:rPr>
        <w:t>」</w:t>
      </w:r>
      <w:r w:rsidR="00D27F05" w:rsidRPr="00EC1D12">
        <w:rPr>
          <w:rFonts w:ascii="微軟正黑體" w:eastAsia="微軟正黑體" w:hAnsi="微軟正黑體" w:hint="eastAsia"/>
        </w:rPr>
        <w:t>則</w:t>
      </w:r>
      <w:r w:rsidR="006A28F7" w:rsidRPr="00EC1D12">
        <w:rPr>
          <w:rFonts w:ascii="微軟正黑體" w:eastAsia="微軟正黑體" w:hAnsi="微軟正黑體" w:hint="eastAsia"/>
        </w:rPr>
        <w:t>分析各類商業保險之發展及投保情形。(</w:t>
      </w:r>
      <w:r w:rsidR="007D7EA3" w:rsidRPr="00EC1D12">
        <w:rPr>
          <w:rFonts w:ascii="微軟正黑體" w:eastAsia="微軟正黑體" w:hAnsi="微軟正黑體" w:hint="eastAsia"/>
        </w:rPr>
        <w:t>本單元</w:t>
      </w:r>
      <w:r w:rsidR="006A28F7" w:rsidRPr="00EC1D12">
        <w:rPr>
          <w:rFonts w:ascii="微軟正黑體" w:eastAsia="微軟正黑體" w:hAnsi="微軟正黑體" w:hint="eastAsia"/>
        </w:rPr>
        <w:t>資料係引用部會統計數據，相關數據仍以部會公布為準)</w:t>
      </w:r>
    </w:p>
    <w:p w:rsidR="00580D8F" w:rsidRPr="00EC1D12" w:rsidRDefault="00580D8F" w:rsidP="004B1A2C">
      <w:pPr>
        <w:spacing w:beforeLines="30" w:before="108" w:line="400" w:lineRule="exact"/>
        <w:jc w:val="both"/>
        <w:rPr>
          <w:rFonts w:ascii="微軟正黑體" w:eastAsia="微軟正黑體" w:hAnsi="微軟正黑體"/>
        </w:rPr>
      </w:pPr>
      <w:r w:rsidRPr="00EC1D12">
        <w:rPr>
          <w:rFonts w:ascii="微軟正黑體" w:eastAsia="微軟正黑體" w:hAnsi="微軟正黑體" w:hint="eastAsia"/>
        </w:rPr>
        <w:t xml:space="preserve">    </w:t>
      </w:r>
      <w:r w:rsidR="00A3350A" w:rsidRPr="00EC1D12">
        <w:rPr>
          <w:rFonts w:ascii="微軟正黑體" w:eastAsia="微軟正黑體" w:hAnsi="微軟正黑體" w:hint="eastAsia"/>
        </w:rPr>
        <w:t>「國際</w:t>
      </w:r>
      <w:r w:rsidR="007D7EA3" w:rsidRPr="00EC1D12">
        <w:rPr>
          <w:rFonts w:ascii="微軟正黑體" w:eastAsia="微軟正黑體" w:hAnsi="微軟正黑體" w:hint="eastAsia"/>
        </w:rPr>
        <w:t>情勢」</w:t>
      </w:r>
      <w:r w:rsidR="002B687F" w:rsidRPr="00EC1D12">
        <w:rPr>
          <w:rFonts w:ascii="微軟正黑體" w:eastAsia="微軟正黑體" w:hAnsi="微軟正黑體" w:hint="eastAsia"/>
        </w:rPr>
        <w:t>單元</w:t>
      </w:r>
      <w:r w:rsidR="00D27F05" w:rsidRPr="00EC1D12">
        <w:rPr>
          <w:rFonts w:ascii="微軟正黑體" w:eastAsia="微軟正黑體" w:hAnsi="微軟正黑體" w:hint="eastAsia"/>
        </w:rPr>
        <w:t>本期</w:t>
      </w:r>
      <w:r w:rsidR="007D7EA3" w:rsidRPr="00EC1D12">
        <w:rPr>
          <w:rFonts w:ascii="微軟正黑體" w:eastAsia="微軟正黑體" w:hAnsi="微軟正黑體" w:hint="eastAsia"/>
        </w:rPr>
        <w:t>邀請</w:t>
      </w:r>
      <w:r w:rsidR="00D44CD4" w:rsidRPr="00EC1D12">
        <w:rPr>
          <w:rFonts w:ascii="微軟正黑體" w:eastAsia="微軟正黑體" w:hAnsi="微軟正黑體" w:hint="eastAsia"/>
        </w:rPr>
        <w:t>中正大學勞工關係學系吳副教授啟新</w:t>
      </w:r>
      <w:r w:rsidR="007D7EA3" w:rsidRPr="00EC1D12">
        <w:rPr>
          <w:rFonts w:ascii="微軟正黑體" w:eastAsia="微軟正黑體" w:hAnsi="微軟正黑體" w:hint="eastAsia"/>
        </w:rPr>
        <w:t>撰寫「</w:t>
      </w:r>
      <w:r w:rsidR="00D44CD4" w:rsidRPr="00EC1D12">
        <w:rPr>
          <w:rFonts w:ascii="微軟正黑體" w:eastAsia="微軟正黑體" w:hAnsi="微軟正黑體" w:hint="eastAsia"/>
        </w:rPr>
        <w:t>跨國工作者之老年經濟安全保障</w:t>
      </w:r>
      <w:r w:rsidR="007D7EA3" w:rsidRPr="00EC1D12">
        <w:rPr>
          <w:rFonts w:ascii="微軟正黑體" w:eastAsia="微軟正黑體" w:hAnsi="微軟正黑體" w:hint="eastAsia"/>
        </w:rPr>
        <w:t>」，探討</w:t>
      </w:r>
      <w:r w:rsidR="00D44CD4" w:rsidRPr="00EC1D12">
        <w:rPr>
          <w:rFonts w:ascii="微軟正黑體" w:eastAsia="微軟正黑體" w:hAnsi="微軟正黑體" w:hint="eastAsia"/>
        </w:rPr>
        <w:t>主要國家因應跨國工作者老年經濟安全保障之措施，及對我國之啟示</w:t>
      </w:r>
      <w:r w:rsidR="00D27F05" w:rsidRPr="00EC1D12">
        <w:rPr>
          <w:rFonts w:ascii="微軟正黑體" w:eastAsia="微軟正黑體" w:hAnsi="微軟正黑體" w:hint="eastAsia"/>
        </w:rPr>
        <w:t>；</w:t>
      </w:r>
      <w:r w:rsidR="006D3B2B" w:rsidRPr="00EC1D12">
        <w:rPr>
          <w:rFonts w:ascii="微軟正黑體" w:eastAsia="微軟正黑體" w:hAnsi="微軟正黑體" w:hint="eastAsia"/>
        </w:rPr>
        <w:t>及</w:t>
      </w:r>
      <w:r w:rsidR="00D44CD4" w:rsidRPr="00EC1D12">
        <w:rPr>
          <w:rFonts w:ascii="微軟正黑體" w:eastAsia="微軟正黑體" w:hAnsi="微軟正黑體" w:hint="eastAsia"/>
        </w:rPr>
        <w:t>政治</w:t>
      </w:r>
      <w:r w:rsidR="006D3B2B" w:rsidRPr="00EC1D12">
        <w:rPr>
          <w:rFonts w:ascii="微軟正黑體" w:eastAsia="微軟正黑體" w:hAnsi="微軟正黑體" w:hint="eastAsia"/>
        </w:rPr>
        <w:t>大學</w:t>
      </w:r>
      <w:r w:rsidR="00D44CD4" w:rsidRPr="00EC1D12">
        <w:rPr>
          <w:rFonts w:ascii="微軟正黑體" w:eastAsia="微軟正黑體" w:hAnsi="微軟正黑體" w:hint="eastAsia"/>
        </w:rPr>
        <w:t>勞工研究所成教授之約</w:t>
      </w:r>
      <w:r w:rsidR="006D3B2B" w:rsidRPr="00EC1D12">
        <w:rPr>
          <w:rFonts w:ascii="微軟正黑體" w:eastAsia="微軟正黑體" w:hAnsi="微軟正黑體" w:hint="eastAsia"/>
        </w:rPr>
        <w:t>撰寫「</w:t>
      </w:r>
      <w:r w:rsidR="008C37D2">
        <w:rPr>
          <w:rFonts w:ascii="微軟正黑體" w:eastAsia="微軟正黑體" w:hAnsi="微軟正黑體" w:hint="eastAsia"/>
        </w:rPr>
        <w:t>數位時代下電傳工作者勞動與</w:t>
      </w:r>
      <w:r w:rsidR="00D44CD4" w:rsidRPr="00EC1D12">
        <w:rPr>
          <w:rFonts w:ascii="微軟正黑體" w:eastAsia="微軟正黑體" w:hAnsi="微軟正黑體" w:hint="eastAsia"/>
        </w:rPr>
        <w:t>社會保障之探討</w:t>
      </w:r>
      <w:r w:rsidR="006D3B2B" w:rsidRPr="00EC1D12">
        <w:rPr>
          <w:rFonts w:ascii="微軟正黑體" w:eastAsia="微軟正黑體" w:hAnsi="微軟正黑體" w:hint="eastAsia"/>
        </w:rPr>
        <w:t>」</w:t>
      </w:r>
      <w:r w:rsidR="00CD11CF">
        <w:rPr>
          <w:rFonts w:ascii="微軟正黑體" w:eastAsia="微軟正黑體" w:hAnsi="微軟正黑體" w:hint="eastAsia"/>
        </w:rPr>
        <w:t>，論述電傳工作之發展、挑戰及他國之相關規定</w:t>
      </w:r>
      <w:r w:rsidRPr="00EC1D12">
        <w:rPr>
          <w:rFonts w:ascii="微軟正黑體" w:eastAsia="微軟正黑體" w:hAnsi="微軟正黑體" w:hint="eastAsia"/>
        </w:rPr>
        <w:t>。</w:t>
      </w:r>
    </w:p>
    <w:p w:rsidR="002B687F" w:rsidRPr="00EC1D12" w:rsidRDefault="00580D8F" w:rsidP="00C124B7">
      <w:pPr>
        <w:spacing w:beforeLines="30" w:before="108" w:line="400" w:lineRule="exact"/>
        <w:jc w:val="both"/>
        <w:rPr>
          <w:rFonts w:ascii="微軟正黑體" w:eastAsia="微軟正黑體" w:hAnsi="微軟正黑體"/>
        </w:rPr>
      </w:pPr>
      <w:r w:rsidRPr="00EC1D12">
        <w:rPr>
          <w:rFonts w:ascii="微軟正黑體" w:eastAsia="微軟正黑體" w:hAnsi="微軟正黑體" w:hint="eastAsia"/>
        </w:rPr>
        <w:t xml:space="preserve">    </w:t>
      </w:r>
      <w:r w:rsidR="002B687F" w:rsidRPr="00EC1D12">
        <w:rPr>
          <w:rFonts w:ascii="微軟正黑體" w:eastAsia="微軟正黑體" w:hAnsi="微軟正黑體" w:hint="eastAsia"/>
        </w:rPr>
        <w:t>「名家觀點」單元邀請</w:t>
      </w:r>
      <w:r w:rsidR="00C124B7" w:rsidRPr="00EC1D12">
        <w:rPr>
          <w:rFonts w:ascii="微軟正黑體" w:eastAsia="微軟正黑體" w:hAnsi="微軟正黑體" w:hint="eastAsia"/>
        </w:rPr>
        <w:t>南臺科技大學財務金融系王副教授靜怡及</w:t>
      </w:r>
      <w:r w:rsidR="00D44CD4" w:rsidRPr="00EC1D12">
        <w:rPr>
          <w:rFonts w:ascii="微軟正黑體" w:eastAsia="微軟正黑體" w:hAnsi="微軟正黑體" w:hint="eastAsia"/>
        </w:rPr>
        <w:t>中正大學社會福利學系鄭教授清霞</w:t>
      </w:r>
      <w:r w:rsidR="00C124B7" w:rsidRPr="00EC1D12">
        <w:rPr>
          <w:rFonts w:ascii="微軟正黑體" w:eastAsia="微軟正黑體" w:hAnsi="微軟正黑體" w:hint="eastAsia"/>
        </w:rPr>
        <w:t>共同</w:t>
      </w:r>
      <w:r w:rsidR="006D3B2B" w:rsidRPr="00EC1D12">
        <w:rPr>
          <w:rFonts w:ascii="微軟正黑體" w:eastAsia="微軟正黑體" w:hAnsi="微軟正黑體" w:hint="eastAsia"/>
        </w:rPr>
        <w:t>撰寫「</w:t>
      </w:r>
      <w:r w:rsidR="00C124B7" w:rsidRPr="00EC1D12">
        <w:rPr>
          <w:rFonts w:ascii="微軟正黑體" w:eastAsia="微軟正黑體" w:hAnsi="微軟正黑體" w:hint="eastAsia"/>
        </w:rPr>
        <w:t>高齡化趨勢下的勞保老年年金財務規劃：借鏡</w:t>
      </w:r>
      <w:r w:rsidR="00ED63AD">
        <w:rPr>
          <w:rFonts w:ascii="微軟正黑體" w:eastAsia="微軟正黑體" w:hAnsi="微軟正黑體" w:hint="eastAsia"/>
        </w:rPr>
        <w:t>德國與</w:t>
      </w:r>
      <w:r w:rsidR="00C124B7" w:rsidRPr="00EC1D12">
        <w:rPr>
          <w:rFonts w:ascii="微軟正黑體" w:eastAsia="微軟正黑體" w:hAnsi="微軟正黑體" w:hint="eastAsia"/>
        </w:rPr>
        <w:t>日本</w:t>
      </w:r>
      <w:r w:rsidR="006D3B2B" w:rsidRPr="00EC1D12">
        <w:rPr>
          <w:rFonts w:ascii="微軟正黑體" w:eastAsia="微軟正黑體" w:hAnsi="微軟正黑體" w:hint="eastAsia"/>
        </w:rPr>
        <w:t>」，探討</w:t>
      </w:r>
      <w:r w:rsidR="00C124B7" w:rsidRPr="00EC1D12">
        <w:rPr>
          <w:rFonts w:ascii="微軟正黑體" w:eastAsia="微軟正黑體" w:hAnsi="微軟正黑體" w:hint="eastAsia"/>
        </w:rPr>
        <w:t>財務收入</w:t>
      </w:r>
      <w:r w:rsidR="00D44CD4" w:rsidRPr="00EC1D12">
        <w:rPr>
          <w:rFonts w:ascii="微軟正黑體" w:eastAsia="微軟正黑體" w:hAnsi="微軟正黑體" w:hint="eastAsia"/>
        </w:rPr>
        <w:t>面向之因應，如</w:t>
      </w:r>
      <w:r w:rsidR="00C124B7" w:rsidRPr="00EC1D12">
        <w:rPr>
          <w:rFonts w:ascii="微軟正黑體" w:eastAsia="微軟正黑體" w:hAnsi="微軟正黑體" w:hint="eastAsia"/>
        </w:rPr>
        <w:t>擴大費基</w:t>
      </w:r>
      <w:r w:rsidR="00797EB9" w:rsidRPr="00EC1D12">
        <w:rPr>
          <w:rFonts w:ascii="微軟正黑體" w:eastAsia="微軟正黑體" w:hAnsi="微軟正黑體" w:hint="eastAsia"/>
        </w:rPr>
        <w:t>、提升基金投資效益</w:t>
      </w:r>
      <w:r w:rsidR="00D44CD4" w:rsidRPr="00EC1D12">
        <w:rPr>
          <w:rFonts w:ascii="微軟正黑體" w:eastAsia="微軟正黑體" w:hAnsi="微軟正黑體" w:hint="eastAsia"/>
        </w:rPr>
        <w:t>等增加財源方式</w:t>
      </w:r>
      <w:r w:rsidR="006D3B2B" w:rsidRPr="00EC1D12">
        <w:rPr>
          <w:rFonts w:ascii="微軟正黑體" w:eastAsia="微軟正黑體" w:hAnsi="微軟正黑體" w:hint="eastAsia"/>
        </w:rPr>
        <w:t>；及</w:t>
      </w:r>
      <w:r w:rsidR="00D44CD4" w:rsidRPr="00EC1D12">
        <w:rPr>
          <w:rFonts w:ascii="微軟正黑體" w:eastAsia="微軟正黑體" w:hAnsi="微軟正黑體" w:hint="eastAsia"/>
        </w:rPr>
        <w:t>中正大學勞工關係學系周教授玟琪</w:t>
      </w:r>
      <w:r w:rsidR="006D3B2B" w:rsidRPr="00EC1D12">
        <w:rPr>
          <w:rFonts w:ascii="微軟正黑體" w:eastAsia="微軟正黑體" w:hAnsi="微軟正黑體" w:hint="eastAsia"/>
        </w:rPr>
        <w:t>撰寫「</w:t>
      </w:r>
      <w:r w:rsidR="00C124B7" w:rsidRPr="00EC1D12">
        <w:rPr>
          <w:rFonts w:ascii="微軟正黑體" w:eastAsia="微軟正黑體" w:hAnsi="微軟正黑體" w:hint="eastAsia"/>
        </w:rPr>
        <w:t>全球化與高齡化浪潮下的台灣銀髮與高齡就業及老年經濟安全：催生社會團結經濟與融合性就業政策</w:t>
      </w:r>
      <w:r w:rsidR="006D3B2B" w:rsidRPr="00EC1D12">
        <w:rPr>
          <w:rFonts w:ascii="微軟正黑體" w:eastAsia="微軟正黑體" w:hAnsi="微軟正黑體" w:hint="eastAsia"/>
        </w:rPr>
        <w:t>」，</w:t>
      </w:r>
      <w:r w:rsidR="00B40688" w:rsidRPr="00EC1D12">
        <w:rPr>
          <w:rFonts w:ascii="微軟正黑體" w:eastAsia="微軟正黑體" w:hAnsi="微軟正黑體" w:hint="eastAsia"/>
        </w:rPr>
        <w:t>透過檢視我國中高齡及高齡</w:t>
      </w:r>
      <w:r w:rsidR="00E66C9C" w:rsidRPr="00EC1D12">
        <w:rPr>
          <w:rFonts w:ascii="微軟正黑體" w:eastAsia="微軟正黑體" w:hAnsi="微軟正黑體" w:hint="eastAsia"/>
        </w:rPr>
        <w:t>者</w:t>
      </w:r>
      <w:r w:rsidR="00B40688" w:rsidRPr="00EC1D12">
        <w:rPr>
          <w:rFonts w:ascii="微軟正黑體" w:eastAsia="微軟正黑體" w:hAnsi="微軟正黑體" w:hint="eastAsia"/>
        </w:rPr>
        <w:t>就業的現況，進而倡議發展「社會與團結經濟」與「融合性就業促進政策」</w:t>
      </w:r>
      <w:r w:rsidR="006D3B2B" w:rsidRPr="00EC1D12">
        <w:rPr>
          <w:rFonts w:ascii="微軟正黑體" w:eastAsia="微軟正黑體" w:hAnsi="微軟正黑體" w:hint="eastAsia"/>
        </w:rPr>
        <w:t>。</w:t>
      </w:r>
    </w:p>
    <w:p w:rsidR="00580D8F" w:rsidRPr="00D44CD4" w:rsidRDefault="002B687F" w:rsidP="004B1A2C">
      <w:pPr>
        <w:spacing w:beforeLines="30" w:before="108" w:line="400" w:lineRule="exact"/>
        <w:jc w:val="both"/>
        <w:rPr>
          <w:rFonts w:ascii="微軟正黑體" w:eastAsia="微軟正黑體" w:hAnsi="微軟正黑體"/>
        </w:rPr>
      </w:pPr>
      <w:r w:rsidRPr="00D44CD4">
        <w:rPr>
          <w:rFonts w:ascii="微軟正黑體" w:eastAsia="微軟正黑體" w:hAnsi="微軟正黑體" w:hint="eastAsia"/>
        </w:rPr>
        <w:t xml:space="preserve">    「制度動態」單元</w:t>
      </w:r>
      <w:r w:rsidR="009E7DDD" w:rsidRPr="00D44CD4">
        <w:rPr>
          <w:rFonts w:ascii="微軟正黑體" w:eastAsia="微軟正黑體" w:hAnsi="微軟正黑體" w:hint="eastAsia"/>
        </w:rPr>
        <w:t>則</w:t>
      </w:r>
      <w:r w:rsidR="00580D8F" w:rsidRPr="00D44CD4">
        <w:rPr>
          <w:rFonts w:ascii="微軟正黑體" w:eastAsia="微軟正黑體" w:hAnsi="微軟正黑體" w:hint="eastAsia"/>
        </w:rPr>
        <w:t>收錄國內大事紀</w:t>
      </w:r>
      <w:r w:rsidR="00083AFA">
        <w:rPr>
          <w:rFonts w:ascii="微軟正黑體" w:eastAsia="微軟正黑體" w:hAnsi="微軟正黑體" w:hint="eastAsia"/>
        </w:rPr>
        <w:t>(</w:t>
      </w:r>
      <w:r w:rsidR="00083AFA" w:rsidRPr="00D44CD4">
        <w:rPr>
          <w:rFonts w:ascii="微軟正黑體" w:eastAsia="微軟正黑體" w:hAnsi="微軟正黑體" w:hint="eastAsia"/>
        </w:rPr>
        <w:t>10</w:t>
      </w:r>
      <w:r w:rsidR="00083AFA">
        <w:rPr>
          <w:rFonts w:ascii="微軟正黑體" w:eastAsia="微軟正黑體" w:hAnsi="微軟正黑體" w:hint="eastAsia"/>
        </w:rPr>
        <w:t>9</w:t>
      </w:r>
      <w:r w:rsidR="00083AFA" w:rsidRPr="00D44CD4">
        <w:rPr>
          <w:rFonts w:ascii="微軟正黑體" w:eastAsia="微軟正黑體" w:hAnsi="微軟正黑體" w:hint="eastAsia"/>
        </w:rPr>
        <w:t>年1月至</w:t>
      </w:r>
      <w:r w:rsidR="00083AFA">
        <w:rPr>
          <w:rFonts w:ascii="微軟正黑體" w:eastAsia="微軟正黑體" w:hAnsi="微軟正黑體" w:hint="eastAsia"/>
        </w:rPr>
        <w:t>110</w:t>
      </w:r>
      <w:r w:rsidR="00083AFA" w:rsidRPr="00D44CD4">
        <w:rPr>
          <w:rFonts w:ascii="微軟正黑體" w:eastAsia="微軟正黑體" w:hAnsi="微軟正黑體" w:hint="eastAsia"/>
        </w:rPr>
        <w:t>年1</w:t>
      </w:r>
      <w:r w:rsidR="000E377C">
        <w:rPr>
          <w:rFonts w:ascii="微軟正黑體" w:eastAsia="微軟正黑體" w:hAnsi="微軟正黑體" w:hint="eastAsia"/>
        </w:rPr>
        <w:t>2</w:t>
      </w:r>
      <w:r w:rsidR="00083AFA" w:rsidRPr="00D44CD4">
        <w:rPr>
          <w:rFonts w:ascii="微軟正黑體" w:eastAsia="微軟正黑體" w:hAnsi="微軟正黑體" w:hint="eastAsia"/>
        </w:rPr>
        <w:t>月</w:t>
      </w:r>
      <w:r w:rsidR="00083AFA">
        <w:rPr>
          <w:rFonts w:ascii="微軟正黑體" w:eastAsia="微軟正黑體" w:hAnsi="微軟正黑體" w:hint="eastAsia"/>
        </w:rPr>
        <w:t>)</w:t>
      </w:r>
      <w:r w:rsidR="00580D8F" w:rsidRPr="00D44CD4">
        <w:rPr>
          <w:rFonts w:ascii="微軟正黑體" w:eastAsia="微軟正黑體" w:hAnsi="微軟正黑體" w:hint="eastAsia"/>
        </w:rPr>
        <w:t>、國內制度簡表及國際比較資料，便於參考。</w:t>
      </w:r>
    </w:p>
    <w:p w:rsidR="00741863" w:rsidRPr="00D44CD4" w:rsidRDefault="007D7EA3" w:rsidP="004B1A2C">
      <w:pPr>
        <w:spacing w:beforeLines="30" w:before="108" w:line="400" w:lineRule="exact"/>
        <w:jc w:val="both"/>
        <w:rPr>
          <w:rFonts w:ascii="微軟正黑體" w:eastAsia="微軟正黑體" w:hAnsi="微軟正黑體"/>
        </w:rPr>
      </w:pPr>
      <w:r w:rsidRPr="00D44CD4">
        <w:rPr>
          <w:rFonts w:ascii="微軟正黑體" w:eastAsia="微軟正黑體" w:hAnsi="微軟正黑體" w:hint="eastAsia"/>
        </w:rPr>
        <w:t xml:space="preserve">    </w:t>
      </w:r>
      <w:r w:rsidR="00D27F05" w:rsidRPr="00D44CD4">
        <w:rPr>
          <w:rFonts w:ascii="微軟正黑體" w:eastAsia="微軟正黑體" w:hAnsi="微軟正黑體" w:hint="eastAsia"/>
        </w:rPr>
        <w:t>本刊迄今已</w:t>
      </w:r>
      <w:r w:rsidR="008132EF" w:rsidRPr="00D44CD4">
        <w:rPr>
          <w:rFonts w:ascii="微軟正黑體" w:eastAsia="微軟正黑體" w:hAnsi="微軟正黑體" w:hint="eastAsia"/>
        </w:rPr>
        <w:t>第</w:t>
      </w:r>
      <w:r w:rsidR="00D44CD4" w:rsidRPr="00D44CD4">
        <w:rPr>
          <w:rFonts w:ascii="微軟正黑體" w:eastAsia="微軟正黑體" w:hAnsi="微軟正黑體" w:hint="eastAsia"/>
        </w:rPr>
        <w:t>5</w:t>
      </w:r>
      <w:r w:rsidR="00580D8F" w:rsidRPr="00D44CD4">
        <w:rPr>
          <w:rFonts w:ascii="微軟正黑體" w:eastAsia="微軟正黑體" w:hAnsi="微軟正黑體" w:hint="eastAsia"/>
        </w:rPr>
        <w:t>次發行，感謝相關同仁投入</w:t>
      </w:r>
      <w:r w:rsidR="00D27F05" w:rsidRPr="00D44CD4">
        <w:rPr>
          <w:rFonts w:ascii="微軟正黑體" w:eastAsia="微軟正黑體" w:hAnsi="微軟正黑體" w:hint="eastAsia"/>
        </w:rPr>
        <w:t>之</w:t>
      </w:r>
      <w:r w:rsidR="00580D8F" w:rsidRPr="00D44CD4">
        <w:rPr>
          <w:rFonts w:ascii="微軟正黑體" w:eastAsia="微軟正黑體" w:hAnsi="微軟正黑體" w:hint="eastAsia"/>
        </w:rPr>
        <w:t>辛勞，並承蒙相關部會提供資料及修正意見，方克順利出刊，謹致謝忱。未來本刊將視需要不定期出刊，尚祈各界不吝給予指正。</w:t>
      </w:r>
    </w:p>
    <w:p w:rsidR="00580D8F" w:rsidRPr="006C55D8" w:rsidRDefault="00580D8F" w:rsidP="004B1A2C">
      <w:pPr>
        <w:pStyle w:val="a6"/>
        <w:snapToGrid/>
        <w:spacing w:beforeLines="120" w:before="432" w:line="380" w:lineRule="exact"/>
        <w:jc w:val="right"/>
        <w:rPr>
          <w:rFonts w:ascii="微軟正黑體" w:eastAsia="微軟正黑體" w:hAnsi="微軟正黑體"/>
          <w:sz w:val="26"/>
          <w:szCs w:val="26"/>
        </w:rPr>
      </w:pPr>
      <w:r w:rsidRPr="00087087">
        <w:rPr>
          <w:rFonts w:ascii="華康隸書體W5" w:eastAsia="華康隸書體W5" w:hAnsi="華康隸書體W5"/>
          <w:noProof/>
          <w:color w:val="7030A0"/>
          <w:szCs w:val="36"/>
        </w:rPr>
        <mc:AlternateContent>
          <mc:Choice Requires="wps">
            <w:drawing>
              <wp:anchor distT="0" distB="0" distL="114300" distR="114300" simplePos="0" relativeHeight="251659264" behindDoc="0" locked="0" layoutInCell="1" allowOverlap="1" wp14:anchorId="199F1558" wp14:editId="07028785">
                <wp:simplePos x="0" y="0"/>
                <wp:positionH relativeFrom="column">
                  <wp:posOffset>2684780</wp:posOffset>
                </wp:positionH>
                <wp:positionV relativeFrom="paragraph">
                  <wp:posOffset>54610</wp:posOffset>
                </wp:positionV>
                <wp:extent cx="1386840" cy="541020"/>
                <wp:effectExtent l="0" t="0" r="3810" b="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840" cy="541020"/>
                        </a:xfrm>
                        <a:prstGeom prst="rect">
                          <a:avLst/>
                        </a:prstGeom>
                        <a:solidFill>
                          <a:sysClr val="window" lastClr="FFFFFF"/>
                        </a:solidFill>
                        <a:ln w="6350">
                          <a:noFill/>
                        </a:ln>
                        <a:effectLst/>
                      </wps:spPr>
                      <wps:txbx>
                        <w:txbxContent>
                          <w:p w:rsidR="00745375" w:rsidRPr="00580D8F" w:rsidRDefault="00745375" w:rsidP="00580D8F">
                            <w:pPr>
                              <w:spacing w:line="320" w:lineRule="exact"/>
                              <w:rPr>
                                <w:rFonts w:ascii="微軟正黑體" w:eastAsia="微軟正黑體" w:hAnsi="微軟正黑體"/>
                                <w:sz w:val="26"/>
                                <w:szCs w:val="26"/>
                              </w:rPr>
                            </w:pPr>
                            <w:r w:rsidRPr="00580D8F">
                              <w:rPr>
                                <w:rFonts w:ascii="微軟正黑體" w:eastAsia="微軟正黑體" w:hAnsi="微軟正黑體" w:hint="eastAsia"/>
                                <w:sz w:val="26"/>
                                <w:szCs w:val="26"/>
                              </w:rPr>
                              <w:t>國家發展委員會</w:t>
                            </w:r>
                          </w:p>
                          <w:p w:rsidR="00745375" w:rsidRPr="00580D8F" w:rsidRDefault="00745375" w:rsidP="00580D8F">
                            <w:pPr>
                              <w:spacing w:line="320" w:lineRule="exact"/>
                              <w:rPr>
                                <w:rFonts w:ascii="微軟正黑體" w:eastAsia="微軟正黑體" w:hAnsi="微軟正黑體"/>
                                <w:sz w:val="26"/>
                                <w:szCs w:val="26"/>
                              </w:rPr>
                            </w:pPr>
                            <w:r w:rsidRPr="00580D8F">
                              <w:rPr>
                                <w:rFonts w:ascii="微軟正黑體" w:eastAsia="微軟正黑體" w:hAnsi="微軟正黑體" w:hint="eastAsia"/>
                                <w:sz w:val="26"/>
                                <w:szCs w:val="26"/>
                              </w:rPr>
                              <w:t>人力發展處處長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211.4pt;margin-top:4.3pt;width:109.2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" fillcolor="window" stroked="f" strokeweight=".5pt">
                <v:path arrowok="t"/>
                <v:textbox>
                  <w:txbxContent>
                    <w:p w:rsidR="00745375" w:rsidRPr="00580D8F" w:rsidRDefault="00745375" w:rsidP="00580D8F">
                      <w:pPr>
                        <w:spacing w:line="320" w:lineRule="exact"/>
                        <w:rPr>
                          <w:rFonts w:ascii="微軟正黑體" w:eastAsia="微軟正黑體" w:hAnsi="微軟正黑體"/>
                          <w:sz w:val="26"/>
                          <w:szCs w:val="26"/>
                        </w:rPr>
                      </w:pPr>
                      <w:r w:rsidRPr="00580D8F">
                        <w:rPr>
                          <w:rFonts w:ascii="微軟正黑體" w:eastAsia="微軟正黑體" w:hAnsi="微軟正黑體" w:hint="eastAsia"/>
                          <w:sz w:val="26"/>
                          <w:szCs w:val="26"/>
                        </w:rPr>
                        <w:t>國家發展委員會</w:t>
                      </w:r>
                    </w:p>
                    <w:p w:rsidR="00745375" w:rsidRPr="00580D8F" w:rsidRDefault="00745375" w:rsidP="00580D8F">
                      <w:pPr>
                        <w:spacing w:line="320" w:lineRule="exact"/>
                        <w:rPr>
                          <w:rFonts w:ascii="微軟正黑體" w:eastAsia="微軟正黑體" w:hAnsi="微軟正黑體"/>
                          <w:sz w:val="26"/>
                          <w:szCs w:val="26"/>
                        </w:rPr>
                      </w:pPr>
                      <w:r w:rsidRPr="00580D8F">
                        <w:rPr>
                          <w:rFonts w:ascii="微軟正黑體" w:eastAsia="微軟正黑體" w:hAnsi="微軟正黑體" w:hint="eastAsia"/>
                          <w:sz w:val="26"/>
                          <w:szCs w:val="26"/>
                        </w:rPr>
                        <w:t>人力發展處處長</w:t>
                      </w:r>
                    </w:p>
                  </w:txbxContent>
                </v:textbox>
              </v:shape>
            </w:pict>
          </mc:Fallback>
        </mc:AlternateContent>
      </w:r>
      <w:r w:rsidRPr="00087087">
        <w:rPr>
          <w:rFonts w:ascii="華康隸書體W5" w:eastAsia="華康隸書體W5" w:hAnsi="華康隸書體W5" w:hint="eastAsia"/>
          <w:color w:val="7030A0"/>
          <w:szCs w:val="36"/>
        </w:rPr>
        <w:t xml:space="preserve">  </w:t>
      </w:r>
      <w:r w:rsidRPr="006C55D8">
        <w:rPr>
          <w:rFonts w:ascii="華康隸書體W5" w:eastAsia="華康隸書體W5" w:hAnsi="華康隸書體W5" w:hint="eastAsia"/>
          <w:szCs w:val="36"/>
        </w:rPr>
        <w:t>林  至  美</w:t>
      </w:r>
      <w:r w:rsidRPr="006C55D8">
        <w:rPr>
          <w:rFonts w:ascii="微軟正黑體" w:eastAsia="微軟正黑體" w:hAnsi="微軟正黑體" w:hint="eastAsia"/>
          <w:sz w:val="28"/>
          <w:szCs w:val="28"/>
        </w:rPr>
        <w:t xml:space="preserve">  </w:t>
      </w:r>
      <w:r w:rsidRPr="006C55D8">
        <w:rPr>
          <w:rFonts w:ascii="微軟正黑體" w:eastAsia="微軟正黑體" w:hAnsi="微軟正黑體" w:hint="eastAsia"/>
          <w:sz w:val="26"/>
          <w:szCs w:val="26"/>
        </w:rPr>
        <w:t>謹序</w:t>
      </w:r>
    </w:p>
    <w:p w:rsidR="00615CE7" w:rsidRPr="006C55D8" w:rsidRDefault="00580D8F" w:rsidP="00177F8E">
      <w:pPr>
        <w:pStyle w:val="a6"/>
        <w:snapToGrid/>
        <w:spacing w:beforeLines="20" w:before="72" w:line="380" w:lineRule="exact"/>
        <w:jc w:val="right"/>
        <w:rPr>
          <w:rFonts w:ascii="微軟正黑體" w:eastAsia="微軟正黑體" w:hAnsi="微軟正黑體"/>
          <w:sz w:val="26"/>
          <w:szCs w:val="26"/>
        </w:rPr>
        <w:sectPr w:rsidR="00615CE7" w:rsidRPr="006C55D8" w:rsidSect="001D5C1C">
          <w:pgSz w:w="11906" w:h="16838"/>
          <w:pgMar w:top="1134" w:right="1418" w:bottom="1134" w:left="1418" w:header="851" w:footer="992" w:gutter="0"/>
          <w:cols w:space="425"/>
          <w:docGrid w:type="lines" w:linePitch="360"/>
        </w:sectPr>
      </w:pPr>
      <w:r w:rsidRPr="006C55D8">
        <w:rPr>
          <w:rFonts w:ascii="微軟正黑體" w:eastAsia="微軟正黑體" w:hAnsi="微軟正黑體" w:hint="eastAsia"/>
          <w:sz w:val="26"/>
          <w:szCs w:val="26"/>
        </w:rPr>
        <w:t>中華民國1</w:t>
      </w:r>
      <w:r w:rsidR="006C55D8" w:rsidRPr="006C55D8">
        <w:rPr>
          <w:rFonts w:ascii="微軟正黑體" w:eastAsia="微軟正黑體" w:hAnsi="微軟正黑體" w:hint="eastAsia"/>
          <w:sz w:val="26"/>
          <w:szCs w:val="26"/>
        </w:rPr>
        <w:t>10</w:t>
      </w:r>
      <w:r w:rsidRPr="006C55D8">
        <w:rPr>
          <w:rFonts w:ascii="微軟正黑體" w:eastAsia="微軟正黑體" w:hAnsi="微軟正黑體" w:hint="eastAsia"/>
          <w:sz w:val="26"/>
          <w:szCs w:val="26"/>
        </w:rPr>
        <w:t>年12月</w:t>
      </w:r>
    </w:p>
    <w:sdt>
      <w:sdtPr>
        <w:rPr>
          <w:rFonts w:ascii="微軟正黑體" w:eastAsia="微軟正黑體" w:hAnsi="微軟正黑體" w:cstheme="minorBidi" w:hint="eastAsia"/>
          <w:b w:val="0"/>
          <w:bCs w:val="0"/>
          <w:color w:val="auto"/>
          <w:kern w:val="2"/>
          <w:sz w:val="22"/>
          <w:szCs w:val="22"/>
          <w:lang w:val="zh-TW"/>
        </w:rPr>
        <w:id w:val="-2021611463"/>
        <w:docPartObj>
          <w:docPartGallery w:val="Table of Contents"/>
          <w:docPartUnique/>
        </w:docPartObj>
      </w:sdtPr>
      <w:sdtEndPr>
        <w:rPr>
          <w:szCs w:val="24"/>
        </w:rPr>
      </w:sdtEndPr>
      <w:sdtContent>
        <w:p w:rsidR="00670EC6" w:rsidRDefault="00670EC6" w:rsidP="00E32B19">
          <w:pPr>
            <w:pStyle w:val="a7"/>
            <w:numPr>
              <w:ilvl w:val="0"/>
              <w:numId w:val="0"/>
            </w:numPr>
            <w:spacing w:before="0" w:line="600" w:lineRule="exact"/>
            <w:ind w:left="425" w:hanging="425"/>
            <w:jc w:val="center"/>
            <w:rPr>
              <w:rFonts w:ascii="微軟正黑體" w:eastAsia="微軟正黑體" w:hAnsi="微軟正黑體"/>
              <w:color w:val="auto"/>
              <w:sz w:val="40"/>
              <w:szCs w:val="40"/>
              <w:lang w:val="zh-TW"/>
            </w:rPr>
          </w:pPr>
          <w:r>
            <w:rPr>
              <w:rFonts w:ascii="微軟正黑體" w:eastAsia="微軟正黑體" w:hAnsi="微軟正黑體" w:hint="eastAsia"/>
              <w:color w:val="auto"/>
              <w:sz w:val="40"/>
              <w:szCs w:val="40"/>
              <w:lang w:val="zh-TW"/>
            </w:rPr>
            <w:t>目   錄</w:t>
          </w:r>
        </w:p>
        <w:p w:rsidR="00670EC6" w:rsidRDefault="00670EC6" w:rsidP="00670EC6">
          <w:pPr>
            <w:spacing w:line="400" w:lineRule="exact"/>
            <w:rPr>
              <w:rFonts w:ascii="微軟正黑體" w:eastAsia="微軟正黑體" w:hAnsi="微軟正黑體"/>
              <w:szCs w:val="22"/>
              <w:lang w:val="zh-TW"/>
            </w:rPr>
          </w:pPr>
        </w:p>
        <w:p w:rsidR="00670EC6" w:rsidRPr="00DD4634" w:rsidRDefault="00670EC6" w:rsidP="00841A91">
          <w:pPr>
            <w:pStyle w:val="11"/>
            <w:rPr>
              <w:sz w:val="24"/>
              <w:szCs w:val="24"/>
            </w:rPr>
          </w:pPr>
          <w:r w:rsidRPr="00DD4634">
            <w:rPr>
              <w:rFonts w:hint="eastAsia"/>
              <w:noProof/>
            </w:rPr>
            <w:drawing>
              <wp:anchor distT="0" distB="0" distL="114300" distR="114300" simplePos="0" relativeHeight="252010496" behindDoc="0" locked="0" layoutInCell="1" allowOverlap="1" wp14:anchorId="5757CD3D" wp14:editId="5E69774C">
                <wp:simplePos x="0" y="0"/>
                <wp:positionH relativeFrom="column">
                  <wp:posOffset>-19050</wp:posOffset>
                </wp:positionH>
                <wp:positionV relativeFrom="paragraph">
                  <wp:posOffset>86360</wp:posOffset>
                </wp:positionV>
                <wp:extent cx="452755" cy="362585"/>
                <wp:effectExtent l="0" t="0" r="4445" b="0"/>
                <wp:wrapNone/>
                <wp:docPr id="285" name="圖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755" cy="362585"/>
                        </a:xfrm>
                        <a:prstGeom prst="rect">
                          <a:avLst/>
                        </a:prstGeom>
                        <a:noFill/>
                      </pic:spPr>
                    </pic:pic>
                  </a:graphicData>
                </a:graphic>
                <wp14:sizeRelH relativeFrom="page">
                  <wp14:pctWidth>0</wp14:pctWidth>
                </wp14:sizeRelH>
                <wp14:sizeRelV relativeFrom="page">
                  <wp14:pctHeight>0</wp14:pctHeight>
                </wp14:sizeRelV>
              </wp:anchor>
            </w:drawing>
          </w:r>
          <w:r w:rsidRPr="00DD4634">
            <w:rPr>
              <w:rFonts w:hint="eastAsia"/>
            </w:rPr>
            <w:t>制度概況</w:t>
          </w:r>
          <w:r w:rsidRPr="00DD4634">
            <w:rPr>
              <w:rFonts w:hint="eastAsia"/>
            </w:rPr>
            <w:ptab w:relativeTo="margin" w:alignment="right" w:leader="dot"/>
          </w:r>
          <w:r w:rsidR="00165CDB" w:rsidRPr="00DD4634">
            <w:rPr>
              <w:rFonts w:hint="eastAsia"/>
            </w:rPr>
            <w:t>1</w:t>
          </w:r>
          <w:r w:rsidRPr="00DD4634">
            <w:rPr>
              <w:rFonts w:hint="eastAsia"/>
            </w:rPr>
            <w:t xml:space="preserve"> </w:t>
          </w:r>
        </w:p>
        <w:p w:rsidR="00670EC6" w:rsidRDefault="00670EC6" w:rsidP="00DD4634">
          <w:pPr>
            <w:pStyle w:val="21"/>
            <w:rPr>
              <w:lang w:val="zh-TW"/>
            </w:rPr>
          </w:pPr>
          <w:r>
            <w:rPr>
              <w:rFonts w:hint="eastAsia"/>
              <w:noProof/>
            </w:rPr>
            <w:drawing>
              <wp:anchor distT="0" distB="0" distL="114300" distR="114300" simplePos="0" relativeHeight="252011520" behindDoc="0" locked="0" layoutInCell="1" allowOverlap="1" wp14:anchorId="0F128C28" wp14:editId="5597A36F">
                <wp:simplePos x="0" y="0"/>
                <wp:positionH relativeFrom="column">
                  <wp:posOffset>-28575</wp:posOffset>
                </wp:positionH>
                <wp:positionV relativeFrom="paragraph">
                  <wp:posOffset>298450</wp:posOffset>
                </wp:positionV>
                <wp:extent cx="447675" cy="378460"/>
                <wp:effectExtent l="0" t="0" r="9525" b="2540"/>
                <wp:wrapNone/>
                <wp:docPr id="284" name="圖片 284" descr="globe-563239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globe-563239_64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675" cy="37846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我國老年經濟安全制度概況(10</w:t>
          </w:r>
          <w:r w:rsidR="00552D40">
            <w:rPr>
              <w:rFonts w:hint="eastAsia"/>
            </w:rPr>
            <w:t>9</w:t>
          </w:r>
          <w:r>
            <w:rPr>
              <w:rFonts w:hint="eastAsia"/>
            </w:rPr>
            <w:t>年)</w:t>
          </w:r>
          <w:r>
            <w:rPr>
              <w:rFonts w:hint="eastAsia"/>
            </w:rPr>
            <w:ptab w:relativeTo="margin" w:alignment="right" w:leader="dot"/>
          </w:r>
          <w:r w:rsidR="00165CDB">
            <w:rPr>
              <w:rFonts w:hint="eastAsia"/>
            </w:rPr>
            <w:t>...</w:t>
          </w:r>
          <w:r>
            <w:rPr>
              <w:rFonts w:hint="eastAsia"/>
            </w:rPr>
            <w:t xml:space="preserve"> </w:t>
          </w:r>
          <w:r w:rsidR="00165CDB">
            <w:rPr>
              <w:rFonts w:hint="eastAsia"/>
            </w:rPr>
            <w:t>3</w:t>
          </w:r>
        </w:p>
        <w:p w:rsidR="00670EC6" w:rsidRDefault="00670EC6" w:rsidP="00841A91">
          <w:pPr>
            <w:pStyle w:val="11"/>
            <w:rPr>
              <w:lang w:val="zh-TW"/>
            </w:rPr>
          </w:pPr>
          <w:r>
            <w:rPr>
              <w:rFonts w:hint="eastAsia"/>
            </w:rPr>
            <w:t>國際情勢</w:t>
          </w:r>
          <w:r>
            <w:rPr>
              <w:rFonts w:hint="eastAsia"/>
            </w:rPr>
            <w:ptab w:relativeTo="margin" w:alignment="right" w:leader="dot"/>
          </w:r>
          <w:r w:rsidR="00DD4634">
            <w:rPr>
              <w:rFonts w:hint="eastAsia"/>
            </w:rPr>
            <w:t>......</w:t>
          </w:r>
          <w:r w:rsidR="00C86667">
            <w:rPr>
              <w:rFonts w:hint="eastAsia"/>
            </w:rPr>
            <w:t>95</w:t>
          </w:r>
          <w:r>
            <w:rPr>
              <w:rFonts w:hint="eastAsia"/>
            </w:rPr>
            <w:t xml:space="preserve"> </w:t>
          </w:r>
        </w:p>
        <w:p w:rsidR="00670EC6" w:rsidRDefault="00DD4634" w:rsidP="00DD4634">
          <w:pPr>
            <w:pStyle w:val="21"/>
            <w:rPr>
              <w:lang w:val="zh-TW"/>
            </w:rPr>
          </w:pPr>
          <w:r>
            <w:rPr>
              <w:rFonts w:hint="eastAsia"/>
            </w:rPr>
            <w:t xml:space="preserve">   </w:t>
          </w:r>
          <w:r w:rsidR="00A034A7" w:rsidRPr="00A034A7">
            <w:rPr>
              <w:rFonts w:hint="eastAsia"/>
            </w:rPr>
            <w:t>跨國工作者之老年經濟安全保障</w:t>
          </w:r>
          <w:r w:rsidR="00670EC6">
            <w:rPr>
              <w:rFonts w:hint="eastAsia"/>
            </w:rPr>
            <w:ptab w:relativeTo="margin" w:alignment="right" w:leader="dot"/>
          </w:r>
          <w:r w:rsidR="00A034A7">
            <w:rPr>
              <w:rFonts w:hint="eastAsia"/>
            </w:rPr>
            <w:t>.......</w:t>
          </w:r>
          <w:r w:rsidR="00670EC6">
            <w:rPr>
              <w:rFonts w:hint="eastAsia"/>
            </w:rPr>
            <w:t xml:space="preserve"> </w:t>
          </w:r>
          <w:r w:rsidR="00C86667">
            <w:rPr>
              <w:rFonts w:hint="eastAsia"/>
            </w:rPr>
            <w:t>97</w:t>
          </w:r>
        </w:p>
        <w:p w:rsidR="00670EC6" w:rsidRDefault="00670EC6" w:rsidP="002D391E">
          <w:pPr>
            <w:spacing w:line="260" w:lineRule="exact"/>
            <w:rPr>
              <w:rFonts w:ascii="微軟正黑體" w:eastAsia="微軟正黑體" w:hAnsi="微軟正黑體"/>
              <w:lang w:val="zh-TW"/>
            </w:rPr>
          </w:pPr>
          <w:r>
            <w:rPr>
              <w:lang w:val="zh-TW"/>
            </w:rPr>
            <w:t xml:space="preserve">              </w:t>
          </w:r>
          <w:r w:rsidR="004B0C33">
            <w:rPr>
              <w:rFonts w:hint="eastAsia"/>
              <w:lang w:val="zh-TW"/>
            </w:rPr>
            <w:t xml:space="preserve"> </w:t>
          </w:r>
          <w:r w:rsidR="000D6751">
            <w:rPr>
              <w:rFonts w:hint="eastAsia"/>
              <w:lang w:val="zh-TW"/>
            </w:rPr>
            <w:t xml:space="preserve">   </w:t>
          </w:r>
          <w:r w:rsidR="00A034A7" w:rsidRPr="00A034A7">
            <w:rPr>
              <w:rFonts w:ascii="微軟正黑體" w:eastAsia="微軟正黑體" w:hAnsi="微軟正黑體" w:hint="eastAsia"/>
              <w:lang w:val="zh-TW"/>
            </w:rPr>
            <w:t>中正大學勞工關係學系</w:t>
          </w:r>
          <w:r>
            <w:rPr>
              <w:rFonts w:ascii="微軟正黑體" w:eastAsia="微軟正黑體" w:hAnsi="微軟正黑體" w:hint="eastAsia"/>
              <w:lang w:val="zh-TW"/>
            </w:rPr>
            <w:t>副教授</w:t>
          </w:r>
          <w:r w:rsidR="00A034A7">
            <w:rPr>
              <w:rFonts w:ascii="微軟正黑體" w:eastAsia="微軟正黑體" w:hAnsi="微軟正黑體" w:hint="eastAsia"/>
              <w:lang w:val="zh-TW"/>
            </w:rPr>
            <w:t xml:space="preserve"> </w:t>
          </w:r>
          <w:r>
            <w:rPr>
              <w:rFonts w:ascii="微軟正黑體" w:eastAsia="微軟正黑體" w:hAnsi="微軟正黑體" w:hint="eastAsia"/>
              <w:lang w:val="zh-TW"/>
            </w:rPr>
            <w:t xml:space="preserve"> </w:t>
          </w:r>
          <w:r w:rsidR="00A034A7">
            <w:rPr>
              <w:rFonts w:ascii="微軟正黑體" w:eastAsia="微軟正黑體" w:hAnsi="微軟正黑體" w:hint="eastAsia"/>
              <w:lang w:val="zh-TW"/>
            </w:rPr>
            <w:t>吳啟新</w:t>
          </w:r>
        </w:p>
        <w:p w:rsidR="00670EC6" w:rsidRDefault="00DD4634" w:rsidP="00DD4634">
          <w:pPr>
            <w:pStyle w:val="21"/>
          </w:pPr>
          <w:r>
            <w:rPr>
              <w:rFonts w:hint="eastAsia"/>
            </w:rPr>
            <w:t xml:space="preserve">   </w:t>
          </w:r>
          <w:r w:rsidR="00ED63AD">
            <w:rPr>
              <w:rFonts w:hint="eastAsia"/>
            </w:rPr>
            <w:t>數位時代下電傳工作者勞動與</w:t>
          </w:r>
          <w:r w:rsidR="00A034A7" w:rsidRPr="00A034A7">
            <w:rPr>
              <w:rFonts w:hint="eastAsia"/>
            </w:rPr>
            <w:t>社會保障之探討</w:t>
          </w:r>
          <w:r w:rsidR="00670EC6">
            <w:rPr>
              <w:rFonts w:hint="eastAsia"/>
            </w:rPr>
            <w:ptab w:relativeTo="margin" w:alignment="right" w:leader="dot"/>
          </w:r>
          <w:r w:rsidR="00A076B5">
            <w:rPr>
              <w:rFonts w:hint="eastAsia"/>
            </w:rPr>
            <w:t>11</w:t>
          </w:r>
          <w:r w:rsidR="00C86667">
            <w:rPr>
              <w:rFonts w:hint="eastAsia"/>
            </w:rPr>
            <w:t>2</w:t>
          </w:r>
          <w:r w:rsidR="00670EC6">
            <w:rPr>
              <w:rFonts w:hint="eastAsia"/>
            </w:rPr>
            <w:t xml:space="preserve"> </w:t>
          </w:r>
        </w:p>
        <w:p w:rsidR="00670EC6" w:rsidRDefault="00670EC6" w:rsidP="002D391E">
          <w:pPr>
            <w:spacing w:line="260" w:lineRule="exact"/>
            <w:rPr>
              <w:rFonts w:ascii="微軟正黑體" w:eastAsia="微軟正黑體" w:hAnsi="微軟正黑體"/>
            </w:rPr>
          </w:pPr>
          <w:r>
            <w:rPr>
              <w:rFonts w:ascii="微軟正黑體" w:eastAsia="微軟正黑體" w:hAnsi="微軟正黑體" w:hint="eastAsia"/>
            </w:rPr>
            <w:t xml:space="preserve">             </w:t>
          </w:r>
          <w:r w:rsidR="00AC17FD">
            <w:rPr>
              <w:rFonts w:ascii="微軟正黑體" w:eastAsia="微軟正黑體" w:hAnsi="微軟正黑體" w:hint="eastAsia"/>
            </w:rPr>
            <w:t xml:space="preserve">  </w:t>
          </w:r>
          <w:r w:rsidR="000D6751">
            <w:rPr>
              <w:rFonts w:ascii="微軟正黑體" w:eastAsia="微軟正黑體" w:hAnsi="微軟正黑體" w:hint="eastAsia"/>
            </w:rPr>
            <w:t xml:space="preserve">   </w:t>
          </w:r>
          <w:r w:rsidR="00A034A7" w:rsidRPr="00A034A7">
            <w:rPr>
              <w:rFonts w:ascii="微軟正黑體" w:eastAsia="微軟正黑體" w:hAnsi="微軟正黑體" w:hint="eastAsia"/>
            </w:rPr>
            <w:t>政治大學勞工研究所</w:t>
          </w:r>
          <w:r w:rsidR="00A034A7">
            <w:rPr>
              <w:rFonts w:ascii="微軟正黑體" w:eastAsia="微軟正黑體" w:hAnsi="微軟正黑體" w:hint="eastAsia"/>
            </w:rPr>
            <w:t>教授  成之約</w:t>
          </w:r>
        </w:p>
        <w:p w:rsidR="00670EC6" w:rsidRDefault="00670EC6" w:rsidP="00841A91">
          <w:pPr>
            <w:pStyle w:val="11"/>
          </w:pPr>
          <w:r w:rsidRPr="00670EC6">
            <w:rPr>
              <w:rFonts w:hint="eastAsia"/>
              <w:noProof/>
            </w:rPr>
            <w:drawing>
              <wp:anchor distT="0" distB="0" distL="114300" distR="114300" simplePos="0" relativeHeight="252012544" behindDoc="0" locked="0" layoutInCell="1" allowOverlap="1" wp14:anchorId="3565CF6A" wp14:editId="1DD2D32D">
                <wp:simplePos x="0" y="0"/>
                <wp:positionH relativeFrom="column">
                  <wp:posOffset>-15240</wp:posOffset>
                </wp:positionH>
                <wp:positionV relativeFrom="paragraph">
                  <wp:posOffset>78105</wp:posOffset>
                </wp:positionV>
                <wp:extent cx="452755" cy="375920"/>
                <wp:effectExtent l="0" t="0" r="4445" b="5080"/>
                <wp:wrapNone/>
                <wp:docPr id="283" name="圖片 283" descr="le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lectur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755" cy="375920"/>
                        </a:xfrm>
                        <a:prstGeom prst="rect">
                          <a:avLst/>
                        </a:prstGeom>
                        <a:noFill/>
                      </pic:spPr>
                    </pic:pic>
                  </a:graphicData>
                </a:graphic>
                <wp14:sizeRelH relativeFrom="page">
                  <wp14:pctWidth>0</wp14:pctWidth>
                </wp14:sizeRelH>
                <wp14:sizeRelV relativeFrom="page">
                  <wp14:pctHeight>0</wp14:pctHeight>
                </wp14:sizeRelV>
              </wp:anchor>
            </w:drawing>
          </w:r>
          <w:hyperlink r:id="rId15" w:anchor="第三章" w:history="1">
            <w:r w:rsidRPr="00670EC6">
              <w:rPr>
                <w:rFonts w:hint="eastAsia"/>
              </w:rPr>
              <w:t>名家觀點</w:t>
            </w:r>
          </w:hyperlink>
          <w:r>
            <w:rPr>
              <w:rFonts w:hint="eastAsia"/>
            </w:rPr>
            <w:ptab w:relativeTo="margin" w:alignment="right" w:leader="dot"/>
          </w:r>
          <w:r w:rsidR="006B791F">
            <w:rPr>
              <w:rFonts w:hint="eastAsia"/>
            </w:rPr>
            <w:t>1</w:t>
          </w:r>
          <w:r w:rsidR="00C86667">
            <w:rPr>
              <w:rFonts w:hint="eastAsia"/>
            </w:rPr>
            <w:t>3</w:t>
          </w:r>
          <w:r w:rsidR="00D93D7A">
            <w:rPr>
              <w:rFonts w:hint="eastAsia"/>
            </w:rPr>
            <w:t>1</w:t>
          </w:r>
          <w:r>
            <w:rPr>
              <w:rFonts w:hint="eastAsia"/>
            </w:rPr>
            <w:t xml:space="preserve"> </w:t>
          </w:r>
        </w:p>
        <w:p w:rsidR="00670EC6" w:rsidRPr="00841A91" w:rsidRDefault="00CE3C45" w:rsidP="00841A91">
          <w:pPr>
            <w:pStyle w:val="11"/>
            <w:rPr>
              <w:b w:val="0"/>
            </w:rPr>
          </w:pPr>
          <w:r>
            <w:rPr>
              <w:rFonts w:hint="eastAsia"/>
            </w:rPr>
            <w:t xml:space="preserve">   </w:t>
          </w:r>
          <w:r w:rsidR="00B37EE7">
            <w:rPr>
              <w:rFonts w:hint="eastAsia"/>
              <w:b w:val="0"/>
            </w:rPr>
            <w:t>高齡化趨勢下的勞保老年年金財務規劃：借鏡德國與日本</w:t>
          </w:r>
          <w:r w:rsidR="00670EC6" w:rsidRPr="00841A91">
            <w:rPr>
              <w:rFonts w:hint="eastAsia"/>
              <w:b w:val="0"/>
            </w:rPr>
            <w:ptab w:relativeTo="margin" w:alignment="right" w:leader="dot"/>
          </w:r>
          <w:r w:rsidR="00D93D7A">
            <w:rPr>
              <w:rFonts w:hint="eastAsia"/>
              <w:b w:val="0"/>
            </w:rPr>
            <w:t>133</w:t>
          </w:r>
          <w:r w:rsidR="00670EC6" w:rsidRPr="00841A91">
            <w:rPr>
              <w:rFonts w:hint="eastAsia"/>
              <w:b w:val="0"/>
            </w:rPr>
            <w:t xml:space="preserve"> </w:t>
          </w:r>
        </w:p>
        <w:p w:rsidR="00CE3C45" w:rsidRPr="00DD4634" w:rsidRDefault="00670EC6" w:rsidP="002D391E">
          <w:pPr>
            <w:spacing w:line="260" w:lineRule="exact"/>
            <w:rPr>
              <w:rFonts w:ascii="微軟正黑體" w:eastAsia="微軟正黑體" w:hAnsi="微軟正黑體"/>
            </w:rPr>
          </w:pPr>
          <w:r w:rsidRPr="00DD4634">
            <w:rPr>
              <w:rFonts w:ascii="微軟正黑體" w:eastAsia="微軟正黑體" w:hAnsi="微軟正黑體" w:hint="eastAsia"/>
            </w:rPr>
            <w:t xml:space="preserve">              </w:t>
          </w:r>
          <w:r w:rsidR="00AC17FD" w:rsidRPr="00DD4634">
            <w:rPr>
              <w:rFonts w:ascii="微軟正黑體" w:eastAsia="微軟正黑體" w:hAnsi="微軟正黑體" w:hint="eastAsia"/>
            </w:rPr>
            <w:t xml:space="preserve"> </w:t>
          </w:r>
          <w:r w:rsidR="000D6751">
            <w:rPr>
              <w:rFonts w:ascii="微軟正黑體" w:eastAsia="微軟正黑體" w:hAnsi="微軟正黑體" w:hint="eastAsia"/>
            </w:rPr>
            <w:t xml:space="preserve">   </w:t>
          </w:r>
          <w:r w:rsidR="00CE3C45" w:rsidRPr="00DD4634">
            <w:rPr>
              <w:rFonts w:ascii="微軟正黑體" w:eastAsia="微軟正黑體" w:hAnsi="微軟正黑體" w:hint="eastAsia"/>
            </w:rPr>
            <w:t>南臺科技大學財務金融系副教授  王靜怡</w:t>
          </w:r>
        </w:p>
        <w:p w:rsidR="00670EC6" w:rsidRPr="00DD4634" w:rsidRDefault="00CE3C45" w:rsidP="00CE3C45">
          <w:pPr>
            <w:spacing w:beforeLines="30" w:before="108" w:line="240" w:lineRule="exact"/>
          </w:pPr>
          <w:r w:rsidRPr="00DD4634">
            <w:rPr>
              <w:rFonts w:ascii="微軟正黑體" w:eastAsia="微軟正黑體" w:hAnsi="微軟正黑體" w:hint="eastAsia"/>
            </w:rPr>
            <w:t xml:space="preserve">               </w:t>
          </w:r>
          <w:r w:rsidR="000D6751">
            <w:rPr>
              <w:rFonts w:ascii="微軟正黑體" w:eastAsia="微軟正黑體" w:hAnsi="微軟正黑體" w:hint="eastAsia"/>
            </w:rPr>
            <w:t xml:space="preserve">   </w:t>
          </w:r>
          <w:r w:rsidR="00A034A7" w:rsidRPr="00DD4634">
            <w:rPr>
              <w:rFonts w:ascii="微軟正黑體" w:eastAsia="微軟正黑體" w:hAnsi="微軟正黑體" w:hint="eastAsia"/>
            </w:rPr>
            <w:t>中正大學社會福利學系教授  鄭清霞</w:t>
          </w:r>
        </w:p>
        <w:p w:rsidR="00670EC6" w:rsidRPr="00DD4634" w:rsidRDefault="00DD4634" w:rsidP="00DD4634">
          <w:pPr>
            <w:pStyle w:val="21"/>
          </w:pPr>
          <w:r>
            <w:rPr>
              <w:rFonts w:hint="eastAsia"/>
            </w:rPr>
            <w:t xml:space="preserve">   </w:t>
          </w:r>
          <w:r w:rsidR="00910869" w:rsidRPr="00DD4634">
            <w:rPr>
              <w:rFonts w:hint="eastAsia"/>
            </w:rPr>
            <w:t>全球化與高齡化浪潮下的台灣銀髮與高齡就業及老年</w:t>
          </w:r>
          <w:r>
            <w:rPr>
              <w:rFonts w:hint="eastAsia"/>
            </w:rPr>
            <w:t>經濟安全：</w:t>
          </w:r>
          <w:r w:rsidR="00707010">
            <w:rPr>
              <w:rFonts w:hint="eastAsia"/>
            </w:rPr>
            <w:t xml:space="preserve"> </w:t>
          </w:r>
          <w:r>
            <w:rPr>
              <w:rFonts w:hint="eastAsia"/>
            </w:rPr>
            <w:t xml:space="preserve"> </w:t>
          </w:r>
          <w:r w:rsidR="00910869" w:rsidRPr="00DD4634">
            <w:rPr>
              <w:rFonts w:hint="eastAsia"/>
            </w:rPr>
            <w:t>催生社會團結經濟與融合性就業政策</w:t>
          </w:r>
          <w:r w:rsidR="00670EC6" w:rsidRPr="00DD4634">
            <w:rPr>
              <w:rFonts w:hint="eastAsia"/>
            </w:rPr>
            <w:ptab w:relativeTo="margin" w:alignment="right" w:leader="dot"/>
          </w:r>
          <w:r w:rsidR="00A076B5" w:rsidRPr="00DD4634">
            <w:rPr>
              <w:rFonts w:hint="eastAsia"/>
            </w:rPr>
            <w:t>1</w:t>
          </w:r>
          <w:r w:rsidR="00D93D7A">
            <w:rPr>
              <w:rFonts w:hint="eastAsia"/>
            </w:rPr>
            <w:t>60</w:t>
          </w:r>
          <w:r w:rsidR="00670EC6" w:rsidRPr="00DD4634">
            <w:rPr>
              <w:rFonts w:hint="eastAsia"/>
            </w:rPr>
            <w:t xml:space="preserve"> </w:t>
          </w:r>
        </w:p>
        <w:p w:rsidR="00670EC6" w:rsidRPr="00CE3C45" w:rsidRDefault="00670EC6" w:rsidP="002D391E">
          <w:pPr>
            <w:spacing w:beforeLines="80" w:before="288" w:line="260" w:lineRule="exact"/>
            <w:rPr>
              <w:rFonts w:ascii="微軟正黑體" w:eastAsia="微軟正黑體" w:hAnsi="微軟正黑體"/>
            </w:rPr>
          </w:pPr>
          <w:r w:rsidRPr="00CE3C45">
            <w:rPr>
              <w:rFonts w:ascii="微軟正黑體" w:eastAsia="微軟正黑體" w:hAnsi="微軟正黑體" w:hint="eastAsia"/>
            </w:rPr>
            <w:t xml:space="preserve">              </w:t>
          </w:r>
          <w:r w:rsidR="004B0C33" w:rsidRPr="00CE3C45">
            <w:rPr>
              <w:rFonts w:ascii="微軟正黑體" w:eastAsia="微軟正黑體" w:hAnsi="微軟正黑體" w:hint="eastAsia"/>
            </w:rPr>
            <w:t xml:space="preserve"> </w:t>
          </w:r>
          <w:r w:rsidR="000D6751">
            <w:rPr>
              <w:rFonts w:ascii="微軟正黑體" w:eastAsia="微軟正黑體" w:hAnsi="微軟正黑體" w:hint="eastAsia"/>
            </w:rPr>
            <w:t xml:space="preserve">   </w:t>
          </w:r>
          <w:r w:rsidR="00A034A7" w:rsidRPr="00CE3C45">
            <w:rPr>
              <w:rFonts w:ascii="微軟正黑體" w:eastAsia="微軟正黑體" w:hAnsi="微軟正黑體" w:hint="eastAsia"/>
            </w:rPr>
            <w:t>中正大學勞工關係學系教授  周玟琪</w:t>
          </w:r>
        </w:p>
        <w:p w:rsidR="00670EC6" w:rsidRPr="00841A91" w:rsidRDefault="00670EC6" w:rsidP="00841A91">
          <w:pPr>
            <w:pStyle w:val="11"/>
          </w:pPr>
          <w:r w:rsidRPr="00841A91">
            <w:rPr>
              <w:rFonts w:hint="eastAsia"/>
              <w:noProof/>
            </w:rPr>
            <w:drawing>
              <wp:anchor distT="0" distB="0" distL="114300" distR="114300" simplePos="0" relativeHeight="252013568" behindDoc="0" locked="0" layoutInCell="1" allowOverlap="1" wp14:anchorId="3BFC2BA2" wp14:editId="5422A7DD">
                <wp:simplePos x="0" y="0"/>
                <wp:positionH relativeFrom="column">
                  <wp:posOffset>-22860</wp:posOffset>
                </wp:positionH>
                <wp:positionV relativeFrom="paragraph">
                  <wp:posOffset>74930</wp:posOffset>
                </wp:positionV>
                <wp:extent cx="506730" cy="384175"/>
                <wp:effectExtent l="0" t="0" r="7620" b="0"/>
                <wp:wrapNone/>
                <wp:docPr id="282" name="圖片 282" descr="1024px-View-refresh.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1024px-View-refresh.sv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 cy="384175"/>
                        </a:xfrm>
                        <a:prstGeom prst="rect">
                          <a:avLst/>
                        </a:prstGeom>
                        <a:noFill/>
                      </pic:spPr>
                    </pic:pic>
                  </a:graphicData>
                </a:graphic>
                <wp14:sizeRelH relativeFrom="page">
                  <wp14:pctWidth>0</wp14:pctWidth>
                </wp14:sizeRelH>
                <wp14:sizeRelV relativeFrom="page">
                  <wp14:pctHeight>0</wp14:pctHeight>
                </wp14:sizeRelV>
              </wp:anchor>
            </w:drawing>
          </w:r>
          <w:r w:rsidRPr="00841A91">
            <w:rPr>
              <w:rFonts w:hint="eastAsia"/>
            </w:rPr>
            <w:t>制度動態</w:t>
          </w:r>
          <w:r w:rsidRPr="00841A91">
            <w:rPr>
              <w:rFonts w:hint="eastAsia"/>
            </w:rPr>
            <w:ptab w:relativeTo="margin" w:alignment="right" w:leader="dot"/>
          </w:r>
          <w:r w:rsidR="006B791F" w:rsidRPr="00841A91">
            <w:rPr>
              <w:rFonts w:hint="eastAsia"/>
            </w:rPr>
            <w:t>1</w:t>
          </w:r>
          <w:r w:rsidR="00D93D7A">
            <w:rPr>
              <w:rFonts w:hint="eastAsia"/>
            </w:rPr>
            <w:t>91</w:t>
          </w:r>
          <w:r w:rsidRPr="00841A91">
            <w:rPr>
              <w:rFonts w:hint="eastAsia"/>
            </w:rPr>
            <w:t xml:space="preserve"> </w:t>
          </w:r>
        </w:p>
        <w:p w:rsidR="00670EC6" w:rsidRDefault="00C40823" w:rsidP="00DD4634">
          <w:pPr>
            <w:pStyle w:val="21"/>
          </w:pPr>
          <w:r>
            <w:rPr>
              <w:rFonts w:hint="eastAsia"/>
            </w:rPr>
            <w:t xml:space="preserve">   </w:t>
          </w:r>
          <w:r w:rsidR="00670EC6">
            <w:rPr>
              <w:rFonts w:hint="eastAsia"/>
            </w:rPr>
            <w:t>國內大事紀(10</w:t>
          </w:r>
          <w:r w:rsidR="00970C53">
            <w:rPr>
              <w:rFonts w:hint="eastAsia"/>
            </w:rPr>
            <w:t>9</w:t>
          </w:r>
          <w:r w:rsidR="00670EC6">
            <w:rPr>
              <w:rFonts w:hint="eastAsia"/>
            </w:rPr>
            <w:t>年1月至</w:t>
          </w:r>
          <w:r w:rsidR="00970C53">
            <w:rPr>
              <w:rFonts w:hint="eastAsia"/>
            </w:rPr>
            <w:t>110</w:t>
          </w:r>
          <w:r w:rsidR="00670EC6">
            <w:rPr>
              <w:rFonts w:hint="eastAsia"/>
            </w:rPr>
            <w:t>年1</w:t>
          </w:r>
          <w:r w:rsidR="004A19F2">
            <w:rPr>
              <w:rFonts w:hint="eastAsia"/>
            </w:rPr>
            <w:t>2</w:t>
          </w:r>
          <w:r w:rsidR="00670EC6">
            <w:rPr>
              <w:rFonts w:hint="eastAsia"/>
            </w:rPr>
            <w:t>月)</w:t>
          </w:r>
          <w:r w:rsidR="00670EC6">
            <w:rPr>
              <w:rFonts w:hint="eastAsia"/>
            </w:rPr>
            <w:ptab w:relativeTo="margin" w:alignment="right" w:leader="dot"/>
          </w:r>
          <w:r w:rsidR="00D93D7A">
            <w:rPr>
              <w:rFonts w:hint="eastAsia"/>
            </w:rPr>
            <w:t>193</w:t>
          </w:r>
          <w:r w:rsidR="00670EC6">
            <w:rPr>
              <w:rFonts w:hint="eastAsia"/>
            </w:rPr>
            <w:t xml:space="preserve"> </w:t>
          </w:r>
        </w:p>
        <w:p w:rsidR="00670EC6" w:rsidRDefault="00C40823" w:rsidP="00DD4634">
          <w:pPr>
            <w:pStyle w:val="21"/>
          </w:pPr>
          <w:r>
            <w:rPr>
              <w:rFonts w:hint="eastAsia"/>
            </w:rPr>
            <w:t xml:space="preserve">   </w:t>
          </w:r>
          <w:r w:rsidR="00670EC6">
            <w:rPr>
              <w:rFonts w:hint="eastAsia"/>
            </w:rPr>
            <w:t>國內制度簡表</w:t>
          </w:r>
          <w:r w:rsidR="00670EC6">
            <w:rPr>
              <w:rFonts w:hint="eastAsia"/>
            </w:rPr>
            <w:ptab w:relativeTo="margin" w:alignment="right" w:leader="dot"/>
          </w:r>
          <w:r w:rsidR="00707010">
            <w:rPr>
              <w:rFonts w:hint="eastAsia"/>
            </w:rPr>
            <w:t>19</w:t>
          </w:r>
          <w:r w:rsidR="00D93D7A">
            <w:rPr>
              <w:rFonts w:hint="eastAsia"/>
            </w:rPr>
            <w:t>7</w:t>
          </w:r>
          <w:r w:rsidR="00670EC6">
            <w:rPr>
              <w:rFonts w:hint="eastAsia"/>
            </w:rPr>
            <w:t xml:space="preserve"> </w:t>
          </w:r>
        </w:p>
        <w:p w:rsidR="00670EC6" w:rsidRDefault="00C40823" w:rsidP="00DD4634">
          <w:pPr>
            <w:pStyle w:val="21"/>
          </w:pPr>
          <w:r>
            <w:rPr>
              <w:rFonts w:hint="eastAsia"/>
            </w:rPr>
            <w:t xml:space="preserve">   </w:t>
          </w:r>
          <w:r w:rsidR="00670EC6">
            <w:rPr>
              <w:rFonts w:hint="eastAsia"/>
            </w:rPr>
            <w:t>國際比較資料</w:t>
          </w:r>
          <w:r w:rsidR="00670EC6">
            <w:rPr>
              <w:rFonts w:hint="eastAsia"/>
            </w:rPr>
            <w:ptab w:relativeTo="margin" w:alignment="right" w:leader="dot"/>
          </w:r>
          <w:r w:rsidR="00D93D7A">
            <w:rPr>
              <w:rFonts w:hint="eastAsia"/>
            </w:rPr>
            <w:t>200</w:t>
          </w:r>
          <w:r w:rsidR="00670EC6">
            <w:rPr>
              <w:rFonts w:hint="eastAsia"/>
            </w:rPr>
            <w:t xml:space="preserve"> </w:t>
          </w:r>
        </w:p>
        <w:p w:rsidR="00670EC6" w:rsidRDefault="0004578D" w:rsidP="00670EC6"/>
      </w:sdtContent>
    </w:sdt>
    <w:p w:rsidR="00455290" w:rsidRPr="00F0717A" w:rsidRDefault="00455290" w:rsidP="00455290">
      <w:pPr>
        <w:rPr>
          <w:lang w:val="zh-TW"/>
        </w:rPr>
      </w:pPr>
    </w:p>
    <w:p w:rsidR="00796B41" w:rsidRDefault="00796B41" w:rsidP="00455290">
      <w:pPr>
        <w:rPr>
          <w:lang w:val="zh-TW"/>
        </w:rPr>
        <w:sectPr w:rsidR="00796B41" w:rsidSect="001D5C1C">
          <w:pgSz w:w="11906" w:h="16838"/>
          <w:pgMar w:top="1134" w:right="1418" w:bottom="1134" w:left="1418" w:header="851" w:footer="992" w:gutter="0"/>
          <w:cols w:space="425"/>
          <w:docGrid w:type="lines" w:linePitch="360"/>
        </w:sectPr>
      </w:pPr>
    </w:p>
    <w:p w:rsidR="00515502" w:rsidRDefault="00515502" w:rsidP="00515502">
      <w:pPr>
        <w:snapToGrid w:val="0"/>
        <w:spacing w:line="400" w:lineRule="exact"/>
        <w:jc w:val="center"/>
        <w:rPr>
          <w:rFonts w:ascii="微軟正黑體" w:eastAsia="微軟正黑體" w:hAnsi="微軟正黑體"/>
          <w:b/>
          <w:sz w:val="36"/>
          <w:szCs w:val="36"/>
        </w:rPr>
      </w:pPr>
      <w:bookmarkStart w:id="0" w:name="第一章第一節"/>
      <w:bookmarkStart w:id="1" w:name="第一章第一節壹"/>
      <w:r w:rsidRPr="00DC612B">
        <w:rPr>
          <w:rFonts w:ascii="微軟正黑體" w:eastAsia="微軟正黑體" w:hAnsi="微軟正黑體"/>
          <w:b/>
          <w:noProof/>
          <w:sz w:val="36"/>
          <w:szCs w:val="36"/>
        </w:rPr>
        <w:lastRenderedPageBreak/>
        <mc:AlternateContent>
          <mc:Choice Requires="wps">
            <w:drawing>
              <wp:anchor distT="0" distB="0" distL="114300" distR="114300" simplePos="0" relativeHeight="252459008" behindDoc="0" locked="0" layoutInCell="1" allowOverlap="1" wp14:anchorId="4D0D9970" wp14:editId="1DC43236">
                <wp:simplePos x="0" y="0"/>
                <wp:positionH relativeFrom="column">
                  <wp:posOffset>730250</wp:posOffset>
                </wp:positionH>
                <wp:positionV relativeFrom="paragraph">
                  <wp:posOffset>-662940</wp:posOffset>
                </wp:positionV>
                <wp:extent cx="45719" cy="11112500"/>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11112500"/>
                        </a:xfrm>
                        <a:prstGeom prst="rect">
                          <a:avLst/>
                        </a:prstGeom>
                        <a:solidFill>
                          <a:schemeClr val="accent6">
                            <a:lumMod val="60000"/>
                            <a:lumOff val="40000"/>
                          </a:schemeClr>
                        </a:solidFill>
                        <a:ln w="9525">
                          <a:noFill/>
                          <a:miter lim="800000"/>
                          <a:headEnd/>
                          <a:tailEnd/>
                        </a:ln>
                      </wps:spPr>
                      <wps:txbx>
                        <w:txbxContent>
                          <w:p w:rsidR="00745375" w:rsidRPr="00DC612B" w:rsidRDefault="00745375" w:rsidP="00515502">
                            <w:pPr>
                              <w:jc w:val="center"/>
                              <w:rPr>
                                <w:rFonts w:ascii="微軟正黑體" w:eastAsia="微軟正黑體" w:hAnsi="微軟正黑體"/>
                                <w:sz w:val="120"/>
                                <w:szCs w:val="1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57.5pt;margin-top:-52.2pt;width:3.6pt;height:8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" fillcolor="#fabf8f [1945]" stroked="f">
                <v:textbox>
                  <w:txbxContent>
                    <w:p w:rsidR="00745375" w:rsidRPr="00DC612B" w:rsidRDefault="00745375" w:rsidP="00515502">
                      <w:pPr>
                        <w:jc w:val="center"/>
                        <w:rPr>
                          <w:rFonts w:ascii="微軟正黑體" w:eastAsia="微軟正黑體" w:hAnsi="微軟正黑體"/>
                          <w:sz w:val="120"/>
                          <w:szCs w:val="120"/>
                        </w:rPr>
                      </w:pPr>
                    </w:p>
                  </w:txbxContent>
                </v:textbox>
              </v:shape>
            </w:pict>
          </mc:Fallback>
        </mc:AlternateContent>
      </w:r>
    </w:p>
    <w:p w:rsidR="00515502" w:rsidRDefault="00515502" w:rsidP="00515502">
      <w:pPr>
        <w:snapToGrid w:val="0"/>
        <w:spacing w:line="400" w:lineRule="exact"/>
        <w:jc w:val="center"/>
        <w:rPr>
          <w:rFonts w:ascii="微軟正黑體" w:eastAsia="微軟正黑體" w:hAnsi="微軟正黑體"/>
          <w:b/>
          <w:sz w:val="36"/>
          <w:szCs w:val="36"/>
        </w:rPr>
      </w:pPr>
      <w:r>
        <w:rPr>
          <w:rFonts w:hint="eastAsia"/>
          <w:noProof/>
        </w:rPr>
        <w:drawing>
          <wp:anchor distT="0" distB="0" distL="114300" distR="114300" simplePos="0" relativeHeight="252462080" behindDoc="0" locked="0" layoutInCell="1" allowOverlap="1" wp14:anchorId="0AC6F0E7" wp14:editId="0D1472A3">
            <wp:simplePos x="0" y="0"/>
            <wp:positionH relativeFrom="column">
              <wp:posOffset>-733425</wp:posOffset>
            </wp:positionH>
            <wp:positionV relativeFrom="paragraph">
              <wp:posOffset>245110</wp:posOffset>
            </wp:positionV>
            <wp:extent cx="1456055" cy="1165860"/>
            <wp:effectExtent l="0" t="0" r="0" b="0"/>
            <wp:wrapNone/>
            <wp:docPr id="21518" name="圖片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6055" cy="1165860"/>
                    </a:xfrm>
                    <a:prstGeom prst="rect">
                      <a:avLst/>
                    </a:prstGeom>
                    <a:noFill/>
                  </pic:spPr>
                </pic:pic>
              </a:graphicData>
            </a:graphic>
            <wp14:sizeRelH relativeFrom="page">
              <wp14:pctWidth>0</wp14:pctWidth>
            </wp14:sizeRelH>
            <wp14:sizeRelV relativeFrom="page">
              <wp14:pctHeight>0</wp14:pctHeight>
            </wp14:sizeRelV>
          </wp:anchor>
        </w:drawing>
      </w:r>
    </w:p>
    <w:p w:rsidR="00515502" w:rsidRDefault="00515502" w:rsidP="00515502">
      <w:pPr>
        <w:snapToGrid w:val="0"/>
        <w:spacing w:line="700" w:lineRule="exact"/>
        <w:ind w:leftChars="590" w:left="1416"/>
        <w:jc w:val="center"/>
        <w:rPr>
          <w:rFonts w:ascii="微軟正黑體" w:eastAsia="微軟正黑體" w:hAnsi="微軟正黑體"/>
          <w:b/>
          <w:sz w:val="60"/>
          <w:szCs w:val="60"/>
        </w:rPr>
      </w:pPr>
      <w:r w:rsidRPr="00DC612B">
        <w:rPr>
          <w:rFonts w:ascii="微軟正黑體" w:eastAsia="微軟正黑體" w:hAnsi="微軟正黑體" w:hint="eastAsia"/>
          <w:b/>
          <w:sz w:val="60"/>
          <w:szCs w:val="60"/>
        </w:rPr>
        <w:t>我國老年經濟安全制度概況</w:t>
      </w:r>
    </w:p>
    <w:p w:rsidR="00515502" w:rsidRPr="00DC612B" w:rsidRDefault="00515502" w:rsidP="00515502">
      <w:pPr>
        <w:snapToGrid w:val="0"/>
        <w:spacing w:line="700" w:lineRule="exact"/>
        <w:ind w:leftChars="590" w:left="1416"/>
        <w:jc w:val="center"/>
        <w:rPr>
          <w:rFonts w:ascii="微軟正黑體" w:eastAsia="微軟正黑體" w:hAnsi="微軟正黑體"/>
          <w:b/>
          <w:sz w:val="60"/>
          <w:szCs w:val="60"/>
        </w:rPr>
      </w:pPr>
      <w:r w:rsidRPr="00DC612B">
        <w:rPr>
          <w:rFonts w:ascii="微軟正黑體" w:eastAsia="微軟正黑體" w:hAnsi="微軟正黑體" w:hint="eastAsia"/>
          <w:b/>
          <w:sz w:val="60"/>
          <w:szCs w:val="60"/>
        </w:rPr>
        <w:t>(10</w:t>
      </w:r>
      <w:r>
        <w:rPr>
          <w:rFonts w:ascii="微軟正黑體" w:eastAsia="微軟正黑體" w:hAnsi="微軟正黑體" w:hint="eastAsia"/>
          <w:b/>
          <w:sz w:val="60"/>
          <w:szCs w:val="60"/>
        </w:rPr>
        <w:t>9</w:t>
      </w:r>
      <w:r w:rsidRPr="00DC612B">
        <w:rPr>
          <w:rFonts w:ascii="微軟正黑體" w:eastAsia="微軟正黑體" w:hAnsi="微軟正黑體" w:hint="eastAsia"/>
          <w:b/>
          <w:sz w:val="60"/>
          <w:szCs w:val="60"/>
        </w:rPr>
        <w:t>年)</w:t>
      </w:r>
    </w:p>
    <w:p w:rsidR="00515502" w:rsidRDefault="00515502" w:rsidP="00515502">
      <w:pPr>
        <w:snapToGrid w:val="0"/>
        <w:spacing w:line="400" w:lineRule="exact"/>
        <w:jc w:val="center"/>
        <w:rPr>
          <w:rFonts w:ascii="微軟正黑體" w:eastAsia="微軟正黑體" w:hAnsi="微軟正黑體"/>
          <w:b/>
          <w:sz w:val="36"/>
          <w:szCs w:val="36"/>
        </w:rPr>
      </w:pPr>
      <w:r>
        <w:rPr>
          <w:noProof/>
        </w:rPr>
        <mc:AlternateContent>
          <mc:Choice Requires="wps">
            <w:drawing>
              <wp:anchor distT="0" distB="0" distL="114300" distR="114300" simplePos="0" relativeHeight="252460032" behindDoc="0" locked="0" layoutInCell="1" allowOverlap="1" wp14:anchorId="647E8AD7" wp14:editId="65A139B6">
                <wp:simplePos x="0" y="0"/>
                <wp:positionH relativeFrom="column">
                  <wp:posOffset>-811530</wp:posOffset>
                </wp:positionH>
                <wp:positionV relativeFrom="paragraph">
                  <wp:posOffset>149860</wp:posOffset>
                </wp:positionV>
                <wp:extent cx="1727200" cy="6286500"/>
                <wp:effectExtent l="0" t="0" r="0" b="0"/>
                <wp:wrapNone/>
                <wp:docPr id="53" name="文字方塊 53"/>
                <wp:cNvGraphicFramePr/>
                <a:graphic xmlns:a="http://schemas.openxmlformats.org/drawingml/2006/main">
                  <a:graphicData uri="http://schemas.microsoft.com/office/word/2010/wordprocessingShape">
                    <wps:wsp>
                      <wps:cNvSpPr txBox="1"/>
                      <wps:spPr>
                        <a:xfrm>
                          <a:off x="0" y="0"/>
                          <a:ext cx="1727200" cy="6286500"/>
                        </a:xfrm>
                        <a:prstGeom prst="rect">
                          <a:avLst/>
                        </a:prstGeom>
                        <a:noFill/>
                        <a:ln>
                          <a:noFill/>
                        </a:ln>
                        <a:effectLst/>
                      </wps:spPr>
                      <wps:txbx>
                        <w:txbxContent>
                          <w:p w:rsidR="00745375" w:rsidRPr="008C02C2" w:rsidRDefault="00745375" w:rsidP="00515502">
                            <w:pPr>
                              <w:jc w:val="center"/>
                              <w:rPr>
                                <w:rFonts w:ascii="微軟正黑體" w:eastAsia="微軟正黑體" w:hAnsi="微軟正黑體"/>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C02C2">
                              <w:rPr>
                                <w:rFonts w:ascii="微軟正黑體" w:eastAsia="微軟正黑體" w:hAnsi="微軟正黑體" w:hint="eastAsia"/>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制 度 概 況</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53" o:spid="_x0000_s1028" type="#_x0000_t202" style="position:absolute;left:0;text-align:left;margin-left:-63.9pt;margin-top:11.8pt;width:136pt;height:49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" filled="f" stroked="f">
                <v:textbox style="layout-flow:vertical-ideographic">
                  <w:txbxContent>
                    <w:p w:rsidR="00745375" w:rsidRPr="008C02C2" w:rsidRDefault="00745375" w:rsidP="00515502">
                      <w:pPr>
                        <w:jc w:val="center"/>
                        <w:rPr>
                          <w:rFonts w:ascii="微軟正黑體" w:eastAsia="微軟正黑體" w:hAnsi="微軟正黑體"/>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C02C2">
                        <w:rPr>
                          <w:rFonts w:ascii="微軟正黑體" w:eastAsia="微軟正黑體" w:hAnsi="微軟正黑體" w:hint="eastAsia"/>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制 度 概 況</w:t>
                      </w:r>
                    </w:p>
                  </w:txbxContent>
                </v:textbox>
              </v:shape>
            </w:pict>
          </mc:Fallback>
        </mc:AlternateContent>
      </w:r>
    </w:p>
    <w:p w:rsidR="00515502" w:rsidRPr="00802BE6" w:rsidRDefault="00515502" w:rsidP="00515502">
      <w:pPr>
        <w:snapToGrid w:val="0"/>
        <w:spacing w:line="400" w:lineRule="exact"/>
        <w:jc w:val="right"/>
        <w:rPr>
          <w:rFonts w:ascii="微軟正黑體" w:eastAsia="微軟正黑體" w:hAnsi="微軟正黑體"/>
        </w:rPr>
      </w:pPr>
      <w:r w:rsidRPr="00802BE6">
        <w:rPr>
          <w:rFonts w:ascii="微軟正黑體" w:eastAsia="微軟正黑體" w:hAnsi="微軟正黑體" w:hint="eastAsia"/>
        </w:rPr>
        <w:t>國家發展委員會</w:t>
      </w:r>
      <w:r>
        <w:rPr>
          <w:rFonts w:ascii="微軟正黑體" w:eastAsia="微軟正黑體" w:hAnsi="微軟正黑體" w:hint="eastAsia"/>
        </w:rPr>
        <w:t xml:space="preserve">  </w:t>
      </w:r>
      <w:r w:rsidRPr="00802BE6">
        <w:rPr>
          <w:rFonts w:ascii="微軟正黑體" w:eastAsia="微軟正黑體" w:hAnsi="微軟正黑體" w:hint="eastAsia"/>
        </w:rPr>
        <w:t>人力發展處</w:t>
      </w:r>
    </w:p>
    <w:p w:rsidR="00515502" w:rsidRDefault="00515502" w:rsidP="00515502">
      <w:pPr>
        <w:snapToGrid w:val="0"/>
        <w:spacing w:line="400" w:lineRule="exact"/>
        <w:jc w:val="center"/>
        <w:rPr>
          <w:rFonts w:ascii="微軟正黑體" w:eastAsia="微軟正黑體" w:hAnsi="微軟正黑體"/>
          <w:b/>
          <w:sz w:val="36"/>
          <w:szCs w:val="36"/>
        </w:rPr>
      </w:pPr>
      <w:r w:rsidRPr="00E01F34">
        <w:rPr>
          <w:rFonts w:ascii="微軟正黑體" w:eastAsia="微軟正黑體" w:hAnsi="微軟正黑體"/>
          <w:b/>
          <w:noProof/>
          <w:sz w:val="36"/>
          <w:szCs w:val="36"/>
        </w:rPr>
        <mc:AlternateContent>
          <mc:Choice Requires="wps">
            <w:drawing>
              <wp:anchor distT="0" distB="0" distL="114300" distR="114300" simplePos="0" relativeHeight="252461056" behindDoc="1" locked="0" layoutInCell="1" allowOverlap="1" wp14:anchorId="752FF2A0" wp14:editId="4B7BD976">
                <wp:simplePos x="0" y="0"/>
                <wp:positionH relativeFrom="column">
                  <wp:posOffset>775336</wp:posOffset>
                </wp:positionH>
                <wp:positionV relativeFrom="paragraph">
                  <wp:posOffset>163830</wp:posOffset>
                </wp:positionV>
                <wp:extent cx="5908040" cy="2438400"/>
                <wp:effectExtent l="0" t="0" r="0" b="0"/>
                <wp:wrapNone/>
                <wp:docPr id="215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040" cy="2438400"/>
                        </a:xfrm>
                        <a:prstGeom prst="rect">
                          <a:avLst/>
                        </a:prstGeom>
                        <a:solidFill>
                          <a:schemeClr val="accent6">
                            <a:lumMod val="20000"/>
                            <a:lumOff val="80000"/>
                          </a:schemeClr>
                        </a:solidFill>
                        <a:ln w="9525">
                          <a:noFill/>
                          <a:miter lim="800000"/>
                          <a:headEnd/>
                          <a:tailEnd/>
                        </a:ln>
                      </wps:spPr>
                      <wps:txbx>
                        <w:txbxContent>
                          <w:p w:rsidR="00745375" w:rsidRDefault="00745375" w:rsidP="005155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1.05pt;margin-top:12.9pt;width:465.2pt;height:192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" fillcolor="#fde9d9 [665]" stroked="f">
                <v:textbox>
                  <w:txbxContent>
                    <w:p w:rsidR="00745375" w:rsidRDefault="00745375" w:rsidP="00515502"/>
                  </w:txbxContent>
                </v:textbox>
              </v:shape>
            </w:pict>
          </mc:Fallback>
        </mc:AlternateContent>
      </w:r>
    </w:p>
    <w:p w:rsidR="00515502" w:rsidRPr="008F38A6" w:rsidRDefault="00515502" w:rsidP="00515502">
      <w:pPr>
        <w:snapToGrid w:val="0"/>
        <w:spacing w:line="800" w:lineRule="exact"/>
        <w:ind w:leftChars="886" w:left="2126"/>
        <w:rPr>
          <w:rFonts w:ascii="微軟正黑體" w:eastAsia="微軟正黑體" w:hAnsi="微軟正黑體"/>
          <w:b/>
          <w:sz w:val="40"/>
          <w:szCs w:val="40"/>
        </w:rPr>
      </w:pPr>
      <w:r w:rsidRPr="008F38A6">
        <w:rPr>
          <w:rFonts w:ascii="微軟正黑體" w:eastAsia="微軟正黑體" w:hAnsi="微軟正黑體" w:hint="eastAsia"/>
          <w:b/>
          <w:sz w:val="40"/>
          <w:szCs w:val="40"/>
        </w:rPr>
        <w:t>壹、概論</w:t>
      </w:r>
    </w:p>
    <w:p w:rsidR="00515502" w:rsidRPr="008F38A6" w:rsidRDefault="00515502" w:rsidP="00515502">
      <w:pPr>
        <w:snapToGrid w:val="0"/>
        <w:spacing w:line="800" w:lineRule="exact"/>
        <w:ind w:leftChars="886" w:left="2126"/>
        <w:rPr>
          <w:rFonts w:ascii="微軟正黑體" w:eastAsia="微軟正黑體" w:hAnsi="微軟正黑體"/>
          <w:b/>
          <w:sz w:val="40"/>
          <w:szCs w:val="40"/>
        </w:rPr>
      </w:pPr>
      <w:r w:rsidRPr="008F38A6">
        <w:rPr>
          <w:rFonts w:ascii="微軟正黑體" w:eastAsia="微軟正黑體" w:hAnsi="微軟正黑體" w:hint="eastAsia"/>
          <w:b/>
          <w:sz w:val="40"/>
          <w:szCs w:val="40"/>
        </w:rPr>
        <w:t>貳、社會保險</w:t>
      </w:r>
    </w:p>
    <w:p w:rsidR="00515502" w:rsidRPr="008F38A6" w:rsidRDefault="00515502" w:rsidP="00515502">
      <w:pPr>
        <w:snapToGrid w:val="0"/>
        <w:spacing w:line="800" w:lineRule="exact"/>
        <w:ind w:leftChars="886" w:left="2126"/>
        <w:rPr>
          <w:rFonts w:ascii="微軟正黑體" w:eastAsia="微軟正黑體" w:hAnsi="微軟正黑體"/>
          <w:b/>
          <w:sz w:val="40"/>
          <w:szCs w:val="40"/>
        </w:rPr>
      </w:pPr>
      <w:r w:rsidRPr="008F38A6">
        <w:rPr>
          <w:rFonts w:ascii="微軟正黑體" w:eastAsia="微軟正黑體" w:hAnsi="微軟正黑體" w:hint="eastAsia"/>
          <w:b/>
          <w:sz w:val="40"/>
          <w:szCs w:val="40"/>
        </w:rPr>
        <w:t>參、職業別退休金</w:t>
      </w:r>
    </w:p>
    <w:p w:rsidR="00515502" w:rsidRPr="008F38A6" w:rsidRDefault="00515502" w:rsidP="00515502">
      <w:pPr>
        <w:snapToGrid w:val="0"/>
        <w:spacing w:line="800" w:lineRule="exact"/>
        <w:ind w:leftChars="886" w:left="2126"/>
        <w:rPr>
          <w:rFonts w:ascii="微軟正黑體" w:eastAsia="微軟正黑體" w:hAnsi="微軟正黑體"/>
          <w:b/>
          <w:sz w:val="40"/>
          <w:szCs w:val="40"/>
        </w:rPr>
      </w:pPr>
      <w:r w:rsidRPr="008F38A6">
        <w:rPr>
          <w:rFonts w:ascii="微軟正黑體" w:eastAsia="微軟正黑體" w:hAnsi="微軟正黑體" w:hint="eastAsia"/>
          <w:b/>
          <w:sz w:val="40"/>
          <w:szCs w:val="40"/>
        </w:rPr>
        <w:t>肆、</w:t>
      </w:r>
      <w:r>
        <w:rPr>
          <w:rFonts w:ascii="微軟正黑體" w:eastAsia="微軟正黑體" w:hAnsi="微軟正黑體" w:hint="eastAsia"/>
          <w:b/>
          <w:sz w:val="40"/>
          <w:szCs w:val="40"/>
        </w:rPr>
        <w:t>高齡化商業</w:t>
      </w:r>
      <w:r w:rsidRPr="008F38A6">
        <w:rPr>
          <w:rFonts w:ascii="微軟正黑體" w:eastAsia="微軟正黑體" w:hAnsi="微軟正黑體" w:hint="eastAsia"/>
          <w:b/>
          <w:sz w:val="40"/>
          <w:szCs w:val="40"/>
        </w:rPr>
        <w:t>保險</w:t>
      </w: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515502" w:rsidP="00515502">
      <w:pPr>
        <w:snapToGrid w:val="0"/>
        <w:spacing w:line="400" w:lineRule="exact"/>
        <w:jc w:val="center"/>
        <w:rPr>
          <w:rFonts w:ascii="微軟正黑體" w:eastAsia="微軟正黑體" w:hAnsi="微軟正黑體"/>
          <w:b/>
          <w:sz w:val="36"/>
          <w:szCs w:val="36"/>
        </w:rPr>
      </w:pPr>
    </w:p>
    <w:p w:rsidR="00515502" w:rsidRDefault="000D05BC" w:rsidP="00515502">
      <w:pPr>
        <w:snapToGrid w:val="0"/>
        <w:spacing w:line="400" w:lineRule="exact"/>
        <w:jc w:val="center"/>
        <w:rPr>
          <w:rFonts w:ascii="微軟正黑體" w:eastAsia="微軟正黑體" w:hAnsi="微軟正黑體"/>
          <w:b/>
          <w:sz w:val="36"/>
          <w:szCs w:val="36"/>
        </w:rPr>
      </w:pPr>
      <w:r>
        <w:rPr>
          <w:rFonts w:ascii="微軟正黑體" w:eastAsia="微軟正黑體" w:hAnsi="微軟正黑體"/>
          <w:b/>
          <w:noProof/>
          <w:sz w:val="36"/>
          <w:szCs w:val="36"/>
        </w:rPr>
        <mc:AlternateContent>
          <mc:Choice Requires="wps">
            <w:drawing>
              <wp:anchor distT="0" distB="0" distL="114300" distR="114300" simplePos="0" relativeHeight="252652544" behindDoc="0" locked="0" layoutInCell="1" allowOverlap="1" wp14:anchorId="69526F16" wp14:editId="1A7C9C6D">
                <wp:simplePos x="0" y="0"/>
                <wp:positionH relativeFrom="column">
                  <wp:posOffset>-119380</wp:posOffset>
                </wp:positionH>
                <wp:positionV relativeFrom="paragraph">
                  <wp:posOffset>638810</wp:posOffset>
                </wp:positionV>
                <wp:extent cx="352425" cy="219075"/>
                <wp:effectExtent l="0" t="0" r="9525" b="9525"/>
                <wp:wrapNone/>
                <wp:docPr id="2" name="矩形 2"/>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 o:spid="_x0000_s1026" style="position:absolute;margin-left:-9.4pt;margin-top:50.3pt;width:27.75pt;height:17.25pt;z-index:25265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" fillcolor="white [3212]" stroked="f" strokeweight="2pt"/>
            </w:pict>
          </mc:Fallback>
        </mc:AlternateContent>
      </w:r>
    </w:p>
    <w:p w:rsidR="003C2AC2" w:rsidRDefault="003C2AC2" w:rsidP="003C2AC2">
      <w:pPr>
        <w:snapToGrid w:val="0"/>
        <w:spacing w:line="400" w:lineRule="exact"/>
        <w:jc w:val="center"/>
        <w:rPr>
          <w:rFonts w:ascii="微軟正黑體" w:eastAsia="微軟正黑體" w:hAnsi="微軟正黑體"/>
          <w:b/>
          <w:bCs/>
          <w:sz w:val="28"/>
          <w:szCs w:val="28"/>
        </w:rPr>
      </w:pPr>
      <w:r>
        <w:rPr>
          <w:rFonts w:ascii="微軟正黑體" w:eastAsia="微軟正黑體" w:hAnsi="微軟正黑體" w:hint="eastAsia"/>
          <w:b/>
          <w:sz w:val="32"/>
          <w:szCs w:val="32"/>
        </w:rPr>
        <w:lastRenderedPageBreak/>
        <w:t>壹、概論</w:t>
      </w:r>
    </w:p>
    <w:p w:rsidR="003C2AC2" w:rsidRDefault="003C2AC2" w:rsidP="003C2AC2">
      <w:pPr>
        <w:pStyle w:val="af0"/>
        <w:numPr>
          <w:ilvl w:val="0"/>
          <w:numId w:val="9"/>
        </w:numPr>
        <w:tabs>
          <w:tab w:val="left" w:pos="567"/>
        </w:tabs>
        <w:snapToGrid w:val="0"/>
        <w:spacing w:beforeLines="100" w:before="360" w:line="400" w:lineRule="exact"/>
        <w:ind w:leftChars="0" w:left="655" w:hangingChars="234" w:hanging="655"/>
        <w:rPr>
          <w:rFonts w:ascii="微軟正黑體" w:eastAsia="微軟正黑體" w:hAnsi="微軟正黑體"/>
          <w:b/>
          <w:bCs/>
          <w:sz w:val="28"/>
          <w:szCs w:val="28"/>
        </w:rPr>
      </w:pPr>
      <w:r>
        <w:rPr>
          <w:rFonts w:ascii="微軟正黑體" w:eastAsia="微軟正黑體" w:hAnsi="微軟正黑體" w:hint="eastAsia"/>
          <w:b/>
          <w:bCs/>
          <w:sz w:val="28"/>
          <w:szCs w:val="28"/>
        </w:rPr>
        <w:t>年金制度綜覽</w:t>
      </w:r>
    </w:p>
    <w:p w:rsidR="003C2AC2" w:rsidRDefault="003C2AC2" w:rsidP="003C2AC2">
      <w:pPr>
        <w:snapToGrid w:val="0"/>
        <w:spacing w:beforeLines="50" w:before="180" w:line="400" w:lineRule="exact"/>
        <w:jc w:val="both"/>
        <w:rPr>
          <w:rFonts w:ascii="微軟正黑體" w:eastAsia="微軟正黑體" w:hAnsi="微軟正黑體"/>
          <w:bCs/>
        </w:rPr>
      </w:pPr>
      <w:r>
        <w:rPr>
          <w:rFonts w:ascii="微軟正黑體" w:eastAsia="微軟正黑體" w:hAnsi="微軟正黑體" w:hint="eastAsia"/>
          <w:bCs/>
        </w:rPr>
        <w:t xml:space="preserve">    我國自民國32年以來逐步開辦各項社會保險及退休金制度，並隨時視實際需要，調整或增進各項制度保障內涵及範圍，以提供民眾適足且完整之老年經濟保障。近年重要進展包括94年實施「勞工退休金新制」(或簡稱勞退新制)、97年開辦「國民年金保險」(或簡稱國保)、98年實施「勞工保險」(或簡稱勞保)年金制度、103年實施「公教人員保險」(或簡稱公保)年金給付及107年7月起全面實施軍公教退撫新法等。</w:t>
      </w:r>
    </w:p>
    <w:p w:rsidR="003C2AC2" w:rsidRDefault="003C2AC2" w:rsidP="003C2AC2">
      <w:pPr>
        <w:snapToGrid w:val="0"/>
        <w:spacing w:beforeLines="30" w:before="108" w:line="400" w:lineRule="exact"/>
        <w:ind w:firstLineChars="200" w:firstLine="480"/>
        <w:jc w:val="both"/>
        <w:rPr>
          <w:rFonts w:ascii="微軟正黑體" w:eastAsia="微軟正黑體" w:hAnsi="微軟正黑體"/>
          <w:bCs/>
        </w:rPr>
      </w:pPr>
      <w:r>
        <w:rPr>
          <w:rFonts w:ascii="微軟正黑體" w:eastAsia="微軟正黑體" w:hAnsi="微軟正黑體" w:hint="eastAsia"/>
          <w:bCs/>
        </w:rPr>
        <w:t>我國現行老年經濟保障體系，包括第零層之老年福利津貼、第一層社會保險制度、第二層職業別退休金制度，及第三層屬個人自願之私人商業保險、儲蓄、家庭互助等保障，符合多層次老年經濟保障模式(如圖1.1所示)。本節將分別針對社會保險、職業別退休金及老年福利津貼等項目進行綜合分析。</w:t>
      </w:r>
    </w:p>
    <w:p w:rsidR="00CB589E" w:rsidRDefault="00CB589E" w:rsidP="00CB589E">
      <w:pPr>
        <w:ind w:rightChars="-60" w:right="-144"/>
        <w:jc w:val="right"/>
        <w:rPr>
          <w:rFonts w:ascii="微軟正黑體" w:eastAsia="微軟正黑體" w:hAnsi="微軟正黑體"/>
          <w:sz w:val="20"/>
          <w:szCs w:val="20"/>
          <w:u w:val="single"/>
        </w:rPr>
      </w:pPr>
    </w:p>
    <w:p w:rsidR="00CB589E" w:rsidRPr="00A46B13" w:rsidRDefault="00745375" w:rsidP="00CB589E">
      <w:pPr>
        <w:ind w:rightChars="-60" w:right="-144"/>
        <w:jc w:val="right"/>
        <w:rPr>
          <w:rFonts w:ascii="微軟正黑體" w:eastAsia="微軟正黑體" w:hAnsi="微軟正黑體"/>
          <w:spacing w:val="-8"/>
          <w:sz w:val="20"/>
          <w:szCs w:val="20"/>
        </w:rPr>
      </w:pPr>
      <w:r w:rsidRPr="00A46B13">
        <w:rPr>
          <w:rFonts w:ascii="微軟正黑體" w:eastAsia="微軟正黑體" w:hAnsi="微軟正黑體" w:hint="eastAsia"/>
          <w:spacing w:val="-8"/>
          <w:sz w:val="20"/>
          <w:szCs w:val="20"/>
        </w:rPr>
        <w:t>※</w:t>
      </w:r>
      <w:r w:rsidR="00CB589E" w:rsidRPr="00A46B13">
        <w:rPr>
          <w:rFonts w:ascii="微軟正黑體" w:eastAsia="微軟正黑體" w:hAnsi="微軟正黑體" w:hint="eastAsia"/>
          <w:spacing w:val="-8"/>
          <w:sz w:val="20"/>
          <w:szCs w:val="20"/>
        </w:rPr>
        <w:t>人數為</w:t>
      </w:r>
      <w:r w:rsidR="00CB589E" w:rsidRPr="00A46B13">
        <w:rPr>
          <w:rFonts w:ascii="微軟正黑體" w:eastAsia="微軟正黑體" w:hAnsi="微軟正黑體" w:hint="eastAsia"/>
          <w:spacing w:val="-8"/>
          <w:sz w:val="20"/>
          <w:szCs w:val="20"/>
          <w:u w:val="single"/>
        </w:rPr>
        <w:t>109年12月</w:t>
      </w:r>
      <w:r w:rsidR="00CB589E" w:rsidRPr="00A46B13">
        <w:rPr>
          <w:rFonts w:ascii="微軟正黑體" w:eastAsia="微軟正黑體" w:hAnsi="微軟正黑體" w:hint="eastAsia"/>
          <w:spacing w:val="-8"/>
          <w:sz w:val="20"/>
          <w:szCs w:val="20"/>
        </w:rPr>
        <w:t>數據</w:t>
      </w:r>
    </w:p>
    <w:tbl>
      <w:tblPr>
        <w:tblStyle w:val="a5"/>
        <w:tblW w:w="9357" w:type="dxa"/>
        <w:jc w:val="center"/>
        <w:tblInd w:w="-318" w:type="dxa"/>
        <w:tblLook w:val="04A0" w:firstRow="1" w:lastRow="0" w:firstColumn="1" w:lastColumn="0" w:noHBand="0" w:noVBand="1"/>
      </w:tblPr>
      <w:tblGrid>
        <w:gridCol w:w="1277"/>
        <w:gridCol w:w="992"/>
        <w:gridCol w:w="992"/>
        <w:gridCol w:w="456"/>
        <w:gridCol w:w="678"/>
        <w:gridCol w:w="2977"/>
        <w:gridCol w:w="992"/>
        <w:gridCol w:w="993"/>
      </w:tblGrid>
      <w:tr w:rsidR="00CB589E" w:rsidRPr="006476B3" w:rsidTr="00D766E4">
        <w:trPr>
          <w:trHeight w:val="761"/>
          <w:jc w:val="center"/>
        </w:trPr>
        <w:tc>
          <w:tcPr>
            <w:tcW w:w="1277" w:type="dxa"/>
            <w:tcBorders>
              <w:top w:val="single" w:sz="12" w:space="0" w:color="auto"/>
              <w:left w:val="single" w:sz="12" w:space="0" w:color="auto"/>
              <w:tl2br w:val="single" w:sz="4" w:space="0" w:color="auto"/>
            </w:tcBorders>
          </w:tcPr>
          <w:p w:rsidR="00CB589E" w:rsidRPr="006476B3" w:rsidRDefault="00CB589E" w:rsidP="00745375">
            <w:pPr>
              <w:spacing w:line="400" w:lineRule="exact"/>
              <w:jc w:val="right"/>
              <w:rPr>
                <w:rFonts w:ascii="微軟正黑體" w:eastAsia="微軟正黑體" w:hAnsi="微軟正黑體"/>
                <w:b/>
              </w:rPr>
            </w:pPr>
            <w:r w:rsidRPr="006476B3">
              <w:rPr>
                <w:rFonts w:ascii="微軟正黑體" w:eastAsia="微軟正黑體" w:hAnsi="微軟正黑體" w:hint="eastAsia"/>
                <w:b/>
              </w:rPr>
              <w:t>身分</w:t>
            </w:r>
          </w:p>
          <w:p w:rsidR="00CB589E" w:rsidRPr="006476B3" w:rsidRDefault="00CB589E" w:rsidP="00745375">
            <w:pPr>
              <w:spacing w:line="400" w:lineRule="exact"/>
              <w:rPr>
                <w:rFonts w:ascii="微軟正黑體" w:eastAsia="微軟正黑體" w:hAnsi="微軟正黑體"/>
                <w:b/>
              </w:rPr>
            </w:pPr>
            <w:r w:rsidRPr="006476B3">
              <w:rPr>
                <w:rFonts w:ascii="微軟正黑體" w:eastAsia="微軟正黑體" w:hAnsi="微軟正黑體" w:hint="eastAsia"/>
                <w:b/>
              </w:rPr>
              <w:t>保障層次</w:t>
            </w:r>
          </w:p>
        </w:tc>
        <w:tc>
          <w:tcPr>
            <w:tcW w:w="992" w:type="dxa"/>
            <w:tcBorders>
              <w:top w:val="single" w:sz="12" w:space="0" w:color="auto"/>
            </w:tcBorders>
            <w:vAlign w:val="center"/>
          </w:tcPr>
          <w:p w:rsidR="00CB589E" w:rsidRPr="006476B3" w:rsidRDefault="00CB589E" w:rsidP="00745375">
            <w:pPr>
              <w:spacing w:line="280" w:lineRule="exact"/>
              <w:jc w:val="center"/>
              <w:rPr>
                <w:rFonts w:ascii="微軟正黑體" w:eastAsia="微軟正黑體" w:hAnsi="微軟正黑體"/>
                <w:b/>
              </w:rPr>
            </w:pPr>
            <w:r w:rsidRPr="006476B3">
              <w:rPr>
                <w:rFonts w:ascii="微軟正黑體" w:eastAsia="微軟正黑體" w:hAnsi="微軟正黑體" w:hint="eastAsia"/>
                <w:b/>
              </w:rPr>
              <w:t>軍職</w:t>
            </w:r>
          </w:p>
          <w:p w:rsidR="00CB589E" w:rsidRPr="006476B3" w:rsidRDefault="00CB589E" w:rsidP="00745375">
            <w:pPr>
              <w:spacing w:line="280" w:lineRule="exact"/>
              <w:jc w:val="center"/>
              <w:rPr>
                <w:rFonts w:ascii="微軟正黑體" w:eastAsia="微軟正黑體" w:hAnsi="微軟正黑體"/>
                <w:b/>
              </w:rPr>
            </w:pPr>
            <w:r w:rsidRPr="006476B3">
              <w:rPr>
                <w:rFonts w:ascii="微軟正黑體" w:eastAsia="微軟正黑體" w:hAnsi="微軟正黑體" w:hint="eastAsia"/>
                <w:b/>
              </w:rPr>
              <w:t>人員</w:t>
            </w:r>
          </w:p>
        </w:tc>
        <w:tc>
          <w:tcPr>
            <w:tcW w:w="2126" w:type="dxa"/>
            <w:gridSpan w:val="3"/>
            <w:tcBorders>
              <w:top w:val="single" w:sz="12" w:space="0" w:color="auto"/>
            </w:tcBorders>
            <w:vAlign w:val="center"/>
          </w:tcPr>
          <w:p w:rsidR="00CB589E" w:rsidRPr="006476B3" w:rsidRDefault="00CB589E" w:rsidP="00745375">
            <w:pPr>
              <w:spacing w:line="280" w:lineRule="exact"/>
              <w:jc w:val="center"/>
              <w:rPr>
                <w:rFonts w:ascii="微軟正黑體" w:eastAsia="微軟正黑體" w:hAnsi="微軟正黑體"/>
                <w:b/>
              </w:rPr>
            </w:pPr>
            <w:r w:rsidRPr="006476B3">
              <w:rPr>
                <w:rFonts w:ascii="微軟正黑體" w:eastAsia="微軟正黑體" w:hAnsi="微軟正黑體" w:hint="eastAsia"/>
                <w:b/>
              </w:rPr>
              <w:t>公教人員</w:t>
            </w:r>
          </w:p>
        </w:tc>
        <w:tc>
          <w:tcPr>
            <w:tcW w:w="2977" w:type="dxa"/>
            <w:tcBorders>
              <w:top w:val="single" w:sz="12" w:space="0" w:color="auto"/>
            </w:tcBorders>
            <w:vAlign w:val="center"/>
          </w:tcPr>
          <w:p w:rsidR="00CB589E" w:rsidRPr="006476B3" w:rsidRDefault="00CB589E" w:rsidP="00745375">
            <w:pPr>
              <w:spacing w:line="280" w:lineRule="exact"/>
              <w:jc w:val="center"/>
              <w:rPr>
                <w:rFonts w:ascii="微軟正黑體" w:eastAsia="微軟正黑體" w:hAnsi="微軟正黑體"/>
                <w:b/>
              </w:rPr>
            </w:pPr>
            <w:r w:rsidRPr="006476B3">
              <w:rPr>
                <w:rFonts w:ascii="微軟正黑體" w:eastAsia="微軟正黑體" w:hAnsi="微軟正黑體" w:hint="eastAsia"/>
                <w:b/>
              </w:rPr>
              <w:t>勞工</w:t>
            </w:r>
          </w:p>
        </w:tc>
        <w:tc>
          <w:tcPr>
            <w:tcW w:w="992" w:type="dxa"/>
            <w:tcBorders>
              <w:top w:val="single" w:sz="12" w:space="0" w:color="auto"/>
            </w:tcBorders>
            <w:vAlign w:val="center"/>
          </w:tcPr>
          <w:p w:rsidR="00CB589E" w:rsidRPr="006476B3" w:rsidRDefault="00CB589E" w:rsidP="00745375">
            <w:pPr>
              <w:spacing w:line="280" w:lineRule="exact"/>
              <w:jc w:val="center"/>
              <w:rPr>
                <w:rFonts w:ascii="微軟正黑體" w:eastAsia="微軟正黑體" w:hAnsi="微軟正黑體"/>
                <w:b/>
              </w:rPr>
            </w:pPr>
            <w:r w:rsidRPr="006476B3">
              <w:rPr>
                <w:rFonts w:ascii="微軟正黑體" w:eastAsia="微軟正黑體" w:hAnsi="微軟正黑體" w:hint="eastAsia"/>
                <w:b/>
              </w:rPr>
              <w:t>農民</w:t>
            </w:r>
          </w:p>
        </w:tc>
        <w:tc>
          <w:tcPr>
            <w:tcW w:w="993" w:type="dxa"/>
            <w:tcBorders>
              <w:top w:val="single" w:sz="12" w:space="0" w:color="auto"/>
              <w:right w:val="single" w:sz="12" w:space="0" w:color="auto"/>
            </w:tcBorders>
            <w:vAlign w:val="center"/>
          </w:tcPr>
          <w:p w:rsidR="00CB589E" w:rsidRPr="006476B3" w:rsidRDefault="00CB589E" w:rsidP="00745375">
            <w:pPr>
              <w:spacing w:line="280" w:lineRule="exact"/>
              <w:ind w:leftChars="-45" w:left="-108" w:rightChars="-18" w:right="-43"/>
              <w:jc w:val="center"/>
              <w:rPr>
                <w:rFonts w:ascii="微軟正黑體" w:eastAsia="微軟正黑體" w:hAnsi="微軟正黑體"/>
                <w:b/>
              </w:rPr>
            </w:pPr>
            <w:r w:rsidRPr="006476B3">
              <w:rPr>
                <w:rFonts w:ascii="微軟正黑體" w:eastAsia="微軟正黑體" w:hAnsi="微軟正黑體" w:hint="eastAsia"/>
                <w:b/>
              </w:rPr>
              <w:t>未就業</w:t>
            </w:r>
          </w:p>
          <w:p w:rsidR="00CB589E" w:rsidRPr="006476B3" w:rsidRDefault="00CB589E" w:rsidP="00745375">
            <w:pPr>
              <w:spacing w:line="280" w:lineRule="exact"/>
              <w:jc w:val="center"/>
              <w:rPr>
                <w:rFonts w:ascii="微軟正黑體" w:eastAsia="微軟正黑體" w:hAnsi="微軟正黑體"/>
                <w:b/>
              </w:rPr>
            </w:pPr>
            <w:r w:rsidRPr="006476B3">
              <w:rPr>
                <w:rFonts w:ascii="微軟正黑體" w:eastAsia="微軟正黑體" w:hAnsi="微軟正黑體" w:hint="eastAsia"/>
                <w:b/>
              </w:rPr>
              <w:t>國民</w:t>
            </w:r>
          </w:p>
        </w:tc>
      </w:tr>
      <w:tr w:rsidR="00CB589E" w:rsidRPr="006476B3" w:rsidTr="00D766E4">
        <w:trPr>
          <w:jc w:val="center"/>
        </w:trPr>
        <w:tc>
          <w:tcPr>
            <w:tcW w:w="1277" w:type="dxa"/>
            <w:tcBorders>
              <w:left w:val="single" w:sz="12" w:space="0" w:color="auto"/>
            </w:tcBorders>
            <w:vAlign w:val="center"/>
          </w:tcPr>
          <w:p w:rsidR="00CB589E" w:rsidRPr="006476B3" w:rsidRDefault="00CB589E" w:rsidP="00745375">
            <w:pPr>
              <w:spacing w:line="320" w:lineRule="exact"/>
              <w:jc w:val="center"/>
              <w:rPr>
                <w:rFonts w:ascii="微軟正黑體" w:eastAsia="微軟正黑體" w:hAnsi="微軟正黑體"/>
                <w:b/>
              </w:rPr>
            </w:pPr>
            <w:r w:rsidRPr="006476B3">
              <w:rPr>
                <w:rFonts w:ascii="微軟正黑體" w:eastAsia="微軟正黑體" w:hAnsi="微軟正黑體" w:hint="eastAsia"/>
                <w:b/>
              </w:rPr>
              <w:t>第三層</w:t>
            </w:r>
          </w:p>
          <w:p w:rsidR="00CB589E" w:rsidRPr="006476B3" w:rsidRDefault="00CB589E" w:rsidP="00745375">
            <w:pPr>
              <w:spacing w:line="320" w:lineRule="exact"/>
              <w:jc w:val="center"/>
              <w:rPr>
                <w:rFonts w:ascii="微軟正黑體" w:eastAsia="微軟正黑體" w:hAnsi="微軟正黑體"/>
                <w:b/>
              </w:rPr>
            </w:pPr>
            <w:r w:rsidRPr="006476B3">
              <w:rPr>
                <w:rFonts w:ascii="微軟正黑體" w:eastAsia="微軟正黑體" w:hAnsi="微軟正黑體" w:hint="eastAsia"/>
                <w:b/>
              </w:rPr>
              <w:t>個人保障</w:t>
            </w:r>
          </w:p>
        </w:tc>
        <w:tc>
          <w:tcPr>
            <w:tcW w:w="8080" w:type="dxa"/>
            <w:gridSpan w:val="7"/>
            <w:tcBorders>
              <w:right w:val="single" w:sz="12" w:space="0" w:color="auto"/>
            </w:tcBorders>
            <w:vAlign w:val="center"/>
          </w:tcPr>
          <w:p w:rsidR="00CB589E" w:rsidRPr="006476B3" w:rsidRDefault="00CB589E" w:rsidP="00745375">
            <w:pPr>
              <w:spacing w:line="280" w:lineRule="exact"/>
              <w:jc w:val="center"/>
              <w:rPr>
                <w:rFonts w:ascii="微軟正黑體" w:eastAsia="微軟正黑體" w:hAnsi="微軟正黑體"/>
              </w:rPr>
            </w:pPr>
            <w:r w:rsidRPr="00BE78F8">
              <w:rPr>
                <w:rFonts w:ascii="微軟正黑體" w:eastAsia="微軟正黑體" w:hAnsi="微軟正黑體" w:hint="eastAsia"/>
                <w:sz w:val="22"/>
              </w:rPr>
              <w:t>私人商業保險、個人儲蓄、家庭互助</w:t>
            </w:r>
          </w:p>
        </w:tc>
      </w:tr>
      <w:tr w:rsidR="00CB589E" w:rsidRPr="006476B3" w:rsidTr="00D766E4">
        <w:trPr>
          <w:trHeight w:val="2794"/>
          <w:jc w:val="center"/>
        </w:trPr>
        <w:tc>
          <w:tcPr>
            <w:tcW w:w="1277" w:type="dxa"/>
            <w:tcBorders>
              <w:left w:val="single" w:sz="12" w:space="0" w:color="auto"/>
            </w:tcBorders>
            <w:vAlign w:val="center"/>
          </w:tcPr>
          <w:p w:rsidR="00CB589E" w:rsidRPr="006476B3" w:rsidRDefault="00CB589E" w:rsidP="00745375">
            <w:pPr>
              <w:spacing w:line="320" w:lineRule="exact"/>
              <w:jc w:val="center"/>
              <w:rPr>
                <w:rFonts w:ascii="微軟正黑體" w:eastAsia="微軟正黑體" w:hAnsi="微軟正黑體"/>
                <w:b/>
              </w:rPr>
            </w:pPr>
            <w:r w:rsidRPr="006476B3">
              <w:rPr>
                <w:rFonts w:ascii="微軟正黑體" w:eastAsia="微軟正黑體" w:hAnsi="微軟正黑體" w:hint="eastAsia"/>
                <w:b/>
              </w:rPr>
              <w:t>第二層</w:t>
            </w:r>
          </w:p>
          <w:p w:rsidR="00CB589E" w:rsidRPr="006476B3" w:rsidRDefault="00CB589E" w:rsidP="00745375">
            <w:pPr>
              <w:spacing w:line="320" w:lineRule="exact"/>
              <w:jc w:val="center"/>
              <w:rPr>
                <w:rFonts w:ascii="微軟正黑體" w:eastAsia="微軟正黑體" w:hAnsi="微軟正黑體"/>
                <w:b/>
              </w:rPr>
            </w:pPr>
            <w:r w:rsidRPr="006476B3">
              <w:rPr>
                <w:rFonts w:ascii="微軟正黑體" w:eastAsia="微軟正黑體" w:hAnsi="微軟正黑體" w:hint="eastAsia"/>
                <w:b/>
              </w:rPr>
              <w:t>職業</w:t>
            </w:r>
          </w:p>
          <w:p w:rsidR="00CB589E" w:rsidRPr="006476B3" w:rsidRDefault="00CB589E" w:rsidP="00745375">
            <w:pPr>
              <w:spacing w:line="320" w:lineRule="exact"/>
              <w:jc w:val="center"/>
              <w:rPr>
                <w:rFonts w:ascii="微軟正黑體" w:eastAsia="微軟正黑體" w:hAnsi="微軟正黑體"/>
                <w:b/>
              </w:rPr>
            </w:pPr>
            <w:r w:rsidRPr="006476B3">
              <w:rPr>
                <w:rFonts w:ascii="微軟正黑體" w:eastAsia="微軟正黑體" w:hAnsi="微軟正黑體" w:hint="eastAsia"/>
                <w:b/>
              </w:rPr>
              <w:t>退休金</w:t>
            </w:r>
          </w:p>
        </w:tc>
        <w:tc>
          <w:tcPr>
            <w:tcW w:w="1984" w:type="dxa"/>
            <w:gridSpan w:val="2"/>
            <w:shd w:val="clear" w:color="auto" w:fill="DBE5F1" w:themeFill="accent1" w:themeFillTint="33"/>
            <w:vAlign w:val="center"/>
          </w:tcPr>
          <w:p w:rsidR="00CB589E" w:rsidRPr="00BE78F8" w:rsidRDefault="00CB589E" w:rsidP="00745375">
            <w:pPr>
              <w:spacing w:line="320" w:lineRule="exact"/>
              <w:jc w:val="center"/>
              <w:rPr>
                <w:rFonts w:ascii="微軟正黑體" w:eastAsia="微軟正黑體" w:hAnsi="微軟正黑體"/>
                <w:sz w:val="22"/>
              </w:rPr>
            </w:pPr>
            <w:r w:rsidRPr="00BE78F8">
              <w:rPr>
                <w:rFonts w:ascii="微軟正黑體" w:eastAsia="微軟正黑體" w:hAnsi="微軟正黑體" w:hint="eastAsia"/>
                <w:sz w:val="22"/>
              </w:rPr>
              <w:t>軍公教人員</w:t>
            </w:r>
          </w:p>
          <w:p w:rsidR="00CB589E" w:rsidRDefault="00CB589E" w:rsidP="00745375">
            <w:pPr>
              <w:spacing w:line="320" w:lineRule="exact"/>
              <w:jc w:val="center"/>
              <w:rPr>
                <w:rFonts w:ascii="微軟正黑體" w:eastAsia="微軟正黑體" w:hAnsi="微軟正黑體"/>
              </w:rPr>
            </w:pPr>
            <w:r w:rsidRPr="00BE78F8">
              <w:rPr>
                <w:rFonts w:ascii="微軟正黑體" w:eastAsia="微軟正黑體" w:hAnsi="微軟正黑體" w:hint="eastAsia"/>
                <w:sz w:val="22"/>
              </w:rPr>
              <w:t>退撫制度</w:t>
            </w:r>
          </w:p>
          <w:p w:rsidR="00CB589E" w:rsidRPr="006476B3" w:rsidRDefault="00CB589E" w:rsidP="00745375">
            <w:pPr>
              <w:spacing w:line="320" w:lineRule="exact"/>
              <w:jc w:val="center"/>
              <w:rPr>
                <w:rFonts w:ascii="微軟正黑體" w:eastAsia="微軟正黑體" w:hAnsi="微軟正黑體"/>
                <w:sz w:val="20"/>
                <w:szCs w:val="20"/>
              </w:rPr>
            </w:pPr>
            <w:r w:rsidRPr="006476B3">
              <w:rPr>
                <w:rFonts w:ascii="微軟正黑體" w:eastAsia="微軟正黑體" w:hAnsi="微軟正黑體" w:hint="eastAsia"/>
                <w:sz w:val="20"/>
                <w:szCs w:val="20"/>
              </w:rPr>
              <w:t>(DB/年金)</w:t>
            </w:r>
          </w:p>
          <w:p w:rsidR="00CB589E" w:rsidRPr="006476B3" w:rsidRDefault="00CB589E" w:rsidP="00745375">
            <w:pPr>
              <w:spacing w:line="320" w:lineRule="exact"/>
              <w:jc w:val="center"/>
              <w:rPr>
                <w:rFonts w:ascii="微軟正黑體" w:eastAsia="微軟正黑體" w:hAnsi="微軟正黑體"/>
              </w:rPr>
            </w:pPr>
            <w:r w:rsidRPr="006476B3">
              <w:rPr>
                <w:rFonts w:ascii="微軟正黑體" w:eastAsia="微軟正黑體" w:hAnsi="微軟正黑體" w:hint="eastAsia"/>
                <w:sz w:val="20"/>
                <w:szCs w:val="20"/>
              </w:rPr>
              <w:t>(67.2萬人)</w:t>
            </w:r>
          </w:p>
        </w:tc>
        <w:tc>
          <w:tcPr>
            <w:tcW w:w="456" w:type="dxa"/>
            <w:shd w:val="clear" w:color="auto" w:fill="DBE5F1" w:themeFill="accent1" w:themeFillTint="33"/>
            <w:vAlign w:val="center"/>
          </w:tcPr>
          <w:p w:rsidR="00CB589E" w:rsidRPr="006476B3" w:rsidRDefault="00CB589E" w:rsidP="00745375">
            <w:pPr>
              <w:spacing w:line="280" w:lineRule="exact"/>
              <w:jc w:val="center"/>
              <w:rPr>
                <w:rFonts w:ascii="微軟正黑體" w:eastAsia="微軟正黑體" w:hAnsi="微軟正黑體"/>
              </w:rPr>
            </w:pPr>
            <w:r w:rsidRPr="00BE78F8">
              <w:rPr>
                <w:rFonts w:ascii="微軟正黑體" w:eastAsia="微軟正黑體" w:hAnsi="微軟正黑體" w:hint="eastAsia"/>
                <w:sz w:val="22"/>
              </w:rPr>
              <w:t>國營事業退撫制度</w:t>
            </w:r>
          </w:p>
        </w:tc>
        <w:tc>
          <w:tcPr>
            <w:tcW w:w="678" w:type="dxa"/>
            <w:shd w:val="clear" w:color="auto" w:fill="DBE5F1" w:themeFill="accent1" w:themeFillTint="33"/>
            <w:vAlign w:val="center"/>
          </w:tcPr>
          <w:p w:rsidR="00CB589E" w:rsidRDefault="00CB589E" w:rsidP="00745375">
            <w:pPr>
              <w:spacing w:line="280" w:lineRule="exact"/>
              <w:ind w:leftChars="-57" w:left="-137" w:rightChars="-45" w:right="-108"/>
              <w:jc w:val="center"/>
              <w:rPr>
                <w:rFonts w:ascii="微軟正黑體" w:eastAsia="微軟正黑體" w:hAnsi="微軟正黑體"/>
              </w:rPr>
            </w:pPr>
            <w:r w:rsidRPr="00BE78F8">
              <w:rPr>
                <w:rFonts w:ascii="微軟正黑體" w:eastAsia="微軟正黑體" w:hAnsi="微軟正黑體" w:hint="eastAsia"/>
                <w:sz w:val="22"/>
              </w:rPr>
              <w:t>私校教職員退撫儲金新制</w:t>
            </w:r>
          </w:p>
          <w:p w:rsidR="00CB589E"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(DC)</w:t>
            </w:r>
          </w:p>
          <w:p w:rsidR="00CB589E" w:rsidRPr="006476B3" w:rsidRDefault="00CB589E" w:rsidP="00745375">
            <w:pPr>
              <w:spacing w:line="280" w:lineRule="exact"/>
              <w:ind w:leftChars="-57" w:left="-137" w:rightChars="-45" w:right="-108"/>
              <w:jc w:val="center"/>
              <w:rPr>
                <w:rFonts w:ascii="微軟正黑體" w:eastAsia="微軟正黑體" w:hAnsi="微軟正黑體"/>
                <w:sz w:val="20"/>
                <w:szCs w:val="20"/>
              </w:rPr>
            </w:pPr>
            <w:r>
              <w:rPr>
                <w:rFonts w:ascii="微軟正黑體" w:eastAsia="微軟正黑體" w:hAnsi="微軟正黑體" w:hint="eastAsia"/>
                <w:sz w:val="20"/>
                <w:szCs w:val="20"/>
              </w:rPr>
              <w:t>(5.0  萬人)</w:t>
            </w:r>
          </w:p>
        </w:tc>
        <w:tc>
          <w:tcPr>
            <w:tcW w:w="2977" w:type="dxa"/>
            <w:shd w:val="clear" w:color="auto" w:fill="DBE5F1" w:themeFill="accent1" w:themeFillTint="33"/>
            <w:vAlign w:val="center"/>
          </w:tcPr>
          <w:p w:rsidR="00CB589E" w:rsidRPr="00BE78F8" w:rsidRDefault="00CB589E" w:rsidP="00745375">
            <w:pPr>
              <w:spacing w:line="280" w:lineRule="exact"/>
              <w:jc w:val="center"/>
              <w:rPr>
                <w:rFonts w:ascii="微軟正黑體" w:eastAsia="微軟正黑體" w:hAnsi="微軟正黑體"/>
                <w:sz w:val="22"/>
              </w:rPr>
            </w:pPr>
            <w:r w:rsidRPr="00BE78F8">
              <w:rPr>
                <w:rFonts w:ascii="微軟正黑體" w:eastAsia="微軟正黑體" w:hAnsi="微軟正黑體" w:hint="eastAsia"/>
                <w:sz w:val="22"/>
              </w:rPr>
              <w:t>勞工退休金</w:t>
            </w:r>
          </w:p>
          <w:p w:rsidR="00CB589E"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(DC)</w:t>
            </w:r>
          </w:p>
          <w:p w:rsidR="00CB589E"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(新/708.4萬人)</w:t>
            </w:r>
          </w:p>
          <w:p w:rsidR="00CB589E"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(DB)</w:t>
            </w:r>
          </w:p>
          <w:p w:rsidR="00CB589E" w:rsidRPr="006476B3"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(舊/70.9萬人)</w:t>
            </w:r>
          </w:p>
        </w:tc>
        <w:tc>
          <w:tcPr>
            <w:tcW w:w="992" w:type="dxa"/>
            <w:shd w:val="clear" w:color="auto" w:fill="DBE5F1" w:themeFill="accent1" w:themeFillTint="33"/>
            <w:vAlign w:val="center"/>
          </w:tcPr>
          <w:p w:rsidR="00CB589E" w:rsidRPr="00BE78F8" w:rsidRDefault="00CB589E" w:rsidP="00745375">
            <w:pPr>
              <w:spacing w:line="280" w:lineRule="exact"/>
              <w:ind w:leftChars="-45" w:left="-108" w:rightChars="-45" w:right="-108"/>
              <w:jc w:val="center"/>
              <w:rPr>
                <w:rFonts w:ascii="微軟正黑體" w:eastAsia="微軟正黑體" w:hAnsi="微軟正黑體"/>
                <w:sz w:val="22"/>
              </w:rPr>
            </w:pPr>
            <w:r w:rsidRPr="00BE78F8">
              <w:rPr>
                <w:rFonts w:ascii="微軟正黑體" w:eastAsia="微軟正黑體" w:hAnsi="微軟正黑體" w:hint="eastAsia"/>
                <w:sz w:val="22"/>
              </w:rPr>
              <w:t>農民退休儲金</w:t>
            </w:r>
          </w:p>
          <w:p w:rsidR="00CB589E"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(DC)</w:t>
            </w:r>
          </w:p>
          <w:p w:rsidR="00CB589E" w:rsidRPr="006476B3" w:rsidRDefault="00CB589E" w:rsidP="00745375">
            <w:pPr>
              <w:spacing w:line="280" w:lineRule="exact"/>
              <w:ind w:leftChars="-45" w:left="-108" w:rightChars="-45" w:right="-108"/>
              <w:jc w:val="center"/>
              <w:rPr>
                <w:rFonts w:ascii="微軟正黑體" w:eastAsia="微軟正黑體" w:hAnsi="微軟正黑體"/>
                <w:sz w:val="20"/>
                <w:szCs w:val="20"/>
              </w:rPr>
            </w:pPr>
            <w:r>
              <w:rPr>
                <w:rFonts w:ascii="微軟正黑體" w:eastAsia="微軟正黑體" w:hAnsi="微軟正黑體" w:hint="eastAsia"/>
                <w:sz w:val="20"/>
                <w:szCs w:val="20"/>
              </w:rPr>
              <w:t>(110年起實施)</w:t>
            </w:r>
          </w:p>
        </w:tc>
        <w:tc>
          <w:tcPr>
            <w:tcW w:w="993" w:type="dxa"/>
            <w:tcBorders>
              <w:right w:val="single" w:sz="12" w:space="0" w:color="auto"/>
            </w:tcBorders>
            <w:vAlign w:val="center"/>
          </w:tcPr>
          <w:p w:rsidR="00CB589E" w:rsidRPr="006476B3" w:rsidRDefault="00CB589E" w:rsidP="00745375">
            <w:pPr>
              <w:spacing w:line="280" w:lineRule="exact"/>
              <w:jc w:val="center"/>
              <w:rPr>
                <w:rFonts w:ascii="微軟正黑體" w:eastAsia="微軟正黑體" w:hAnsi="微軟正黑體"/>
              </w:rPr>
            </w:pPr>
          </w:p>
        </w:tc>
      </w:tr>
      <w:tr w:rsidR="00CB589E" w:rsidRPr="006476B3" w:rsidTr="00D766E4">
        <w:trPr>
          <w:trHeight w:val="1417"/>
          <w:jc w:val="center"/>
        </w:trPr>
        <w:tc>
          <w:tcPr>
            <w:tcW w:w="1277" w:type="dxa"/>
            <w:tcBorders>
              <w:left w:val="single" w:sz="12" w:space="0" w:color="auto"/>
              <w:bottom w:val="single" w:sz="12" w:space="0" w:color="auto"/>
            </w:tcBorders>
            <w:vAlign w:val="center"/>
          </w:tcPr>
          <w:p w:rsidR="00CB589E" w:rsidRPr="006476B3" w:rsidRDefault="00CB589E" w:rsidP="00745375">
            <w:pPr>
              <w:spacing w:line="320" w:lineRule="exact"/>
              <w:jc w:val="center"/>
              <w:rPr>
                <w:rFonts w:ascii="微軟正黑體" w:eastAsia="微軟正黑體" w:hAnsi="微軟正黑體"/>
                <w:b/>
              </w:rPr>
            </w:pPr>
            <w:r w:rsidRPr="006476B3">
              <w:rPr>
                <w:rFonts w:ascii="微軟正黑體" w:eastAsia="微軟正黑體" w:hAnsi="微軟正黑體" w:hint="eastAsia"/>
                <w:b/>
              </w:rPr>
              <w:t>第一層</w:t>
            </w:r>
          </w:p>
          <w:p w:rsidR="00CB589E" w:rsidRPr="006476B3" w:rsidRDefault="00CB589E" w:rsidP="00745375">
            <w:pPr>
              <w:spacing w:line="320" w:lineRule="exact"/>
              <w:jc w:val="center"/>
              <w:rPr>
                <w:rFonts w:ascii="微軟正黑體" w:eastAsia="微軟正黑體" w:hAnsi="微軟正黑體"/>
                <w:b/>
              </w:rPr>
            </w:pPr>
            <w:r w:rsidRPr="006476B3">
              <w:rPr>
                <w:rFonts w:ascii="微軟正黑體" w:eastAsia="微軟正黑體" w:hAnsi="微軟正黑體" w:hint="eastAsia"/>
                <w:b/>
              </w:rPr>
              <w:t>社會保險</w:t>
            </w:r>
          </w:p>
        </w:tc>
        <w:tc>
          <w:tcPr>
            <w:tcW w:w="992" w:type="dxa"/>
            <w:tcBorders>
              <w:bottom w:val="single" w:sz="12" w:space="0" w:color="auto"/>
            </w:tcBorders>
            <w:shd w:val="clear" w:color="auto" w:fill="FBD4B4" w:themeFill="accent6" w:themeFillTint="66"/>
            <w:vAlign w:val="center"/>
          </w:tcPr>
          <w:p w:rsidR="00BE78F8" w:rsidRDefault="00CB589E" w:rsidP="00745375">
            <w:pPr>
              <w:spacing w:line="280" w:lineRule="exact"/>
              <w:jc w:val="center"/>
              <w:rPr>
                <w:rFonts w:ascii="微軟正黑體" w:eastAsia="微軟正黑體" w:hAnsi="微軟正黑體"/>
                <w:sz w:val="22"/>
              </w:rPr>
            </w:pPr>
            <w:r w:rsidRPr="00BE78F8">
              <w:rPr>
                <w:rFonts w:ascii="微軟正黑體" w:eastAsia="微軟正黑體" w:hAnsi="微軟正黑體" w:hint="eastAsia"/>
                <w:sz w:val="22"/>
              </w:rPr>
              <w:t>軍人</w:t>
            </w:r>
          </w:p>
          <w:p w:rsidR="00CB589E" w:rsidRDefault="00CB589E" w:rsidP="00745375">
            <w:pPr>
              <w:spacing w:line="280" w:lineRule="exact"/>
              <w:jc w:val="center"/>
              <w:rPr>
                <w:rFonts w:ascii="微軟正黑體" w:eastAsia="微軟正黑體" w:hAnsi="微軟正黑體"/>
              </w:rPr>
            </w:pPr>
            <w:r w:rsidRPr="00BE78F8">
              <w:rPr>
                <w:rFonts w:ascii="微軟正黑體" w:eastAsia="微軟正黑體" w:hAnsi="微軟正黑體" w:hint="eastAsia"/>
                <w:sz w:val="22"/>
              </w:rPr>
              <w:t>保險</w:t>
            </w:r>
          </w:p>
          <w:p w:rsidR="00CB589E"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(DB)</w:t>
            </w:r>
          </w:p>
          <w:p w:rsidR="00CB589E" w:rsidRPr="00701866" w:rsidRDefault="00CB589E" w:rsidP="00745375">
            <w:pPr>
              <w:spacing w:line="280" w:lineRule="exact"/>
              <w:ind w:leftChars="-83" w:left="-199" w:rightChars="-45" w:right="-108"/>
              <w:jc w:val="center"/>
              <w:rPr>
                <w:rFonts w:ascii="微軟正黑體" w:eastAsia="微軟正黑體" w:hAnsi="微軟正黑體"/>
                <w:spacing w:val="-18"/>
                <w:sz w:val="20"/>
                <w:szCs w:val="20"/>
              </w:rPr>
            </w:pPr>
            <w:r w:rsidRPr="00701866">
              <w:rPr>
                <w:rFonts w:ascii="微軟正黑體" w:eastAsia="微軟正黑體" w:hAnsi="微軟正黑體" w:hint="eastAsia"/>
                <w:spacing w:val="-18"/>
                <w:sz w:val="20"/>
                <w:szCs w:val="20"/>
              </w:rPr>
              <w:t>(21.7萬人)</w:t>
            </w:r>
          </w:p>
        </w:tc>
        <w:tc>
          <w:tcPr>
            <w:tcW w:w="2126" w:type="dxa"/>
            <w:gridSpan w:val="3"/>
            <w:tcBorders>
              <w:bottom w:val="single" w:sz="12" w:space="0" w:color="auto"/>
            </w:tcBorders>
            <w:shd w:val="clear" w:color="auto" w:fill="FBD4B4" w:themeFill="accent6" w:themeFillTint="66"/>
            <w:vAlign w:val="center"/>
          </w:tcPr>
          <w:p w:rsidR="00CB589E" w:rsidRPr="00BE78F8" w:rsidRDefault="00CB589E" w:rsidP="00745375">
            <w:pPr>
              <w:spacing w:line="280" w:lineRule="exact"/>
              <w:jc w:val="center"/>
              <w:rPr>
                <w:rFonts w:ascii="微軟正黑體" w:eastAsia="微軟正黑體" w:hAnsi="微軟正黑體"/>
                <w:sz w:val="22"/>
              </w:rPr>
            </w:pPr>
            <w:r w:rsidRPr="00BE78F8">
              <w:rPr>
                <w:rFonts w:ascii="微軟正黑體" w:eastAsia="微軟正黑體" w:hAnsi="微軟正黑體" w:hint="eastAsia"/>
                <w:sz w:val="22"/>
              </w:rPr>
              <w:t>公教人員保險</w:t>
            </w:r>
          </w:p>
          <w:p w:rsidR="00CB589E"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(DB)</w:t>
            </w:r>
          </w:p>
          <w:p w:rsidR="00CB589E" w:rsidRPr="00701866"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(59.4萬人)</w:t>
            </w:r>
          </w:p>
        </w:tc>
        <w:tc>
          <w:tcPr>
            <w:tcW w:w="2977" w:type="dxa"/>
            <w:tcBorders>
              <w:bottom w:val="single" w:sz="12" w:space="0" w:color="auto"/>
            </w:tcBorders>
            <w:shd w:val="clear" w:color="auto" w:fill="FBD4B4" w:themeFill="accent6" w:themeFillTint="66"/>
            <w:vAlign w:val="center"/>
          </w:tcPr>
          <w:p w:rsidR="00CB589E" w:rsidRPr="00BE78F8" w:rsidRDefault="00CB589E" w:rsidP="00745375">
            <w:pPr>
              <w:spacing w:line="280" w:lineRule="exact"/>
              <w:jc w:val="center"/>
              <w:rPr>
                <w:rFonts w:ascii="微軟正黑體" w:eastAsia="微軟正黑體" w:hAnsi="微軟正黑體"/>
                <w:sz w:val="22"/>
              </w:rPr>
            </w:pPr>
            <w:r w:rsidRPr="00BE78F8">
              <w:rPr>
                <w:rFonts w:ascii="微軟正黑體" w:eastAsia="微軟正黑體" w:hAnsi="微軟正黑體" w:hint="eastAsia"/>
                <w:sz w:val="22"/>
              </w:rPr>
              <w:t>勞工保險</w:t>
            </w:r>
          </w:p>
          <w:p w:rsidR="00CB589E"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(DB/年金)</w:t>
            </w:r>
          </w:p>
          <w:p w:rsidR="00CB589E" w:rsidRPr="00701866" w:rsidRDefault="00CB589E" w:rsidP="00745375">
            <w:pPr>
              <w:spacing w:line="280" w:lineRule="exact"/>
              <w:jc w:val="center"/>
              <w:rPr>
                <w:rFonts w:ascii="微軟正黑體" w:eastAsia="微軟正黑體" w:hAnsi="微軟正黑體"/>
                <w:sz w:val="20"/>
                <w:szCs w:val="20"/>
              </w:rPr>
            </w:pPr>
            <w:r>
              <w:rPr>
                <w:rFonts w:ascii="微軟正黑體" w:eastAsia="微軟正黑體" w:hAnsi="微軟正黑體" w:hint="eastAsia"/>
                <w:sz w:val="20"/>
                <w:szCs w:val="20"/>
              </w:rPr>
              <w:t>(1,055.5萬人)</w:t>
            </w:r>
          </w:p>
        </w:tc>
        <w:tc>
          <w:tcPr>
            <w:tcW w:w="992" w:type="dxa"/>
            <w:tcBorders>
              <w:bottom w:val="single" w:sz="12" w:space="0" w:color="auto"/>
            </w:tcBorders>
            <w:shd w:val="clear" w:color="auto" w:fill="FBD4B4" w:themeFill="accent6" w:themeFillTint="66"/>
            <w:vAlign w:val="center"/>
          </w:tcPr>
          <w:p w:rsidR="00CB589E" w:rsidRPr="00BE78F8" w:rsidRDefault="00CB589E" w:rsidP="00745375">
            <w:pPr>
              <w:spacing w:line="280" w:lineRule="exact"/>
              <w:ind w:leftChars="-45" w:left="-108" w:rightChars="-45" w:right="-108"/>
              <w:jc w:val="center"/>
              <w:rPr>
                <w:rFonts w:ascii="微軟正黑體" w:eastAsia="微軟正黑體" w:hAnsi="微軟正黑體"/>
                <w:sz w:val="22"/>
              </w:rPr>
            </w:pPr>
            <w:r w:rsidRPr="00BE78F8">
              <w:rPr>
                <w:rFonts w:ascii="微軟正黑體" w:eastAsia="微軟正黑體" w:hAnsi="微軟正黑體" w:hint="eastAsia"/>
                <w:sz w:val="22"/>
              </w:rPr>
              <w:t>農民健康保險</w:t>
            </w:r>
          </w:p>
          <w:p w:rsidR="00CB589E" w:rsidRPr="00701866" w:rsidRDefault="00CB589E" w:rsidP="00745375">
            <w:pPr>
              <w:spacing w:line="280" w:lineRule="exact"/>
              <w:ind w:leftChars="-104" w:left="-250" w:rightChars="-104" w:right="-250"/>
              <w:jc w:val="center"/>
              <w:rPr>
                <w:rFonts w:ascii="微軟正黑體" w:eastAsia="微軟正黑體" w:hAnsi="微軟正黑體"/>
                <w:spacing w:val="-12"/>
                <w:sz w:val="20"/>
                <w:szCs w:val="20"/>
              </w:rPr>
            </w:pPr>
            <w:r w:rsidRPr="00701866">
              <w:rPr>
                <w:rFonts w:ascii="微軟正黑體" w:eastAsia="微軟正黑體" w:hAnsi="微軟正黑體" w:hint="eastAsia"/>
                <w:spacing w:val="-12"/>
                <w:sz w:val="20"/>
                <w:szCs w:val="20"/>
              </w:rPr>
              <w:t>(104.6萬人)</w:t>
            </w:r>
          </w:p>
        </w:tc>
        <w:tc>
          <w:tcPr>
            <w:tcW w:w="993" w:type="dxa"/>
            <w:tcBorders>
              <w:bottom w:val="single" w:sz="12" w:space="0" w:color="auto"/>
              <w:right w:val="single" w:sz="12" w:space="0" w:color="auto"/>
            </w:tcBorders>
            <w:shd w:val="clear" w:color="auto" w:fill="FBD4B4" w:themeFill="accent6" w:themeFillTint="66"/>
            <w:vAlign w:val="center"/>
          </w:tcPr>
          <w:p w:rsidR="00CB589E" w:rsidRPr="00BE78F8" w:rsidRDefault="00CB589E" w:rsidP="00BE78F8">
            <w:pPr>
              <w:spacing w:line="280" w:lineRule="exact"/>
              <w:ind w:leftChars="-45" w:left="-9" w:rightChars="-45" w:right="-108" w:hangingChars="45" w:hanging="99"/>
              <w:jc w:val="center"/>
              <w:rPr>
                <w:rFonts w:ascii="微軟正黑體" w:eastAsia="微軟正黑體" w:hAnsi="微軟正黑體"/>
                <w:sz w:val="22"/>
              </w:rPr>
            </w:pPr>
            <w:r w:rsidRPr="00BE78F8">
              <w:rPr>
                <w:rFonts w:ascii="微軟正黑體" w:eastAsia="微軟正黑體" w:hAnsi="微軟正黑體" w:hint="eastAsia"/>
                <w:sz w:val="22"/>
              </w:rPr>
              <w:t>國民年金保險</w:t>
            </w:r>
          </w:p>
          <w:p w:rsidR="00CB589E" w:rsidRDefault="00CB589E" w:rsidP="00745375">
            <w:pPr>
              <w:spacing w:line="280" w:lineRule="exact"/>
              <w:ind w:leftChars="-45" w:left="-18" w:rightChars="-45" w:right="-108" w:hangingChars="45" w:hanging="90"/>
              <w:jc w:val="center"/>
              <w:rPr>
                <w:rFonts w:ascii="微軟正黑體" w:eastAsia="微軟正黑體" w:hAnsi="微軟正黑體"/>
                <w:sz w:val="20"/>
                <w:szCs w:val="20"/>
              </w:rPr>
            </w:pPr>
            <w:r>
              <w:rPr>
                <w:rFonts w:ascii="微軟正黑體" w:eastAsia="微軟正黑體" w:hAnsi="微軟正黑體" w:hint="eastAsia"/>
                <w:sz w:val="20"/>
                <w:szCs w:val="20"/>
              </w:rPr>
              <w:t>(DB/年金)</w:t>
            </w:r>
          </w:p>
          <w:p w:rsidR="00CB589E" w:rsidRPr="00701866" w:rsidRDefault="00CB589E" w:rsidP="00745375">
            <w:pPr>
              <w:spacing w:line="280" w:lineRule="exact"/>
              <w:ind w:leftChars="-82" w:left="-116" w:rightChars="-45" w:right="-108" w:hangingChars="45" w:hanging="81"/>
              <w:jc w:val="right"/>
              <w:rPr>
                <w:rFonts w:ascii="微軟正黑體" w:eastAsia="微軟正黑體" w:hAnsi="微軟正黑體"/>
                <w:spacing w:val="-10"/>
                <w:sz w:val="20"/>
                <w:szCs w:val="20"/>
              </w:rPr>
            </w:pPr>
            <w:r w:rsidRPr="00701866">
              <w:rPr>
                <w:rFonts w:ascii="微軟正黑體" w:eastAsia="微軟正黑體" w:hAnsi="微軟正黑體" w:hint="eastAsia"/>
                <w:spacing w:val="-10"/>
                <w:sz w:val="20"/>
                <w:szCs w:val="20"/>
              </w:rPr>
              <w:t>(310.6萬人)</w:t>
            </w:r>
          </w:p>
        </w:tc>
      </w:tr>
      <w:tr w:rsidR="00CB589E" w:rsidRPr="006476B3" w:rsidTr="00D766E4">
        <w:trPr>
          <w:trHeight w:val="38"/>
          <w:jc w:val="center"/>
        </w:trPr>
        <w:tc>
          <w:tcPr>
            <w:tcW w:w="9357" w:type="dxa"/>
            <w:gridSpan w:val="8"/>
            <w:tcBorders>
              <w:top w:val="single" w:sz="12" w:space="0" w:color="auto"/>
              <w:left w:val="nil"/>
              <w:right w:val="nil"/>
            </w:tcBorders>
            <w:vAlign w:val="center"/>
          </w:tcPr>
          <w:p w:rsidR="00CB589E" w:rsidRPr="006476B3" w:rsidRDefault="00CB589E" w:rsidP="00745375">
            <w:pPr>
              <w:spacing w:line="100" w:lineRule="exact"/>
              <w:jc w:val="center"/>
              <w:rPr>
                <w:rFonts w:ascii="微軟正黑體" w:eastAsia="微軟正黑體" w:hAnsi="微軟正黑體"/>
              </w:rPr>
            </w:pPr>
          </w:p>
        </w:tc>
      </w:tr>
      <w:tr w:rsidR="00CB589E" w:rsidRPr="006476B3" w:rsidTr="00D766E4">
        <w:trPr>
          <w:trHeight w:val="712"/>
          <w:jc w:val="center"/>
        </w:trPr>
        <w:tc>
          <w:tcPr>
            <w:tcW w:w="1277" w:type="dxa"/>
            <w:tcBorders>
              <w:left w:val="single" w:sz="12" w:space="0" w:color="auto"/>
              <w:bottom w:val="single" w:sz="12" w:space="0" w:color="auto"/>
            </w:tcBorders>
            <w:vAlign w:val="center"/>
          </w:tcPr>
          <w:p w:rsidR="00CB589E" w:rsidRPr="006476B3" w:rsidRDefault="00CB589E" w:rsidP="00745375">
            <w:pPr>
              <w:spacing w:line="320" w:lineRule="exact"/>
              <w:jc w:val="center"/>
              <w:rPr>
                <w:rFonts w:ascii="微軟正黑體" w:eastAsia="微軟正黑體" w:hAnsi="微軟正黑體"/>
                <w:b/>
              </w:rPr>
            </w:pPr>
            <w:r w:rsidRPr="006476B3">
              <w:rPr>
                <w:rFonts w:ascii="微軟正黑體" w:eastAsia="微軟正黑體" w:hAnsi="微軟正黑體" w:hint="eastAsia"/>
                <w:b/>
              </w:rPr>
              <w:t>第零層</w:t>
            </w:r>
          </w:p>
          <w:p w:rsidR="00CB589E" w:rsidRPr="006476B3" w:rsidRDefault="00CB589E" w:rsidP="00745375">
            <w:pPr>
              <w:spacing w:line="320" w:lineRule="exact"/>
              <w:jc w:val="center"/>
              <w:rPr>
                <w:rFonts w:ascii="微軟正黑體" w:eastAsia="微軟正黑體" w:hAnsi="微軟正黑體"/>
                <w:b/>
              </w:rPr>
            </w:pPr>
            <w:r w:rsidRPr="006476B3">
              <w:rPr>
                <w:rFonts w:ascii="微軟正黑體" w:eastAsia="微軟正黑體" w:hAnsi="微軟正黑體" w:hint="eastAsia"/>
                <w:b/>
              </w:rPr>
              <w:t>福利津貼</w:t>
            </w:r>
          </w:p>
        </w:tc>
        <w:tc>
          <w:tcPr>
            <w:tcW w:w="8080" w:type="dxa"/>
            <w:gridSpan w:val="7"/>
            <w:tcBorders>
              <w:bottom w:val="single" w:sz="12" w:space="0" w:color="auto"/>
              <w:right w:val="single" w:sz="12" w:space="0" w:color="auto"/>
            </w:tcBorders>
            <w:shd w:val="clear" w:color="auto" w:fill="E5B8B7" w:themeFill="accent2" w:themeFillTint="66"/>
            <w:vAlign w:val="center"/>
          </w:tcPr>
          <w:p w:rsidR="00CB589E" w:rsidRPr="00BE78F8" w:rsidRDefault="00CB589E" w:rsidP="00745375">
            <w:pPr>
              <w:spacing w:line="340" w:lineRule="exact"/>
              <w:jc w:val="center"/>
              <w:rPr>
                <w:rFonts w:ascii="微軟正黑體" w:eastAsia="微軟正黑體" w:hAnsi="微軟正黑體"/>
                <w:spacing w:val="-12"/>
                <w:sz w:val="22"/>
                <w:szCs w:val="22"/>
              </w:rPr>
            </w:pPr>
            <w:r w:rsidRPr="00BE78F8">
              <w:rPr>
                <w:rFonts w:ascii="微軟正黑體" w:eastAsia="微軟正黑體" w:hAnsi="微軟正黑體" w:hint="eastAsia"/>
                <w:spacing w:val="-12"/>
                <w:sz w:val="22"/>
                <w:szCs w:val="22"/>
              </w:rPr>
              <w:t>榮民就養給付</w:t>
            </w:r>
            <w:r w:rsidRPr="00BE78F8">
              <w:rPr>
                <w:rFonts w:ascii="微軟正黑體" w:eastAsia="微軟正黑體" w:hAnsi="微軟正黑體" w:hint="eastAsia"/>
                <w:spacing w:val="-12"/>
                <w:sz w:val="20"/>
                <w:szCs w:val="22"/>
              </w:rPr>
              <w:t>(3.3萬人)</w:t>
            </w:r>
            <w:r w:rsidRPr="00BE78F8">
              <w:rPr>
                <w:rFonts w:ascii="微軟正黑體" w:eastAsia="微軟正黑體" w:hAnsi="微軟正黑體" w:hint="eastAsia"/>
                <w:spacing w:val="-12"/>
                <w:sz w:val="22"/>
                <w:szCs w:val="22"/>
              </w:rPr>
              <w:t>、中低收入老人生活津貼</w:t>
            </w:r>
            <w:r w:rsidRPr="00BE78F8">
              <w:rPr>
                <w:rFonts w:ascii="微軟正黑體" w:eastAsia="微軟正黑體" w:hAnsi="微軟正黑體" w:hint="eastAsia"/>
                <w:spacing w:val="-12"/>
                <w:sz w:val="20"/>
                <w:szCs w:val="22"/>
              </w:rPr>
              <w:t>(17.3萬人)</w:t>
            </w:r>
            <w:r w:rsidRPr="00BE78F8">
              <w:rPr>
                <w:rFonts w:ascii="微軟正黑體" w:eastAsia="微軟正黑體" w:hAnsi="微軟正黑體" w:hint="eastAsia"/>
                <w:spacing w:val="-12"/>
                <w:sz w:val="22"/>
                <w:szCs w:val="22"/>
              </w:rPr>
              <w:t>、</w:t>
            </w:r>
          </w:p>
          <w:p w:rsidR="00CB589E" w:rsidRPr="00186812" w:rsidRDefault="00CB589E" w:rsidP="00745375">
            <w:pPr>
              <w:spacing w:line="340" w:lineRule="exact"/>
              <w:ind w:leftChars="-45" w:left="-108" w:rightChars="-45" w:right="-108"/>
              <w:jc w:val="center"/>
              <w:rPr>
                <w:rFonts w:ascii="微軟正黑體" w:eastAsia="微軟正黑體" w:hAnsi="微軟正黑體"/>
                <w:spacing w:val="-12"/>
              </w:rPr>
            </w:pPr>
            <w:r w:rsidRPr="00BE78F8">
              <w:rPr>
                <w:rFonts w:ascii="微軟正黑體" w:eastAsia="微軟正黑體" w:hAnsi="微軟正黑體" w:hint="eastAsia"/>
                <w:spacing w:val="-12"/>
                <w:sz w:val="22"/>
                <w:szCs w:val="22"/>
              </w:rPr>
              <w:t>老年基本保障年金</w:t>
            </w:r>
            <w:r w:rsidRPr="00BE78F8">
              <w:rPr>
                <w:rFonts w:ascii="微軟正黑體" w:eastAsia="微軟正黑體" w:hAnsi="微軟正黑體" w:hint="eastAsia"/>
                <w:spacing w:val="-12"/>
                <w:sz w:val="20"/>
                <w:szCs w:val="22"/>
              </w:rPr>
              <w:t>(49.9萬人)</w:t>
            </w:r>
            <w:r w:rsidRPr="00BE78F8">
              <w:rPr>
                <w:rFonts w:ascii="微軟正黑體" w:eastAsia="微軟正黑體" w:hAnsi="微軟正黑體" w:hint="eastAsia"/>
                <w:spacing w:val="-12"/>
                <w:sz w:val="22"/>
                <w:szCs w:val="22"/>
              </w:rPr>
              <w:t>、原住民給付</w:t>
            </w:r>
            <w:r w:rsidRPr="00BE78F8">
              <w:rPr>
                <w:rFonts w:ascii="微軟正黑體" w:eastAsia="微軟正黑體" w:hAnsi="微軟正黑體" w:hint="eastAsia"/>
                <w:spacing w:val="-12"/>
                <w:sz w:val="20"/>
                <w:szCs w:val="22"/>
              </w:rPr>
              <w:t>(4.3萬人)</w:t>
            </w:r>
            <w:r w:rsidRPr="00BE78F8">
              <w:rPr>
                <w:rFonts w:ascii="微軟正黑體" w:eastAsia="微軟正黑體" w:hAnsi="微軟正黑體" w:hint="eastAsia"/>
                <w:spacing w:val="-12"/>
                <w:sz w:val="22"/>
                <w:szCs w:val="22"/>
              </w:rPr>
              <w:t>、老年農民福利津貼</w:t>
            </w:r>
            <w:r w:rsidRPr="00BE78F8">
              <w:rPr>
                <w:rFonts w:ascii="微軟正黑體" w:eastAsia="微軟正黑體" w:hAnsi="微軟正黑體" w:hint="eastAsia"/>
                <w:spacing w:val="-12"/>
                <w:sz w:val="20"/>
                <w:szCs w:val="22"/>
              </w:rPr>
              <w:t>(57.8萬人</w:t>
            </w:r>
            <w:r w:rsidRPr="00BE78F8">
              <w:rPr>
                <w:rFonts w:ascii="微軟正黑體" w:eastAsia="微軟正黑體" w:hAnsi="微軟正黑體" w:hint="eastAsia"/>
                <w:spacing w:val="-12"/>
                <w:sz w:val="22"/>
              </w:rPr>
              <w:t>)</w:t>
            </w:r>
          </w:p>
        </w:tc>
      </w:tr>
    </w:tbl>
    <w:p w:rsidR="003C2AC2" w:rsidRPr="00005E5D" w:rsidRDefault="003C2AC2" w:rsidP="00DA42CC">
      <w:pPr>
        <w:snapToGrid w:val="0"/>
        <w:spacing w:line="340" w:lineRule="exact"/>
        <w:ind w:leftChars="-59" w:left="-142"/>
        <w:rPr>
          <w:rFonts w:ascii="微軟正黑體" w:eastAsia="微軟正黑體" w:hAnsi="微軟正黑體"/>
          <w:sz w:val="20"/>
          <w:szCs w:val="20"/>
        </w:rPr>
      </w:pPr>
      <w:r w:rsidRPr="00005E5D">
        <w:rPr>
          <w:rFonts w:ascii="微軟正黑體" w:eastAsia="微軟正黑體" w:hAnsi="微軟正黑體" w:hint="eastAsia"/>
          <w:sz w:val="20"/>
          <w:szCs w:val="20"/>
        </w:rPr>
        <w:t>註：農民健康保險為我國重要社會保險之一，惟其無老年給付，以第零層「</w:t>
      </w:r>
      <w:r w:rsidR="006E668E" w:rsidRPr="008A4D4C">
        <w:rPr>
          <w:rFonts w:ascii="微軟正黑體" w:eastAsia="微軟正黑體" w:hAnsi="微軟正黑體" w:hint="eastAsia"/>
          <w:sz w:val="20"/>
          <w:szCs w:val="20"/>
        </w:rPr>
        <w:t>老</w:t>
      </w:r>
      <w:r w:rsidRPr="00005E5D">
        <w:rPr>
          <w:rFonts w:ascii="微軟正黑體" w:eastAsia="微軟正黑體" w:hAnsi="微軟正黑體" w:hint="eastAsia"/>
          <w:sz w:val="20"/>
          <w:szCs w:val="20"/>
        </w:rPr>
        <w:t>年農民福利津貼」替代。</w:t>
      </w:r>
    </w:p>
    <w:p w:rsidR="003C2AC2" w:rsidRPr="0027400B" w:rsidRDefault="003C2AC2" w:rsidP="003C2AC2">
      <w:pPr>
        <w:snapToGrid w:val="0"/>
        <w:spacing w:beforeLines="50" w:before="180" w:line="400" w:lineRule="exact"/>
        <w:ind w:firstLineChars="200" w:firstLine="480"/>
        <w:jc w:val="center"/>
        <w:rPr>
          <w:rFonts w:ascii="微軟正黑體" w:eastAsia="微軟正黑體" w:hAnsi="微軟正黑體"/>
          <w:color w:val="000000" w:themeColor="text1"/>
        </w:rPr>
      </w:pPr>
      <w:r w:rsidRPr="0027400B">
        <w:rPr>
          <w:rFonts w:ascii="微軟正黑體" w:eastAsia="微軟正黑體" w:hAnsi="微軟正黑體" w:hint="eastAsia"/>
          <w:color w:val="000000" w:themeColor="text1"/>
        </w:rPr>
        <w:t>圖1.1  我國多層次老年經濟安全保障制度示意圖</w:t>
      </w:r>
    </w:p>
    <w:p w:rsidR="003C2AC2" w:rsidRDefault="003C2AC2" w:rsidP="003C2AC2">
      <w:pPr>
        <w:snapToGrid w:val="0"/>
        <w:spacing w:afterLines="50" w:after="180" w:line="400" w:lineRule="exact"/>
        <w:rPr>
          <w:rFonts w:ascii="微軟正黑體" w:eastAsia="微軟正黑體" w:hAnsi="微軟正黑體"/>
          <w:bCs/>
        </w:rPr>
      </w:pPr>
    </w:p>
    <w:p w:rsidR="003C2AC2" w:rsidRDefault="003C2AC2" w:rsidP="003C2AC2">
      <w:pPr>
        <w:snapToGrid w:val="0"/>
        <w:spacing w:afterLines="50" w:after="180" w:line="400" w:lineRule="exact"/>
        <w:rPr>
          <w:rFonts w:ascii="微軟正黑體" w:eastAsia="微軟正黑體" w:hAnsi="微軟正黑體"/>
          <w:bCs/>
        </w:rPr>
      </w:pPr>
    </w:p>
    <w:p w:rsidR="003C2AC2" w:rsidRDefault="003C2AC2" w:rsidP="003C2AC2">
      <w:pPr>
        <w:snapToGrid w:val="0"/>
        <w:spacing w:afterLines="50" w:after="180" w:line="400" w:lineRule="exact"/>
        <w:rPr>
          <w:rFonts w:ascii="微軟正黑體" w:eastAsia="微軟正黑體" w:hAnsi="微軟正黑體"/>
          <w:bCs/>
        </w:rPr>
      </w:pPr>
      <w:r>
        <w:rPr>
          <w:rFonts w:ascii="微軟正黑體" w:eastAsia="微軟正黑體" w:hAnsi="微軟正黑體" w:hint="eastAsia"/>
          <w:bCs/>
        </w:rPr>
        <w:lastRenderedPageBreak/>
        <w:t>(一) 社會保險</w:t>
      </w:r>
    </w:p>
    <w:p w:rsidR="003C2AC2" w:rsidRDefault="003C2AC2" w:rsidP="003C2AC2">
      <w:pPr>
        <w:tabs>
          <w:tab w:val="left" w:pos="993"/>
        </w:tabs>
        <w:snapToGrid w:val="0"/>
        <w:spacing w:afterLines="30" w:after="108" w:line="400" w:lineRule="exact"/>
        <w:ind w:firstLineChars="100" w:firstLine="240"/>
        <w:rPr>
          <w:rFonts w:ascii="微軟正黑體" w:eastAsia="微軟正黑體" w:hAnsi="微軟正黑體"/>
          <w:bCs/>
        </w:rPr>
      </w:pPr>
      <w:r>
        <w:rPr>
          <w:rFonts w:ascii="微軟正黑體" w:eastAsia="微軟正黑體" w:hAnsi="微軟正黑體" w:hint="eastAsia"/>
          <w:bCs/>
        </w:rPr>
        <w:t xml:space="preserve">1. </w:t>
      </w:r>
      <w:r w:rsidRPr="00395CBA">
        <w:rPr>
          <w:rFonts w:ascii="微軟正黑體" w:eastAsia="微軟正黑體" w:hAnsi="微軟正黑體" w:hint="eastAsia"/>
          <w:bCs/>
        </w:rPr>
        <w:t>納保概況</w:t>
      </w:r>
    </w:p>
    <w:p w:rsidR="003C2AC2" w:rsidRPr="00395CBA" w:rsidRDefault="003C2AC2" w:rsidP="003C2AC2">
      <w:pPr>
        <w:tabs>
          <w:tab w:val="left" w:pos="993"/>
        </w:tabs>
        <w:snapToGrid w:val="0"/>
        <w:spacing w:afterLines="30" w:after="108" w:line="400" w:lineRule="exact"/>
        <w:ind w:firstLineChars="100" w:firstLine="240"/>
        <w:rPr>
          <w:rFonts w:ascii="微軟正黑體" w:eastAsia="微軟正黑體" w:hAnsi="微軟正黑體"/>
          <w:bCs/>
        </w:rPr>
      </w:pPr>
      <w:r>
        <w:rPr>
          <w:rFonts w:ascii="微軟正黑體" w:eastAsia="微軟正黑體" w:hAnsi="微軟正黑體" w:hint="eastAsia"/>
          <w:bCs/>
        </w:rPr>
        <w:t xml:space="preserve">(1) </w:t>
      </w:r>
      <w:r w:rsidRPr="00395CBA">
        <w:rPr>
          <w:rFonts w:ascii="微軟正黑體" w:eastAsia="微軟正黑體" w:hAnsi="微軟正黑體" w:hint="eastAsia"/>
          <w:bCs/>
        </w:rPr>
        <w:t>被保險人人數</w:t>
      </w:r>
    </w:p>
    <w:p w:rsidR="003C2AC2" w:rsidRPr="0027400B" w:rsidRDefault="003C2AC2" w:rsidP="003C2AC2">
      <w:pPr>
        <w:snapToGrid w:val="0"/>
        <w:spacing w:beforeLines="30" w:before="108" w:line="400" w:lineRule="exact"/>
        <w:ind w:leftChars="281" w:left="674" w:firstLineChars="200" w:firstLine="480"/>
        <w:jc w:val="both"/>
        <w:rPr>
          <w:rFonts w:ascii="微軟正黑體" w:eastAsia="微軟正黑體" w:hAnsi="微軟正黑體"/>
          <w:bCs/>
          <w:color w:val="000000" w:themeColor="text1"/>
        </w:rPr>
      </w:pPr>
      <w:r w:rsidRPr="0027400B">
        <w:rPr>
          <w:rFonts w:ascii="微軟正黑體" w:eastAsia="微軟正黑體" w:hAnsi="微軟正黑體" w:hint="eastAsia"/>
          <w:bCs/>
          <w:color w:val="000000" w:themeColor="text1"/>
        </w:rPr>
        <w:t>109年各制度被保險人數維持近年來的發展趨勢，除勞工保險持續增加外，農民健康保險與國民年金保險呈現逐年下降趨勢，公教人員保險則相對穩定。109年勞工保險被保險人增加至1,055.5萬人，較108年增加約8.6萬人；國民年金保險310.6萬人，較108年減少約12.5萬人；農民健康保</w:t>
      </w:r>
      <w:r w:rsidRPr="0038767E">
        <w:rPr>
          <w:rFonts w:ascii="微軟正黑體" w:eastAsia="微軟正黑體" w:hAnsi="微軟正黑體" w:hint="eastAsia"/>
          <w:bCs/>
          <w:color w:val="000000" w:themeColor="text1"/>
        </w:rPr>
        <w:t>險</w:t>
      </w:r>
      <w:r w:rsidRPr="0038767E">
        <w:rPr>
          <w:rFonts w:ascii="微軟正黑體" w:eastAsia="微軟正黑體" w:hAnsi="微軟正黑體" w:hint="eastAsia"/>
          <w:bCs/>
        </w:rPr>
        <w:t>104.6</w:t>
      </w:r>
      <w:r w:rsidRPr="0027400B">
        <w:rPr>
          <w:rFonts w:ascii="微軟正黑體" w:eastAsia="微軟正黑體" w:hAnsi="微軟正黑體" w:hint="eastAsia"/>
          <w:bCs/>
          <w:color w:val="000000" w:themeColor="text1"/>
        </w:rPr>
        <w:t>萬人，較108年減少約3.8萬人；公教人員保險則有59.4萬人，較108年增加約2千人。</w:t>
      </w:r>
    </w:p>
    <w:p w:rsidR="003C2AC2" w:rsidRDefault="003C2AC2" w:rsidP="003C2AC2">
      <w:pPr>
        <w:snapToGrid w:val="0"/>
        <w:spacing w:line="240" w:lineRule="atLeast"/>
        <w:rPr>
          <w:rFonts w:ascii="微軟正黑體" w:eastAsia="微軟正黑體" w:hAnsi="微軟正黑體"/>
          <w:sz w:val="18"/>
          <w:szCs w:val="20"/>
        </w:rPr>
      </w:pPr>
      <w:r>
        <w:rPr>
          <w:rFonts w:hint="eastAsia"/>
          <w:noProof/>
        </w:rPr>
        <w:drawing>
          <wp:anchor distT="0" distB="0" distL="114300" distR="114300" simplePos="0" relativeHeight="252527616" behindDoc="0" locked="0" layoutInCell="1" allowOverlap="1" wp14:anchorId="4B29D013" wp14:editId="1E2043F1">
            <wp:simplePos x="0" y="0"/>
            <wp:positionH relativeFrom="column">
              <wp:posOffset>291465</wp:posOffset>
            </wp:positionH>
            <wp:positionV relativeFrom="paragraph">
              <wp:posOffset>171873</wp:posOffset>
            </wp:positionV>
            <wp:extent cx="5498465" cy="3145790"/>
            <wp:effectExtent l="0" t="0" r="26035" b="16510"/>
            <wp:wrapNone/>
            <wp:docPr id="17" name="圖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napToGrid w:val="0"/>
        <w:spacing w:line="240" w:lineRule="atLeast"/>
        <w:rPr>
          <w:rFonts w:ascii="微軟正黑體" w:eastAsia="微軟正黑體" w:hAnsi="微軟正黑體"/>
          <w:sz w:val="18"/>
          <w:szCs w:val="20"/>
        </w:rPr>
      </w:pPr>
    </w:p>
    <w:p w:rsidR="003C2AC2" w:rsidRDefault="003C2AC2" w:rsidP="003C2AC2">
      <w:pPr>
        <w:spacing w:beforeLines="50" w:before="180" w:afterLines="50" w:after="180" w:line="400" w:lineRule="exact"/>
        <w:jc w:val="center"/>
        <w:rPr>
          <w:rFonts w:ascii="微軟正黑體" w:eastAsia="微軟正黑體" w:hAnsi="微軟正黑體"/>
        </w:rPr>
      </w:pPr>
    </w:p>
    <w:p w:rsidR="003C2AC2" w:rsidRDefault="003C2AC2" w:rsidP="003C2AC2">
      <w:pPr>
        <w:spacing w:beforeLines="100" w:before="360" w:afterLines="50" w:after="180" w:line="400" w:lineRule="exact"/>
        <w:jc w:val="center"/>
        <w:rPr>
          <w:rFonts w:ascii="微軟正黑體" w:eastAsia="微軟正黑體" w:hAnsi="微軟正黑體"/>
        </w:rPr>
      </w:pPr>
      <w:r>
        <w:rPr>
          <w:rFonts w:ascii="微軟正黑體" w:eastAsia="微軟正黑體" w:hAnsi="微軟正黑體" w:hint="eastAsia"/>
        </w:rPr>
        <w:t>圖1.2 近10年各社會保險被保險人人數</w:t>
      </w:r>
    </w:p>
    <w:p w:rsidR="003C2AC2" w:rsidRPr="004B5245" w:rsidRDefault="003C2AC2" w:rsidP="003C2AC2">
      <w:pPr>
        <w:adjustRightInd w:val="0"/>
        <w:spacing w:beforeLines="150" w:before="540" w:line="400" w:lineRule="exact"/>
        <w:ind w:firstLineChars="100" w:firstLine="240"/>
        <w:textAlignment w:val="baseline"/>
        <w:rPr>
          <w:rFonts w:ascii="微軟正黑體" w:eastAsia="微軟正黑體" w:hAnsi="微軟正黑體"/>
          <w:bCs/>
        </w:rPr>
      </w:pPr>
      <w:r w:rsidRPr="004B5245">
        <w:rPr>
          <w:rFonts w:ascii="微軟正黑體" w:eastAsia="微軟正黑體" w:hAnsi="微軟正黑體" w:hint="eastAsia"/>
          <w:bCs/>
        </w:rPr>
        <w:t>(2) 被保險人數占25-64歲年齡人口比率</w:t>
      </w:r>
    </w:p>
    <w:p w:rsidR="003C2AC2" w:rsidRPr="004B5245"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rPr>
      </w:pPr>
      <w:r w:rsidRPr="004B5245">
        <w:rPr>
          <w:rFonts w:ascii="微軟正黑體" w:eastAsia="微軟正黑體" w:hAnsi="微軟正黑體" w:hint="eastAsia"/>
          <w:bCs/>
        </w:rPr>
        <w:t>109年底25-64歲國民計1,416.1萬人，依估算，其中以參加勞工保險人數最多，占63.4%，其次為國民年金保險的21.9%，農民健康保險為3.0%，公教人員保險占4.1%，其他尚有7.6%的人係參加軍人保險或尚未參加任何保險者(部分為退休已領相關給付)。</w:t>
      </w: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r w:rsidRPr="00C2651B">
        <w:rPr>
          <w:rFonts w:hint="eastAsia"/>
          <w:noProof/>
          <w:highlight w:val="lightGray"/>
        </w:rPr>
        <w:drawing>
          <wp:anchor distT="0" distB="0" distL="114300" distR="114300" simplePos="0" relativeHeight="252523520" behindDoc="0" locked="0" layoutInCell="1" allowOverlap="1" wp14:anchorId="56DB42A0" wp14:editId="3497D84E">
            <wp:simplePos x="0" y="0"/>
            <wp:positionH relativeFrom="column">
              <wp:posOffset>411904</wp:posOffset>
            </wp:positionH>
            <wp:positionV relativeFrom="paragraph">
              <wp:posOffset>-17357</wp:posOffset>
            </wp:positionV>
            <wp:extent cx="4902200" cy="2954867"/>
            <wp:effectExtent l="0" t="0" r="12700" b="17145"/>
            <wp:wrapNone/>
            <wp:docPr id="21511" name="圖表 21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C2651B" w:rsidRDefault="003C2AC2" w:rsidP="003C2AC2">
      <w:pPr>
        <w:snapToGrid w:val="0"/>
        <w:spacing w:beforeLines="30" w:before="108" w:line="400" w:lineRule="exact"/>
        <w:ind w:leftChars="277" w:left="665" w:firstLineChars="200" w:firstLine="480"/>
        <w:jc w:val="both"/>
        <w:rPr>
          <w:rFonts w:ascii="微軟正黑體" w:eastAsia="微軟正黑體" w:hAnsi="微軟正黑體"/>
          <w:bCs/>
          <w:highlight w:val="lightGray"/>
        </w:rPr>
      </w:pPr>
    </w:p>
    <w:p w:rsidR="003C2AC2" w:rsidRPr="00E70357" w:rsidRDefault="003C2AC2" w:rsidP="003C2AC2">
      <w:pPr>
        <w:snapToGrid w:val="0"/>
        <w:spacing w:beforeLines="50" w:before="180" w:line="400" w:lineRule="exact"/>
        <w:jc w:val="center"/>
        <w:rPr>
          <w:rFonts w:ascii="微軟正黑體" w:eastAsia="微軟正黑體" w:hAnsi="微軟正黑體"/>
        </w:rPr>
      </w:pPr>
      <w:r w:rsidRPr="004B5245">
        <w:rPr>
          <w:rFonts w:ascii="微軟正黑體" w:eastAsia="微軟正黑體" w:hAnsi="微軟正黑體" w:hint="eastAsia"/>
        </w:rPr>
        <w:t>圖1.3  109年25-64歲年齡人口參加社會保險之分析</w:t>
      </w:r>
    </w:p>
    <w:p w:rsidR="003C2AC2" w:rsidRPr="00E70357" w:rsidRDefault="003C2AC2" w:rsidP="003C2AC2">
      <w:pPr>
        <w:spacing w:line="400" w:lineRule="exact"/>
        <w:jc w:val="center"/>
        <w:rPr>
          <w:rFonts w:ascii="微軟正黑體" w:eastAsia="微軟正黑體" w:hAnsi="微軟正黑體"/>
        </w:rPr>
      </w:pPr>
    </w:p>
    <w:p w:rsidR="003C2AC2" w:rsidRPr="0027400B" w:rsidRDefault="003C2AC2" w:rsidP="003C2AC2">
      <w:pPr>
        <w:adjustRightInd w:val="0"/>
        <w:spacing w:beforeLines="30" w:before="108" w:line="400" w:lineRule="exact"/>
        <w:ind w:firstLineChars="100" w:firstLine="240"/>
        <w:textAlignment w:val="baseline"/>
        <w:rPr>
          <w:rFonts w:ascii="微軟正黑體" w:eastAsia="微軟正黑體" w:hAnsi="微軟正黑體"/>
          <w:bCs/>
          <w:color w:val="000000" w:themeColor="text1"/>
        </w:rPr>
      </w:pPr>
      <w:r w:rsidRPr="0027400B">
        <w:rPr>
          <w:rFonts w:ascii="微軟正黑體" w:eastAsia="微軟正黑體" w:hAnsi="微軟正黑體" w:hint="eastAsia"/>
          <w:bCs/>
          <w:color w:val="000000" w:themeColor="text1"/>
        </w:rPr>
        <w:t>(3) 月投保薪資(金額)分析</w:t>
      </w:r>
    </w:p>
    <w:p w:rsidR="003C2AC2" w:rsidRPr="0027400B" w:rsidRDefault="003C2AC2" w:rsidP="003C2AC2">
      <w:pPr>
        <w:snapToGrid w:val="0"/>
        <w:spacing w:beforeLines="30" w:before="108" w:line="400" w:lineRule="exact"/>
        <w:ind w:leftChars="300" w:left="720" w:firstLineChars="200" w:firstLine="480"/>
        <w:jc w:val="both"/>
        <w:rPr>
          <w:rFonts w:ascii="微軟正黑體" w:eastAsia="微軟正黑體" w:hAnsi="微軟正黑體"/>
          <w:color w:val="000000" w:themeColor="text1"/>
        </w:rPr>
      </w:pPr>
      <w:r w:rsidRPr="0027400B">
        <w:rPr>
          <w:rFonts w:ascii="微軟正黑體" w:eastAsia="微軟正黑體" w:hAnsi="微軟正黑體" w:hint="eastAsia"/>
          <w:color w:val="000000" w:themeColor="text1"/>
        </w:rPr>
        <w:t>以109年各保險被保險人之月投保薪資(金額)來看，農保與國保之月投保金額為定額，分別為10,200元及18,282元</w:t>
      </w:r>
      <w:r w:rsidRPr="00FB4822">
        <w:rPr>
          <w:rFonts w:ascii="新細明體" w:hAnsi="新細明體" w:hint="eastAsia"/>
          <w:color w:val="000000" w:themeColor="text1"/>
        </w:rPr>
        <w:t>；</w:t>
      </w:r>
      <w:r w:rsidRPr="0027400B">
        <w:rPr>
          <w:rFonts w:ascii="微軟正黑體" w:eastAsia="微軟正黑體" w:hAnsi="微軟正黑體" w:hint="eastAsia"/>
          <w:color w:val="000000" w:themeColor="text1"/>
        </w:rPr>
        <w:t>勞保投保薪資上限為45,800元，投保薪資在</w:t>
      </w:r>
      <w:r w:rsidR="006D36EF" w:rsidRPr="008A4D4C">
        <w:rPr>
          <w:rFonts w:ascii="微軟正黑體" w:eastAsia="微軟正黑體" w:hAnsi="微軟正黑體" w:hint="eastAsia"/>
        </w:rPr>
        <w:t>「</w:t>
      </w:r>
      <w:r w:rsidRPr="008A4D4C">
        <w:rPr>
          <w:rFonts w:ascii="微軟正黑體" w:eastAsia="微軟正黑體" w:hAnsi="微軟正黑體" w:hint="eastAsia"/>
        </w:rPr>
        <w:t>2萬元以下</w:t>
      </w:r>
      <w:r w:rsidR="006D36EF" w:rsidRPr="008A4D4C">
        <w:rPr>
          <w:rFonts w:ascii="微軟正黑體" w:eastAsia="微軟正黑體" w:hAnsi="微軟正黑體" w:hint="eastAsia"/>
        </w:rPr>
        <w:t>」</w:t>
      </w:r>
      <w:r w:rsidRPr="008A4D4C">
        <w:rPr>
          <w:rFonts w:ascii="微軟正黑體" w:eastAsia="微軟正黑體" w:hAnsi="微軟正黑體" w:hint="eastAsia"/>
        </w:rPr>
        <w:t>比率最低，為5.0%，其餘投保薪資級距，包括</w:t>
      </w:r>
      <w:r w:rsidR="006D36EF" w:rsidRPr="008A4D4C">
        <w:rPr>
          <w:rFonts w:ascii="微軟正黑體" w:eastAsia="微軟正黑體" w:hAnsi="微軟正黑體" w:hint="eastAsia"/>
        </w:rPr>
        <w:t>「</w:t>
      </w:r>
      <w:r w:rsidRPr="008A4D4C">
        <w:rPr>
          <w:rFonts w:ascii="微軟正黑體" w:eastAsia="微軟正黑體" w:hAnsi="微軟正黑體" w:hint="eastAsia"/>
        </w:rPr>
        <w:t>2-3萬元</w:t>
      </w:r>
      <w:r w:rsidR="006D36EF" w:rsidRPr="008A4D4C">
        <w:rPr>
          <w:rFonts w:ascii="微軟正黑體" w:eastAsia="微軟正黑體" w:hAnsi="微軟正黑體" w:hint="eastAsia"/>
        </w:rPr>
        <w:t>」</w:t>
      </w:r>
      <w:r w:rsidRPr="008A4D4C">
        <w:rPr>
          <w:rFonts w:ascii="微軟正黑體" w:eastAsia="微軟正黑體" w:hAnsi="微軟正黑體" w:hint="eastAsia"/>
        </w:rPr>
        <w:t>、</w:t>
      </w:r>
      <w:r w:rsidR="006D36EF" w:rsidRPr="008A4D4C">
        <w:rPr>
          <w:rFonts w:ascii="微軟正黑體" w:eastAsia="微軟正黑體" w:hAnsi="微軟正黑體" w:hint="eastAsia"/>
        </w:rPr>
        <w:t>「</w:t>
      </w:r>
      <w:r w:rsidRPr="008A4D4C">
        <w:rPr>
          <w:rFonts w:ascii="微軟正黑體" w:eastAsia="微軟正黑體" w:hAnsi="微軟正黑體" w:hint="eastAsia"/>
        </w:rPr>
        <w:t>3-4萬元</w:t>
      </w:r>
      <w:r w:rsidR="006D36EF" w:rsidRPr="008A4D4C">
        <w:rPr>
          <w:rFonts w:ascii="微軟正黑體" w:eastAsia="微軟正黑體" w:hAnsi="微軟正黑體" w:hint="eastAsia"/>
        </w:rPr>
        <w:t>」</w:t>
      </w:r>
      <w:r w:rsidRPr="008A4D4C">
        <w:rPr>
          <w:rFonts w:ascii="微軟正黑體" w:eastAsia="微軟正黑體" w:hAnsi="微軟正黑體" w:hint="eastAsia"/>
        </w:rPr>
        <w:t>及</w:t>
      </w:r>
      <w:r w:rsidR="006D36EF" w:rsidRPr="008A4D4C">
        <w:rPr>
          <w:rFonts w:ascii="微軟正黑體" w:eastAsia="微軟正黑體" w:hAnsi="微軟正黑體" w:hint="eastAsia"/>
        </w:rPr>
        <w:t>「</w:t>
      </w:r>
      <w:r w:rsidRPr="008A4D4C">
        <w:rPr>
          <w:rFonts w:ascii="微軟正黑體" w:eastAsia="微軟正黑體" w:hAnsi="微軟正黑體" w:hint="eastAsia"/>
        </w:rPr>
        <w:t>4-5萬元</w:t>
      </w:r>
      <w:r w:rsidR="006D36EF" w:rsidRPr="008A4D4C">
        <w:rPr>
          <w:rFonts w:ascii="微軟正黑體" w:eastAsia="微軟正黑體" w:hAnsi="微軟正黑體" w:hint="eastAsia"/>
        </w:rPr>
        <w:t>」</w:t>
      </w:r>
      <w:r w:rsidRPr="008A4D4C">
        <w:rPr>
          <w:rFonts w:ascii="微軟正黑體" w:eastAsia="微軟正黑體" w:hAnsi="微軟正黑體" w:hint="eastAsia"/>
        </w:rPr>
        <w:t>之人數比率分別為42.6%、19.4%及33.1%，另109年勞保平均投保薪資為32,526元，較108年增加427元</w:t>
      </w:r>
      <w:r w:rsidRPr="008A4D4C">
        <w:rPr>
          <w:rFonts w:ascii="新細明體" w:hAnsi="新細明體" w:hint="eastAsia"/>
        </w:rPr>
        <w:t>；</w:t>
      </w:r>
      <w:r w:rsidRPr="008A4D4C">
        <w:rPr>
          <w:rFonts w:ascii="微軟正黑體" w:eastAsia="微軟正黑體" w:hAnsi="微軟正黑體" w:hint="eastAsia"/>
        </w:rPr>
        <w:t>公保整體投保薪資分布呈現常態偏右，保俸在</w:t>
      </w:r>
      <w:r w:rsidR="006D36EF" w:rsidRPr="008A4D4C">
        <w:rPr>
          <w:rFonts w:ascii="微軟正黑體" w:eastAsia="微軟正黑體" w:hAnsi="微軟正黑體" w:hint="eastAsia"/>
        </w:rPr>
        <w:t>「</w:t>
      </w:r>
      <w:r w:rsidRPr="008A4D4C">
        <w:rPr>
          <w:rFonts w:ascii="微軟正黑體" w:eastAsia="微軟正黑體" w:hAnsi="微軟正黑體" w:hint="eastAsia"/>
        </w:rPr>
        <w:t>4-5萬元</w:t>
      </w:r>
      <w:r w:rsidR="006D36EF" w:rsidRPr="008A4D4C">
        <w:rPr>
          <w:rFonts w:ascii="微軟正黑體" w:eastAsia="微軟正黑體" w:hAnsi="微軟正黑體" w:hint="eastAsia"/>
        </w:rPr>
        <w:t>」</w:t>
      </w:r>
      <w:r w:rsidRPr="008A4D4C">
        <w:rPr>
          <w:rFonts w:ascii="微軟正黑體" w:eastAsia="微軟正黑體" w:hAnsi="微軟正黑體" w:hint="eastAsia"/>
        </w:rPr>
        <w:t>間之比率最高</w:t>
      </w:r>
      <w:r w:rsidRPr="0027400B">
        <w:rPr>
          <w:rFonts w:ascii="微軟正黑體" w:eastAsia="微軟正黑體" w:hAnsi="微軟正黑體" w:hint="eastAsia"/>
          <w:color w:val="000000" w:themeColor="text1"/>
        </w:rPr>
        <w:t>，最低與最高投保薪資者最少，平均保俸則為37,401元，較108年增加147元。</w:t>
      </w:r>
    </w:p>
    <w:p w:rsidR="003C2AC2" w:rsidRDefault="003C2AC2" w:rsidP="003C2AC2">
      <w:pPr>
        <w:snapToGrid w:val="0"/>
        <w:spacing w:beforeLines="30" w:before="108" w:line="400" w:lineRule="exact"/>
        <w:ind w:leftChars="300" w:left="720" w:firstLineChars="200" w:firstLine="480"/>
        <w:jc w:val="both"/>
        <w:rPr>
          <w:rFonts w:ascii="微軟正黑體" w:eastAsia="微軟正黑體" w:hAnsi="微軟正黑體"/>
        </w:rPr>
      </w:pPr>
      <w:r>
        <w:rPr>
          <w:rFonts w:hint="eastAsia"/>
          <w:noProof/>
        </w:rPr>
        <w:drawing>
          <wp:anchor distT="0" distB="0" distL="114300" distR="114300" simplePos="0" relativeHeight="252528640" behindDoc="0" locked="0" layoutInCell="1" allowOverlap="1" wp14:anchorId="4051FC8E" wp14:editId="2452B3B9">
            <wp:simplePos x="0" y="0"/>
            <wp:positionH relativeFrom="column">
              <wp:posOffset>173990</wp:posOffset>
            </wp:positionH>
            <wp:positionV relativeFrom="paragraph">
              <wp:posOffset>69850</wp:posOffset>
            </wp:positionV>
            <wp:extent cx="5501640" cy="2788920"/>
            <wp:effectExtent l="0" t="0" r="22860" b="11430"/>
            <wp:wrapNone/>
            <wp:docPr id="21516" name="圖表 2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3C2AC2" w:rsidRDefault="003C2AC2" w:rsidP="003C2AC2">
      <w:pPr>
        <w:adjustRightInd w:val="0"/>
        <w:snapToGrid w:val="0"/>
        <w:spacing w:beforeLines="50" w:before="180" w:line="240" w:lineRule="atLeast"/>
        <w:rPr>
          <w:rFonts w:ascii="微軟正黑體" w:eastAsia="微軟正黑體" w:hAnsi="微軟正黑體"/>
          <w:bCs/>
          <w:sz w:val="18"/>
          <w:szCs w:val="18"/>
        </w:rPr>
      </w:pPr>
    </w:p>
    <w:p w:rsidR="003C2AC2" w:rsidRDefault="003C2AC2" w:rsidP="003C2AC2">
      <w:pPr>
        <w:spacing w:beforeLines="50" w:before="180" w:line="400" w:lineRule="exact"/>
        <w:jc w:val="center"/>
        <w:rPr>
          <w:rFonts w:ascii="微軟正黑體" w:eastAsia="微軟正黑體" w:hAnsi="微軟正黑體"/>
          <w:szCs w:val="28"/>
        </w:rPr>
      </w:pPr>
    </w:p>
    <w:p w:rsidR="003C2AC2" w:rsidRDefault="003C2AC2" w:rsidP="003C2AC2">
      <w:pPr>
        <w:spacing w:beforeLines="50" w:before="180" w:line="400" w:lineRule="exact"/>
        <w:jc w:val="center"/>
        <w:rPr>
          <w:rFonts w:ascii="微軟正黑體" w:eastAsia="微軟正黑體" w:hAnsi="微軟正黑體"/>
          <w:szCs w:val="28"/>
        </w:rPr>
      </w:pPr>
    </w:p>
    <w:p w:rsidR="003C2AC2" w:rsidRDefault="003C2AC2" w:rsidP="003C2AC2">
      <w:pPr>
        <w:spacing w:beforeLines="50" w:before="180" w:line="400" w:lineRule="exact"/>
        <w:jc w:val="center"/>
        <w:rPr>
          <w:rFonts w:ascii="微軟正黑體" w:eastAsia="微軟正黑體" w:hAnsi="微軟正黑體"/>
          <w:szCs w:val="28"/>
        </w:rPr>
      </w:pPr>
    </w:p>
    <w:p w:rsidR="003C2AC2" w:rsidRDefault="003C2AC2" w:rsidP="003C2AC2">
      <w:pPr>
        <w:spacing w:beforeLines="50" w:before="180" w:line="400" w:lineRule="exact"/>
        <w:jc w:val="center"/>
        <w:rPr>
          <w:rFonts w:ascii="微軟正黑體" w:eastAsia="微軟正黑體" w:hAnsi="微軟正黑體"/>
          <w:szCs w:val="28"/>
        </w:rPr>
      </w:pPr>
    </w:p>
    <w:p w:rsidR="003C2AC2" w:rsidRDefault="003C2AC2" w:rsidP="003C2AC2">
      <w:pPr>
        <w:spacing w:beforeLines="50" w:before="180" w:line="400" w:lineRule="exact"/>
        <w:jc w:val="center"/>
        <w:rPr>
          <w:rFonts w:ascii="微軟正黑體" w:eastAsia="微軟正黑體" w:hAnsi="微軟正黑體"/>
          <w:szCs w:val="28"/>
        </w:rPr>
      </w:pPr>
    </w:p>
    <w:p w:rsidR="003C2AC2" w:rsidRDefault="003C2AC2" w:rsidP="003C2AC2">
      <w:pPr>
        <w:spacing w:beforeLines="100" w:before="360" w:line="400" w:lineRule="exact"/>
        <w:jc w:val="center"/>
        <w:rPr>
          <w:rFonts w:ascii="微軟正黑體" w:eastAsia="微軟正黑體" w:hAnsi="微軟正黑體"/>
          <w:szCs w:val="28"/>
        </w:rPr>
      </w:pPr>
    </w:p>
    <w:p w:rsidR="003C2AC2" w:rsidRPr="0027400B" w:rsidRDefault="003C2AC2" w:rsidP="003C2AC2">
      <w:pPr>
        <w:spacing w:line="400" w:lineRule="exact"/>
        <w:jc w:val="center"/>
        <w:rPr>
          <w:rFonts w:ascii="微軟正黑體" w:eastAsia="微軟正黑體" w:hAnsi="微軟正黑體"/>
          <w:szCs w:val="28"/>
        </w:rPr>
      </w:pPr>
      <w:r w:rsidRPr="0027400B">
        <w:rPr>
          <w:rFonts w:ascii="微軟正黑體" w:eastAsia="微軟正黑體" w:hAnsi="微軟正黑體" w:hint="eastAsia"/>
          <w:szCs w:val="28"/>
        </w:rPr>
        <w:t>圖1.4  109年社會保險被保險人投保薪資分布</w:t>
      </w:r>
    </w:p>
    <w:p w:rsidR="003C2AC2" w:rsidRPr="00804984" w:rsidRDefault="003C2AC2" w:rsidP="003C2AC2">
      <w:pPr>
        <w:tabs>
          <w:tab w:val="left" w:pos="993"/>
        </w:tabs>
        <w:snapToGrid w:val="0"/>
        <w:spacing w:afterLines="25" w:after="90" w:line="400" w:lineRule="exact"/>
        <w:ind w:firstLineChars="100" w:firstLine="240"/>
        <w:rPr>
          <w:rFonts w:ascii="微軟正黑體" w:eastAsia="微軟正黑體" w:hAnsi="微軟正黑體"/>
          <w:bCs/>
        </w:rPr>
      </w:pPr>
      <w:r>
        <w:rPr>
          <w:rFonts w:ascii="微軟正黑體" w:eastAsia="微軟正黑體" w:hAnsi="微軟正黑體" w:hint="eastAsia"/>
          <w:bCs/>
        </w:rPr>
        <w:lastRenderedPageBreak/>
        <w:t xml:space="preserve">2. </w:t>
      </w:r>
      <w:r w:rsidRPr="00804984">
        <w:rPr>
          <w:rFonts w:ascii="微軟正黑體" w:eastAsia="微軟正黑體" w:hAnsi="微軟正黑體" w:hint="eastAsia"/>
          <w:bCs/>
        </w:rPr>
        <w:t>給付概況</w:t>
      </w:r>
    </w:p>
    <w:p w:rsidR="003C2AC2" w:rsidRPr="00395CBA" w:rsidRDefault="003C2AC2" w:rsidP="003C2AC2">
      <w:pPr>
        <w:tabs>
          <w:tab w:val="left" w:pos="993"/>
        </w:tabs>
        <w:snapToGrid w:val="0"/>
        <w:spacing w:beforeLines="30" w:before="108" w:line="400" w:lineRule="exact"/>
        <w:ind w:left="238"/>
        <w:rPr>
          <w:rFonts w:ascii="微軟正黑體" w:eastAsia="微軟正黑體" w:hAnsi="微軟正黑體"/>
          <w:bCs/>
        </w:rPr>
      </w:pPr>
      <w:r>
        <w:rPr>
          <w:rFonts w:ascii="微軟正黑體" w:eastAsia="微軟正黑體" w:hAnsi="微軟正黑體" w:hint="eastAsia"/>
          <w:bCs/>
        </w:rPr>
        <w:t xml:space="preserve">(1) </w:t>
      </w:r>
      <w:r w:rsidRPr="00395CBA">
        <w:rPr>
          <w:rFonts w:ascii="微軟正黑體" w:eastAsia="微軟正黑體" w:hAnsi="微軟正黑體" w:hint="eastAsia"/>
          <w:bCs/>
        </w:rPr>
        <w:t>給付項目與金額</w:t>
      </w:r>
    </w:p>
    <w:p w:rsidR="003C2AC2" w:rsidRPr="0027400B" w:rsidRDefault="003C2AC2" w:rsidP="003C2AC2">
      <w:pPr>
        <w:snapToGrid w:val="0"/>
        <w:spacing w:beforeLines="30" w:before="108" w:line="400" w:lineRule="exact"/>
        <w:ind w:leftChars="300" w:left="720" w:firstLineChars="200" w:firstLine="480"/>
        <w:jc w:val="both"/>
        <w:rPr>
          <w:rFonts w:ascii="微軟正黑體" w:eastAsia="微軟正黑體" w:hAnsi="微軟正黑體"/>
          <w:bCs/>
          <w:color w:val="000000" w:themeColor="text1"/>
        </w:rPr>
      </w:pPr>
      <w:r>
        <w:rPr>
          <w:rFonts w:ascii="微軟正黑體" w:eastAsia="微軟正黑體" w:hAnsi="微軟正黑體" w:hint="eastAsia"/>
          <w:bCs/>
        </w:rPr>
        <w:t>現行社會保險之給付可分為年金給付與一次給付，勞工保險、國民年金保險</w:t>
      </w:r>
      <w:r w:rsidRPr="0027400B">
        <w:rPr>
          <w:rFonts w:ascii="微軟正黑體" w:eastAsia="微軟正黑體" w:hAnsi="微軟正黑體" w:hint="eastAsia"/>
          <w:bCs/>
          <w:color w:val="000000" w:themeColor="text1"/>
        </w:rPr>
        <w:t>及公教人員保險兩種給付兼有，惟公教人員保險自103年6月1日新增之年金給付，至109年底實施對象僅為私校教職員、無月退且未適用優惠存款制度者。農民健康保險則僅有一次給付。</w:t>
      </w:r>
    </w:p>
    <w:p w:rsidR="003C2AC2" w:rsidRPr="0027400B" w:rsidRDefault="003C2AC2" w:rsidP="003C2AC2">
      <w:pPr>
        <w:snapToGrid w:val="0"/>
        <w:spacing w:beforeLines="30" w:before="108" w:line="400" w:lineRule="exact"/>
        <w:ind w:leftChars="300" w:left="720" w:firstLineChars="200" w:firstLine="480"/>
        <w:jc w:val="both"/>
        <w:rPr>
          <w:rFonts w:ascii="微軟正黑體" w:eastAsia="微軟正黑體" w:hAnsi="微軟正黑體"/>
          <w:bCs/>
          <w:color w:val="000000" w:themeColor="text1"/>
        </w:rPr>
      </w:pPr>
      <w:r w:rsidRPr="0027400B">
        <w:rPr>
          <w:rFonts w:ascii="微軟正黑體" w:eastAsia="微軟正黑體" w:hAnsi="微軟正黑體" w:hint="eastAsia"/>
          <w:bCs/>
          <w:color w:val="000000" w:themeColor="text1"/>
        </w:rPr>
        <w:t>就</w:t>
      </w:r>
      <w:r w:rsidRPr="004056A1">
        <w:rPr>
          <w:rFonts w:ascii="微軟正黑體" w:eastAsia="微軟正黑體" w:hAnsi="微軟正黑體" w:hint="eastAsia"/>
          <w:bCs/>
          <w:color w:val="000000" w:themeColor="text1"/>
        </w:rPr>
        <w:t>109</w:t>
      </w:r>
      <w:r w:rsidRPr="0027400B">
        <w:rPr>
          <w:rFonts w:ascii="微軟正黑體" w:eastAsia="微軟正黑體" w:hAnsi="微軟正黑體" w:hint="eastAsia"/>
          <w:bCs/>
          <w:color w:val="000000" w:themeColor="text1"/>
        </w:rPr>
        <w:t>年各保險之給付項目與金額來看</w:t>
      </w:r>
      <w:r w:rsidRPr="003D69A0">
        <w:rPr>
          <w:rFonts w:ascii="微軟正黑體" w:eastAsia="微軟正黑體" w:hAnsi="微軟正黑體" w:hint="eastAsia"/>
          <w:bCs/>
        </w:rPr>
        <w:t>，均以老年或養老給</w:t>
      </w:r>
      <w:r w:rsidRPr="003D69A0">
        <w:rPr>
          <w:rFonts w:ascii="微軟正黑體" w:eastAsia="微軟正黑體" w:hAnsi="微軟正黑體" w:hint="eastAsia"/>
        </w:rPr>
        <w:t>付所占比率最高，超過8成以上</w:t>
      </w:r>
      <w:r w:rsidRPr="0038767E">
        <w:rPr>
          <w:rFonts w:ascii="微軟正黑體" w:eastAsia="微軟正黑體" w:hAnsi="微軟正黑體" w:hint="eastAsia"/>
        </w:rPr>
        <w:t>。勞保自98年實施年金制度，隨著老年年金給付金額逐年成長，至109年年金給付金額已占老年給付近</w:t>
      </w:r>
      <w:r>
        <w:rPr>
          <w:rFonts w:ascii="微軟正黑體" w:eastAsia="微軟正黑體" w:hAnsi="微軟正黑體" w:hint="eastAsia"/>
          <w:color w:val="000000" w:themeColor="text1"/>
        </w:rPr>
        <w:t>7成</w:t>
      </w:r>
      <w:r w:rsidRPr="0027400B">
        <w:rPr>
          <w:rFonts w:ascii="微軟正黑體" w:eastAsia="微軟正黑體" w:hAnsi="微軟正黑體" w:hint="eastAsia"/>
          <w:color w:val="000000" w:themeColor="text1"/>
        </w:rPr>
        <w:t>。公教人員保險因目前年金給付僅適用私校教職員及無月退也未享有優存者，109年養老年金給付金額僅占養老給付之</w:t>
      </w:r>
      <w:r>
        <w:rPr>
          <w:rFonts w:ascii="微軟正黑體" w:eastAsia="微軟正黑體" w:hAnsi="微軟正黑體" w:hint="eastAsia"/>
          <w:bCs/>
          <w:color w:val="000000" w:themeColor="text1"/>
        </w:rPr>
        <w:t>1</w:t>
      </w:r>
      <w:r w:rsidRPr="0027400B">
        <w:rPr>
          <w:rFonts w:ascii="微軟正黑體" w:eastAsia="微軟正黑體" w:hAnsi="微軟正黑體" w:hint="eastAsia"/>
          <w:bCs/>
          <w:color w:val="000000" w:themeColor="text1"/>
        </w:rPr>
        <w:t>0</w:t>
      </w:r>
      <w:r>
        <w:rPr>
          <w:rFonts w:ascii="微軟正黑體" w:eastAsia="微軟正黑體" w:hAnsi="微軟正黑體" w:hint="eastAsia"/>
          <w:bCs/>
          <w:color w:val="000000" w:themeColor="text1"/>
        </w:rPr>
        <w:t>.2</w:t>
      </w:r>
      <w:r w:rsidRPr="0027400B">
        <w:rPr>
          <w:rFonts w:ascii="微軟正黑體" w:eastAsia="微軟正黑體" w:hAnsi="微軟正黑體" w:hint="eastAsia"/>
          <w:bCs/>
          <w:color w:val="000000" w:themeColor="text1"/>
        </w:rPr>
        <w:t xml:space="preserve"> %，比率呈現微幅成長。</w:t>
      </w:r>
    </w:p>
    <w:p w:rsidR="003C2AC2" w:rsidRPr="0027400B" w:rsidRDefault="003C2AC2" w:rsidP="003C2AC2">
      <w:pPr>
        <w:snapToGrid w:val="0"/>
        <w:spacing w:beforeLines="30" w:before="108" w:line="400" w:lineRule="exact"/>
        <w:ind w:leftChars="300" w:left="720" w:firstLineChars="200" w:firstLine="480"/>
        <w:jc w:val="both"/>
        <w:rPr>
          <w:rFonts w:ascii="微軟正黑體" w:eastAsia="微軟正黑體" w:hAnsi="微軟正黑體"/>
          <w:bCs/>
          <w:color w:val="000000" w:themeColor="text1"/>
        </w:rPr>
      </w:pPr>
      <w:r w:rsidRPr="0027400B">
        <w:rPr>
          <w:rFonts w:ascii="微軟正黑體" w:eastAsia="微軟正黑體" w:hAnsi="微軟正黑體" w:hint="eastAsia"/>
          <w:bCs/>
          <w:color w:val="000000" w:themeColor="text1"/>
        </w:rPr>
        <w:t>農民健康保險僅有生育給付、身心障礙給付與喪葬津貼等一次給付，以喪葬津貼所占比率最高，達64.6%，主要原因在於農保並無投保年齡上限，喪葬津貼發放機率可說是百分之百，其次為身心障礙給付，占34.7%。</w:t>
      </w:r>
    </w:p>
    <w:p w:rsidR="003C2AC2" w:rsidRDefault="003C2AC2" w:rsidP="003C2AC2">
      <w:pPr>
        <w:widowControl/>
        <w:rPr>
          <w:rFonts w:ascii="微軟正黑體" w:eastAsia="微軟正黑體" w:hAnsi="微軟正黑體"/>
          <w:bCs/>
        </w:rPr>
      </w:pPr>
      <w:r>
        <w:rPr>
          <w:rFonts w:ascii="微軟正黑體" w:eastAsia="微軟正黑體" w:hAnsi="微軟正黑體" w:hint="eastAsia"/>
          <w:bCs/>
          <w:kern w:val="0"/>
        </w:rPr>
        <w:br w:type="page"/>
      </w:r>
    </w:p>
    <w:p w:rsidR="003C2AC2" w:rsidRPr="0027400B" w:rsidRDefault="003C2AC2" w:rsidP="003C2AC2">
      <w:pPr>
        <w:snapToGrid w:val="0"/>
        <w:spacing w:afterLines="50" w:after="180" w:line="400" w:lineRule="exact"/>
        <w:jc w:val="center"/>
        <w:rPr>
          <w:rFonts w:ascii="微軟正黑體" w:eastAsia="微軟正黑體" w:hAnsi="微軟正黑體"/>
          <w:bCs/>
        </w:rPr>
      </w:pPr>
      <w:r w:rsidRPr="0027400B">
        <w:rPr>
          <w:rFonts w:ascii="微軟正黑體" w:eastAsia="微軟正黑體" w:hAnsi="微軟正黑體" w:hint="eastAsia"/>
          <w:bCs/>
        </w:rPr>
        <w:lastRenderedPageBreak/>
        <w:t>表1.1  109年各社會保險給付項目與金額</w:t>
      </w:r>
    </w:p>
    <w:tbl>
      <w:tblPr>
        <w:tblStyle w:val="-3"/>
        <w:tblW w:w="0" w:type="auto"/>
        <w:jc w:val="center"/>
        <w:tblLook w:val="04A0" w:firstRow="1" w:lastRow="0" w:firstColumn="1" w:lastColumn="0" w:noHBand="0" w:noVBand="1"/>
      </w:tblPr>
      <w:tblGrid>
        <w:gridCol w:w="1292"/>
        <w:gridCol w:w="1165"/>
        <w:gridCol w:w="1183"/>
        <w:gridCol w:w="1095"/>
        <w:gridCol w:w="3685"/>
      </w:tblGrid>
      <w:tr w:rsidR="003C2AC2" w:rsidRPr="0027400B" w:rsidTr="008F197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92" w:type="dxa"/>
            <w:tcBorders>
              <w:top w:val="single" w:sz="8" w:space="0" w:color="9BBB59" w:themeColor="accent3"/>
              <w:left w:val="single" w:sz="8" w:space="0" w:color="9BBB59" w:themeColor="accent3"/>
              <w:bottom w:val="nil"/>
              <w:right w:val="nil"/>
            </w:tcBorders>
            <w:tcMar>
              <w:top w:w="0" w:type="dxa"/>
              <w:left w:w="57" w:type="dxa"/>
              <w:bottom w:w="0" w:type="dxa"/>
              <w:right w:w="57" w:type="dxa"/>
            </w:tcMar>
            <w:vAlign w:val="center"/>
          </w:tcPr>
          <w:p w:rsidR="003C2AC2" w:rsidRPr="0027400B" w:rsidRDefault="003C2AC2" w:rsidP="008F1977">
            <w:pPr>
              <w:snapToGrid w:val="0"/>
              <w:spacing w:line="400" w:lineRule="exact"/>
              <w:jc w:val="center"/>
              <w:rPr>
                <w:rFonts w:ascii="微軟正黑體" w:eastAsia="微軟正黑體" w:hAnsi="微軟正黑體"/>
                <w:bCs w:val="0"/>
                <w:color w:val="auto"/>
                <w:sz w:val="22"/>
              </w:rPr>
            </w:pPr>
          </w:p>
        </w:tc>
        <w:tc>
          <w:tcPr>
            <w:tcW w:w="1165" w:type="dxa"/>
            <w:tcBorders>
              <w:top w:val="single" w:sz="8" w:space="0" w:color="9BBB59" w:themeColor="accent3"/>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color w:val="auto"/>
                <w:sz w:val="22"/>
              </w:rPr>
            </w:pPr>
            <w:r w:rsidRPr="0027400B">
              <w:rPr>
                <w:rFonts w:ascii="微軟正黑體" w:eastAsia="微軟正黑體" w:hAnsi="微軟正黑體" w:hint="eastAsia"/>
                <w:color w:val="auto"/>
                <w:sz w:val="22"/>
              </w:rPr>
              <w:t>項目</w:t>
            </w:r>
          </w:p>
        </w:tc>
        <w:tc>
          <w:tcPr>
            <w:tcW w:w="1183" w:type="dxa"/>
            <w:tcBorders>
              <w:top w:val="single" w:sz="8" w:space="0" w:color="9BBB59" w:themeColor="accent3"/>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300" w:lineRule="exact"/>
              <w:ind w:leftChars="103" w:left="247"/>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color w:val="auto"/>
                <w:sz w:val="22"/>
              </w:rPr>
            </w:pPr>
            <w:r w:rsidRPr="0027400B">
              <w:rPr>
                <w:rFonts w:ascii="微軟正黑體" w:eastAsia="微軟正黑體" w:hAnsi="微軟正黑體" w:hint="eastAsia"/>
                <w:color w:val="auto"/>
                <w:sz w:val="22"/>
              </w:rPr>
              <w:t xml:space="preserve">  金額</w:t>
            </w:r>
          </w:p>
          <w:p w:rsidR="003C2AC2" w:rsidRPr="0027400B" w:rsidRDefault="003C2AC2" w:rsidP="008F1977">
            <w:pPr>
              <w:snapToGrid w:val="0"/>
              <w:spacing w:line="300" w:lineRule="exact"/>
              <w:ind w:firstLineChars="113" w:firstLine="249"/>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color w:val="auto"/>
                <w:sz w:val="22"/>
              </w:rPr>
            </w:pPr>
            <w:r w:rsidRPr="0027400B">
              <w:rPr>
                <w:rFonts w:ascii="微軟正黑體" w:eastAsia="微軟正黑體" w:hAnsi="微軟正黑體" w:hint="eastAsia"/>
                <w:color w:val="auto"/>
                <w:sz w:val="22"/>
              </w:rPr>
              <w:t xml:space="preserve">  (億元)</w:t>
            </w:r>
          </w:p>
        </w:tc>
        <w:tc>
          <w:tcPr>
            <w:tcW w:w="1095" w:type="dxa"/>
            <w:tcBorders>
              <w:top w:val="single" w:sz="8" w:space="0" w:color="9BBB59" w:themeColor="accent3"/>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300" w:lineRule="exact"/>
              <w:ind w:leftChars="30" w:left="72" w:firstLineChars="40" w:firstLine="88"/>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color w:val="auto"/>
                <w:sz w:val="22"/>
              </w:rPr>
            </w:pPr>
            <w:r w:rsidRPr="0027400B">
              <w:rPr>
                <w:rFonts w:ascii="微軟正黑體" w:eastAsia="微軟正黑體" w:hAnsi="微軟正黑體" w:hint="eastAsia"/>
                <w:color w:val="auto"/>
                <w:sz w:val="22"/>
              </w:rPr>
              <w:t xml:space="preserve">  比率</w:t>
            </w:r>
          </w:p>
          <w:p w:rsidR="003C2AC2" w:rsidRPr="0027400B" w:rsidRDefault="003C2AC2" w:rsidP="008F1977">
            <w:pPr>
              <w:snapToGrid w:val="0"/>
              <w:spacing w:line="300" w:lineRule="exact"/>
              <w:ind w:leftChars="37" w:left="89" w:firstLineChars="32" w:firstLine="7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color w:val="auto"/>
                <w:sz w:val="22"/>
              </w:rPr>
            </w:pPr>
            <w:r w:rsidRPr="0027400B">
              <w:rPr>
                <w:rFonts w:ascii="微軟正黑體" w:eastAsia="微軟正黑體" w:hAnsi="微軟正黑體" w:hint="eastAsia"/>
                <w:color w:val="auto"/>
                <w:sz w:val="22"/>
              </w:rPr>
              <w:t xml:space="preserve">  (%)</w:t>
            </w:r>
          </w:p>
        </w:tc>
        <w:tc>
          <w:tcPr>
            <w:tcW w:w="3685" w:type="dxa"/>
            <w:tcBorders>
              <w:top w:val="single" w:sz="8" w:space="0" w:color="9BBB59" w:themeColor="accent3"/>
              <w:left w:val="nil"/>
              <w:bottom w:val="nil"/>
              <w:right w:val="single" w:sz="8" w:space="0" w:color="9BBB59" w:themeColor="accent3"/>
            </w:tcBorders>
            <w:tcMar>
              <w:top w:w="0" w:type="dxa"/>
              <w:left w:w="57" w:type="dxa"/>
              <w:bottom w:w="0" w:type="dxa"/>
              <w:right w:w="57" w:type="dxa"/>
            </w:tcMar>
            <w:vAlign w:val="center"/>
            <w:hideMark/>
          </w:tcPr>
          <w:p w:rsidR="003C2AC2" w:rsidRPr="0027400B" w:rsidRDefault="003C2AC2" w:rsidP="008F1977">
            <w:pPr>
              <w:snapToGrid w:val="0"/>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color w:val="auto"/>
                <w:sz w:val="22"/>
              </w:rPr>
            </w:pPr>
            <w:r w:rsidRPr="0027400B">
              <w:rPr>
                <w:rFonts w:ascii="微軟正黑體" w:eastAsia="微軟正黑體" w:hAnsi="微軟正黑體" w:hint="eastAsia"/>
                <w:bCs w:val="0"/>
                <w:color w:val="auto"/>
                <w:sz w:val="22"/>
              </w:rPr>
              <w:t>項目說明</w:t>
            </w:r>
          </w:p>
          <w:p w:rsidR="003C2AC2" w:rsidRPr="0027400B" w:rsidRDefault="003C2AC2" w:rsidP="008F1977">
            <w:pPr>
              <w:snapToGrid w:val="0"/>
              <w:spacing w:line="3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color w:val="auto"/>
                <w:sz w:val="22"/>
              </w:rPr>
            </w:pPr>
            <w:r w:rsidRPr="0027400B">
              <w:rPr>
                <w:rFonts w:ascii="微軟正黑體" w:eastAsia="微軟正黑體" w:hAnsi="微軟正黑體" w:hint="eastAsia"/>
                <w:bCs w:val="0"/>
                <w:color w:val="auto"/>
                <w:sz w:val="22"/>
              </w:rPr>
              <w:t>(含一次給付及年金給付)</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2" w:type="dxa"/>
            <w:vMerge w:val="restart"/>
            <w:tcBorders>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360" w:lineRule="exact"/>
              <w:jc w:val="center"/>
              <w:rPr>
                <w:rFonts w:ascii="微軟正黑體" w:eastAsia="微軟正黑體" w:hAnsi="微軟正黑體"/>
                <w:bCs w:val="0"/>
                <w:sz w:val="22"/>
              </w:rPr>
            </w:pPr>
            <w:r w:rsidRPr="0027400B">
              <w:rPr>
                <w:rFonts w:ascii="微軟正黑體" w:eastAsia="微軟正黑體" w:hAnsi="微軟正黑體" w:hint="eastAsia"/>
                <w:bCs w:val="0"/>
                <w:sz w:val="22"/>
              </w:rPr>
              <w:t>勞工保險</w:t>
            </w:r>
          </w:p>
          <w:p w:rsidR="003C2AC2" w:rsidRPr="0027400B" w:rsidRDefault="003C2AC2" w:rsidP="008F1977">
            <w:pPr>
              <w:snapToGrid w:val="0"/>
              <w:spacing w:line="360" w:lineRule="exact"/>
              <w:jc w:val="center"/>
              <w:rPr>
                <w:rFonts w:ascii="微軟正黑體" w:eastAsia="微軟正黑體" w:hAnsi="微軟正黑體"/>
                <w:bCs w:val="0"/>
                <w:sz w:val="22"/>
              </w:rPr>
            </w:pPr>
            <w:r w:rsidRPr="0027400B">
              <w:rPr>
                <w:rFonts w:ascii="微軟正黑體" w:eastAsia="微軟正黑體" w:hAnsi="微軟正黑體" w:hint="eastAsia"/>
                <w:bCs w:val="0"/>
                <w:sz w:val="22"/>
              </w:rPr>
              <w:t>(普通事故)</w:t>
            </w: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老年給付</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27400B">
              <w:rPr>
                <w:rFonts w:ascii="微軟正黑體" w:eastAsia="微軟正黑體" w:hAnsi="微軟正黑體" w:hint="eastAsia"/>
                <w:sz w:val="22"/>
              </w:rPr>
              <w:t>4,058.9</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22"/>
              </w:rPr>
            </w:pPr>
            <w:r w:rsidRPr="003D69A0">
              <w:rPr>
                <w:rFonts w:ascii="微軟正黑體" w:eastAsia="微軟正黑體" w:hAnsi="微軟正黑體" w:hint="eastAsia"/>
                <w:bCs/>
                <w:sz w:val="22"/>
              </w:rPr>
              <w:t>90.4</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360" w:lineRule="exact"/>
              <w:ind w:leftChars="112" w:left="269"/>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含一次給付1,233.3億元(30.4%)，</w:t>
            </w:r>
          </w:p>
          <w:p w:rsidR="003C2AC2" w:rsidRPr="0027400B" w:rsidRDefault="003C2AC2" w:rsidP="008F1977">
            <w:pPr>
              <w:snapToGrid w:val="0"/>
              <w:spacing w:line="360" w:lineRule="exact"/>
              <w:ind w:leftChars="112" w:left="269"/>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年金給付2,825.5億元(</w:t>
            </w:r>
            <w:r w:rsidRPr="00DB03A2">
              <w:rPr>
                <w:rFonts w:ascii="微軟正黑體" w:eastAsia="微軟正黑體" w:hAnsi="微軟正黑體" w:hint="eastAsia"/>
                <w:bCs/>
                <w:sz w:val="22"/>
              </w:rPr>
              <w:t>69.6%</w:t>
            </w:r>
            <w:r w:rsidRPr="0027400B">
              <w:rPr>
                <w:rFonts w:ascii="微軟正黑體" w:eastAsia="微軟正黑體" w:hAnsi="微軟正黑體" w:hint="eastAsia"/>
                <w:bCs/>
                <w:sz w:val="22"/>
              </w:rPr>
              <w:t>)。</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BBB59" w:themeColor="accent3"/>
              <w:left w:val="single" w:sz="8" w:space="0" w:color="9BBB59" w:themeColor="accent3"/>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死亡給付</w:t>
            </w:r>
          </w:p>
        </w:tc>
        <w:tc>
          <w:tcPr>
            <w:tcW w:w="1183"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27400B">
              <w:rPr>
                <w:rFonts w:ascii="微軟正黑體" w:eastAsia="微軟正黑體" w:hAnsi="微軟正黑體" w:hint="eastAsia"/>
                <w:sz w:val="22"/>
              </w:rPr>
              <w:t>291.0</w:t>
            </w:r>
          </w:p>
        </w:tc>
        <w:tc>
          <w:tcPr>
            <w:tcW w:w="109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6.5</w:t>
            </w:r>
          </w:p>
        </w:tc>
        <w:tc>
          <w:tcPr>
            <w:tcW w:w="3685" w:type="dxa"/>
            <w:tcBorders>
              <w:top w:val="nil"/>
              <w:left w:val="nil"/>
              <w:bottom w:val="nil"/>
              <w:right w:val="single" w:sz="8" w:space="0" w:color="9BBB59" w:themeColor="accent3"/>
            </w:tcBorders>
            <w:tcMar>
              <w:top w:w="0" w:type="dxa"/>
              <w:left w:w="57" w:type="dxa"/>
              <w:bottom w:w="0" w:type="dxa"/>
              <w:right w:w="57" w:type="dxa"/>
            </w:tcMar>
            <w:hideMark/>
          </w:tcPr>
          <w:p w:rsidR="003C2AC2" w:rsidRPr="0027400B" w:rsidRDefault="003C2AC2" w:rsidP="008F1977">
            <w:pPr>
              <w:snapToGrid w:val="0"/>
              <w:spacing w:line="360" w:lineRule="exact"/>
              <w:ind w:leftChars="112" w:left="269"/>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含一次給付245.3億元(84.4%)，</w:t>
            </w:r>
          </w:p>
          <w:p w:rsidR="003C2AC2" w:rsidRPr="0027400B" w:rsidRDefault="003C2AC2" w:rsidP="008F1977">
            <w:pPr>
              <w:snapToGrid w:val="0"/>
              <w:spacing w:line="360" w:lineRule="exact"/>
              <w:ind w:leftChars="112" w:left="269"/>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遺屬年金45.7億元(15.6%)。</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失能給付</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27400B">
              <w:rPr>
                <w:rFonts w:ascii="微軟正黑體" w:eastAsia="微軟正黑體" w:hAnsi="微軟正黑體" w:hint="eastAsia"/>
                <w:sz w:val="22"/>
              </w:rPr>
              <w:t>48.6</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1.1</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360" w:lineRule="exact"/>
              <w:ind w:leftChars="112" w:left="269"/>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含一次給付43.4億元(89.4%)，</w:t>
            </w:r>
          </w:p>
          <w:p w:rsidR="003C2AC2" w:rsidRPr="0027400B" w:rsidRDefault="003C2AC2" w:rsidP="008F1977">
            <w:pPr>
              <w:snapToGrid w:val="0"/>
              <w:spacing w:line="360" w:lineRule="exact"/>
              <w:ind w:leftChars="112" w:left="269"/>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年金給付5.</w:t>
            </w:r>
            <w:r>
              <w:rPr>
                <w:rFonts w:ascii="微軟正黑體" w:eastAsia="微軟正黑體" w:hAnsi="微軟正黑體" w:hint="eastAsia"/>
                <w:bCs/>
                <w:sz w:val="22"/>
              </w:rPr>
              <w:t>2</w:t>
            </w:r>
            <w:r w:rsidRPr="0027400B">
              <w:rPr>
                <w:rFonts w:ascii="微軟正黑體" w:eastAsia="微軟正黑體" w:hAnsi="微軟正黑體" w:hint="eastAsia"/>
                <w:bCs/>
                <w:sz w:val="22"/>
              </w:rPr>
              <w:t>億元(</w:t>
            </w:r>
            <w:r w:rsidRPr="00E91417">
              <w:rPr>
                <w:rFonts w:ascii="微軟正黑體" w:eastAsia="微軟正黑體" w:hAnsi="微軟正黑體" w:hint="eastAsia"/>
                <w:bCs/>
                <w:sz w:val="22"/>
              </w:rPr>
              <w:t>10.6%</w:t>
            </w:r>
            <w:r w:rsidRPr="0027400B">
              <w:rPr>
                <w:rFonts w:ascii="微軟正黑體" w:eastAsia="微軟正黑體" w:hAnsi="微軟正黑體" w:hint="eastAsia"/>
                <w:bCs/>
                <w:sz w:val="22"/>
              </w:rPr>
              <w:t>)。</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BBB59" w:themeColor="accent3"/>
              <w:left w:val="single" w:sz="8" w:space="0" w:color="9BBB59" w:themeColor="accent3"/>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生育給付</w:t>
            </w:r>
          </w:p>
        </w:tc>
        <w:tc>
          <w:tcPr>
            <w:tcW w:w="1183"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27400B">
              <w:rPr>
                <w:rFonts w:ascii="微軟正黑體" w:eastAsia="微軟正黑體" w:hAnsi="微軟正黑體" w:hint="eastAsia"/>
                <w:sz w:val="22"/>
              </w:rPr>
              <w:t>79.5</w:t>
            </w:r>
          </w:p>
        </w:tc>
        <w:tc>
          <w:tcPr>
            <w:tcW w:w="109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bCs/>
                <w:sz w:val="22"/>
              </w:rPr>
              <w:t>1.8</w:t>
            </w:r>
          </w:p>
        </w:tc>
        <w:tc>
          <w:tcPr>
            <w:tcW w:w="3685" w:type="dxa"/>
            <w:tcBorders>
              <w:top w:val="nil"/>
              <w:left w:val="nil"/>
              <w:bottom w:val="nil"/>
              <w:right w:val="single" w:sz="8" w:space="0" w:color="9BBB59" w:themeColor="accent3"/>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bCs/>
                <w:sz w:val="22"/>
              </w:rPr>
            </w:pPr>
            <w:r w:rsidRPr="0027400B">
              <w:rPr>
                <w:rFonts w:ascii="微軟正黑體" w:eastAsia="微軟正黑體" w:hAnsi="微軟正黑體" w:hint="eastAsia"/>
                <w:b/>
                <w:bCs/>
                <w:sz w:val="22"/>
              </w:rPr>
              <w:t>-</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傷病給付</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27400B">
              <w:rPr>
                <w:rFonts w:ascii="微軟正黑體" w:eastAsia="微軟正黑體" w:hAnsi="微軟正黑體" w:hint="eastAsia"/>
                <w:sz w:val="22"/>
              </w:rPr>
              <w:t>10.6</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0.2</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bCs/>
                <w:sz w:val="22"/>
              </w:rPr>
            </w:pPr>
            <w:r w:rsidRPr="0027400B">
              <w:rPr>
                <w:rFonts w:ascii="微軟正黑體" w:eastAsia="微軟正黑體" w:hAnsi="微軟正黑體" w:hint="eastAsia"/>
                <w:b/>
                <w:bCs/>
                <w:sz w:val="22"/>
              </w:rPr>
              <w:t>-</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BBB59" w:themeColor="accent3"/>
              <w:left w:val="single" w:sz="8" w:space="0" w:color="9BBB59" w:themeColor="accent3"/>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widowControl/>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給付總額</w:t>
            </w:r>
          </w:p>
        </w:tc>
        <w:tc>
          <w:tcPr>
            <w:tcW w:w="1183" w:type="dxa"/>
            <w:tcBorders>
              <w:top w:val="nil"/>
              <w:left w:val="nil"/>
              <w:bottom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4,488.6</w:t>
            </w:r>
          </w:p>
        </w:tc>
        <w:tc>
          <w:tcPr>
            <w:tcW w:w="1095" w:type="dxa"/>
            <w:tcBorders>
              <w:top w:val="nil"/>
              <w:left w:val="nil"/>
              <w:bottom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100.0</w:t>
            </w:r>
          </w:p>
        </w:tc>
        <w:tc>
          <w:tcPr>
            <w:tcW w:w="3685" w:type="dxa"/>
            <w:tcBorders>
              <w:top w:val="nil"/>
              <w:left w:val="nil"/>
              <w:bottom w:val="nil"/>
              <w:right w:val="single" w:sz="8" w:space="0" w:color="9BBB59" w:themeColor="accent3"/>
            </w:tcBorders>
            <w:shd w:val="clear" w:color="auto" w:fill="EAF1DD" w:themeFill="accent3" w:themeFillTint="33"/>
            <w:tcMar>
              <w:top w:w="0" w:type="dxa"/>
              <w:left w:w="57" w:type="dxa"/>
              <w:bottom w:w="0" w:type="dxa"/>
              <w:right w:w="57" w:type="dxa"/>
            </w:tcMar>
          </w:tcPr>
          <w:p w:rsidR="003C2AC2" w:rsidRPr="0027400B" w:rsidRDefault="003C2AC2" w:rsidP="008F1977">
            <w:pPr>
              <w:snapToGrid w:val="0"/>
              <w:spacing w:line="400" w:lineRule="exact"/>
              <w:ind w:leftChars="112" w:left="269"/>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2" w:type="dxa"/>
            <w:vMerge w:val="restart"/>
            <w:tcBorders>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360" w:lineRule="exact"/>
              <w:jc w:val="center"/>
              <w:rPr>
                <w:rFonts w:ascii="微軟正黑體" w:eastAsia="微軟正黑體" w:hAnsi="微軟正黑體"/>
                <w:bCs w:val="0"/>
                <w:sz w:val="22"/>
              </w:rPr>
            </w:pPr>
            <w:r w:rsidRPr="0027400B">
              <w:rPr>
                <w:rFonts w:ascii="微軟正黑體" w:eastAsia="微軟正黑體" w:hAnsi="微軟正黑體" w:hint="eastAsia"/>
                <w:bCs w:val="0"/>
                <w:sz w:val="22"/>
              </w:rPr>
              <w:t>國民年金 保險</w:t>
            </w: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老年年金</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533.6</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3D69A0">
              <w:rPr>
                <w:rFonts w:ascii="微軟正黑體" w:eastAsia="微軟正黑體" w:hAnsi="微軟正黑體" w:hint="eastAsia"/>
                <w:kern w:val="0"/>
                <w:sz w:val="22"/>
              </w:rPr>
              <w:t>88.5</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BBB59" w:themeColor="accent3"/>
              <w:left w:val="single" w:sz="8" w:space="0" w:color="9BBB59" w:themeColor="accent3"/>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遺屬年金</w:t>
            </w:r>
          </w:p>
        </w:tc>
        <w:tc>
          <w:tcPr>
            <w:tcW w:w="1183"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49.8</w:t>
            </w:r>
          </w:p>
        </w:tc>
        <w:tc>
          <w:tcPr>
            <w:tcW w:w="109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8.3</w:t>
            </w:r>
          </w:p>
        </w:tc>
        <w:tc>
          <w:tcPr>
            <w:tcW w:w="3685" w:type="dxa"/>
            <w:tcBorders>
              <w:top w:val="nil"/>
              <w:left w:val="nil"/>
              <w:bottom w:val="nil"/>
              <w:right w:val="single" w:sz="8" w:space="0" w:color="9BBB59" w:themeColor="accent3"/>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身障年金</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3.6</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0.6</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BBB59" w:themeColor="accent3"/>
              <w:left w:val="single" w:sz="8" w:space="0" w:color="9BBB59" w:themeColor="accent3"/>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喪葬給付</w:t>
            </w:r>
          </w:p>
        </w:tc>
        <w:tc>
          <w:tcPr>
            <w:tcW w:w="1183"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9.8</w:t>
            </w:r>
          </w:p>
        </w:tc>
        <w:tc>
          <w:tcPr>
            <w:tcW w:w="109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1.6</w:t>
            </w:r>
          </w:p>
        </w:tc>
        <w:tc>
          <w:tcPr>
            <w:tcW w:w="3685" w:type="dxa"/>
            <w:tcBorders>
              <w:top w:val="nil"/>
              <w:left w:val="nil"/>
              <w:bottom w:val="nil"/>
              <w:right w:val="single" w:sz="8" w:space="0" w:color="9BBB59" w:themeColor="accent3"/>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生育給付</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6.2</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1.0</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BBB59" w:themeColor="accent3"/>
              <w:left w:val="single" w:sz="8" w:space="0" w:color="9BBB59" w:themeColor="accent3"/>
              <w:bottom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snapToGrid w:val="0"/>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給付總額</w:t>
            </w:r>
          </w:p>
        </w:tc>
        <w:tc>
          <w:tcPr>
            <w:tcW w:w="1183" w:type="dxa"/>
            <w:tcBorders>
              <w:top w:val="nil"/>
              <w:left w:val="nil"/>
              <w:bottom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602.9</w:t>
            </w:r>
          </w:p>
        </w:tc>
        <w:tc>
          <w:tcPr>
            <w:tcW w:w="1095" w:type="dxa"/>
            <w:tcBorders>
              <w:top w:val="nil"/>
              <w:left w:val="nil"/>
              <w:bottom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100.0</w:t>
            </w:r>
          </w:p>
        </w:tc>
        <w:tc>
          <w:tcPr>
            <w:tcW w:w="3685" w:type="dxa"/>
            <w:tcBorders>
              <w:top w:val="nil"/>
              <w:left w:val="nil"/>
              <w:bottom w:val="nil"/>
              <w:right w:val="single" w:sz="8" w:space="0" w:color="9BBB59" w:themeColor="accent3"/>
            </w:tcBorders>
            <w:shd w:val="clear" w:color="auto" w:fill="EAF1DD" w:themeFill="accent3" w:themeFillTint="33"/>
            <w:tcMar>
              <w:top w:w="0" w:type="dxa"/>
              <w:left w:w="57" w:type="dxa"/>
              <w:bottom w:w="0" w:type="dxa"/>
              <w:right w:w="57" w:type="dxa"/>
            </w:tcMar>
          </w:tcPr>
          <w:p w:rsidR="003C2AC2" w:rsidRPr="0027400B" w:rsidRDefault="003C2AC2" w:rsidP="008F1977">
            <w:pPr>
              <w:snapToGrid w:val="0"/>
              <w:spacing w:line="400" w:lineRule="exact"/>
              <w:ind w:leftChars="112" w:left="269"/>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sz w:val="22"/>
              </w:rPr>
            </w:pP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2" w:type="dxa"/>
            <w:vMerge w:val="restart"/>
            <w:tcBorders>
              <w:right w:val="nil"/>
            </w:tcBorders>
            <w:tcMar>
              <w:top w:w="0" w:type="dxa"/>
              <w:left w:w="57" w:type="dxa"/>
              <w:bottom w:w="0" w:type="dxa"/>
              <w:right w:w="57" w:type="dxa"/>
            </w:tcMar>
            <w:vAlign w:val="center"/>
            <w:hideMark/>
          </w:tcPr>
          <w:p w:rsidR="003C2AC2" w:rsidRPr="0027400B" w:rsidRDefault="003C2AC2" w:rsidP="008F1977">
            <w:pPr>
              <w:snapToGrid w:val="0"/>
              <w:spacing w:line="360" w:lineRule="exact"/>
              <w:jc w:val="center"/>
              <w:rPr>
                <w:rFonts w:ascii="微軟正黑體" w:eastAsia="微軟正黑體" w:hAnsi="微軟正黑體"/>
                <w:bCs w:val="0"/>
                <w:sz w:val="22"/>
              </w:rPr>
            </w:pPr>
            <w:r w:rsidRPr="0027400B">
              <w:rPr>
                <w:rFonts w:ascii="微軟正黑體" w:eastAsia="微軟正黑體" w:hAnsi="微軟正黑體" w:hint="eastAsia"/>
                <w:bCs w:val="0"/>
                <w:sz w:val="22"/>
              </w:rPr>
              <w:t>公教人員 保險</w:t>
            </w: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養老給付</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182.7</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3D69A0">
              <w:rPr>
                <w:rFonts w:ascii="微軟正黑體" w:eastAsia="微軟正黑體" w:hAnsi="微軟正黑體" w:hint="eastAsia"/>
                <w:kern w:val="0"/>
                <w:sz w:val="22"/>
              </w:rPr>
              <w:t>83.2</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360" w:lineRule="exact"/>
              <w:ind w:leftChars="112" w:left="269"/>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含一次給付164.1億元(89.8%)，</w:t>
            </w:r>
          </w:p>
          <w:p w:rsidR="003C2AC2" w:rsidRPr="0027400B" w:rsidRDefault="003C2AC2" w:rsidP="008F1977">
            <w:pPr>
              <w:snapToGrid w:val="0"/>
              <w:spacing w:line="360" w:lineRule="exact"/>
              <w:ind w:leftChars="112" w:left="269"/>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年金給付億元18.6億元(10.2%)。</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BBB59" w:themeColor="accent3"/>
              <w:left w:val="single" w:sz="8" w:space="0" w:color="9BBB59" w:themeColor="accent3"/>
              <w:bottom w:val="single" w:sz="8" w:space="0" w:color="9BBB59" w:themeColor="accent3"/>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死亡給付</w:t>
            </w:r>
          </w:p>
        </w:tc>
        <w:tc>
          <w:tcPr>
            <w:tcW w:w="1183"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5.8</w:t>
            </w:r>
          </w:p>
        </w:tc>
        <w:tc>
          <w:tcPr>
            <w:tcW w:w="109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2.7</w:t>
            </w:r>
          </w:p>
        </w:tc>
        <w:tc>
          <w:tcPr>
            <w:tcW w:w="3685" w:type="dxa"/>
            <w:tcBorders>
              <w:top w:val="nil"/>
              <w:left w:val="nil"/>
              <w:bottom w:val="nil"/>
              <w:right w:val="single" w:sz="8" w:space="0" w:color="9BBB59" w:themeColor="accent3"/>
            </w:tcBorders>
            <w:tcMar>
              <w:top w:w="0" w:type="dxa"/>
              <w:left w:w="57" w:type="dxa"/>
              <w:bottom w:w="0" w:type="dxa"/>
              <w:right w:w="57" w:type="dxa"/>
            </w:tcMar>
            <w:hideMark/>
          </w:tcPr>
          <w:p w:rsidR="003C2AC2" w:rsidRPr="0027400B" w:rsidRDefault="003C2AC2" w:rsidP="008F1977">
            <w:pPr>
              <w:snapToGrid w:val="0"/>
              <w:spacing w:line="360" w:lineRule="exact"/>
              <w:ind w:leftChars="112" w:left="269"/>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含一次給付5.8億元(99.8%)，</w:t>
            </w:r>
          </w:p>
          <w:p w:rsidR="003C2AC2" w:rsidRPr="0027400B" w:rsidRDefault="003C2AC2" w:rsidP="008F1977">
            <w:pPr>
              <w:snapToGrid w:val="0"/>
              <w:spacing w:line="360" w:lineRule="exact"/>
              <w:ind w:leftChars="112" w:left="269"/>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遺屬年金0.01億元(0.2%)。</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失能給付</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2.9</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1.3</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kern w:val="0"/>
                <w:sz w:val="22"/>
              </w:rPr>
            </w:pPr>
            <w:r w:rsidRPr="0027400B">
              <w:rPr>
                <w:rFonts w:ascii="微軟正黑體" w:eastAsia="微軟正黑體" w:hAnsi="微軟正黑體" w:hint="eastAsia"/>
                <w:b/>
                <w:kern w:val="0"/>
                <w:sz w:val="22"/>
              </w:rPr>
              <w:t>-</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BBB59" w:themeColor="accent3"/>
              <w:left w:val="single" w:sz="8" w:space="0" w:color="9BBB59" w:themeColor="accent3"/>
              <w:bottom w:val="single" w:sz="8" w:space="0" w:color="9BBB59" w:themeColor="accent3"/>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32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眷屬喪葬津貼</w:t>
            </w:r>
          </w:p>
        </w:tc>
        <w:tc>
          <w:tcPr>
            <w:tcW w:w="1183"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18.7</w:t>
            </w:r>
          </w:p>
        </w:tc>
        <w:tc>
          <w:tcPr>
            <w:tcW w:w="109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8.5</w:t>
            </w:r>
          </w:p>
        </w:tc>
        <w:tc>
          <w:tcPr>
            <w:tcW w:w="3685" w:type="dxa"/>
            <w:tcBorders>
              <w:top w:val="nil"/>
              <w:left w:val="nil"/>
              <w:bottom w:val="nil"/>
              <w:right w:val="single" w:sz="8" w:space="0" w:color="9BBB59" w:themeColor="accent3"/>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kern w:val="0"/>
                <w:sz w:val="22"/>
              </w:rPr>
            </w:pPr>
            <w:r w:rsidRPr="0027400B">
              <w:rPr>
                <w:rFonts w:ascii="微軟正黑體" w:eastAsia="微軟正黑體" w:hAnsi="微軟正黑體" w:hint="eastAsia"/>
                <w:b/>
                <w:kern w:val="0"/>
                <w:sz w:val="22"/>
              </w:rPr>
              <w:t>-</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32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育嬰留職停薪津貼</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4.9</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2.2</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kern w:val="0"/>
                <w:sz w:val="22"/>
              </w:rPr>
            </w:pPr>
            <w:r w:rsidRPr="0027400B">
              <w:rPr>
                <w:rFonts w:ascii="微軟正黑體" w:eastAsia="微軟正黑體" w:hAnsi="微軟正黑體" w:hint="eastAsia"/>
                <w:b/>
                <w:kern w:val="0"/>
                <w:sz w:val="22"/>
              </w:rPr>
              <w:t>-</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9BBB59" w:themeColor="accent3"/>
              <w:left w:val="single" w:sz="8" w:space="0" w:color="9BBB59" w:themeColor="accent3"/>
              <w:bottom w:val="single" w:sz="8" w:space="0" w:color="9BBB59" w:themeColor="accent3"/>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生育給付</w:t>
            </w:r>
          </w:p>
        </w:tc>
        <w:tc>
          <w:tcPr>
            <w:tcW w:w="1183"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4.7</w:t>
            </w:r>
          </w:p>
        </w:tc>
        <w:tc>
          <w:tcPr>
            <w:tcW w:w="109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2.1</w:t>
            </w:r>
          </w:p>
        </w:tc>
        <w:tc>
          <w:tcPr>
            <w:tcW w:w="3685" w:type="dxa"/>
            <w:tcBorders>
              <w:top w:val="nil"/>
              <w:left w:val="nil"/>
              <w:bottom w:val="nil"/>
              <w:right w:val="single" w:sz="8" w:space="0" w:color="9BBB59" w:themeColor="accent3"/>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kern w:val="0"/>
                <w:sz w:val="22"/>
              </w:rPr>
            </w:pPr>
            <w:r w:rsidRPr="0027400B">
              <w:rPr>
                <w:rFonts w:ascii="微軟正黑體" w:eastAsia="微軟正黑體" w:hAnsi="微軟正黑體" w:hint="eastAsia"/>
                <w:b/>
                <w:kern w:val="0"/>
                <w:sz w:val="22"/>
              </w:rPr>
              <w:t>-</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left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給付總額</w:t>
            </w:r>
          </w:p>
        </w:tc>
        <w:tc>
          <w:tcPr>
            <w:tcW w:w="1183" w:type="dxa"/>
            <w:tcBorders>
              <w:left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219.7</w:t>
            </w:r>
          </w:p>
        </w:tc>
        <w:tc>
          <w:tcPr>
            <w:tcW w:w="1095" w:type="dxa"/>
            <w:tcBorders>
              <w:left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sz w:val="22"/>
              </w:rPr>
            </w:pPr>
            <w:r w:rsidRPr="0027400B">
              <w:rPr>
                <w:rFonts w:ascii="微軟正黑體" w:eastAsia="微軟正黑體" w:hAnsi="微軟正黑體" w:hint="eastAsia"/>
                <w:bCs/>
                <w:sz w:val="22"/>
              </w:rPr>
              <w:t>100.0</w:t>
            </w:r>
          </w:p>
        </w:tc>
        <w:tc>
          <w:tcPr>
            <w:tcW w:w="3685" w:type="dxa"/>
            <w:tcBorders>
              <w:left w:val="nil"/>
            </w:tcBorders>
            <w:shd w:val="clear" w:color="auto" w:fill="EAF1DD" w:themeFill="accent3" w:themeFillTint="33"/>
            <w:tcMar>
              <w:top w:w="0" w:type="dxa"/>
              <w:left w:w="57" w:type="dxa"/>
              <w:bottom w:w="0" w:type="dxa"/>
              <w:right w:w="57" w:type="dxa"/>
            </w:tcMar>
          </w:tcPr>
          <w:p w:rsidR="003C2AC2" w:rsidRPr="0027400B" w:rsidRDefault="003C2AC2" w:rsidP="008F1977">
            <w:pPr>
              <w:snapToGrid w:val="0"/>
              <w:spacing w:line="400" w:lineRule="exact"/>
              <w:ind w:leftChars="112" w:left="269"/>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bCs/>
                <w:sz w:val="22"/>
              </w:rPr>
            </w:pPr>
          </w:p>
        </w:tc>
      </w:tr>
      <w:tr w:rsidR="003C2AC2" w:rsidRPr="0027400B" w:rsidTr="008F1977">
        <w:trPr>
          <w:trHeight w:val="633"/>
          <w:jc w:val="center"/>
        </w:trPr>
        <w:tc>
          <w:tcPr>
            <w:cnfStyle w:val="001000000000" w:firstRow="0" w:lastRow="0" w:firstColumn="1" w:lastColumn="0" w:oddVBand="0" w:evenVBand="0" w:oddHBand="0" w:evenHBand="0" w:firstRowFirstColumn="0" w:firstRowLastColumn="0" w:lastRowFirstColumn="0" w:lastRowLastColumn="0"/>
            <w:tcW w:w="1292" w:type="dxa"/>
            <w:vMerge w:val="restart"/>
            <w:tcBorders>
              <w:top w:val="nil"/>
              <w:left w:val="single" w:sz="8" w:space="0" w:color="9BBB59" w:themeColor="accent3"/>
              <w:bottom w:val="single" w:sz="8" w:space="0" w:color="9BBB59" w:themeColor="accent3"/>
              <w:right w:val="nil"/>
            </w:tcBorders>
            <w:tcMar>
              <w:top w:w="0" w:type="dxa"/>
              <w:left w:w="57" w:type="dxa"/>
              <w:bottom w:w="0" w:type="dxa"/>
              <w:right w:w="57" w:type="dxa"/>
            </w:tcMar>
            <w:vAlign w:val="center"/>
            <w:hideMark/>
          </w:tcPr>
          <w:p w:rsidR="003C2AC2" w:rsidRPr="0027400B" w:rsidRDefault="003C2AC2" w:rsidP="008F1977">
            <w:pPr>
              <w:snapToGrid w:val="0"/>
              <w:spacing w:line="360" w:lineRule="exact"/>
              <w:jc w:val="center"/>
              <w:rPr>
                <w:rFonts w:ascii="微軟正黑體" w:eastAsia="微軟正黑體" w:hAnsi="微軟正黑體"/>
                <w:bCs w:val="0"/>
                <w:sz w:val="22"/>
              </w:rPr>
            </w:pPr>
            <w:r w:rsidRPr="0027400B">
              <w:rPr>
                <w:rFonts w:ascii="微軟正黑體" w:eastAsia="微軟正黑體" w:hAnsi="微軟正黑體" w:hint="eastAsia"/>
                <w:bCs w:val="0"/>
                <w:sz w:val="22"/>
              </w:rPr>
              <w:t>農民健康 保險</w:t>
            </w:r>
          </w:p>
        </w:tc>
        <w:tc>
          <w:tcPr>
            <w:tcW w:w="116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喪葬津貼</w:t>
            </w:r>
          </w:p>
        </w:tc>
        <w:tc>
          <w:tcPr>
            <w:tcW w:w="1183"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44.4</w:t>
            </w:r>
          </w:p>
        </w:tc>
        <w:tc>
          <w:tcPr>
            <w:tcW w:w="109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64.6</w:t>
            </w:r>
          </w:p>
        </w:tc>
        <w:tc>
          <w:tcPr>
            <w:tcW w:w="3685" w:type="dxa"/>
            <w:tcBorders>
              <w:top w:val="nil"/>
              <w:left w:val="nil"/>
              <w:bottom w:val="nil"/>
              <w:right w:val="single" w:sz="8" w:space="0" w:color="9BBB59" w:themeColor="accent3"/>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kern w:val="0"/>
                <w:sz w:val="22"/>
              </w:rPr>
            </w:pPr>
            <w:r w:rsidRPr="0027400B">
              <w:rPr>
                <w:rFonts w:ascii="微軟正黑體" w:eastAsia="微軟正黑體" w:hAnsi="微軟正黑體" w:hint="eastAsia"/>
                <w:b/>
                <w:kern w:val="0"/>
                <w:sz w:val="22"/>
              </w:rPr>
              <w:t>-</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身障給付</w:t>
            </w:r>
          </w:p>
        </w:tc>
        <w:tc>
          <w:tcPr>
            <w:tcW w:w="1183" w:type="dxa"/>
            <w:tcBorders>
              <w:left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23.8</w:t>
            </w:r>
          </w:p>
        </w:tc>
        <w:tc>
          <w:tcPr>
            <w:tcW w:w="1095" w:type="dxa"/>
            <w:tcBorders>
              <w:left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34.7</w:t>
            </w:r>
          </w:p>
        </w:tc>
        <w:tc>
          <w:tcPr>
            <w:tcW w:w="3685" w:type="dxa"/>
            <w:tcBorders>
              <w:left w:val="nil"/>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kern w:val="0"/>
                <w:sz w:val="22"/>
              </w:rPr>
            </w:pPr>
            <w:r w:rsidRPr="0027400B">
              <w:rPr>
                <w:rFonts w:ascii="微軟正黑體" w:eastAsia="微軟正黑體" w:hAnsi="微軟正黑體" w:hint="eastAsia"/>
                <w:b/>
                <w:kern w:val="0"/>
                <w:sz w:val="22"/>
              </w:rPr>
              <w:t>-</w:t>
            </w:r>
          </w:p>
        </w:tc>
      </w:tr>
      <w:tr w:rsidR="003C2AC2" w:rsidRPr="0027400B" w:rsidTr="008F1977">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9BBB59" w:themeColor="accent3"/>
              <w:bottom w:val="single" w:sz="8" w:space="0" w:color="9BBB59" w:themeColor="accent3"/>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生育給付</w:t>
            </w:r>
          </w:p>
        </w:tc>
        <w:tc>
          <w:tcPr>
            <w:tcW w:w="1183"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widowControl/>
              <w:spacing w:line="400" w:lineRule="exact"/>
              <w:ind w:rightChars="-15" w:right="-36"/>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0.</w:t>
            </w:r>
            <w:r>
              <w:rPr>
                <w:rFonts w:ascii="微軟正黑體" w:eastAsia="微軟正黑體" w:hAnsi="微軟正黑體" w:hint="eastAsia"/>
                <w:kern w:val="0"/>
                <w:sz w:val="22"/>
              </w:rPr>
              <w:t>4</w:t>
            </w:r>
          </w:p>
        </w:tc>
        <w:tc>
          <w:tcPr>
            <w:tcW w:w="1095" w:type="dxa"/>
            <w:tcBorders>
              <w:top w:val="nil"/>
              <w:left w:val="nil"/>
              <w:bottom w:val="nil"/>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0.7</w:t>
            </w:r>
          </w:p>
        </w:tc>
        <w:tc>
          <w:tcPr>
            <w:tcW w:w="3685" w:type="dxa"/>
            <w:tcBorders>
              <w:top w:val="nil"/>
              <w:left w:val="nil"/>
              <w:bottom w:val="nil"/>
              <w:right w:val="single" w:sz="8" w:space="0" w:color="9BBB59" w:themeColor="accent3"/>
            </w:tcBorders>
            <w:tcMar>
              <w:top w:w="0" w:type="dxa"/>
              <w:left w:w="57" w:type="dxa"/>
              <w:bottom w:w="0" w:type="dxa"/>
              <w:right w:w="57" w:type="dxa"/>
            </w:tcMar>
            <w:hideMark/>
          </w:tcPr>
          <w:p w:rsidR="003C2AC2" w:rsidRPr="0027400B" w:rsidRDefault="003C2AC2" w:rsidP="008F1977">
            <w:pPr>
              <w:snapToGrid w:val="0"/>
              <w:spacing w:line="400" w:lineRule="exact"/>
              <w:ind w:leftChars="112" w:left="269"/>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kern w:val="0"/>
                <w:sz w:val="22"/>
              </w:rPr>
            </w:pPr>
            <w:r w:rsidRPr="0027400B">
              <w:rPr>
                <w:rFonts w:ascii="微軟正黑體" w:eastAsia="微軟正黑體" w:hAnsi="微軟正黑體" w:hint="eastAsia"/>
                <w:b/>
                <w:kern w:val="0"/>
                <w:sz w:val="22"/>
              </w:rPr>
              <w:t>-</w:t>
            </w:r>
          </w:p>
        </w:tc>
      </w:tr>
      <w:tr w:rsidR="003C2AC2" w:rsidRPr="0027400B"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right w:val="nil"/>
            </w:tcBorders>
            <w:vAlign w:val="center"/>
            <w:hideMark/>
          </w:tcPr>
          <w:p w:rsidR="003C2AC2" w:rsidRPr="0027400B" w:rsidRDefault="003C2AC2" w:rsidP="008F1977">
            <w:pPr>
              <w:widowControl/>
              <w:rPr>
                <w:rFonts w:ascii="微軟正黑體" w:eastAsia="微軟正黑體" w:hAnsi="微軟正黑體"/>
                <w:sz w:val="22"/>
              </w:rPr>
            </w:pPr>
          </w:p>
        </w:tc>
        <w:tc>
          <w:tcPr>
            <w:tcW w:w="1165" w:type="dxa"/>
            <w:tcBorders>
              <w:left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給付總額</w:t>
            </w:r>
          </w:p>
        </w:tc>
        <w:tc>
          <w:tcPr>
            <w:tcW w:w="1183" w:type="dxa"/>
            <w:tcBorders>
              <w:left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68.7</w:t>
            </w:r>
          </w:p>
        </w:tc>
        <w:tc>
          <w:tcPr>
            <w:tcW w:w="1095" w:type="dxa"/>
            <w:tcBorders>
              <w:left w:val="nil"/>
              <w:right w:val="nil"/>
            </w:tcBorders>
            <w:shd w:val="clear" w:color="auto" w:fill="EAF1DD" w:themeFill="accent3" w:themeFillTint="33"/>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kern w:val="0"/>
                <w:sz w:val="22"/>
              </w:rPr>
            </w:pPr>
            <w:r w:rsidRPr="0027400B">
              <w:rPr>
                <w:rFonts w:ascii="微軟正黑體" w:eastAsia="微軟正黑體" w:hAnsi="微軟正黑體" w:hint="eastAsia"/>
                <w:kern w:val="0"/>
                <w:sz w:val="22"/>
              </w:rPr>
              <w:t>100.0</w:t>
            </w:r>
          </w:p>
        </w:tc>
        <w:tc>
          <w:tcPr>
            <w:tcW w:w="3685" w:type="dxa"/>
            <w:tcBorders>
              <w:left w:val="nil"/>
            </w:tcBorders>
            <w:shd w:val="clear" w:color="auto" w:fill="EAF1DD" w:themeFill="accent3" w:themeFillTint="33"/>
            <w:tcMar>
              <w:top w:w="0" w:type="dxa"/>
              <w:left w:w="57" w:type="dxa"/>
              <w:bottom w:w="0" w:type="dxa"/>
              <w:right w:w="57" w:type="dxa"/>
            </w:tcMar>
          </w:tcPr>
          <w:p w:rsidR="003C2AC2" w:rsidRPr="0027400B" w:rsidRDefault="003C2AC2" w:rsidP="008F1977">
            <w:pPr>
              <w:snapToGrid w:val="0"/>
              <w:spacing w:line="400" w:lineRule="exact"/>
              <w:ind w:leftChars="112" w:left="269"/>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kern w:val="0"/>
                <w:sz w:val="22"/>
              </w:rPr>
            </w:pPr>
          </w:p>
        </w:tc>
      </w:tr>
      <w:tr w:rsidR="003C2AC2" w:rsidRPr="0027400B" w:rsidTr="008F1977">
        <w:trPr>
          <w:trHeight w:val="647"/>
          <w:jc w:val="center"/>
        </w:trPr>
        <w:tc>
          <w:tcPr>
            <w:cnfStyle w:val="001000000000" w:firstRow="0" w:lastRow="0" w:firstColumn="1" w:lastColumn="0" w:oddVBand="0" w:evenVBand="0" w:oddHBand="0" w:evenHBand="0" w:firstRowFirstColumn="0" w:firstRowLastColumn="0" w:lastRowFirstColumn="0" w:lastRowLastColumn="0"/>
            <w:tcW w:w="1292" w:type="dxa"/>
            <w:tcBorders>
              <w:top w:val="nil"/>
              <w:left w:val="single" w:sz="8" w:space="0" w:color="9BBB59" w:themeColor="accent3"/>
              <w:bottom w:val="single" w:sz="8" w:space="0" w:color="9BBB59" w:themeColor="accent3"/>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center"/>
              <w:rPr>
                <w:rFonts w:ascii="微軟正黑體" w:eastAsia="微軟正黑體" w:hAnsi="微軟正黑體"/>
                <w:bCs w:val="0"/>
                <w:sz w:val="22"/>
              </w:rPr>
            </w:pPr>
            <w:r w:rsidRPr="0027400B">
              <w:rPr>
                <w:rFonts w:ascii="微軟正黑體" w:eastAsia="微軟正黑體" w:hAnsi="微軟正黑體" w:hint="eastAsia"/>
                <w:bCs w:val="0"/>
                <w:sz w:val="22"/>
              </w:rPr>
              <w:t>總計</w:t>
            </w:r>
          </w:p>
        </w:tc>
        <w:tc>
          <w:tcPr>
            <w:tcW w:w="2348" w:type="dxa"/>
            <w:gridSpan w:val="2"/>
            <w:tcBorders>
              <w:top w:val="nil"/>
              <w:left w:val="nil"/>
              <w:bottom w:val="single" w:sz="8" w:space="0" w:color="9BBB59" w:themeColor="accent3"/>
              <w:right w:val="nil"/>
            </w:tcBorders>
            <w:tcMar>
              <w:top w:w="0" w:type="dxa"/>
              <w:left w:w="57" w:type="dxa"/>
              <w:bottom w:w="0" w:type="dxa"/>
              <w:right w:w="57" w:type="dxa"/>
            </w:tcMar>
            <w:vAlign w:val="center"/>
            <w:hideMark/>
          </w:tcPr>
          <w:p w:rsidR="003C2AC2" w:rsidRPr="0027400B" w:rsidRDefault="003C2AC2" w:rsidP="008F1977">
            <w:pPr>
              <w:snapToGrid w:val="0"/>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kern w:val="0"/>
                <w:sz w:val="22"/>
              </w:rPr>
            </w:pPr>
            <w:r w:rsidRPr="0027400B">
              <w:rPr>
                <w:rFonts w:ascii="微軟正黑體" w:eastAsia="微軟正黑體" w:hAnsi="微軟正黑體" w:hint="eastAsia"/>
                <w:b/>
                <w:kern w:val="0"/>
                <w:sz w:val="22"/>
              </w:rPr>
              <w:t xml:space="preserve">  5,379.9</w:t>
            </w:r>
          </w:p>
        </w:tc>
        <w:tc>
          <w:tcPr>
            <w:tcW w:w="1095" w:type="dxa"/>
            <w:tcBorders>
              <w:top w:val="nil"/>
              <w:left w:val="nil"/>
              <w:bottom w:val="single" w:sz="8" w:space="0" w:color="9BBB59" w:themeColor="accent3"/>
              <w:right w:val="nil"/>
            </w:tcBorders>
            <w:tcMar>
              <w:top w:w="0" w:type="dxa"/>
              <w:left w:w="57" w:type="dxa"/>
              <w:bottom w:w="0" w:type="dxa"/>
              <w:right w:w="57" w:type="dxa"/>
            </w:tcMar>
            <w:vAlign w:val="center"/>
          </w:tcPr>
          <w:p w:rsidR="003C2AC2" w:rsidRPr="0027400B" w:rsidRDefault="003C2AC2" w:rsidP="008F1977">
            <w:pPr>
              <w:snapToGrid w:val="0"/>
              <w:spacing w:line="400" w:lineRule="exac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kern w:val="0"/>
                <w:sz w:val="22"/>
              </w:rPr>
            </w:pPr>
          </w:p>
        </w:tc>
        <w:tc>
          <w:tcPr>
            <w:tcW w:w="3685" w:type="dxa"/>
            <w:tcBorders>
              <w:top w:val="nil"/>
              <w:left w:val="nil"/>
              <w:bottom w:val="single" w:sz="8" w:space="0" w:color="9BBB59" w:themeColor="accent3"/>
              <w:right w:val="single" w:sz="8" w:space="0" w:color="9BBB59" w:themeColor="accent3"/>
            </w:tcBorders>
            <w:tcMar>
              <w:top w:w="0" w:type="dxa"/>
              <w:left w:w="57" w:type="dxa"/>
              <w:bottom w:w="0" w:type="dxa"/>
              <w:right w:w="57" w:type="dxa"/>
            </w:tcMar>
          </w:tcPr>
          <w:p w:rsidR="003C2AC2" w:rsidRPr="0027400B" w:rsidRDefault="003C2AC2" w:rsidP="008F1977">
            <w:pPr>
              <w:snapToGrid w:val="0"/>
              <w:spacing w:line="400" w:lineRule="exact"/>
              <w:ind w:leftChars="112" w:left="269"/>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kern w:val="0"/>
                <w:sz w:val="22"/>
              </w:rPr>
            </w:pPr>
          </w:p>
        </w:tc>
      </w:tr>
    </w:tbl>
    <w:p w:rsidR="003C2AC2" w:rsidRDefault="003C2AC2" w:rsidP="003C2AC2">
      <w:pPr>
        <w:adjustRightInd w:val="0"/>
        <w:spacing w:line="400" w:lineRule="exact"/>
        <w:ind w:firstLineChars="100" w:firstLine="240"/>
        <w:textAlignment w:val="baseline"/>
        <w:rPr>
          <w:rFonts w:ascii="微軟正黑體" w:eastAsia="微軟正黑體" w:hAnsi="微軟正黑體"/>
          <w:bCs/>
        </w:rPr>
      </w:pPr>
    </w:p>
    <w:p w:rsidR="003C2AC2" w:rsidRPr="00395CBA" w:rsidRDefault="003C2AC2" w:rsidP="003C2AC2">
      <w:pPr>
        <w:adjustRightInd w:val="0"/>
        <w:spacing w:line="400" w:lineRule="exact"/>
        <w:ind w:firstLineChars="100" w:firstLine="240"/>
        <w:textAlignment w:val="baseline"/>
        <w:rPr>
          <w:rFonts w:ascii="微軟正黑體" w:eastAsia="微軟正黑體" w:hAnsi="微軟正黑體"/>
          <w:bCs/>
        </w:rPr>
      </w:pPr>
      <w:r>
        <w:rPr>
          <w:rFonts w:ascii="微軟正黑體" w:eastAsia="微軟正黑體" w:hAnsi="微軟正黑體" w:hint="eastAsia"/>
          <w:bCs/>
        </w:rPr>
        <w:lastRenderedPageBreak/>
        <w:t xml:space="preserve"> (2) </w:t>
      </w:r>
      <w:r w:rsidRPr="00395CBA">
        <w:rPr>
          <w:rFonts w:ascii="微軟正黑體" w:eastAsia="微軟正黑體" w:hAnsi="微軟正黑體" w:hint="eastAsia"/>
          <w:bCs/>
        </w:rPr>
        <w:t>老年給付情形</w:t>
      </w:r>
    </w:p>
    <w:p w:rsidR="003C2AC2" w:rsidRPr="00395CBA" w:rsidRDefault="003C2AC2" w:rsidP="003C2AC2">
      <w:pPr>
        <w:spacing w:beforeLines="30" w:before="108" w:line="400" w:lineRule="exact"/>
        <w:ind w:firstLineChars="200" w:firstLine="480"/>
        <w:rPr>
          <w:rFonts w:ascii="微軟正黑體" w:eastAsia="微軟正黑體" w:hAnsi="微軟正黑體"/>
        </w:rPr>
      </w:pPr>
      <w:r>
        <w:rPr>
          <w:rFonts w:ascii="新細明體" w:hAnsi="新細明體" w:hint="eastAsia"/>
        </w:rPr>
        <w:t xml:space="preserve">① </w:t>
      </w:r>
      <w:r w:rsidRPr="00395CBA">
        <w:rPr>
          <w:rFonts w:ascii="微軟正黑體" w:eastAsia="微軟正黑體" w:hAnsi="微軟正黑體" w:hint="eastAsia"/>
        </w:rPr>
        <w:t>老年給付總額</w:t>
      </w:r>
    </w:p>
    <w:p w:rsidR="003C2AC2" w:rsidRPr="0027400B" w:rsidRDefault="003C2AC2" w:rsidP="003C2AC2">
      <w:pPr>
        <w:spacing w:beforeLines="30" w:before="108" w:line="400" w:lineRule="exact"/>
        <w:ind w:leftChars="354" w:left="850" w:firstLineChars="200" w:firstLine="480"/>
        <w:jc w:val="both"/>
        <w:rPr>
          <w:rFonts w:ascii="微軟正黑體" w:eastAsia="微軟正黑體" w:hAnsi="微軟正黑體"/>
        </w:rPr>
      </w:pPr>
      <w:r w:rsidRPr="0027400B">
        <w:rPr>
          <w:rFonts w:ascii="微軟正黑體" w:eastAsia="微軟正黑體" w:hAnsi="微軟正黑體" w:hint="eastAsia"/>
        </w:rPr>
        <w:t>觀察各</w:t>
      </w:r>
      <w:r w:rsidR="00D82987" w:rsidRPr="008A4D4C">
        <w:rPr>
          <w:rFonts w:ascii="微軟正黑體" w:eastAsia="微軟正黑體" w:hAnsi="微軟正黑體" w:hint="eastAsia"/>
        </w:rPr>
        <w:t>社會</w:t>
      </w:r>
      <w:r w:rsidRPr="0027400B">
        <w:rPr>
          <w:rFonts w:ascii="微軟正黑體" w:eastAsia="微軟正黑體" w:hAnsi="微軟正黑體" w:hint="eastAsia"/>
        </w:rPr>
        <w:t>保險制度近10年老年給付金額(含一次給付及年金給付)發展趨勢，勞保在101年因媒體有關財務危機之報導，請領人數及金額大幅</w:t>
      </w:r>
      <w:r w:rsidRPr="0038767E">
        <w:rPr>
          <w:rFonts w:ascii="微軟正黑體" w:eastAsia="微軟正黑體" w:hAnsi="微軟正黑體" w:hint="eastAsia"/>
        </w:rPr>
        <w:t>增加，103年略為下滑，後續則呈現逐年穩定攀升趨勢，增幅最高為106年(22.8%)，109</w:t>
      </w:r>
      <w:r w:rsidRPr="0027400B">
        <w:rPr>
          <w:rFonts w:ascii="微軟正黑體" w:eastAsia="微軟正黑體" w:hAnsi="微軟正黑體" w:hint="eastAsia"/>
        </w:rPr>
        <w:t>年增幅則為8.8%。另國保自97年開辦後，老年給付金額逐年增長，至109年達533.6億元</w:t>
      </w:r>
      <w:r w:rsidRPr="00E91417">
        <w:rPr>
          <w:rFonts w:ascii="微軟正黑體" w:eastAsia="微軟正黑體" w:hAnsi="微軟正黑體" w:hint="eastAsia"/>
        </w:rPr>
        <w:t>；</w:t>
      </w:r>
      <w:r w:rsidRPr="0027400B">
        <w:rPr>
          <w:rFonts w:ascii="微軟正黑體" w:eastAsia="微軟正黑體" w:hAnsi="微軟正黑體" w:hint="eastAsia"/>
        </w:rPr>
        <w:t>公保養老給付近10年來僅微幅調整，至109年達182.7億元。109年度各社會保險老年給付總額為</w:t>
      </w:r>
      <w:r w:rsidRPr="00E91417">
        <w:rPr>
          <w:rFonts w:ascii="微軟正黑體" w:eastAsia="微軟正黑體" w:hAnsi="微軟正黑體" w:hint="eastAsia"/>
        </w:rPr>
        <w:t>4,775.2</w:t>
      </w:r>
      <w:r w:rsidRPr="0027400B">
        <w:rPr>
          <w:rFonts w:ascii="微軟正黑體" w:eastAsia="微軟正黑體" w:hAnsi="微軟正黑體" w:hint="eastAsia"/>
        </w:rPr>
        <w:t>億元。</w:t>
      </w:r>
    </w:p>
    <w:p w:rsidR="003C2AC2" w:rsidRDefault="003C2AC2" w:rsidP="003C2AC2">
      <w:pPr>
        <w:spacing w:beforeLines="30" w:before="108" w:line="400" w:lineRule="exact"/>
        <w:ind w:leftChars="413" w:left="991" w:firstLineChars="200" w:firstLine="480"/>
        <w:rPr>
          <w:rFonts w:ascii="微軟正黑體" w:eastAsia="微軟正黑體" w:hAnsi="微軟正黑體"/>
          <w:szCs w:val="28"/>
        </w:rPr>
      </w:pPr>
      <w:r>
        <w:rPr>
          <w:rFonts w:hint="eastAsia"/>
          <w:noProof/>
        </w:rPr>
        <w:drawing>
          <wp:anchor distT="0" distB="0" distL="114300" distR="114300" simplePos="0" relativeHeight="252524544" behindDoc="0" locked="0" layoutInCell="1" allowOverlap="1" wp14:anchorId="13C57569" wp14:editId="1935EF46">
            <wp:simplePos x="0" y="0"/>
            <wp:positionH relativeFrom="column">
              <wp:posOffset>287020</wp:posOffset>
            </wp:positionH>
            <wp:positionV relativeFrom="paragraph">
              <wp:posOffset>110914</wp:posOffset>
            </wp:positionV>
            <wp:extent cx="5498465" cy="3029585"/>
            <wp:effectExtent l="0" t="0" r="26035" b="18415"/>
            <wp:wrapNone/>
            <wp:docPr id="21521" name="圖表 21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3C2AC2" w:rsidRDefault="003C2AC2" w:rsidP="003C2AC2">
      <w:pPr>
        <w:spacing w:beforeLines="30" w:before="108" w:line="400" w:lineRule="exact"/>
        <w:ind w:leftChars="413" w:left="991" w:firstLineChars="200" w:firstLine="480"/>
        <w:rPr>
          <w:rFonts w:ascii="微軟正黑體" w:eastAsia="微軟正黑體" w:hAnsi="微軟正黑體"/>
          <w:szCs w:val="28"/>
        </w:rPr>
      </w:pPr>
    </w:p>
    <w:p w:rsidR="003C2AC2" w:rsidRDefault="003C2AC2" w:rsidP="003C2AC2">
      <w:pPr>
        <w:spacing w:beforeLines="30" w:before="108" w:line="400" w:lineRule="exact"/>
        <w:ind w:leftChars="413" w:left="991" w:firstLineChars="200" w:firstLine="480"/>
        <w:rPr>
          <w:rFonts w:ascii="微軟正黑體" w:eastAsia="微軟正黑體" w:hAnsi="微軟正黑體"/>
          <w:szCs w:val="28"/>
        </w:rPr>
      </w:pPr>
    </w:p>
    <w:p w:rsidR="003C2AC2" w:rsidRDefault="003C2AC2" w:rsidP="003C2AC2">
      <w:pPr>
        <w:spacing w:beforeLines="30" w:before="108" w:line="400" w:lineRule="exact"/>
        <w:ind w:leftChars="413" w:left="991" w:firstLineChars="200" w:firstLine="480"/>
        <w:rPr>
          <w:rFonts w:ascii="微軟正黑體" w:eastAsia="微軟正黑體" w:hAnsi="微軟正黑體"/>
          <w:szCs w:val="28"/>
        </w:rPr>
      </w:pPr>
    </w:p>
    <w:p w:rsidR="003C2AC2" w:rsidRDefault="003C2AC2" w:rsidP="003C2AC2">
      <w:pPr>
        <w:spacing w:beforeLines="30" w:before="108" w:line="400" w:lineRule="exact"/>
        <w:ind w:leftChars="413" w:left="991" w:firstLineChars="200" w:firstLine="480"/>
        <w:rPr>
          <w:rFonts w:ascii="微軟正黑體" w:eastAsia="微軟正黑體" w:hAnsi="微軟正黑體"/>
          <w:szCs w:val="28"/>
        </w:rPr>
      </w:pPr>
    </w:p>
    <w:p w:rsidR="003C2AC2" w:rsidRDefault="003C2AC2" w:rsidP="003C2AC2">
      <w:pPr>
        <w:spacing w:beforeLines="30" w:before="108" w:line="400" w:lineRule="exact"/>
        <w:ind w:leftChars="413" w:left="991" w:firstLineChars="200" w:firstLine="480"/>
        <w:rPr>
          <w:rFonts w:ascii="微軟正黑體" w:eastAsia="微軟正黑體" w:hAnsi="微軟正黑體"/>
          <w:szCs w:val="28"/>
        </w:rPr>
      </w:pPr>
    </w:p>
    <w:p w:rsidR="003C2AC2" w:rsidRDefault="003C2AC2" w:rsidP="003C2AC2">
      <w:pPr>
        <w:spacing w:beforeLines="30" w:before="108" w:line="400" w:lineRule="exact"/>
        <w:ind w:leftChars="413" w:left="991" w:firstLineChars="200" w:firstLine="480"/>
        <w:rPr>
          <w:rFonts w:ascii="微軟正黑體" w:eastAsia="微軟正黑體" w:hAnsi="微軟正黑體"/>
          <w:szCs w:val="28"/>
        </w:rPr>
      </w:pPr>
    </w:p>
    <w:p w:rsidR="003C2AC2" w:rsidRDefault="003C2AC2" w:rsidP="003C2AC2">
      <w:pPr>
        <w:spacing w:beforeLines="30" w:before="108" w:line="400" w:lineRule="exact"/>
        <w:ind w:leftChars="413" w:left="991" w:firstLineChars="200" w:firstLine="480"/>
        <w:rPr>
          <w:rFonts w:ascii="微軟正黑體" w:eastAsia="微軟正黑體" w:hAnsi="微軟正黑體"/>
          <w:szCs w:val="28"/>
        </w:rPr>
      </w:pPr>
    </w:p>
    <w:p w:rsidR="003C2AC2" w:rsidRDefault="003C2AC2" w:rsidP="003C2AC2">
      <w:pPr>
        <w:spacing w:beforeLines="30" w:before="108" w:line="400" w:lineRule="exact"/>
        <w:ind w:leftChars="413" w:left="991" w:firstLineChars="200" w:firstLine="480"/>
        <w:rPr>
          <w:rFonts w:ascii="微軟正黑體" w:eastAsia="微軟正黑體" w:hAnsi="微軟正黑體"/>
          <w:szCs w:val="28"/>
        </w:rPr>
      </w:pPr>
    </w:p>
    <w:p w:rsidR="003C2AC2" w:rsidRDefault="003C2AC2" w:rsidP="003C2AC2">
      <w:pPr>
        <w:spacing w:line="400" w:lineRule="exact"/>
        <w:ind w:leftChars="413" w:left="991" w:firstLineChars="200" w:firstLine="480"/>
        <w:rPr>
          <w:rFonts w:ascii="微軟正黑體" w:eastAsia="微軟正黑體" w:hAnsi="微軟正黑體"/>
          <w:szCs w:val="28"/>
        </w:rPr>
      </w:pPr>
    </w:p>
    <w:p w:rsidR="003C2AC2" w:rsidRPr="0027400B" w:rsidRDefault="003C2AC2" w:rsidP="003C2AC2">
      <w:pPr>
        <w:spacing w:line="400" w:lineRule="exact"/>
        <w:ind w:leftChars="413" w:left="991" w:firstLineChars="200" w:firstLine="480"/>
        <w:rPr>
          <w:rFonts w:ascii="微軟正黑體" w:eastAsia="微軟正黑體" w:hAnsi="微軟正黑體"/>
          <w:szCs w:val="28"/>
        </w:rPr>
      </w:pPr>
      <w:r w:rsidRPr="0027400B">
        <w:rPr>
          <w:rFonts w:ascii="微軟正黑體" w:eastAsia="微軟正黑體" w:hAnsi="微軟正黑體" w:hint="eastAsia"/>
          <w:szCs w:val="28"/>
        </w:rPr>
        <w:t xml:space="preserve">        圖1.5  近10年各社會保險老年給付金額</w:t>
      </w:r>
    </w:p>
    <w:p w:rsidR="003C2AC2" w:rsidRPr="0027400B" w:rsidRDefault="003C2AC2" w:rsidP="003C2AC2">
      <w:pPr>
        <w:spacing w:line="400" w:lineRule="exact"/>
        <w:ind w:leftChars="413" w:left="991" w:firstLineChars="200" w:firstLine="480"/>
        <w:rPr>
          <w:rFonts w:ascii="微軟正黑體" w:eastAsia="微軟正黑體" w:hAnsi="微軟正黑體"/>
          <w:szCs w:val="28"/>
        </w:rPr>
      </w:pPr>
    </w:p>
    <w:p w:rsidR="003C2AC2" w:rsidRPr="009D5E41" w:rsidRDefault="003C2AC2" w:rsidP="00BD50E5">
      <w:pPr>
        <w:pStyle w:val="af0"/>
        <w:numPr>
          <w:ilvl w:val="0"/>
          <w:numId w:val="55"/>
        </w:numPr>
        <w:spacing w:beforeLines="30" w:before="108" w:line="400" w:lineRule="exact"/>
        <w:ind w:leftChars="0"/>
        <w:rPr>
          <w:rFonts w:ascii="微軟正黑體" w:eastAsia="微軟正黑體" w:hAnsi="微軟正黑體"/>
        </w:rPr>
      </w:pPr>
      <w:r w:rsidRPr="009D5E41">
        <w:rPr>
          <w:rFonts w:ascii="微軟正黑體" w:eastAsia="微軟正黑體" w:hAnsi="微軟正黑體" w:hint="eastAsia"/>
        </w:rPr>
        <w:t>老年給付領取人數</w:t>
      </w:r>
    </w:p>
    <w:p w:rsidR="003C2AC2" w:rsidRPr="0027400B" w:rsidRDefault="003C2AC2" w:rsidP="003C2AC2">
      <w:pPr>
        <w:spacing w:afterLines="25" w:after="90" w:line="400" w:lineRule="exact"/>
        <w:ind w:leftChars="354" w:left="850" w:firstLineChars="200" w:firstLine="480"/>
        <w:jc w:val="both"/>
        <w:rPr>
          <w:rFonts w:ascii="微軟正黑體" w:eastAsia="微軟正黑體" w:hAnsi="微軟正黑體"/>
        </w:rPr>
      </w:pPr>
      <w:r w:rsidRPr="0027400B">
        <w:rPr>
          <w:rFonts w:ascii="微軟正黑體" w:eastAsia="微軟正黑體" w:hAnsi="微軟正黑體" w:hint="eastAsia"/>
        </w:rPr>
        <w:t>各社會保險定期領取老年年金給付總人數，由100年46.0萬人，至109年達260.2萬人，含領取勞工保險老年年金給付139</w:t>
      </w:r>
      <w:r w:rsidRPr="0038767E">
        <w:rPr>
          <w:rFonts w:ascii="微軟正黑體" w:eastAsia="微軟正黑體" w:hAnsi="微軟正黑體" w:hint="eastAsia"/>
        </w:rPr>
        <w:t>.7萬人、國民年金保險老年給付118.9萬人及公教人員保險養老年金1.6萬人。此外，每年約有11萬餘</w:t>
      </w:r>
      <w:r w:rsidRPr="0027400B">
        <w:rPr>
          <w:rFonts w:ascii="微軟正黑體" w:eastAsia="微軟正黑體" w:hAnsi="微軟正黑體" w:hint="eastAsia"/>
        </w:rPr>
        <w:t>人領取勞工保險及公教人員保險老年給付一次給付。</w:t>
      </w:r>
    </w:p>
    <w:p w:rsidR="003C2AC2" w:rsidRDefault="003C2AC2" w:rsidP="003C2AC2">
      <w:pPr>
        <w:spacing w:afterLines="25" w:after="90" w:line="400" w:lineRule="exact"/>
        <w:ind w:leftChars="354" w:left="850" w:firstLineChars="200" w:firstLine="480"/>
        <w:jc w:val="both"/>
        <w:rPr>
          <w:rFonts w:ascii="微軟正黑體" w:eastAsia="微軟正黑體" w:hAnsi="微軟正黑體"/>
          <w:color w:val="FF0000"/>
        </w:rPr>
      </w:pPr>
    </w:p>
    <w:p w:rsidR="003C2AC2" w:rsidRDefault="003C2AC2" w:rsidP="003C2AC2">
      <w:pPr>
        <w:spacing w:afterLines="25" w:after="90" w:line="400" w:lineRule="exact"/>
        <w:ind w:leftChars="354" w:left="850" w:firstLineChars="200" w:firstLine="480"/>
        <w:jc w:val="both"/>
        <w:rPr>
          <w:rFonts w:ascii="微軟正黑體" w:eastAsia="微軟正黑體" w:hAnsi="微軟正黑體"/>
          <w:color w:val="FF0000"/>
        </w:rPr>
      </w:pPr>
    </w:p>
    <w:p w:rsidR="003C2AC2" w:rsidRDefault="003C2AC2" w:rsidP="003C2AC2">
      <w:pPr>
        <w:spacing w:afterLines="25" w:after="90" w:line="400" w:lineRule="exact"/>
        <w:ind w:leftChars="354" w:left="850" w:firstLineChars="200" w:firstLine="480"/>
        <w:jc w:val="both"/>
        <w:rPr>
          <w:rFonts w:ascii="微軟正黑體" w:eastAsia="微軟正黑體" w:hAnsi="微軟正黑體"/>
          <w:color w:val="FF0000"/>
        </w:rPr>
      </w:pPr>
    </w:p>
    <w:p w:rsidR="003C2AC2" w:rsidRDefault="003C2AC2" w:rsidP="003C2AC2">
      <w:pPr>
        <w:spacing w:afterLines="25" w:after="90" w:line="400" w:lineRule="exact"/>
        <w:ind w:leftChars="354" w:left="850" w:firstLineChars="200" w:firstLine="480"/>
        <w:jc w:val="both"/>
        <w:rPr>
          <w:rFonts w:ascii="微軟正黑體" w:eastAsia="微軟正黑體" w:hAnsi="微軟正黑體"/>
          <w:color w:val="FF0000"/>
        </w:rPr>
      </w:pPr>
    </w:p>
    <w:p w:rsidR="003C2AC2" w:rsidRDefault="003C2AC2" w:rsidP="003C2AC2">
      <w:pPr>
        <w:spacing w:afterLines="25" w:after="90" w:line="400" w:lineRule="exact"/>
        <w:ind w:leftChars="354" w:left="850" w:firstLineChars="200" w:firstLine="480"/>
        <w:jc w:val="both"/>
        <w:rPr>
          <w:rFonts w:ascii="微軟正黑體" w:eastAsia="微軟正黑體" w:hAnsi="微軟正黑體"/>
          <w:color w:val="FF0000"/>
        </w:rPr>
      </w:pPr>
    </w:p>
    <w:p w:rsidR="003C2AC2" w:rsidRDefault="003C2AC2" w:rsidP="003C2AC2">
      <w:pPr>
        <w:spacing w:afterLines="25" w:after="90" w:line="400" w:lineRule="exact"/>
        <w:ind w:leftChars="354" w:left="850" w:firstLineChars="200" w:firstLine="480"/>
        <w:jc w:val="both"/>
        <w:rPr>
          <w:rFonts w:ascii="微軟正黑體" w:eastAsia="微軟正黑體" w:hAnsi="微軟正黑體"/>
          <w:color w:val="FF0000"/>
        </w:rPr>
      </w:pPr>
    </w:p>
    <w:p w:rsidR="003C2AC2" w:rsidRDefault="003C2AC2" w:rsidP="003C2AC2">
      <w:pPr>
        <w:spacing w:afterLines="25" w:after="90" w:line="400" w:lineRule="exact"/>
        <w:ind w:leftChars="354" w:left="850" w:firstLineChars="200" w:firstLine="480"/>
        <w:jc w:val="both"/>
        <w:rPr>
          <w:rFonts w:ascii="微軟正黑體" w:eastAsia="微軟正黑體" w:hAnsi="微軟正黑體"/>
          <w:color w:val="FF0000"/>
        </w:rPr>
      </w:pPr>
      <w:r>
        <w:rPr>
          <w:rFonts w:hint="eastAsia"/>
          <w:noProof/>
        </w:rPr>
        <w:lastRenderedPageBreak/>
        <w:drawing>
          <wp:anchor distT="0" distB="0" distL="114300" distR="114300" simplePos="0" relativeHeight="252525568" behindDoc="0" locked="0" layoutInCell="1" allowOverlap="1" wp14:anchorId="452917C3" wp14:editId="54816AAE">
            <wp:simplePos x="0" y="0"/>
            <wp:positionH relativeFrom="column">
              <wp:posOffset>123825</wp:posOffset>
            </wp:positionH>
            <wp:positionV relativeFrom="paragraph">
              <wp:posOffset>210820</wp:posOffset>
            </wp:positionV>
            <wp:extent cx="5537200" cy="3267710"/>
            <wp:effectExtent l="0" t="0" r="25400" b="27940"/>
            <wp:wrapNone/>
            <wp:docPr id="21543" name="圖表 21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Default="003C2AC2" w:rsidP="003C2AC2">
      <w:pPr>
        <w:spacing w:afterLines="25" w:after="90" w:line="400" w:lineRule="exact"/>
        <w:ind w:leftChars="413" w:left="991" w:firstLineChars="200" w:firstLine="480"/>
        <w:jc w:val="both"/>
        <w:rPr>
          <w:rFonts w:ascii="微軟正黑體" w:eastAsia="微軟正黑體" w:hAnsi="微軟正黑體"/>
        </w:rPr>
      </w:pPr>
    </w:p>
    <w:p w:rsidR="003C2AC2" w:rsidRPr="0027400B" w:rsidRDefault="003C2AC2" w:rsidP="003C2AC2">
      <w:pPr>
        <w:spacing w:beforeLines="50" w:before="180" w:afterLines="25" w:after="90" w:line="400" w:lineRule="exact"/>
        <w:jc w:val="center"/>
        <w:rPr>
          <w:rFonts w:ascii="微軟正黑體" w:eastAsia="微軟正黑體" w:hAnsi="微軟正黑體"/>
        </w:rPr>
      </w:pPr>
      <w:r w:rsidRPr="0027400B">
        <w:rPr>
          <w:rFonts w:ascii="微軟正黑體" w:eastAsia="微軟正黑體" w:hAnsi="微軟正黑體" w:hint="eastAsia"/>
          <w:szCs w:val="28"/>
        </w:rPr>
        <w:t>圖1.6  近10年各社會保險老年給付領取人數</w:t>
      </w:r>
    </w:p>
    <w:p w:rsidR="003C2AC2" w:rsidRPr="0027400B" w:rsidRDefault="003C2AC2" w:rsidP="003C2AC2">
      <w:pPr>
        <w:widowControl/>
        <w:spacing w:beforeLines="50" w:before="180" w:line="400" w:lineRule="exact"/>
        <w:rPr>
          <w:rFonts w:ascii="微軟正黑體" w:eastAsia="微軟正黑體" w:hAnsi="微軟正黑體"/>
        </w:rPr>
      </w:pPr>
    </w:p>
    <w:p w:rsidR="003C2AC2" w:rsidRPr="0027400B" w:rsidRDefault="003C2AC2" w:rsidP="003C2AC2">
      <w:pPr>
        <w:widowControl/>
        <w:spacing w:beforeLines="50" w:before="180" w:afterLines="30" w:after="108" w:line="400" w:lineRule="exact"/>
        <w:jc w:val="center"/>
        <w:rPr>
          <w:rFonts w:ascii="微軟正黑體" w:eastAsia="微軟正黑體" w:hAnsi="微軟正黑體"/>
          <w:sz w:val="20"/>
          <w:szCs w:val="20"/>
        </w:rPr>
      </w:pPr>
      <w:r w:rsidRPr="0027400B">
        <w:rPr>
          <w:rFonts w:ascii="微軟正黑體" w:eastAsia="微軟正黑體" w:hAnsi="微軟正黑體" w:hint="eastAsia"/>
        </w:rPr>
        <w:t xml:space="preserve">            表1.2  近10年</w:t>
      </w:r>
      <w:r w:rsidRPr="0027400B">
        <w:rPr>
          <w:rFonts w:ascii="微軟正黑體" w:eastAsia="微軟正黑體" w:hAnsi="微軟正黑體" w:hint="eastAsia"/>
          <w:szCs w:val="28"/>
        </w:rPr>
        <w:t xml:space="preserve">各社會保險老年給付領取人數       </w:t>
      </w:r>
      <w:r w:rsidRPr="0027400B">
        <w:rPr>
          <w:rFonts w:ascii="微軟正黑體" w:eastAsia="微軟正黑體" w:hAnsi="微軟正黑體" w:hint="eastAsia"/>
          <w:sz w:val="20"/>
          <w:szCs w:val="20"/>
        </w:rPr>
        <w:t>單位：人</w:t>
      </w:r>
    </w:p>
    <w:tbl>
      <w:tblPr>
        <w:tblStyle w:val="-4"/>
        <w:tblW w:w="0" w:type="auto"/>
        <w:jc w:val="center"/>
        <w:tblInd w:w="-451" w:type="dxa"/>
        <w:tblLook w:val="04A0" w:firstRow="1" w:lastRow="0" w:firstColumn="1" w:lastColumn="0" w:noHBand="0" w:noVBand="1"/>
      </w:tblPr>
      <w:tblGrid>
        <w:gridCol w:w="1024"/>
        <w:gridCol w:w="1345"/>
        <w:gridCol w:w="1281"/>
        <w:gridCol w:w="850"/>
        <w:gridCol w:w="1208"/>
        <w:gridCol w:w="1202"/>
        <w:gridCol w:w="998"/>
        <w:gridCol w:w="1103"/>
      </w:tblGrid>
      <w:tr w:rsidR="003C2AC2" w:rsidRPr="00B700E0" w:rsidTr="008F19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4" w:type="dxa"/>
            <w:tcBorders>
              <w:right w:val="single" w:sz="8" w:space="0" w:color="5F497A" w:themeColor="accent4" w:themeShade="BF"/>
            </w:tcBorders>
            <w:tcMar>
              <w:top w:w="0" w:type="dxa"/>
              <w:left w:w="57" w:type="dxa"/>
              <w:bottom w:w="0" w:type="dxa"/>
              <w:right w:w="57" w:type="dxa"/>
            </w:tcMar>
            <w:vAlign w:val="center"/>
            <w:hideMark/>
          </w:tcPr>
          <w:p w:rsidR="003C2AC2" w:rsidRPr="00B700E0" w:rsidRDefault="003C2AC2" w:rsidP="008F1977">
            <w:pPr>
              <w:widowControl/>
              <w:spacing w:line="400" w:lineRule="exact"/>
              <w:ind w:rightChars="-18" w:right="-43" w:hanging="141"/>
              <w:jc w:val="right"/>
              <w:rPr>
                <w:rFonts w:ascii="微軟正黑體" w:eastAsia="微軟正黑體" w:hAnsi="微軟正黑體"/>
                <w:b w:val="0"/>
                <w:color w:val="auto"/>
                <w:sz w:val="22"/>
              </w:rPr>
            </w:pPr>
            <w:r w:rsidRPr="00B700E0">
              <w:rPr>
                <w:rFonts w:ascii="微軟正黑體" w:eastAsia="微軟正黑體" w:hAnsi="微軟正黑體" w:hint="eastAsia"/>
                <w:b w:val="0"/>
                <w:color w:val="auto"/>
                <w:sz w:val="22"/>
              </w:rPr>
              <w:t>給付類型</w:t>
            </w:r>
          </w:p>
        </w:tc>
        <w:tc>
          <w:tcPr>
            <w:tcW w:w="4684" w:type="dxa"/>
            <w:gridSpan w:val="4"/>
            <w:tcBorders>
              <w:right w:val="single" w:sz="8" w:space="0" w:color="5F497A" w:themeColor="accent4" w:themeShade="BF"/>
            </w:tcBorders>
            <w:tcMar>
              <w:top w:w="0" w:type="dxa"/>
              <w:left w:w="57" w:type="dxa"/>
              <w:bottom w:w="0" w:type="dxa"/>
              <w:right w:w="57" w:type="dxa"/>
            </w:tcMar>
            <w:vAlign w:val="center"/>
            <w:hideMark/>
          </w:tcPr>
          <w:p w:rsidR="003C2AC2" w:rsidRPr="00B700E0" w:rsidRDefault="003C2AC2" w:rsidP="008F1977">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年金給付</w:t>
            </w:r>
          </w:p>
        </w:tc>
        <w:tc>
          <w:tcPr>
            <w:tcW w:w="3303" w:type="dxa"/>
            <w:gridSpan w:val="3"/>
            <w:tcMar>
              <w:top w:w="0" w:type="dxa"/>
              <w:left w:w="57" w:type="dxa"/>
              <w:bottom w:w="0" w:type="dxa"/>
              <w:right w:w="57" w:type="dxa"/>
            </w:tcMar>
            <w:vAlign w:val="center"/>
            <w:hideMark/>
          </w:tcPr>
          <w:p w:rsidR="003C2AC2" w:rsidRPr="00B700E0" w:rsidRDefault="003C2AC2" w:rsidP="008F1977">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一次給付</w:t>
            </w:r>
          </w:p>
        </w:tc>
      </w:tr>
      <w:tr w:rsidR="003C2AC2" w:rsidRPr="00B700E0"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bottom w:val="nil"/>
              <w:right w:val="single" w:sz="8" w:space="0" w:color="5F497A" w:themeColor="accent4" w:themeShade="BF"/>
            </w:tcBorders>
            <w:tcMar>
              <w:top w:w="0" w:type="dxa"/>
              <w:left w:w="57" w:type="dxa"/>
              <w:bottom w:w="0" w:type="dxa"/>
              <w:right w:w="57" w:type="dxa"/>
            </w:tcMar>
            <w:vAlign w:val="center"/>
            <w:hideMark/>
          </w:tcPr>
          <w:p w:rsidR="003C2AC2" w:rsidRPr="00B700E0" w:rsidRDefault="003C2AC2" w:rsidP="008F1977">
            <w:pPr>
              <w:widowControl/>
              <w:spacing w:line="400" w:lineRule="exact"/>
              <w:jc w:val="center"/>
              <w:rPr>
                <w:rFonts w:ascii="微軟正黑體" w:eastAsia="微軟正黑體" w:hAnsi="微軟正黑體"/>
                <w:b w:val="0"/>
                <w:color w:val="auto"/>
                <w:sz w:val="22"/>
              </w:rPr>
            </w:pPr>
            <w:r w:rsidRPr="00B700E0">
              <w:rPr>
                <w:rFonts w:ascii="微軟正黑體" w:eastAsia="微軟正黑體" w:hAnsi="微軟正黑體" w:hint="eastAsia"/>
                <w:b w:val="0"/>
                <w:color w:val="auto"/>
                <w:sz w:val="22"/>
              </w:rPr>
              <w:t>制度</w:t>
            </w:r>
          </w:p>
        </w:tc>
        <w:tc>
          <w:tcPr>
            <w:tcW w:w="1345" w:type="dxa"/>
            <w:tcBorders>
              <w:top w:val="nil"/>
              <w:bottom w:val="nil"/>
            </w:tcBorders>
            <w:tcMar>
              <w:top w:w="0" w:type="dxa"/>
              <w:left w:w="57" w:type="dxa"/>
              <w:bottom w:w="0" w:type="dxa"/>
              <w:right w:w="57" w:type="dxa"/>
            </w:tcMar>
            <w:vAlign w:val="center"/>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 xml:space="preserve">   勞保</w:t>
            </w:r>
          </w:p>
        </w:tc>
        <w:tc>
          <w:tcPr>
            <w:tcW w:w="1281" w:type="dxa"/>
            <w:tcBorders>
              <w:top w:val="nil"/>
              <w:bottom w:val="nil"/>
            </w:tcBorders>
            <w:tcMar>
              <w:top w:w="0" w:type="dxa"/>
              <w:left w:w="57" w:type="dxa"/>
              <w:bottom w:w="0" w:type="dxa"/>
              <w:right w:w="57" w:type="dxa"/>
            </w:tcMar>
            <w:vAlign w:val="center"/>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 xml:space="preserve">  國保</w:t>
            </w:r>
          </w:p>
        </w:tc>
        <w:tc>
          <w:tcPr>
            <w:tcW w:w="850" w:type="dxa"/>
            <w:tcBorders>
              <w:top w:val="nil"/>
              <w:bottom w:val="nil"/>
            </w:tcBorders>
            <w:tcMar>
              <w:top w:w="0" w:type="dxa"/>
              <w:left w:w="57" w:type="dxa"/>
              <w:bottom w:w="0" w:type="dxa"/>
              <w:right w:w="57" w:type="dxa"/>
            </w:tcMar>
            <w:vAlign w:val="center"/>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 xml:space="preserve"> 公保</w:t>
            </w:r>
          </w:p>
        </w:tc>
        <w:tc>
          <w:tcPr>
            <w:tcW w:w="1208" w:type="dxa"/>
            <w:tcBorders>
              <w:top w:val="nil"/>
              <w:bottom w:val="nil"/>
              <w:right w:val="single" w:sz="8" w:space="0" w:color="5F497A" w:themeColor="accent4" w:themeShade="BF"/>
            </w:tcBorders>
            <w:tcMar>
              <w:top w:w="0" w:type="dxa"/>
              <w:left w:w="57" w:type="dxa"/>
              <w:bottom w:w="0" w:type="dxa"/>
              <w:right w:w="57" w:type="dxa"/>
            </w:tcMar>
            <w:vAlign w:val="center"/>
            <w:hideMark/>
          </w:tcPr>
          <w:p w:rsidR="003C2AC2" w:rsidRPr="00B700E0" w:rsidRDefault="003C2AC2" w:rsidP="008F1977">
            <w:pPr>
              <w:widowControl/>
              <w:spacing w:line="34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 xml:space="preserve"> 合計</w:t>
            </w:r>
          </w:p>
          <w:p w:rsidR="003C2AC2" w:rsidRPr="00B700E0" w:rsidRDefault="003C2AC2" w:rsidP="008F1977">
            <w:pPr>
              <w:widowControl/>
              <w:spacing w:line="34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 xml:space="preserve"> 人數</w:t>
            </w:r>
          </w:p>
        </w:tc>
        <w:tc>
          <w:tcPr>
            <w:tcW w:w="1202" w:type="dxa"/>
            <w:tcBorders>
              <w:top w:val="nil"/>
              <w:bottom w:val="nil"/>
            </w:tcBorders>
            <w:tcMar>
              <w:top w:w="0" w:type="dxa"/>
              <w:left w:w="57" w:type="dxa"/>
              <w:bottom w:w="0" w:type="dxa"/>
              <w:right w:w="57" w:type="dxa"/>
            </w:tcMar>
            <w:vAlign w:val="center"/>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 xml:space="preserve"> 勞保</w:t>
            </w:r>
          </w:p>
        </w:tc>
        <w:tc>
          <w:tcPr>
            <w:tcW w:w="998" w:type="dxa"/>
            <w:tcBorders>
              <w:top w:val="nil"/>
              <w:bottom w:val="nil"/>
            </w:tcBorders>
            <w:tcMar>
              <w:top w:w="0" w:type="dxa"/>
              <w:left w:w="57" w:type="dxa"/>
              <w:bottom w:w="0" w:type="dxa"/>
              <w:right w:w="57" w:type="dxa"/>
            </w:tcMar>
            <w:vAlign w:val="center"/>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 xml:space="preserve"> 公保</w:t>
            </w:r>
          </w:p>
        </w:tc>
        <w:tc>
          <w:tcPr>
            <w:tcW w:w="1103" w:type="dxa"/>
            <w:tcBorders>
              <w:top w:val="nil"/>
              <w:bottom w:val="nil"/>
            </w:tcBorders>
            <w:vAlign w:val="center"/>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 xml:space="preserve"> 合計</w:t>
            </w:r>
          </w:p>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 xml:space="preserve"> 人數</w:t>
            </w:r>
          </w:p>
        </w:tc>
      </w:tr>
      <w:tr w:rsidR="003C2AC2" w:rsidRPr="00B700E0" w:rsidTr="008F1977">
        <w:trPr>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left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center"/>
              <w:rPr>
                <w:rFonts w:ascii="微軟正黑體" w:eastAsia="微軟正黑體" w:hAnsi="微軟正黑體"/>
                <w:b w:val="0"/>
                <w:color w:val="auto"/>
                <w:sz w:val="22"/>
              </w:rPr>
            </w:pPr>
            <w:r w:rsidRPr="00B700E0">
              <w:rPr>
                <w:rFonts w:ascii="微軟正黑體" w:eastAsia="微軟正黑體" w:hAnsi="微軟正黑體" w:hint="eastAsia"/>
                <w:b w:val="0"/>
                <w:color w:val="auto"/>
                <w:sz w:val="22"/>
              </w:rPr>
              <w:t>100年</w:t>
            </w:r>
          </w:p>
        </w:tc>
        <w:tc>
          <w:tcPr>
            <w:tcW w:w="1345"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188,716</w:t>
            </w:r>
          </w:p>
        </w:tc>
        <w:tc>
          <w:tcPr>
            <w:tcW w:w="1281"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271,698</w:t>
            </w:r>
          </w:p>
        </w:tc>
        <w:tc>
          <w:tcPr>
            <w:tcW w:w="850"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w:t>
            </w:r>
          </w:p>
        </w:tc>
        <w:tc>
          <w:tcPr>
            <w:tcW w:w="1208" w:type="dxa"/>
            <w:tcBorders>
              <w:top w:val="nil"/>
              <w:left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460,414</w:t>
            </w:r>
          </w:p>
        </w:tc>
        <w:tc>
          <w:tcPr>
            <w:tcW w:w="1202"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85,334</w:t>
            </w:r>
          </w:p>
        </w:tc>
        <w:tc>
          <w:tcPr>
            <w:tcW w:w="998"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17,365</w:t>
            </w:r>
          </w:p>
        </w:tc>
        <w:tc>
          <w:tcPr>
            <w:tcW w:w="1103" w:type="dxa"/>
            <w:tcBorders>
              <w:top w:val="nil"/>
              <w:left w:val="nil"/>
              <w:bottom w:val="nil"/>
              <w:right w:val="nil"/>
            </w:tcBorders>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102,699</w:t>
            </w:r>
          </w:p>
        </w:tc>
      </w:tr>
      <w:tr w:rsidR="003C2AC2" w:rsidRPr="00B700E0"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center"/>
              <w:rPr>
                <w:rFonts w:ascii="微軟正黑體" w:eastAsia="微軟正黑體" w:hAnsi="微軟正黑體"/>
                <w:b w:val="0"/>
                <w:color w:val="auto"/>
                <w:sz w:val="22"/>
              </w:rPr>
            </w:pPr>
            <w:r w:rsidRPr="00B700E0">
              <w:rPr>
                <w:rFonts w:ascii="微軟正黑體" w:eastAsia="微軟正黑體" w:hAnsi="微軟正黑體" w:hint="eastAsia"/>
                <w:b w:val="0"/>
                <w:color w:val="auto"/>
                <w:sz w:val="22"/>
              </w:rPr>
              <w:t>101年</w:t>
            </w:r>
          </w:p>
        </w:tc>
        <w:tc>
          <w:tcPr>
            <w:tcW w:w="1345"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318,973</w:t>
            </w:r>
          </w:p>
        </w:tc>
        <w:tc>
          <w:tcPr>
            <w:tcW w:w="1281"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365,483</w:t>
            </w:r>
          </w:p>
        </w:tc>
        <w:tc>
          <w:tcPr>
            <w:tcW w:w="850"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w:t>
            </w:r>
          </w:p>
        </w:tc>
        <w:tc>
          <w:tcPr>
            <w:tcW w:w="1208" w:type="dxa"/>
            <w:tcBorders>
              <w:top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684,456</w:t>
            </w:r>
          </w:p>
        </w:tc>
        <w:tc>
          <w:tcPr>
            <w:tcW w:w="1202"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157,794</w:t>
            </w:r>
          </w:p>
        </w:tc>
        <w:tc>
          <w:tcPr>
            <w:tcW w:w="998"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17,989</w:t>
            </w:r>
          </w:p>
        </w:tc>
        <w:tc>
          <w:tcPr>
            <w:tcW w:w="1103" w:type="dxa"/>
            <w:tcBorders>
              <w:top w:val="nil"/>
              <w:bottom w:val="nil"/>
            </w:tcBorders>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175,783</w:t>
            </w:r>
          </w:p>
        </w:tc>
      </w:tr>
      <w:tr w:rsidR="003C2AC2" w:rsidRPr="00B700E0" w:rsidTr="008F1977">
        <w:trPr>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left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center"/>
              <w:rPr>
                <w:rFonts w:ascii="微軟正黑體" w:eastAsia="微軟正黑體" w:hAnsi="微軟正黑體"/>
                <w:b w:val="0"/>
                <w:color w:val="auto"/>
                <w:sz w:val="22"/>
              </w:rPr>
            </w:pPr>
            <w:r w:rsidRPr="00B700E0">
              <w:rPr>
                <w:rFonts w:ascii="微軟正黑體" w:eastAsia="微軟正黑體" w:hAnsi="微軟正黑體" w:hint="eastAsia"/>
                <w:b w:val="0"/>
                <w:color w:val="auto"/>
                <w:sz w:val="22"/>
              </w:rPr>
              <w:t>102年</w:t>
            </w:r>
          </w:p>
        </w:tc>
        <w:tc>
          <w:tcPr>
            <w:tcW w:w="1345"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497,373</w:t>
            </w:r>
          </w:p>
        </w:tc>
        <w:tc>
          <w:tcPr>
            <w:tcW w:w="1281"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466,600</w:t>
            </w:r>
          </w:p>
        </w:tc>
        <w:tc>
          <w:tcPr>
            <w:tcW w:w="850"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w:t>
            </w:r>
          </w:p>
        </w:tc>
        <w:tc>
          <w:tcPr>
            <w:tcW w:w="1208" w:type="dxa"/>
            <w:tcBorders>
              <w:top w:val="nil"/>
              <w:left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963,973</w:t>
            </w:r>
          </w:p>
        </w:tc>
        <w:tc>
          <w:tcPr>
            <w:tcW w:w="1202"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144,809</w:t>
            </w:r>
          </w:p>
        </w:tc>
        <w:tc>
          <w:tcPr>
            <w:tcW w:w="998"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16,896</w:t>
            </w:r>
          </w:p>
        </w:tc>
        <w:tc>
          <w:tcPr>
            <w:tcW w:w="1103" w:type="dxa"/>
            <w:tcBorders>
              <w:top w:val="nil"/>
              <w:left w:val="nil"/>
              <w:bottom w:val="nil"/>
              <w:right w:val="nil"/>
            </w:tcBorders>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161,705</w:t>
            </w:r>
          </w:p>
        </w:tc>
      </w:tr>
      <w:tr w:rsidR="003C2AC2" w:rsidRPr="00B700E0"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center"/>
              <w:rPr>
                <w:rFonts w:ascii="微軟正黑體" w:eastAsia="微軟正黑體" w:hAnsi="微軟正黑體"/>
                <w:b w:val="0"/>
                <w:color w:val="auto"/>
                <w:sz w:val="22"/>
              </w:rPr>
            </w:pPr>
            <w:r w:rsidRPr="00B700E0">
              <w:rPr>
                <w:rFonts w:ascii="微軟正黑體" w:eastAsia="微軟正黑體" w:hAnsi="微軟正黑體" w:hint="eastAsia"/>
                <w:b w:val="0"/>
                <w:color w:val="auto"/>
                <w:sz w:val="22"/>
              </w:rPr>
              <w:t>103年</w:t>
            </w:r>
          </w:p>
        </w:tc>
        <w:tc>
          <w:tcPr>
            <w:tcW w:w="1345"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614,960</w:t>
            </w:r>
          </w:p>
        </w:tc>
        <w:tc>
          <w:tcPr>
            <w:tcW w:w="1281"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571,334</w:t>
            </w:r>
          </w:p>
        </w:tc>
        <w:tc>
          <w:tcPr>
            <w:tcW w:w="850"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3,060</w:t>
            </w:r>
          </w:p>
        </w:tc>
        <w:tc>
          <w:tcPr>
            <w:tcW w:w="1208" w:type="dxa"/>
            <w:tcBorders>
              <w:top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1,189,354</w:t>
            </w:r>
          </w:p>
        </w:tc>
        <w:tc>
          <w:tcPr>
            <w:tcW w:w="1202"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97,467</w:t>
            </w:r>
          </w:p>
        </w:tc>
        <w:tc>
          <w:tcPr>
            <w:tcW w:w="998"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14,947</w:t>
            </w:r>
          </w:p>
        </w:tc>
        <w:tc>
          <w:tcPr>
            <w:tcW w:w="1103" w:type="dxa"/>
            <w:tcBorders>
              <w:top w:val="nil"/>
              <w:bottom w:val="nil"/>
            </w:tcBorders>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112,414</w:t>
            </w:r>
          </w:p>
        </w:tc>
      </w:tr>
      <w:tr w:rsidR="003C2AC2" w:rsidRPr="00B700E0" w:rsidTr="008F1977">
        <w:trPr>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left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center"/>
              <w:rPr>
                <w:rFonts w:ascii="微軟正黑體" w:eastAsia="微軟正黑體" w:hAnsi="微軟正黑體"/>
                <w:b w:val="0"/>
                <w:color w:val="auto"/>
                <w:sz w:val="22"/>
              </w:rPr>
            </w:pPr>
            <w:r w:rsidRPr="00B700E0">
              <w:rPr>
                <w:rFonts w:ascii="微軟正黑體" w:eastAsia="微軟正黑體" w:hAnsi="微軟正黑體" w:hint="eastAsia"/>
                <w:b w:val="0"/>
                <w:color w:val="auto"/>
                <w:sz w:val="22"/>
              </w:rPr>
              <w:t>104年</w:t>
            </w:r>
          </w:p>
        </w:tc>
        <w:tc>
          <w:tcPr>
            <w:tcW w:w="1345"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731,428</w:t>
            </w:r>
          </w:p>
        </w:tc>
        <w:tc>
          <w:tcPr>
            <w:tcW w:w="1281"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675,649</w:t>
            </w:r>
          </w:p>
        </w:tc>
        <w:tc>
          <w:tcPr>
            <w:tcW w:w="850"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5,318</w:t>
            </w:r>
          </w:p>
        </w:tc>
        <w:tc>
          <w:tcPr>
            <w:tcW w:w="1208" w:type="dxa"/>
            <w:tcBorders>
              <w:top w:val="nil"/>
              <w:left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1,412,395</w:t>
            </w:r>
          </w:p>
        </w:tc>
        <w:tc>
          <w:tcPr>
            <w:tcW w:w="1202"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102,899</w:t>
            </w:r>
          </w:p>
        </w:tc>
        <w:tc>
          <w:tcPr>
            <w:tcW w:w="998"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20,676</w:t>
            </w:r>
          </w:p>
        </w:tc>
        <w:tc>
          <w:tcPr>
            <w:tcW w:w="1103" w:type="dxa"/>
            <w:tcBorders>
              <w:top w:val="nil"/>
              <w:left w:val="nil"/>
              <w:bottom w:val="nil"/>
              <w:right w:val="nil"/>
            </w:tcBorders>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123,575</w:t>
            </w:r>
          </w:p>
        </w:tc>
      </w:tr>
      <w:tr w:rsidR="003C2AC2" w:rsidRPr="00B700E0"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center"/>
              <w:rPr>
                <w:rFonts w:ascii="微軟正黑體" w:eastAsia="微軟正黑體" w:hAnsi="微軟正黑體"/>
                <w:b w:val="0"/>
                <w:color w:val="auto"/>
                <w:sz w:val="22"/>
              </w:rPr>
            </w:pPr>
            <w:r w:rsidRPr="00B700E0">
              <w:rPr>
                <w:rFonts w:ascii="微軟正黑體" w:eastAsia="微軟正黑體" w:hAnsi="微軟正黑體" w:hint="eastAsia"/>
                <w:b w:val="0"/>
                <w:color w:val="auto"/>
                <w:sz w:val="22"/>
              </w:rPr>
              <w:t>105年</w:t>
            </w:r>
          </w:p>
        </w:tc>
        <w:tc>
          <w:tcPr>
            <w:tcW w:w="1345"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884,481</w:t>
            </w:r>
          </w:p>
        </w:tc>
        <w:tc>
          <w:tcPr>
            <w:tcW w:w="1281"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791,022</w:t>
            </w:r>
          </w:p>
        </w:tc>
        <w:tc>
          <w:tcPr>
            <w:tcW w:w="850"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7,418</w:t>
            </w:r>
          </w:p>
        </w:tc>
        <w:tc>
          <w:tcPr>
            <w:tcW w:w="1208" w:type="dxa"/>
            <w:tcBorders>
              <w:top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1,682,921</w:t>
            </w:r>
          </w:p>
        </w:tc>
        <w:tc>
          <w:tcPr>
            <w:tcW w:w="1202"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114,535</w:t>
            </w:r>
          </w:p>
        </w:tc>
        <w:tc>
          <w:tcPr>
            <w:tcW w:w="998" w:type="dxa"/>
            <w:tcBorders>
              <w:top w:val="nil"/>
              <w:bottom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18,189</w:t>
            </w:r>
          </w:p>
        </w:tc>
        <w:tc>
          <w:tcPr>
            <w:tcW w:w="1103" w:type="dxa"/>
            <w:tcBorders>
              <w:top w:val="nil"/>
              <w:bottom w:val="nil"/>
            </w:tcBorders>
            <w:hideMark/>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132,724</w:t>
            </w:r>
          </w:p>
        </w:tc>
      </w:tr>
      <w:tr w:rsidR="003C2AC2" w:rsidRPr="00B700E0" w:rsidTr="008F1977">
        <w:trPr>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left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center"/>
              <w:rPr>
                <w:rFonts w:ascii="微軟正黑體" w:eastAsia="微軟正黑體" w:hAnsi="微軟正黑體"/>
                <w:b w:val="0"/>
                <w:color w:val="auto"/>
                <w:sz w:val="22"/>
              </w:rPr>
            </w:pPr>
            <w:r w:rsidRPr="00B700E0">
              <w:rPr>
                <w:rFonts w:ascii="微軟正黑體" w:eastAsia="微軟正黑體" w:hAnsi="微軟正黑體" w:hint="eastAsia"/>
                <w:b w:val="0"/>
                <w:color w:val="auto"/>
                <w:sz w:val="22"/>
              </w:rPr>
              <w:t>106年</w:t>
            </w:r>
          </w:p>
        </w:tc>
        <w:tc>
          <w:tcPr>
            <w:tcW w:w="1345"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1,041,873</w:t>
            </w:r>
          </w:p>
        </w:tc>
        <w:tc>
          <w:tcPr>
            <w:tcW w:w="1281"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901,854</w:t>
            </w:r>
          </w:p>
        </w:tc>
        <w:tc>
          <w:tcPr>
            <w:tcW w:w="850"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9419</w:t>
            </w:r>
          </w:p>
        </w:tc>
        <w:tc>
          <w:tcPr>
            <w:tcW w:w="1208" w:type="dxa"/>
            <w:tcBorders>
              <w:top w:val="nil"/>
              <w:left w:val="nil"/>
              <w:bottom w:val="nil"/>
              <w:right w:val="single" w:sz="8" w:space="0" w:color="5F497A" w:themeColor="accent4" w:themeShade="BF"/>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1,953,146</w:t>
            </w:r>
          </w:p>
        </w:tc>
        <w:tc>
          <w:tcPr>
            <w:tcW w:w="1202"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134,998</w:t>
            </w:r>
          </w:p>
        </w:tc>
        <w:tc>
          <w:tcPr>
            <w:tcW w:w="998" w:type="dxa"/>
            <w:tcBorders>
              <w:top w:val="nil"/>
              <w:left w:val="nil"/>
              <w:bottom w:val="nil"/>
              <w:right w:val="nil"/>
            </w:tcBorders>
            <w:tcMar>
              <w:top w:w="0" w:type="dxa"/>
              <w:left w:w="57" w:type="dxa"/>
              <w:bottom w:w="0" w:type="dxa"/>
              <w:right w:w="57" w:type="dxa"/>
            </w:tcMar>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14,720</w:t>
            </w:r>
          </w:p>
        </w:tc>
        <w:tc>
          <w:tcPr>
            <w:tcW w:w="1103" w:type="dxa"/>
            <w:tcBorders>
              <w:top w:val="nil"/>
              <w:left w:val="nil"/>
              <w:bottom w:val="nil"/>
              <w:right w:val="nil"/>
            </w:tcBorders>
            <w:hideMark/>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149,718</w:t>
            </w:r>
          </w:p>
        </w:tc>
      </w:tr>
      <w:tr w:rsidR="003C2AC2" w:rsidRPr="00B700E0"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bottom w:val="nil"/>
              <w:right w:val="single" w:sz="8" w:space="0" w:color="5F497A" w:themeColor="accent4" w:themeShade="BF"/>
            </w:tcBorders>
            <w:tcMar>
              <w:top w:w="0" w:type="dxa"/>
              <w:left w:w="57" w:type="dxa"/>
              <w:bottom w:w="0" w:type="dxa"/>
              <w:right w:w="57" w:type="dxa"/>
            </w:tcMar>
            <w:hideMark/>
          </w:tcPr>
          <w:p w:rsidR="003C2AC2" w:rsidRPr="006D0632" w:rsidRDefault="003C2AC2" w:rsidP="008F1977">
            <w:pPr>
              <w:widowControl/>
              <w:spacing w:line="400" w:lineRule="exact"/>
              <w:jc w:val="center"/>
              <w:rPr>
                <w:rFonts w:ascii="微軟正黑體" w:eastAsia="微軟正黑體" w:hAnsi="微軟正黑體"/>
                <w:b w:val="0"/>
                <w:color w:val="auto"/>
                <w:sz w:val="22"/>
              </w:rPr>
            </w:pPr>
            <w:r w:rsidRPr="006D0632">
              <w:rPr>
                <w:rFonts w:ascii="微軟正黑體" w:eastAsia="微軟正黑體" w:hAnsi="微軟正黑體" w:hint="eastAsia"/>
                <w:b w:val="0"/>
                <w:color w:val="auto"/>
                <w:sz w:val="22"/>
              </w:rPr>
              <w:t>107年</w:t>
            </w:r>
          </w:p>
        </w:tc>
        <w:tc>
          <w:tcPr>
            <w:tcW w:w="1345" w:type="dxa"/>
            <w:tcBorders>
              <w:top w:val="nil"/>
              <w:bottom w:val="nil"/>
            </w:tcBorders>
            <w:tcMar>
              <w:top w:w="0" w:type="dxa"/>
              <w:left w:w="57" w:type="dxa"/>
              <w:bottom w:w="0" w:type="dxa"/>
              <w:right w:w="57" w:type="dxa"/>
            </w:tcMar>
            <w:hideMark/>
          </w:tcPr>
          <w:p w:rsidR="003C2AC2" w:rsidRPr="006D063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6D0632">
              <w:rPr>
                <w:rFonts w:ascii="微軟正黑體" w:eastAsia="微軟正黑體" w:hAnsi="微軟正黑體" w:hint="eastAsia"/>
                <w:color w:val="auto"/>
                <w:sz w:val="22"/>
              </w:rPr>
              <w:t>1,165,766</w:t>
            </w:r>
          </w:p>
        </w:tc>
        <w:tc>
          <w:tcPr>
            <w:tcW w:w="1281" w:type="dxa"/>
            <w:tcBorders>
              <w:top w:val="nil"/>
              <w:bottom w:val="nil"/>
            </w:tcBorders>
            <w:tcMar>
              <w:top w:w="0" w:type="dxa"/>
              <w:left w:w="57" w:type="dxa"/>
              <w:bottom w:w="0" w:type="dxa"/>
              <w:right w:w="57" w:type="dxa"/>
            </w:tcMar>
            <w:hideMark/>
          </w:tcPr>
          <w:p w:rsidR="003C2AC2" w:rsidRPr="006D063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6D0632">
              <w:rPr>
                <w:rFonts w:ascii="微軟正黑體" w:eastAsia="微軟正黑體" w:hAnsi="微軟正黑體" w:hint="eastAsia"/>
                <w:color w:val="auto"/>
                <w:sz w:val="22"/>
              </w:rPr>
              <w:t>1,007,715</w:t>
            </w:r>
          </w:p>
        </w:tc>
        <w:tc>
          <w:tcPr>
            <w:tcW w:w="850" w:type="dxa"/>
            <w:tcBorders>
              <w:top w:val="nil"/>
              <w:bottom w:val="nil"/>
            </w:tcBorders>
            <w:tcMar>
              <w:top w:w="0" w:type="dxa"/>
              <w:left w:w="57" w:type="dxa"/>
              <w:bottom w:w="0" w:type="dxa"/>
              <w:right w:w="57" w:type="dxa"/>
            </w:tcMar>
            <w:hideMark/>
          </w:tcPr>
          <w:p w:rsidR="003C2AC2" w:rsidRPr="006D063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6D0632">
              <w:rPr>
                <w:rFonts w:ascii="微軟正黑體" w:eastAsia="微軟正黑體" w:hAnsi="微軟正黑體" w:hint="eastAsia"/>
                <w:color w:val="auto"/>
                <w:sz w:val="22"/>
              </w:rPr>
              <w:t>11,375</w:t>
            </w:r>
          </w:p>
        </w:tc>
        <w:tc>
          <w:tcPr>
            <w:tcW w:w="1208" w:type="dxa"/>
            <w:tcBorders>
              <w:top w:val="nil"/>
              <w:bottom w:val="nil"/>
              <w:right w:val="single" w:sz="8" w:space="0" w:color="5F497A" w:themeColor="accent4" w:themeShade="BF"/>
            </w:tcBorders>
            <w:tcMar>
              <w:top w:w="0" w:type="dxa"/>
              <w:left w:w="57" w:type="dxa"/>
              <w:bottom w:w="0" w:type="dxa"/>
              <w:right w:w="57" w:type="dxa"/>
            </w:tcMar>
            <w:hideMark/>
          </w:tcPr>
          <w:p w:rsidR="003C2AC2" w:rsidRPr="006D063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6D0632">
              <w:rPr>
                <w:rFonts w:ascii="微軟正黑體" w:eastAsia="微軟正黑體" w:hAnsi="微軟正黑體" w:hint="eastAsia"/>
                <w:color w:val="auto"/>
                <w:sz w:val="22"/>
              </w:rPr>
              <w:t>2,184,856</w:t>
            </w:r>
          </w:p>
        </w:tc>
        <w:tc>
          <w:tcPr>
            <w:tcW w:w="1202" w:type="dxa"/>
            <w:tcBorders>
              <w:top w:val="nil"/>
              <w:bottom w:val="nil"/>
            </w:tcBorders>
            <w:tcMar>
              <w:top w:w="0" w:type="dxa"/>
              <w:left w:w="57" w:type="dxa"/>
              <w:bottom w:w="0" w:type="dxa"/>
              <w:right w:w="57" w:type="dxa"/>
            </w:tcMar>
            <w:hideMark/>
          </w:tcPr>
          <w:p w:rsidR="003C2AC2" w:rsidRPr="006D063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6D0632">
              <w:rPr>
                <w:rFonts w:ascii="微軟正黑體" w:eastAsia="微軟正黑體" w:hAnsi="微軟正黑體" w:hint="eastAsia"/>
                <w:color w:val="auto"/>
                <w:sz w:val="22"/>
              </w:rPr>
              <w:t>108,933</w:t>
            </w:r>
          </w:p>
        </w:tc>
        <w:tc>
          <w:tcPr>
            <w:tcW w:w="998" w:type="dxa"/>
            <w:tcBorders>
              <w:top w:val="nil"/>
              <w:bottom w:val="nil"/>
            </w:tcBorders>
            <w:tcMar>
              <w:top w:w="0" w:type="dxa"/>
              <w:left w:w="57" w:type="dxa"/>
              <w:bottom w:w="0" w:type="dxa"/>
              <w:right w:w="57" w:type="dxa"/>
            </w:tcMar>
            <w:hideMark/>
          </w:tcPr>
          <w:p w:rsidR="003C2AC2" w:rsidRPr="006D063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6D0632">
              <w:rPr>
                <w:rFonts w:ascii="微軟正黑體" w:eastAsia="微軟正黑體" w:hAnsi="微軟正黑體" w:hint="eastAsia"/>
                <w:color w:val="auto"/>
                <w:sz w:val="22"/>
              </w:rPr>
              <w:t>12,572</w:t>
            </w:r>
          </w:p>
        </w:tc>
        <w:tc>
          <w:tcPr>
            <w:tcW w:w="1103" w:type="dxa"/>
            <w:tcBorders>
              <w:top w:val="nil"/>
              <w:bottom w:val="nil"/>
            </w:tcBorders>
            <w:hideMark/>
          </w:tcPr>
          <w:p w:rsidR="003C2AC2" w:rsidRPr="006D063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6D0632">
              <w:rPr>
                <w:rFonts w:ascii="微軟正黑體" w:eastAsia="微軟正黑體" w:hAnsi="微軟正黑體" w:hint="eastAsia"/>
                <w:color w:val="auto"/>
                <w:sz w:val="22"/>
              </w:rPr>
              <w:t>121,505</w:t>
            </w:r>
          </w:p>
        </w:tc>
      </w:tr>
      <w:tr w:rsidR="003C2AC2" w:rsidRPr="00B700E0" w:rsidTr="008F1977">
        <w:trPr>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bottom w:val="nil"/>
              <w:right w:val="single" w:sz="8" w:space="0" w:color="5F497A" w:themeColor="accent4" w:themeShade="BF"/>
            </w:tcBorders>
            <w:tcMar>
              <w:top w:w="0" w:type="dxa"/>
              <w:left w:w="57" w:type="dxa"/>
              <w:bottom w:w="0" w:type="dxa"/>
              <w:right w:w="57" w:type="dxa"/>
            </w:tcMar>
          </w:tcPr>
          <w:p w:rsidR="003C2AC2" w:rsidRPr="006D0632" w:rsidRDefault="003C2AC2" w:rsidP="008F1977">
            <w:pPr>
              <w:widowControl/>
              <w:spacing w:line="400" w:lineRule="exact"/>
              <w:jc w:val="center"/>
              <w:rPr>
                <w:rFonts w:ascii="微軟正黑體" w:eastAsia="微軟正黑體" w:hAnsi="微軟正黑體"/>
                <w:b w:val="0"/>
                <w:color w:val="auto"/>
                <w:sz w:val="22"/>
              </w:rPr>
            </w:pPr>
            <w:r w:rsidRPr="006D0632">
              <w:rPr>
                <w:rFonts w:ascii="微軟正黑體" w:eastAsia="微軟正黑體" w:hAnsi="微軟正黑體" w:hint="eastAsia"/>
                <w:b w:val="0"/>
                <w:color w:val="auto"/>
                <w:sz w:val="22"/>
              </w:rPr>
              <w:t>108年</w:t>
            </w:r>
          </w:p>
        </w:tc>
        <w:tc>
          <w:tcPr>
            <w:tcW w:w="1345" w:type="dxa"/>
            <w:tcBorders>
              <w:top w:val="nil"/>
              <w:bottom w:val="nil"/>
            </w:tcBorders>
            <w:tcMar>
              <w:top w:w="0" w:type="dxa"/>
              <w:left w:w="57" w:type="dxa"/>
              <w:bottom w:w="0" w:type="dxa"/>
              <w:right w:w="57" w:type="dxa"/>
            </w:tcMar>
          </w:tcPr>
          <w:p w:rsidR="003C2AC2" w:rsidRPr="006D063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auto"/>
                <w:sz w:val="22"/>
              </w:rPr>
            </w:pPr>
            <w:r>
              <w:rPr>
                <w:rFonts w:ascii="微軟正黑體" w:eastAsia="微軟正黑體" w:hAnsi="微軟正黑體" w:hint="eastAsia"/>
                <w:bCs/>
                <w:color w:val="auto"/>
                <w:sz w:val="22"/>
              </w:rPr>
              <w:t>1,273,387</w:t>
            </w:r>
          </w:p>
        </w:tc>
        <w:tc>
          <w:tcPr>
            <w:tcW w:w="1281" w:type="dxa"/>
            <w:tcBorders>
              <w:top w:val="nil"/>
              <w:bottom w:val="nil"/>
            </w:tcBorders>
            <w:tcMar>
              <w:top w:w="0" w:type="dxa"/>
              <w:left w:w="57" w:type="dxa"/>
              <w:bottom w:w="0" w:type="dxa"/>
              <w:right w:w="57" w:type="dxa"/>
            </w:tcMar>
          </w:tcPr>
          <w:p w:rsidR="003C2AC2" w:rsidRPr="006D063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auto"/>
                <w:sz w:val="22"/>
              </w:rPr>
            </w:pPr>
            <w:r>
              <w:rPr>
                <w:rFonts w:ascii="微軟正黑體" w:eastAsia="微軟正黑體" w:hAnsi="微軟正黑體" w:hint="eastAsia"/>
                <w:bCs/>
                <w:color w:val="auto"/>
                <w:sz w:val="22"/>
              </w:rPr>
              <w:t>1,102,473</w:t>
            </w:r>
          </w:p>
        </w:tc>
        <w:tc>
          <w:tcPr>
            <w:tcW w:w="850" w:type="dxa"/>
            <w:tcBorders>
              <w:top w:val="nil"/>
              <w:bottom w:val="nil"/>
            </w:tcBorders>
            <w:tcMar>
              <w:top w:w="0" w:type="dxa"/>
              <w:left w:w="57" w:type="dxa"/>
              <w:bottom w:w="0" w:type="dxa"/>
              <w:right w:w="57" w:type="dxa"/>
            </w:tcMar>
          </w:tcPr>
          <w:p w:rsidR="003C2AC2" w:rsidRPr="006D063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auto"/>
                <w:sz w:val="22"/>
              </w:rPr>
            </w:pPr>
            <w:r>
              <w:rPr>
                <w:rFonts w:ascii="微軟正黑體" w:eastAsia="微軟正黑體" w:hAnsi="微軟正黑體" w:hint="eastAsia"/>
                <w:bCs/>
                <w:color w:val="auto"/>
                <w:sz w:val="22"/>
              </w:rPr>
              <w:t>13,401</w:t>
            </w:r>
          </w:p>
        </w:tc>
        <w:tc>
          <w:tcPr>
            <w:tcW w:w="1208" w:type="dxa"/>
            <w:tcBorders>
              <w:top w:val="nil"/>
              <w:bottom w:val="nil"/>
              <w:right w:val="single" w:sz="8" w:space="0" w:color="5F497A" w:themeColor="accent4" w:themeShade="BF"/>
            </w:tcBorders>
            <w:tcMar>
              <w:top w:w="0" w:type="dxa"/>
              <w:left w:w="57" w:type="dxa"/>
              <w:bottom w:w="0" w:type="dxa"/>
              <w:right w:w="57" w:type="dxa"/>
            </w:tcMar>
          </w:tcPr>
          <w:p w:rsidR="003C2AC2" w:rsidRPr="006D063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auto"/>
                <w:sz w:val="22"/>
              </w:rPr>
            </w:pPr>
            <w:r>
              <w:rPr>
                <w:rFonts w:ascii="微軟正黑體" w:eastAsia="微軟正黑體" w:hAnsi="微軟正黑體" w:hint="eastAsia"/>
                <w:bCs/>
                <w:color w:val="auto"/>
                <w:sz w:val="22"/>
              </w:rPr>
              <w:t>2,389,261</w:t>
            </w:r>
          </w:p>
        </w:tc>
        <w:tc>
          <w:tcPr>
            <w:tcW w:w="1202" w:type="dxa"/>
            <w:tcBorders>
              <w:top w:val="nil"/>
              <w:bottom w:val="nil"/>
            </w:tcBorders>
            <w:tcMar>
              <w:top w:w="0" w:type="dxa"/>
              <w:left w:w="57" w:type="dxa"/>
              <w:bottom w:w="0" w:type="dxa"/>
              <w:right w:w="57" w:type="dxa"/>
            </w:tcMar>
          </w:tcPr>
          <w:p w:rsidR="003C2AC2" w:rsidRPr="006D063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auto"/>
                <w:sz w:val="22"/>
              </w:rPr>
            </w:pPr>
            <w:r>
              <w:rPr>
                <w:rFonts w:ascii="微軟正黑體" w:eastAsia="微軟正黑體" w:hAnsi="微軟正黑體" w:hint="eastAsia"/>
                <w:bCs/>
                <w:color w:val="auto"/>
                <w:sz w:val="22"/>
              </w:rPr>
              <w:t>110,676</w:t>
            </w:r>
          </w:p>
        </w:tc>
        <w:tc>
          <w:tcPr>
            <w:tcW w:w="998" w:type="dxa"/>
            <w:tcBorders>
              <w:top w:val="nil"/>
              <w:bottom w:val="nil"/>
            </w:tcBorders>
            <w:tcMar>
              <w:top w:w="0" w:type="dxa"/>
              <w:left w:w="57" w:type="dxa"/>
              <w:bottom w:w="0" w:type="dxa"/>
              <w:right w:w="57" w:type="dxa"/>
            </w:tcMar>
          </w:tcPr>
          <w:p w:rsidR="003C2AC2" w:rsidRPr="006D063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auto"/>
                <w:sz w:val="22"/>
              </w:rPr>
            </w:pPr>
            <w:r>
              <w:rPr>
                <w:rFonts w:ascii="微軟正黑體" w:eastAsia="微軟正黑體" w:hAnsi="微軟正黑體" w:hint="eastAsia"/>
                <w:bCs/>
                <w:color w:val="auto"/>
                <w:sz w:val="22"/>
              </w:rPr>
              <w:t>13,093</w:t>
            </w:r>
          </w:p>
        </w:tc>
        <w:tc>
          <w:tcPr>
            <w:tcW w:w="1103" w:type="dxa"/>
            <w:tcBorders>
              <w:top w:val="nil"/>
              <w:bottom w:val="nil"/>
              <w:right w:val="nil"/>
            </w:tcBorders>
          </w:tcPr>
          <w:p w:rsidR="003C2AC2" w:rsidRPr="006D063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auto"/>
                <w:sz w:val="22"/>
              </w:rPr>
            </w:pPr>
            <w:r>
              <w:rPr>
                <w:rFonts w:ascii="微軟正黑體" w:eastAsia="微軟正黑體" w:hAnsi="微軟正黑體" w:hint="eastAsia"/>
                <w:bCs/>
                <w:color w:val="auto"/>
                <w:sz w:val="22"/>
              </w:rPr>
              <w:t>123,799</w:t>
            </w:r>
          </w:p>
        </w:tc>
      </w:tr>
      <w:tr w:rsidR="003C2AC2" w:rsidRPr="00B700E0"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4" w:type="dxa"/>
            <w:tcBorders>
              <w:top w:val="nil"/>
              <w:bottom w:val="single" w:sz="8" w:space="0" w:color="8064A2" w:themeColor="accent4"/>
              <w:right w:val="single" w:sz="8" w:space="0" w:color="5F497A" w:themeColor="accent4" w:themeShade="BF"/>
            </w:tcBorders>
            <w:tcMar>
              <w:top w:w="0" w:type="dxa"/>
              <w:left w:w="57" w:type="dxa"/>
              <w:bottom w:w="0" w:type="dxa"/>
              <w:right w:w="57" w:type="dxa"/>
            </w:tcMar>
          </w:tcPr>
          <w:p w:rsidR="003C2AC2" w:rsidRPr="0038767E" w:rsidRDefault="003C2AC2" w:rsidP="008F1977">
            <w:pPr>
              <w:widowControl/>
              <w:spacing w:line="400" w:lineRule="exact"/>
              <w:jc w:val="center"/>
              <w:rPr>
                <w:rFonts w:ascii="微軟正黑體" w:eastAsia="微軟正黑體" w:hAnsi="微軟正黑體"/>
                <w:b w:val="0"/>
                <w:color w:val="auto"/>
                <w:sz w:val="22"/>
              </w:rPr>
            </w:pPr>
            <w:r w:rsidRPr="0038767E">
              <w:rPr>
                <w:rFonts w:ascii="微軟正黑體" w:eastAsia="微軟正黑體" w:hAnsi="微軟正黑體" w:hint="eastAsia"/>
                <w:b w:val="0"/>
                <w:color w:val="auto"/>
                <w:sz w:val="22"/>
              </w:rPr>
              <w:t>109年</w:t>
            </w:r>
          </w:p>
        </w:tc>
        <w:tc>
          <w:tcPr>
            <w:tcW w:w="1345" w:type="dxa"/>
            <w:tcBorders>
              <w:top w:val="nil"/>
              <w:bottom w:val="single" w:sz="8" w:space="0" w:color="8064A2" w:themeColor="accent4"/>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auto"/>
                <w:sz w:val="22"/>
              </w:rPr>
            </w:pPr>
            <w:r w:rsidRPr="0038767E">
              <w:rPr>
                <w:rFonts w:ascii="微軟正黑體" w:eastAsia="微軟正黑體" w:hAnsi="微軟正黑體" w:hint="eastAsia"/>
                <w:bCs/>
                <w:color w:val="auto"/>
                <w:sz w:val="22"/>
              </w:rPr>
              <w:t>1,397,302</w:t>
            </w:r>
          </w:p>
        </w:tc>
        <w:tc>
          <w:tcPr>
            <w:tcW w:w="1281" w:type="dxa"/>
            <w:tcBorders>
              <w:top w:val="nil"/>
              <w:bottom w:val="single" w:sz="8" w:space="0" w:color="8064A2" w:themeColor="accent4"/>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auto"/>
                <w:sz w:val="22"/>
              </w:rPr>
            </w:pPr>
            <w:r w:rsidRPr="0038767E">
              <w:rPr>
                <w:rFonts w:ascii="微軟正黑體" w:eastAsia="微軟正黑體" w:hAnsi="微軟正黑體" w:hint="eastAsia"/>
                <w:bCs/>
                <w:color w:val="auto"/>
                <w:sz w:val="22"/>
              </w:rPr>
              <w:t>1,189,171</w:t>
            </w:r>
          </w:p>
        </w:tc>
        <w:tc>
          <w:tcPr>
            <w:tcW w:w="850" w:type="dxa"/>
            <w:tcBorders>
              <w:top w:val="nil"/>
              <w:bottom w:val="single" w:sz="8" w:space="0" w:color="8064A2" w:themeColor="accent4"/>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auto"/>
                <w:sz w:val="22"/>
              </w:rPr>
            </w:pPr>
            <w:r w:rsidRPr="0038767E">
              <w:rPr>
                <w:rFonts w:ascii="微軟正黑體" w:eastAsia="微軟正黑體" w:hAnsi="微軟正黑體" w:hint="eastAsia"/>
                <w:bCs/>
                <w:color w:val="auto"/>
                <w:sz w:val="22"/>
              </w:rPr>
              <w:t>15,733</w:t>
            </w:r>
          </w:p>
        </w:tc>
        <w:tc>
          <w:tcPr>
            <w:tcW w:w="1208" w:type="dxa"/>
            <w:tcBorders>
              <w:top w:val="nil"/>
              <w:bottom w:val="single" w:sz="8" w:space="0" w:color="8064A2" w:themeColor="accent4"/>
              <w:right w:val="single" w:sz="8" w:space="0" w:color="5F497A" w:themeColor="accent4" w:themeShade="BF"/>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auto"/>
                <w:sz w:val="22"/>
              </w:rPr>
            </w:pPr>
            <w:r w:rsidRPr="0038767E">
              <w:rPr>
                <w:rFonts w:ascii="微軟正黑體" w:eastAsia="微軟正黑體" w:hAnsi="微軟正黑體" w:hint="eastAsia"/>
                <w:bCs/>
                <w:color w:val="auto"/>
                <w:sz w:val="22"/>
              </w:rPr>
              <w:t>2,602,206</w:t>
            </w:r>
          </w:p>
        </w:tc>
        <w:tc>
          <w:tcPr>
            <w:tcW w:w="1202" w:type="dxa"/>
            <w:tcBorders>
              <w:top w:val="nil"/>
              <w:bottom w:val="single" w:sz="8" w:space="0" w:color="8064A2" w:themeColor="accent4"/>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auto"/>
                <w:sz w:val="22"/>
              </w:rPr>
            </w:pPr>
            <w:r w:rsidRPr="0038767E">
              <w:rPr>
                <w:rFonts w:ascii="微軟正黑體" w:eastAsia="微軟正黑體" w:hAnsi="微軟正黑體" w:hint="eastAsia"/>
                <w:bCs/>
                <w:color w:val="auto"/>
                <w:sz w:val="22"/>
              </w:rPr>
              <w:t>105,866</w:t>
            </w:r>
          </w:p>
        </w:tc>
        <w:tc>
          <w:tcPr>
            <w:tcW w:w="998" w:type="dxa"/>
            <w:tcBorders>
              <w:top w:val="nil"/>
              <w:bottom w:val="single" w:sz="8" w:space="0" w:color="8064A2" w:themeColor="accent4"/>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auto"/>
                <w:sz w:val="22"/>
              </w:rPr>
            </w:pPr>
            <w:r w:rsidRPr="0038767E">
              <w:rPr>
                <w:rFonts w:ascii="微軟正黑體" w:eastAsia="微軟正黑體" w:hAnsi="微軟正黑體" w:hint="eastAsia"/>
                <w:bCs/>
                <w:color w:val="auto"/>
                <w:sz w:val="22"/>
              </w:rPr>
              <w:t>10,811</w:t>
            </w:r>
          </w:p>
        </w:tc>
        <w:tc>
          <w:tcPr>
            <w:tcW w:w="1103" w:type="dxa"/>
            <w:tcBorders>
              <w:top w:val="nil"/>
              <w:bottom w:val="single" w:sz="8" w:space="0" w:color="8064A2" w:themeColor="accent4"/>
            </w:tcBorders>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auto"/>
                <w:sz w:val="22"/>
              </w:rPr>
            </w:pPr>
            <w:r w:rsidRPr="0038767E">
              <w:rPr>
                <w:rFonts w:ascii="微軟正黑體" w:eastAsia="微軟正黑體" w:hAnsi="微軟正黑體" w:hint="eastAsia"/>
                <w:bCs/>
                <w:color w:val="auto"/>
                <w:sz w:val="22"/>
              </w:rPr>
              <w:t>116,677</w:t>
            </w:r>
          </w:p>
        </w:tc>
      </w:tr>
    </w:tbl>
    <w:p w:rsidR="003C2AC2" w:rsidRPr="00B700E0" w:rsidRDefault="003C2AC2" w:rsidP="003C2AC2">
      <w:pPr>
        <w:widowControl/>
        <w:spacing w:line="240" w:lineRule="exact"/>
        <w:ind w:rightChars="-24" w:right="-58"/>
        <w:rPr>
          <w:rFonts w:ascii="微軟正黑體" w:eastAsia="微軟正黑體" w:hAnsi="微軟正黑體"/>
          <w:sz w:val="20"/>
        </w:rPr>
      </w:pPr>
      <w:r w:rsidRPr="00B700E0">
        <w:rPr>
          <w:rFonts w:ascii="微軟正黑體" w:eastAsia="微軟正黑體" w:hAnsi="微軟正黑體" w:hint="eastAsia"/>
          <w:sz w:val="20"/>
        </w:rPr>
        <w:t>註：年金給付當年度年底領取年金人數，一次給付當年度領取人數。</w:t>
      </w:r>
    </w:p>
    <w:p w:rsidR="003C2AC2" w:rsidRPr="00B700E0" w:rsidRDefault="003C2AC2" w:rsidP="003C2AC2">
      <w:pPr>
        <w:widowControl/>
        <w:spacing w:line="400" w:lineRule="exact"/>
        <w:rPr>
          <w:rFonts w:ascii="微軟正黑體" w:eastAsia="微軟正黑體" w:hAnsi="微軟正黑體"/>
        </w:rPr>
      </w:pPr>
    </w:p>
    <w:p w:rsidR="003C2AC2" w:rsidRDefault="003C2AC2" w:rsidP="003C2AC2">
      <w:pPr>
        <w:widowControl/>
        <w:spacing w:line="400" w:lineRule="exact"/>
        <w:rPr>
          <w:rFonts w:ascii="微軟正黑體" w:eastAsia="微軟正黑體" w:hAnsi="微軟正黑體"/>
        </w:rPr>
      </w:pPr>
    </w:p>
    <w:p w:rsidR="003C2AC2" w:rsidRDefault="003C2AC2" w:rsidP="003C2AC2">
      <w:pPr>
        <w:widowControl/>
        <w:spacing w:line="400" w:lineRule="exact"/>
        <w:rPr>
          <w:rFonts w:ascii="微軟正黑體" w:eastAsia="微軟正黑體" w:hAnsi="微軟正黑體"/>
        </w:rPr>
      </w:pPr>
    </w:p>
    <w:p w:rsidR="003C2AC2" w:rsidRDefault="003C2AC2" w:rsidP="003C2AC2">
      <w:pPr>
        <w:widowControl/>
        <w:spacing w:line="400" w:lineRule="exact"/>
        <w:rPr>
          <w:rFonts w:ascii="微軟正黑體" w:eastAsia="微軟正黑體" w:hAnsi="微軟正黑體"/>
        </w:rPr>
      </w:pPr>
    </w:p>
    <w:p w:rsidR="003C2AC2" w:rsidRPr="00E91417" w:rsidRDefault="003C2AC2" w:rsidP="003C2AC2">
      <w:pPr>
        <w:spacing w:afterLines="25" w:after="90" w:line="400" w:lineRule="exact"/>
        <w:ind w:left="480"/>
        <w:rPr>
          <w:rFonts w:ascii="微軟正黑體" w:eastAsia="微軟正黑體" w:hAnsi="微軟正黑體"/>
        </w:rPr>
      </w:pPr>
      <w:r>
        <w:rPr>
          <w:rFonts w:ascii="新細明體" w:hAnsi="新細明體" w:hint="eastAsia"/>
        </w:rPr>
        <w:lastRenderedPageBreak/>
        <w:t xml:space="preserve">③ </w:t>
      </w:r>
      <w:r w:rsidRPr="00E91417">
        <w:rPr>
          <w:rFonts w:ascii="微軟正黑體" w:eastAsia="微軟正黑體" w:hAnsi="微軟正黑體" w:hint="eastAsia"/>
        </w:rPr>
        <w:t>老年給付平均領取金額</w:t>
      </w:r>
    </w:p>
    <w:p w:rsidR="003C2AC2" w:rsidRPr="0027400B" w:rsidRDefault="003C2AC2" w:rsidP="003C2AC2">
      <w:pPr>
        <w:widowControl/>
        <w:spacing w:beforeLines="30" w:before="108" w:afterLines="25" w:after="90" w:line="400" w:lineRule="exact"/>
        <w:ind w:leftChars="354" w:left="850" w:firstLineChars="258" w:firstLine="619"/>
        <w:jc w:val="both"/>
        <w:rPr>
          <w:rFonts w:ascii="微軟正黑體" w:eastAsia="微軟正黑體" w:hAnsi="微軟正黑體"/>
        </w:rPr>
      </w:pPr>
      <w:r w:rsidRPr="0027400B">
        <w:rPr>
          <w:rFonts w:ascii="微軟正黑體" w:eastAsia="微軟正黑體" w:hAnsi="微軟正黑體" w:hint="eastAsia"/>
        </w:rPr>
        <w:t>109年各社會保險老年年金平均每月領取金額，公教人員保險養老給付為18,041元，勞工保險老年年金為17,65</w:t>
      </w:r>
      <w:r>
        <w:rPr>
          <w:rFonts w:ascii="微軟正黑體" w:eastAsia="微軟正黑體" w:hAnsi="微軟正黑體" w:hint="eastAsia"/>
        </w:rPr>
        <w:t>1</w:t>
      </w:r>
      <w:r w:rsidRPr="0027400B">
        <w:rPr>
          <w:rFonts w:ascii="微軟正黑體" w:eastAsia="微軟正黑體" w:hAnsi="微軟正黑體" w:hint="eastAsia"/>
        </w:rPr>
        <w:t>元。另國民年金保險之老年年金平均領取金額為3,858元。</w:t>
      </w:r>
    </w:p>
    <w:p w:rsidR="003C2AC2" w:rsidRPr="0027400B" w:rsidRDefault="003C2AC2" w:rsidP="003C2AC2">
      <w:pPr>
        <w:widowControl/>
        <w:rPr>
          <w:rFonts w:ascii="微軟正黑體" w:eastAsia="微軟正黑體" w:hAnsi="微軟正黑體"/>
        </w:rPr>
      </w:pPr>
      <w:r w:rsidRPr="0027400B">
        <w:rPr>
          <w:rFonts w:hint="eastAsia"/>
          <w:noProof/>
        </w:rPr>
        <w:drawing>
          <wp:anchor distT="0" distB="0" distL="114300" distR="114300" simplePos="0" relativeHeight="252522496" behindDoc="0" locked="0" layoutInCell="1" allowOverlap="1" wp14:anchorId="03E6830F" wp14:editId="3D3E94DD">
            <wp:simplePos x="0" y="0"/>
            <wp:positionH relativeFrom="column">
              <wp:posOffset>508635</wp:posOffset>
            </wp:positionH>
            <wp:positionV relativeFrom="paragraph">
              <wp:posOffset>52705</wp:posOffset>
            </wp:positionV>
            <wp:extent cx="5126990" cy="1969135"/>
            <wp:effectExtent l="0" t="0" r="16510" b="12065"/>
            <wp:wrapTight wrapText="bothSides">
              <wp:wrapPolygon edited="0">
                <wp:start x="0" y="0"/>
                <wp:lineTo x="0" y="21523"/>
                <wp:lineTo x="21589" y="21523"/>
                <wp:lineTo x="21589" y="0"/>
                <wp:lineTo x="0" y="0"/>
              </wp:wrapPolygon>
            </wp:wrapTight>
            <wp:docPr id="21544" name="圖表 21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3C2AC2" w:rsidRPr="0027400B" w:rsidRDefault="003C2AC2" w:rsidP="003C2AC2">
      <w:pPr>
        <w:widowControl/>
        <w:spacing w:line="400" w:lineRule="exact"/>
        <w:jc w:val="center"/>
        <w:rPr>
          <w:rFonts w:ascii="微軟正黑體" w:eastAsia="微軟正黑體" w:hAnsi="微軟正黑體"/>
        </w:rPr>
      </w:pPr>
    </w:p>
    <w:p w:rsidR="003C2AC2" w:rsidRPr="0027400B" w:rsidRDefault="003C2AC2" w:rsidP="003C2AC2">
      <w:pPr>
        <w:widowControl/>
        <w:spacing w:line="400" w:lineRule="exact"/>
        <w:jc w:val="center"/>
        <w:rPr>
          <w:rFonts w:ascii="微軟正黑體" w:eastAsia="微軟正黑體" w:hAnsi="微軟正黑體"/>
        </w:rPr>
      </w:pPr>
    </w:p>
    <w:p w:rsidR="003C2AC2" w:rsidRPr="0027400B" w:rsidRDefault="003C2AC2" w:rsidP="003C2AC2">
      <w:pPr>
        <w:widowControl/>
        <w:spacing w:line="400" w:lineRule="exact"/>
        <w:jc w:val="center"/>
        <w:rPr>
          <w:rFonts w:ascii="微軟正黑體" w:eastAsia="微軟正黑體" w:hAnsi="微軟正黑體"/>
        </w:rPr>
      </w:pPr>
    </w:p>
    <w:p w:rsidR="003C2AC2" w:rsidRPr="0027400B" w:rsidRDefault="003C2AC2" w:rsidP="003C2AC2">
      <w:pPr>
        <w:widowControl/>
        <w:spacing w:line="400" w:lineRule="exact"/>
        <w:jc w:val="center"/>
        <w:rPr>
          <w:rFonts w:ascii="微軟正黑體" w:eastAsia="微軟正黑體" w:hAnsi="微軟正黑體"/>
        </w:rPr>
      </w:pPr>
    </w:p>
    <w:p w:rsidR="003C2AC2" w:rsidRPr="0027400B" w:rsidRDefault="003C2AC2" w:rsidP="003C2AC2">
      <w:pPr>
        <w:widowControl/>
        <w:spacing w:line="400" w:lineRule="exact"/>
        <w:jc w:val="center"/>
        <w:rPr>
          <w:rFonts w:ascii="微軟正黑體" w:eastAsia="微軟正黑體" w:hAnsi="微軟正黑體"/>
        </w:rPr>
      </w:pPr>
    </w:p>
    <w:p w:rsidR="003C2AC2" w:rsidRPr="0027400B" w:rsidRDefault="003C2AC2" w:rsidP="003C2AC2">
      <w:pPr>
        <w:widowControl/>
        <w:spacing w:beforeLines="50" w:before="180" w:line="400" w:lineRule="exact"/>
        <w:jc w:val="center"/>
        <w:rPr>
          <w:rFonts w:ascii="微軟正黑體" w:eastAsia="微軟正黑體" w:hAnsi="微軟正黑體"/>
        </w:rPr>
      </w:pPr>
      <w:r w:rsidRPr="0027400B">
        <w:rPr>
          <w:rFonts w:ascii="微軟正黑體" w:eastAsia="微軟正黑體" w:hAnsi="微軟正黑體" w:hint="eastAsia"/>
        </w:rPr>
        <w:t xml:space="preserve">            圖1.7  109年各社會保險老年年金平均領取金額</w:t>
      </w:r>
    </w:p>
    <w:p w:rsidR="003C2AC2" w:rsidRPr="0027400B" w:rsidRDefault="003C2AC2" w:rsidP="003C2AC2">
      <w:pPr>
        <w:widowControl/>
        <w:spacing w:line="400" w:lineRule="exact"/>
        <w:rPr>
          <w:rFonts w:ascii="微軟正黑體" w:eastAsia="微軟正黑體" w:hAnsi="微軟正黑體"/>
        </w:rPr>
      </w:pPr>
    </w:p>
    <w:p w:rsidR="003C2AC2" w:rsidRPr="0027400B" w:rsidRDefault="003C2AC2" w:rsidP="003C2AC2">
      <w:pPr>
        <w:widowControl/>
        <w:spacing w:line="400" w:lineRule="exact"/>
        <w:rPr>
          <w:rFonts w:ascii="微軟正黑體" w:eastAsia="微軟正黑體" w:hAnsi="微軟正黑體"/>
        </w:rPr>
      </w:pPr>
    </w:p>
    <w:p w:rsidR="003C2AC2" w:rsidRPr="0027400B" w:rsidRDefault="003C2AC2" w:rsidP="003C2AC2">
      <w:pPr>
        <w:widowControl/>
        <w:spacing w:line="400" w:lineRule="exact"/>
        <w:ind w:leftChars="413" w:left="991" w:firstLineChars="200" w:firstLine="480"/>
        <w:jc w:val="both"/>
        <w:rPr>
          <w:rFonts w:ascii="微軟正黑體" w:eastAsia="微軟正黑體" w:hAnsi="微軟正黑體"/>
        </w:rPr>
      </w:pPr>
      <w:r w:rsidRPr="0027400B">
        <w:rPr>
          <w:rFonts w:ascii="微軟正黑體" w:eastAsia="微軟正黑體" w:hAnsi="微軟正黑體" w:hint="eastAsia"/>
        </w:rPr>
        <w:t>老年給付一次給付部分，公教人員參加公教人員保險，每人平均領取151萬8,007元。勞工保險於98年1月1日施行年金制度後，初次參加勞工保險者不得選擇一次請領老年給付，惟年金制度實施前有保險年資者，仍可選擇一次請領老年給付，該類人員109年度每人平均領取140萬3,673元。</w:t>
      </w:r>
    </w:p>
    <w:p w:rsidR="003C2AC2" w:rsidRPr="0027400B" w:rsidRDefault="003C2AC2" w:rsidP="003C2AC2">
      <w:pPr>
        <w:widowControl/>
        <w:spacing w:beforeLines="30" w:before="108" w:line="400" w:lineRule="exact"/>
        <w:jc w:val="center"/>
        <w:rPr>
          <w:rFonts w:ascii="微軟正黑體" w:eastAsia="微軟正黑體" w:hAnsi="微軟正黑體"/>
        </w:rPr>
      </w:pPr>
      <w:r w:rsidRPr="0027400B">
        <w:rPr>
          <w:rFonts w:hint="eastAsia"/>
          <w:noProof/>
        </w:rPr>
        <w:drawing>
          <wp:anchor distT="0" distB="0" distL="114300" distR="114300" simplePos="0" relativeHeight="252526592" behindDoc="0" locked="0" layoutInCell="1" allowOverlap="1" wp14:anchorId="24E1C7E4" wp14:editId="04BE34FF">
            <wp:simplePos x="0" y="0"/>
            <wp:positionH relativeFrom="column">
              <wp:posOffset>464820</wp:posOffset>
            </wp:positionH>
            <wp:positionV relativeFrom="paragraph">
              <wp:posOffset>142875</wp:posOffset>
            </wp:positionV>
            <wp:extent cx="5169535" cy="1517650"/>
            <wp:effectExtent l="0" t="0" r="12065" b="25400"/>
            <wp:wrapNone/>
            <wp:docPr id="21545" name="圖表 21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3C2AC2" w:rsidRPr="0027400B" w:rsidRDefault="003C2AC2" w:rsidP="003C2AC2">
      <w:pPr>
        <w:widowControl/>
        <w:spacing w:beforeLines="30" w:before="108" w:line="400" w:lineRule="exact"/>
        <w:jc w:val="center"/>
        <w:rPr>
          <w:rFonts w:ascii="微軟正黑體" w:eastAsia="微軟正黑體" w:hAnsi="微軟正黑體"/>
        </w:rPr>
      </w:pPr>
    </w:p>
    <w:p w:rsidR="003C2AC2" w:rsidRDefault="003C2AC2" w:rsidP="003C2AC2">
      <w:pPr>
        <w:widowControl/>
        <w:spacing w:beforeLines="30" w:before="108" w:line="400" w:lineRule="exact"/>
        <w:jc w:val="center"/>
        <w:rPr>
          <w:rFonts w:ascii="微軟正黑體" w:eastAsia="微軟正黑體" w:hAnsi="微軟正黑體"/>
        </w:rPr>
      </w:pPr>
    </w:p>
    <w:p w:rsidR="003C2AC2" w:rsidRDefault="003C2AC2" w:rsidP="003C2AC2">
      <w:pPr>
        <w:widowControl/>
        <w:spacing w:beforeLines="30" w:before="108" w:line="400" w:lineRule="exact"/>
        <w:jc w:val="center"/>
        <w:rPr>
          <w:rFonts w:ascii="微軟正黑體" w:eastAsia="微軟正黑體" w:hAnsi="微軟正黑體"/>
        </w:rPr>
      </w:pPr>
    </w:p>
    <w:p w:rsidR="003C2AC2" w:rsidRDefault="003C2AC2" w:rsidP="003C2AC2">
      <w:pPr>
        <w:widowControl/>
        <w:spacing w:beforeLines="30" w:before="108" w:line="400" w:lineRule="exact"/>
        <w:jc w:val="center"/>
        <w:rPr>
          <w:rFonts w:ascii="微軟正黑體" w:eastAsia="微軟正黑體" w:hAnsi="微軟正黑體"/>
        </w:rPr>
      </w:pPr>
    </w:p>
    <w:p w:rsidR="003C2AC2" w:rsidRPr="0027400B" w:rsidRDefault="003C2AC2" w:rsidP="003C2AC2">
      <w:pPr>
        <w:widowControl/>
        <w:spacing w:beforeLines="50" w:before="180" w:line="400" w:lineRule="exact"/>
        <w:jc w:val="center"/>
        <w:rPr>
          <w:rFonts w:ascii="微軟正黑體" w:eastAsia="微軟正黑體" w:hAnsi="微軟正黑體"/>
        </w:rPr>
      </w:pPr>
      <w:r w:rsidRPr="0027400B">
        <w:rPr>
          <w:rFonts w:ascii="微軟正黑體" w:eastAsia="微軟正黑體" w:hAnsi="微軟正黑體" w:hint="eastAsia"/>
        </w:rPr>
        <w:t>圖1.8  109年各社會保險老年一次給付平均領取金額</w:t>
      </w:r>
    </w:p>
    <w:p w:rsidR="003C2AC2" w:rsidRPr="0038767E" w:rsidRDefault="003C2AC2" w:rsidP="003C2AC2">
      <w:pPr>
        <w:tabs>
          <w:tab w:val="left" w:pos="993"/>
        </w:tabs>
        <w:snapToGrid w:val="0"/>
        <w:spacing w:afterLines="25" w:after="90" w:line="400" w:lineRule="exact"/>
        <w:ind w:firstLineChars="100" w:firstLine="240"/>
        <w:rPr>
          <w:rFonts w:ascii="微軟正黑體" w:eastAsia="微軟正黑體" w:hAnsi="微軟正黑體"/>
          <w:bCs/>
        </w:rPr>
      </w:pPr>
      <w:r w:rsidRPr="00395CBA">
        <w:rPr>
          <w:rFonts w:ascii="微軟正黑體" w:eastAsia="微軟正黑體" w:hAnsi="微軟正黑體" w:cs="Times New Roman" w:hint="eastAsia"/>
          <w:kern w:val="0"/>
        </w:rPr>
        <w:br w:type="page"/>
      </w:r>
      <w:r>
        <w:rPr>
          <w:rFonts w:ascii="微軟正黑體" w:eastAsia="微軟正黑體" w:hAnsi="微軟正黑體" w:cs="Times New Roman" w:hint="eastAsia"/>
          <w:kern w:val="0"/>
        </w:rPr>
        <w:lastRenderedPageBreak/>
        <w:t xml:space="preserve">3. </w:t>
      </w:r>
      <w:r w:rsidRPr="00395CBA">
        <w:rPr>
          <w:rFonts w:ascii="微軟正黑體" w:eastAsia="微軟正黑體" w:hAnsi="微軟正黑體" w:hint="eastAsia"/>
          <w:bCs/>
        </w:rPr>
        <w:t>財</w:t>
      </w:r>
      <w:r w:rsidRPr="0038767E">
        <w:rPr>
          <w:rFonts w:ascii="微軟正黑體" w:eastAsia="微軟正黑體" w:hAnsi="微軟正黑體" w:hint="eastAsia"/>
          <w:bCs/>
        </w:rPr>
        <w:t>務概況</w:t>
      </w:r>
    </w:p>
    <w:p w:rsidR="003C2AC2" w:rsidRPr="0027400B" w:rsidRDefault="003C2AC2" w:rsidP="003C2AC2">
      <w:pPr>
        <w:adjustRightInd w:val="0"/>
        <w:spacing w:beforeLines="30" w:before="108" w:afterLines="25" w:after="90" w:line="400" w:lineRule="exact"/>
        <w:ind w:firstLineChars="100" w:firstLine="240"/>
        <w:textAlignment w:val="baseline"/>
        <w:rPr>
          <w:rFonts w:ascii="微軟正黑體" w:eastAsia="微軟正黑體" w:hAnsi="微軟正黑體"/>
          <w:kern w:val="0"/>
        </w:rPr>
      </w:pPr>
      <w:r w:rsidRPr="0038767E">
        <w:rPr>
          <w:rFonts w:ascii="微軟正黑體" w:eastAsia="微軟正黑體" w:hAnsi="微軟正黑體" w:hint="eastAsia"/>
          <w:kern w:val="0"/>
        </w:rPr>
        <w:t>(1) 基金運用規</w:t>
      </w:r>
      <w:r w:rsidRPr="0027400B">
        <w:rPr>
          <w:rFonts w:ascii="微軟正黑體" w:eastAsia="微軟正黑體" w:hAnsi="微軟正黑體" w:hint="eastAsia"/>
          <w:kern w:val="0"/>
        </w:rPr>
        <w:t>模</w:t>
      </w:r>
    </w:p>
    <w:p w:rsidR="003C2AC2" w:rsidRPr="008A4D4C"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r w:rsidRPr="0027400B">
        <w:rPr>
          <w:rFonts w:hint="eastAsia"/>
          <w:noProof/>
        </w:rPr>
        <w:drawing>
          <wp:anchor distT="0" distB="0" distL="114300" distR="114300" simplePos="0" relativeHeight="252512256" behindDoc="0" locked="0" layoutInCell="1" allowOverlap="1" wp14:anchorId="1003D2D6" wp14:editId="7DBC180E">
            <wp:simplePos x="0" y="0"/>
            <wp:positionH relativeFrom="column">
              <wp:posOffset>-341630</wp:posOffset>
            </wp:positionH>
            <wp:positionV relativeFrom="paragraph">
              <wp:posOffset>1626235</wp:posOffset>
            </wp:positionV>
            <wp:extent cx="6431280" cy="3950335"/>
            <wp:effectExtent l="0" t="0" r="26670" b="12065"/>
            <wp:wrapNone/>
            <wp:docPr id="21546" name="圖表 21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27400B">
        <w:rPr>
          <w:rFonts w:ascii="微軟正黑體" w:eastAsia="微軟正黑體" w:hAnsi="微軟正黑體" w:hint="eastAsia"/>
        </w:rPr>
        <w:t>目前各社會保險財務處理模式均採部分提存準備方式，至109年底為止，除農保因具有高度福利性質，自開辦起即處於虧損外，其他保險基金規模多呈現逐年增長趨勢，</w:t>
      </w:r>
      <w:r w:rsidRPr="00020845">
        <w:rPr>
          <w:rFonts w:ascii="微軟正黑體" w:eastAsia="微軟正黑體" w:hAnsi="微軟正黑體" w:hint="eastAsia"/>
        </w:rPr>
        <w:t>勞工保險基金(普通事故)規模7,624.9億元</w:t>
      </w:r>
      <w:r w:rsidRPr="0038767E">
        <w:rPr>
          <w:rFonts w:ascii="微軟正黑體" w:eastAsia="微軟正黑體" w:hAnsi="微軟正黑體" w:hint="eastAsia"/>
        </w:rPr>
        <w:t>，較108年增加約437.3</w:t>
      </w:r>
      <w:r w:rsidRPr="0027400B">
        <w:rPr>
          <w:rFonts w:ascii="微軟正黑體" w:eastAsia="微軟正黑體" w:hAnsi="微軟正黑體" w:hint="eastAsia"/>
        </w:rPr>
        <w:t>億元；公教人員保險3,257.5億元，較108年擴增約177.9億元；國民年金保險4,177.6億元，較108年擴增約485.1億元。109年底3項</w:t>
      </w:r>
      <w:r w:rsidR="008E4F22" w:rsidRPr="008A4D4C">
        <w:rPr>
          <w:rFonts w:ascii="微軟正黑體" w:eastAsia="微軟正黑體" w:hAnsi="微軟正黑體" w:hint="eastAsia"/>
        </w:rPr>
        <w:t>社會</w:t>
      </w:r>
      <w:r w:rsidRPr="008A4D4C">
        <w:rPr>
          <w:rFonts w:ascii="微軟正黑體" w:eastAsia="微軟正黑體" w:hAnsi="微軟正黑體" w:hint="eastAsia"/>
        </w:rPr>
        <w:t>保險基金</w:t>
      </w:r>
      <w:r w:rsidR="008E4F22" w:rsidRPr="008A4D4C">
        <w:rPr>
          <w:rFonts w:ascii="微軟正黑體" w:eastAsia="微軟正黑體" w:hAnsi="微軟正黑體" w:hint="eastAsia"/>
        </w:rPr>
        <w:t>運用規模</w:t>
      </w:r>
      <w:r w:rsidRPr="008A4D4C">
        <w:rPr>
          <w:rFonts w:ascii="微軟正黑體" w:eastAsia="微軟正黑體" w:hAnsi="微軟正黑體" w:hint="eastAsia"/>
        </w:rPr>
        <w:t>總額達1兆5,060.0億元。</w:t>
      </w: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Pr="0027400B" w:rsidRDefault="003C2AC2" w:rsidP="003C2AC2">
      <w:pPr>
        <w:widowControl/>
        <w:spacing w:beforeLines="30" w:before="108" w:afterLines="25" w:after="90" w:line="400" w:lineRule="exact"/>
        <w:ind w:leftChars="295" w:left="708" w:firstLineChars="200" w:firstLine="480"/>
        <w:jc w:val="both"/>
        <w:rPr>
          <w:rFonts w:ascii="微軟正黑體" w:eastAsia="微軟正黑體" w:hAnsi="微軟正黑體"/>
        </w:rPr>
      </w:pPr>
    </w:p>
    <w:p w:rsidR="003C2AC2" w:rsidRPr="0038767E" w:rsidRDefault="003C2AC2" w:rsidP="003C2AC2">
      <w:pPr>
        <w:widowControl/>
        <w:spacing w:beforeLines="50" w:before="180" w:line="400" w:lineRule="exact"/>
        <w:rPr>
          <w:rFonts w:ascii="微軟正黑體" w:eastAsia="微軟正黑體" w:hAnsi="微軟正黑體"/>
          <w:sz w:val="20"/>
          <w:szCs w:val="20"/>
        </w:rPr>
      </w:pPr>
      <w:r w:rsidRPr="0038767E">
        <w:rPr>
          <w:rFonts w:ascii="微軟正黑體" w:eastAsia="微軟正黑體" w:hAnsi="微軟正黑體" w:hint="eastAsia"/>
          <w:sz w:val="20"/>
          <w:szCs w:val="20"/>
        </w:rPr>
        <w:t>註：本項統計為基金運用規模，非資產總計。</w:t>
      </w:r>
    </w:p>
    <w:p w:rsidR="003C2AC2" w:rsidRPr="0038767E" w:rsidRDefault="003C2AC2" w:rsidP="003C2AC2">
      <w:pPr>
        <w:widowControl/>
        <w:spacing w:beforeLines="30" w:before="108" w:line="400" w:lineRule="exact"/>
        <w:jc w:val="center"/>
        <w:rPr>
          <w:rFonts w:ascii="微軟正黑體" w:eastAsia="微軟正黑體" w:hAnsi="微軟正黑體"/>
        </w:rPr>
      </w:pPr>
      <w:r w:rsidRPr="0038767E">
        <w:rPr>
          <w:rFonts w:ascii="微軟正黑體" w:eastAsia="微軟正黑體" w:hAnsi="微軟正黑體" w:hint="eastAsia"/>
        </w:rPr>
        <w:t>圖1.9  近10年各社會保險基金運用規模</w:t>
      </w:r>
    </w:p>
    <w:p w:rsidR="003C2AC2" w:rsidRPr="0027400B" w:rsidRDefault="003C2AC2" w:rsidP="003C2AC2">
      <w:pPr>
        <w:widowControl/>
        <w:spacing w:line="400" w:lineRule="exact"/>
        <w:rPr>
          <w:rFonts w:ascii="微軟正黑體" w:eastAsia="微軟正黑體" w:hAnsi="微軟正黑體"/>
        </w:rPr>
      </w:pPr>
    </w:p>
    <w:p w:rsidR="003C2AC2" w:rsidRPr="0027400B" w:rsidRDefault="003C2AC2" w:rsidP="003C2AC2">
      <w:pPr>
        <w:adjustRightInd w:val="0"/>
        <w:spacing w:beforeLines="30" w:before="108" w:afterLines="25" w:after="90" w:line="400" w:lineRule="exact"/>
        <w:ind w:firstLineChars="100" w:firstLine="240"/>
        <w:textAlignment w:val="baseline"/>
        <w:rPr>
          <w:rFonts w:ascii="微軟正黑體" w:eastAsia="微軟正黑體" w:hAnsi="微軟正黑體"/>
          <w:kern w:val="0"/>
        </w:rPr>
      </w:pPr>
      <w:r w:rsidRPr="0027400B">
        <w:rPr>
          <w:rFonts w:ascii="微軟正黑體" w:eastAsia="微軟正黑體" w:hAnsi="微軟正黑體" w:hint="eastAsia"/>
          <w:kern w:val="0"/>
        </w:rPr>
        <w:t>(2) 基金運用效益</w:t>
      </w:r>
    </w:p>
    <w:p w:rsidR="003C2AC2" w:rsidRDefault="003C2AC2" w:rsidP="003C2AC2">
      <w:pPr>
        <w:adjustRightInd w:val="0"/>
        <w:spacing w:beforeLines="30" w:before="108" w:afterLines="25" w:after="90" w:line="400" w:lineRule="exact"/>
        <w:ind w:leftChars="295" w:left="708" w:firstLineChars="200" w:firstLine="480"/>
        <w:jc w:val="both"/>
        <w:textAlignment w:val="baseline"/>
        <w:rPr>
          <w:rFonts w:ascii="微軟正黑體" w:eastAsia="微軟正黑體" w:hAnsi="微軟正黑體"/>
        </w:rPr>
      </w:pPr>
      <w:r w:rsidRPr="0027400B">
        <w:rPr>
          <w:rFonts w:ascii="微軟正黑體" w:eastAsia="微軟正黑體" w:hAnsi="微軟正黑體" w:hint="eastAsia"/>
        </w:rPr>
        <w:t>就各社會保險基金近10年運用效益來比較，各基金間差異不大，且主要受到國際經濟情勢影響，包括100年歐債危機、104年全球經濟復甦不如預期、107年全球經濟放緩及中美貿易衝突等因素影響，使得當年度之基金投資收益大幅滑落。109年各基金運用收益良好，其中公教人員保險基金</w:t>
      </w:r>
      <w:r w:rsidRPr="00995D66">
        <w:rPr>
          <w:rFonts w:ascii="微軟正黑體" w:eastAsia="微軟正黑體" w:hAnsi="微軟正黑體" w:hint="eastAsia"/>
        </w:rPr>
        <w:t>名目收益率(加計未實現損益後之年化收益率)</w:t>
      </w:r>
      <w:r w:rsidRPr="0027400B">
        <w:rPr>
          <w:rFonts w:ascii="微軟正黑體" w:eastAsia="微軟正黑體" w:hAnsi="微軟正黑體" w:hint="eastAsia"/>
        </w:rPr>
        <w:t>更達到15.3%。</w:t>
      </w:r>
    </w:p>
    <w:p w:rsidR="003C2AC2" w:rsidRPr="0027400B" w:rsidRDefault="003C2AC2" w:rsidP="003C2AC2">
      <w:pPr>
        <w:adjustRightInd w:val="0"/>
        <w:spacing w:beforeLines="30" w:before="108" w:afterLines="25" w:after="90" w:line="400" w:lineRule="exact"/>
        <w:ind w:leftChars="295" w:left="708" w:firstLineChars="200" w:firstLine="480"/>
        <w:jc w:val="both"/>
        <w:textAlignment w:val="baseline"/>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r>
        <w:rPr>
          <w:rFonts w:hint="eastAsia"/>
          <w:noProof/>
        </w:rPr>
        <w:drawing>
          <wp:anchor distT="0" distB="0" distL="114300" distR="114300" simplePos="0" relativeHeight="252509184" behindDoc="0" locked="0" layoutInCell="1" allowOverlap="1" wp14:anchorId="33F3D9C2" wp14:editId="2CF5A6F1">
            <wp:simplePos x="0" y="0"/>
            <wp:positionH relativeFrom="column">
              <wp:posOffset>109855</wp:posOffset>
            </wp:positionH>
            <wp:positionV relativeFrom="paragraph">
              <wp:posOffset>-8890</wp:posOffset>
            </wp:positionV>
            <wp:extent cx="5498465" cy="2761615"/>
            <wp:effectExtent l="0" t="0" r="26035" b="19685"/>
            <wp:wrapNone/>
            <wp:docPr id="21547" name="圖表 21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Pr="0027400B" w:rsidRDefault="003C2AC2" w:rsidP="003C2AC2">
      <w:pPr>
        <w:widowControl/>
        <w:spacing w:line="400" w:lineRule="exact"/>
        <w:jc w:val="center"/>
        <w:rPr>
          <w:rFonts w:ascii="微軟正黑體" w:eastAsia="微軟正黑體" w:hAnsi="微軟正黑體"/>
        </w:rPr>
      </w:pPr>
      <w:r w:rsidRPr="0027400B">
        <w:rPr>
          <w:rFonts w:ascii="微軟正黑體" w:eastAsia="微軟正黑體" w:hAnsi="微軟正黑體" w:hint="eastAsia"/>
        </w:rPr>
        <w:t>圖1.10  近10年各社會保險基金運用收益</w:t>
      </w:r>
    </w:p>
    <w:p w:rsidR="003C2AC2" w:rsidRPr="0027400B" w:rsidRDefault="003C2AC2" w:rsidP="003C2AC2">
      <w:pPr>
        <w:widowControl/>
        <w:spacing w:line="400" w:lineRule="exact"/>
        <w:jc w:val="center"/>
        <w:rPr>
          <w:rFonts w:ascii="微軟正黑體" w:eastAsia="微軟正黑體" w:hAnsi="微軟正黑體"/>
        </w:rPr>
      </w:pPr>
    </w:p>
    <w:p w:rsidR="003C2AC2" w:rsidRPr="0027400B" w:rsidRDefault="003C2AC2" w:rsidP="003C2AC2">
      <w:pPr>
        <w:widowControl/>
        <w:rPr>
          <w:rFonts w:ascii="微軟正黑體" w:eastAsia="微軟正黑體" w:hAnsi="微軟正黑體"/>
          <w:b/>
        </w:rPr>
      </w:pPr>
      <w:r w:rsidRPr="0027400B">
        <w:rPr>
          <w:rFonts w:ascii="微軟正黑體" w:eastAsia="微軟正黑體" w:hAnsi="微軟正黑體" w:hint="eastAsia"/>
          <w:bCs/>
        </w:rPr>
        <w:t xml:space="preserve">(二) </w:t>
      </w:r>
      <w:r w:rsidRPr="0027400B">
        <w:rPr>
          <w:rFonts w:ascii="微軟正黑體" w:eastAsia="微軟正黑體" w:hAnsi="微軟正黑體" w:hint="eastAsia"/>
        </w:rPr>
        <w:t>職業別退休金</w:t>
      </w:r>
    </w:p>
    <w:p w:rsidR="003C2AC2" w:rsidRPr="0027400B" w:rsidRDefault="003C2AC2" w:rsidP="003C2AC2">
      <w:pPr>
        <w:widowControl/>
        <w:spacing w:line="400" w:lineRule="exact"/>
        <w:ind w:firstLineChars="100" w:firstLine="240"/>
        <w:rPr>
          <w:rFonts w:ascii="微軟正黑體" w:eastAsia="微軟正黑體" w:hAnsi="微軟正黑體"/>
        </w:rPr>
      </w:pPr>
      <w:r w:rsidRPr="0027400B">
        <w:rPr>
          <w:rFonts w:ascii="微軟正黑體" w:eastAsia="微軟正黑體" w:hAnsi="微軟正黑體" w:hint="eastAsia"/>
        </w:rPr>
        <w:t>1. 參加人數</w:t>
      </w:r>
    </w:p>
    <w:p w:rsidR="003C2AC2" w:rsidRPr="0038767E" w:rsidRDefault="003C2AC2" w:rsidP="003C2AC2">
      <w:pPr>
        <w:widowControl/>
        <w:spacing w:beforeLines="30" w:before="108" w:afterLines="25" w:after="90" w:line="400" w:lineRule="exact"/>
        <w:ind w:leftChars="236" w:left="566"/>
        <w:jc w:val="both"/>
        <w:rPr>
          <w:rFonts w:ascii="微軟正黑體" w:eastAsia="微軟正黑體" w:hAnsi="微軟正黑體"/>
        </w:rPr>
      </w:pPr>
      <w:r w:rsidRPr="0027400B">
        <w:rPr>
          <w:rFonts w:ascii="微軟正黑體" w:eastAsia="微軟正黑體" w:hAnsi="微軟正黑體" w:hint="eastAsia"/>
        </w:rPr>
        <w:t xml:space="preserve">    在職業別退休金中，除軍公教退撫制度、勞工退休金舊制及私立學校教職員退撫舊制仍屬確定給付制外，94年實施的勞工退休金新制與99年實施的私校教職員退撫儲金新制，均為確定提撥(個人帳戶)制。各</w:t>
      </w:r>
      <w:r w:rsidR="00362123" w:rsidRPr="008A4D4C">
        <w:rPr>
          <w:rFonts w:ascii="微軟正黑體" w:eastAsia="微軟正黑體" w:hAnsi="微軟正黑體" w:hint="eastAsia"/>
        </w:rPr>
        <w:t>退休金</w:t>
      </w:r>
      <w:r w:rsidRPr="0027400B">
        <w:rPr>
          <w:rFonts w:ascii="微軟正黑體" w:eastAsia="微軟正黑體" w:hAnsi="微軟正黑體" w:hint="eastAsia"/>
        </w:rPr>
        <w:t>制度參與人數以勞工退休金新制最多，近10年來參加人數逐年增加，從100年的548.3萬人增至109年的708.4</w:t>
      </w:r>
      <w:r w:rsidRPr="0038767E">
        <w:rPr>
          <w:rFonts w:ascii="微軟正黑體" w:eastAsia="微軟正黑體" w:hAnsi="微軟正黑體" w:hint="eastAsia"/>
        </w:rPr>
        <w:t>萬人；軍公教退撫制度參加人數變動不大，109年為67.2萬人，私校教職員退撫儲金新制受近年部分私校退場影響，參加人數已從100年的6.3萬人降為109年的5.0萬人。</w:t>
      </w:r>
    </w:p>
    <w:p w:rsidR="003C2AC2" w:rsidRDefault="003C2AC2" w:rsidP="003C2AC2">
      <w:pPr>
        <w:widowControl/>
        <w:spacing w:line="400" w:lineRule="exact"/>
        <w:rPr>
          <w:rFonts w:ascii="微軟正黑體" w:eastAsia="微軟正黑體" w:hAnsi="微軟正黑體"/>
        </w:rPr>
      </w:pPr>
      <w:r>
        <w:rPr>
          <w:noProof/>
        </w:rPr>
        <w:drawing>
          <wp:anchor distT="0" distB="0" distL="114300" distR="114300" simplePos="0" relativeHeight="252541952" behindDoc="0" locked="0" layoutInCell="1" allowOverlap="1" wp14:anchorId="67123F9E" wp14:editId="421F88F5">
            <wp:simplePos x="0" y="0"/>
            <wp:positionH relativeFrom="column">
              <wp:posOffset>187152</wp:posOffset>
            </wp:positionH>
            <wp:positionV relativeFrom="paragraph">
              <wp:posOffset>15471</wp:posOffset>
            </wp:positionV>
            <wp:extent cx="5486400" cy="2604654"/>
            <wp:effectExtent l="0" t="0" r="19050" b="24765"/>
            <wp:wrapNone/>
            <wp:docPr id="21548" name="圖表 21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3C2AC2" w:rsidRPr="006F0DB2" w:rsidRDefault="003C2AC2" w:rsidP="003C2AC2">
      <w:pPr>
        <w:widowControl/>
        <w:spacing w:line="400" w:lineRule="exact"/>
        <w:rPr>
          <w:rFonts w:ascii="微軟正黑體" w:eastAsia="微軟正黑體" w:hAnsi="微軟正黑體"/>
        </w:rPr>
      </w:pPr>
    </w:p>
    <w:p w:rsidR="003C2AC2" w:rsidRPr="006F0DB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beforeLines="50" w:before="180" w:line="400" w:lineRule="exact"/>
        <w:jc w:val="center"/>
        <w:rPr>
          <w:rFonts w:ascii="微軟正黑體" w:eastAsia="微軟正黑體" w:hAnsi="微軟正黑體"/>
        </w:rPr>
      </w:pPr>
      <w:r>
        <w:rPr>
          <w:rFonts w:ascii="微軟正黑體" w:eastAsia="微軟正黑體" w:hAnsi="微軟正黑體" w:hint="eastAsia"/>
        </w:rPr>
        <w:t>圖1.11  近10年各退休金制度參加人數</w:t>
      </w:r>
    </w:p>
    <w:p w:rsidR="003C2AC2" w:rsidRPr="00395CBA" w:rsidRDefault="003C2AC2" w:rsidP="003C2AC2">
      <w:pPr>
        <w:pStyle w:val="af0"/>
        <w:widowControl/>
        <w:numPr>
          <w:ilvl w:val="0"/>
          <w:numId w:val="10"/>
        </w:numPr>
        <w:spacing w:line="400" w:lineRule="exact"/>
        <w:ind w:leftChars="0"/>
        <w:rPr>
          <w:rFonts w:ascii="微軟正黑體" w:eastAsia="微軟正黑體" w:hAnsi="微軟正黑體"/>
        </w:rPr>
      </w:pPr>
      <w:r w:rsidRPr="00395CBA">
        <w:rPr>
          <w:rFonts w:ascii="微軟正黑體" w:eastAsia="微軟正黑體" w:hAnsi="微軟正黑體" w:hint="eastAsia"/>
        </w:rPr>
        <w:lastRenderedPageBreak/>
        <w:t>請領退休金概況</w:t>
      </w:r>
    </w:p>
    <w:p w:rsidR="003C2AC2" w:rsidRPr="00395CBA" w:rsidRDefault="003C2AC2" w:rsidP="003C2AC2">
      <w:pPr>
        <w:adjustRightInd w:val="0"/>
        <w:spacing w:beforeLines="30" w:before="108" w:line="400" w:lineRule="exact"/>
        <w:ind w:firstLineChars="100" w:firstLine="240"/>
        <w:textAlignment w:val="baseline"/>
        <w:rPr>
          <w:rFonts w:ascii="微軟正黑體" w:eastAsia="微軟正黑體" w:hAnsi="微軟正黑體"/>
        </w:rPr>
      </w:pPr>
      <w:r>
        <w:rPr>
          <w:rFonts w:ascii="微軟正黑體" w:eastAsia="微軟正黑體" w:hAnsi="微軟正黑體" w:hint="eastAsia"/>
        </w:rPr>
        <w:t xml:space="preserve">(1) </w:t>
      </w:r>
      <w:r w:rsidRPr="00395CBA">
        <w:rPr>
          <w:rFonts w:ascii="微軟正黑體" w:eastAsia="微軟正黑體" w:hAnsi="微軟正黑體" w:hint="eastAsia"/>
        </w:rPr>
        <w:t>退休金給付總額</w:t>
      </w:r>
    </w:p>
    <w:p w:rsidR="003C2AC2" w:rsidRPr="0027400B" w:rsidRDefault="003C2AC2" w:rsidP="003C2AC2">
      <w:pPr>
        <w:widowControl/>
        <w:spacing w:beforeLines="30" w:before="108" w:line="400" w:lineRule="exact"/>
        <w:ind w:leftChars="295" w:left="708" w:firstLineChars="200" w:firstLine="480"/>
        <w:jc w:val="both"/>
        <w:rPr>
          <w:rFonts w:ascii="微軟正黑體" w:eastAsia="微軟正黑體" w:hAnsi="微軟正黑體"/>
        </w:rPr>
      </w:pPr>
      <w:r w:rsidRPr="0027400B">
        <w:rPr>
          <w:rFonts w:ascii="微軟正黑體" w:eastAsia="微軟正黑體" w:hAnsi="微軟正黑體" w:hint="eastAsia"/>
        </w:rPr>
        <w:t>近年來各退休金</w:t>
      </w:r>
      <w:r w:rsidR="00362123" w:rsidRPr="008A4D4C">
        <w:rPr>
          <w:rFonts w:ascii="微軟正黑體" w:eastAsia="微軟正黑體" w:hAnsi="微軟正黑體" w:hint="eastAsia"/>
        </w:rPr>
        <w:t>制度</w:t>
      </w:r>
      <w:r w:rsidRPr="008A4D4C">
        <w:rPr>
          <w:rFonts w:ascii="微軟正黑體" w:eastAsia="微軟正黑體" w:hAnsi="微軟正黑體" w:hint="eastAsia"/>
        </w:rPr>
        <w:t>給付金額均呈現逐年成長趨勢，100年</w:t>
      </w:r>
      <w:r w:rsidR="000A1BAF" w:rsidRPr="008A4D4C">
        <w:rPr>
          <w:rFonts w:ascii="微軟正黑體" w:eastAsia="微軟正黑體" w:hAnsi="微軟正黑體" w:hint="eastAsia"/>
        </w:rPr>
        <w:t>退休金</w:t>
      </w:r>
      <w:r w:rsidRPr="008A4D4C">
        <w:rPr>
          <w:rFonts w:ascii="微軟正黑體" w:eastAsia="微軟正黑體" w:hAnsi="微軟正黑體" w:hint="eastAsia"/>
        </w:rPr>
        <w:t>給付</w:t>
      </w:r>
      <w:r w:rsidR="00606598" w:rsidRPr="008A4D4C">
        <w:rPr>
          <w:rFonts w:ascii="微軟正黑體" w:eastAsia="微軟正黑體" w:hAnsi="微軟正黑體" w:hint="eastAsia"/>
        </w:rPr>
        <w:t>總額</w:t>
      </w:r>
      <w:r w:rsidRPr="0027400B">
        <w:rPr>
          <w:rFonts w:ascii="微軟正黑體" w:eastAsia="微軟正黑體" w:hAnsi="微軟正黑體" w:hint="eastAsia"/>
        </w:rPr>
        <w:t>755.5億元，至109年達2,102.8億元，其中</w:t>
      </w:r>
      <w:r w:rsidRPr="00180C5F">
        <w:rPr>
          <w:rFonts w:ascii="微軟正黑體" w:eastAsia="微軟正黑體" w:hAnsi="微軟正黑體" w:hint="eastAsia"/>
        </w:rPr>
        <w:t>軍公教退撫新制給付917.1億元</w:t>
      </w:r>
      <w:r w:rsidRPr="0027400B">
        <w:rPr>
          <w:rFonts w:ascii="微軟正黑體" w:eastAsia="微軟正黑體" w:hAnsi="微軟正黑體" w:hint="eastAsia"/>
        </w:rPr>
        <w:t>、勞工退休金舊制及新制分別給付838.0億元、275.3億元，及私立學校教職員退撫舊制及新制分別給付41.3億元、31.1億元。</w:t>
      </w:r>
    </w:p>
    <w:p w:rsidR="003C2AC2" w:rsidRPr="00404CF9" w:rsidRDefault="003C2AC2" w:rsidP="003C2AC2">
      <w:pPr>
        <w:widowControl/>
        <w:spacing w:beforeLines="30" w:before="108" w:line="400" w:lineRule="exact"/>
        <w:ind w:leftChars="295" w:left="708" w:firstLineChars="200" w:firstLine="480"/>
        <w:jc w:val="both"/>
        <w:rPr>
          <w:rFonts w:ascii="微軟正黑體" w:eastAsia="微軟正黑體" w:hAnsi="微軟正黑體"/>
          <w:strike/>
        </w:rPr>
      </w:pPr>
      <w:r>
        <w:rPr>
          <w:rFonts w:ascii="微軟正黑體" w:eastAsia="微軟正黑體" w:hAnsi="微軟正黑體" w:hint="eastAsia"/>
        </w:rPr>
        <w:t>軍公教退撫制度另有舊制年資之退休給付，係由政府每年編列預算給與，非</w:t>
      </w:r>
      <w:r w:rsidRPr="00404CF9">
        <w:rPr>
          <w:rFonts w:ascii="微軟正黑體" w:eastAsia="微軟正黑體" w:hAnsi="微軟正黑體" w:hint="eastAsia"/>
        </w:rPr>
        <w:t>屬退撫基金支出。</w:t>
      </w:r>
    </w:p>
    <w:p w:rsidR="003C2AC2" w:rsidRDefault="003C2AC2" w:rsidP="003C2AC2">
      <w:pPr>
        <w:spacing w:line="280" w:lineRule="exact"/>
        <w:ind w:leftChars="128" w:left="787" w:hangingChars="200" w:hanging="480"/>
        <w:rPr>
          <w:rFonts w:ascii="微軟正黑體" w:eastAsia="微軟正黑體" w:hAnsi="微軟正黑體"/>
          <w:color w:val="C00000"/>
          <w:sz w:val="20"/>
          <w:szCs w:val="20"/>
        </w:rPr>
      </w:pPr>
      <w:r w:rsidRPr="00404CF9">
        <w:rPr>
          <w:rFonts w:hint="eastAsia"/>
          <w:noProof/>
        </w:rPr>
        <w:drawing>
          <wp:anchor distT="0" distB="0" distL="114300" distR="114300" simplePos="0" relativeHeight="252514304" behindDoc="0" locked="0" layoutInCell="1" allowOverlap="1" wp14:anchorId="4ED602CF" wp14:editId="033696F2">
            <wp:simplePos x="0" y="0"/>
            <wp:positionH relativeFrom="column">
              <wp:posOffset>54899</wp:posOffset>
            </wp:positionH>
            <wp:positionV relativeFrom="paragraph">
              <wp:posOffset>49992</wp:posOffset>
            </wp:positionV>
            <wp:extent cx="5741035" cy="5262880"/>
            <wp:effectExtent l="0" t="0" r="12065" b="13970"/>
            <wp:wrapNone/>
            <wp:docPr id="21549" name="圖表 21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Default="003C2AC2" w:rsidP="003C2AC2">
      <w:pPr>
        <w:spacing w:line="280" w:lineRule="exact"/>
        <w:ind w:leftChars="128" w:left="707" w:hangingChars="200" w:hanging="400"/>
        <w:rPr>
          <w:rFonts w:ascii="微軟正黑體" w:eastAsia="微軟正黑體" w:hAnsi="微軟正黑體"/>
          <w:color w:val="C00000"/>
          <w:sz w:val="20"/>
          <w:szCs w:val="20"/>
        </w:rPr>
      </w:pPr>
    </w:p>
    <w:p w:rsidR="003C2AC2" w:rsidRPr="000E0773" w:rsidRDefault="003C2AC2" w:rsidP="00D708E5">
      <w:pPr>
        <w:spacing w:line="280" w:lineRule="exact"/>
        <w:ind w:leftChars="128" w:left="707" w:hangingChars="200" w:hanging="400"/>
        <w:rPr>
          <w:rFonts w:ascii="微軟正黑體" w:eastAsia="微軟正黑體" w:hAnsi="微軟正黑體"/>
          <w:sz w:val="20"/>
        </w:rPr>
      </w:pPr>
      <w:r>
        <w:rPr>
          <w:rFonts w:ascii="微軟正黑體" w:eastAsia="微軟正黑體" w:hAnsi="微軟正黑體" w:hint="eastAsia"/>
          <w:sz w:val="20"/>
        </w:rPr>
        <w:t>註：</w:t>
      </w:r>
      <w:r w:rsidRPr="0038767E">
        <w:rPr>
          <w:rFonts w:ascii="微軟正黑體" w:eastAsia="微軟正黑體" w:hAnsi="微軟正黑體" w:hint="eastAsia"/>
          <w:sz w:val="20"/>
        </w:rPr>
        <w:t>軍公教退撫(新制)</w:t>
      </w:r>
      <w:r>
        <w:rPr>
          <w:rFonts w:ascii="微軟正黑體" w:eastAsia="微軟正黑體" w:hAnsi="微軟正黑體" w:hint="eastAsia"/>
          <w:sz w:val="20"/>
        </w:rPr>
        <w:t>之退休金給付總額</w:t>
      </w:r>
      <w:r w:rsidRPr="0038767E">
        <w:rPr>
          <w:rFonts w:ascii="微軟正黑體" w:eastAsia="微軟正黑體" w:hAnsi="微軟正黑體" w:hint="eastAsia"/>
          <w:sz w:val="20"/>
        </w:rPr>
        <w:t>含政務人員、公務人員、教育人員及軍職人員</w:t>
      </w:r>
      <w:r>
        <w:rPr>
          <w:rFonts w:ascii="微軟正黑體" w:eastAsia="微軟正黑體" w:hAnsi="微軟正黑體" w:hint="eastAsia"/>
          <w:sz w:val="20"/>
        </w:rPr>
        <w:t>，另統計內容</w:t>
      </w:r>
      <w:r w:rsidRPr="000E0773">
        <w:rPr>
          <w:rFonts w:ascii="微軟正黑體" w:eastAsia="微軟正黑體" w:hAnsi="微軟正黑體" w:hint="eastAsia"/>
          <w:sz w:val="20"/>
        </w:rPr>
        <w:t>不含軍公教退撫舊制</w:t>
      </w:r>
      <w:r w:rsidRPr="0038767E">
        <w:rPr>
          <w:rFonts w:ascii="微軟正黑體" w:eastAsia="微軟正黑體" w:hAnsi="微軟正黑體" w:hint="eastAsia"/>
          <w:sz w:val="20"/>
        </w:rPr>
        <w:t>。</w:t>
      </w:r>
    </w:p>
    <w:p w:rsidR="003C2AC2" w:rsidRPr="00AB5983" w:rsidRDefault="003C2AC2" w:rsidP="003C2AC2">
      <w:pPr>
        <w:spacing w:beforeLines="100" w:before="360" w:line="280" w:lineRule="exact"/>
        <w:ind w:leftChars="128" w:left="787" w:hangingChars="200" w:hanging="480"/>
        <w:jc w:val="center"/>
        <w:rPr>
          <w:rFonts w:ascii="微軟正黑體" w:eastAsia="微軟正黑體" w:hAnsi="微軟正黑體"/>
          <w:color w:val="FF0000"/>
          <w:sz w:val="20"/>
        </w:rPr>
      </w:pPr>
      <w:r w:rsidRPr="00404CF9">
        <w:rPr>
          <w:rFonts w:ascii="微軟正黑體" w:eastAsia="微軟正黑體" w:hAnsi="微軟正黑體" w:hint="eastAsia"/>
        </w:rPr>
        <w:t xml:space="preserve">圖1.12 </w:t>
      </w:r>
      <w:r w:rsidRPr="0027400B">
        <w:rPr>
          <w:rFonts w:ascii="微軟正黑體" w:eastAsia="微軟正黑體" w:hAnsi="微軟正黑體" w:hint="eastAsia"/>
          <w:color w:val="0070C0"/>
        </w:rPr>
        <w:t xml:space="preserve"> </w:t>
      </w:r>
      <w:r w:rsidRPr="0027400B">
        <w:rPr>
          <w:rFonts w:ascii="微軟正黑體" w:eastAsia="微軟正黑體" w:hAnsi="微軟正黑體" w:hint="eastAsia"/>
        </w:rPr>
        <w:t>100-109年各退休金制度給付總額</w:t>
      </w:r>
    </w:p>
    <w:p w:rsidR="003C2AC2" w:rsidRPr="00D50834" w:rsidRDefault="003C2AC2" w:rsidP="003C2AC2">
      <w:pPr>
        <w:widowControl/>
        <w:spacing w:line="400" w:lineRule="exact"/>
        <w:jc w:val="center"/>
        <w:rPr>
          <w:rFonts w:ascii="微軟正黑體" w:eastAsia="微軟正黑體" w:hAnsi="微軟正黑體"/>
        </w:rPr>
      </w:pPr>
    </w:p>
    <w:p w:rsidR="003C2AC2" w:rsidRDefault="003C2AC2" w:rsidP="003C2AC2">
      <w:pPr>
        <w:widowControl/>
        <w:rPr>
          <w:rFonts w:ascii="微軟正黑體" w:eastAsia="微軟正黑體" w:hAnsi="微軟正黑體" w:cs="Times New Roman"/>
        </w:rPr>
      </w:pPr>
      <w:r>
        <w:rPr>
          <w:rFonts w:ascii="微軟正黑體" w:eastAsia="微軟正黑體" w:hAnsi="微軟正黑體"/>
        </w:rPr>
        <w:br w:type="page"/>
      </w:r>
    </w:p>
    <w:p w:rsidR="003C2AC2" w:rsidRPr="00B700E0" w:rsidRDefault="003C2AC2" w:rsidP="003C2AC2">
      <w:pPr>
        <w:adjustRightInd w:val="0"/>
        <w:spacing w:beforeLines="30" w:before="108" w:line="400" w:lineRule="exact"/>
        <w:ind w:firstLineChars="100" w:firstLine="240"/>
        <w:textAlignment w:val="baseline"/>
        <w:rPr>
          <w:rFonts w:ascii="微軟正黑體" w:eastAsia="微軟正黑體" w:hAnsi="微軟正黑體"/>
        </w:rPr>
      </w:pPr>
      <w:r w:rsidRPr="00B700E0">
        <w:rPr>
          <w:rFonts w:ascii="微軟正黑體" w:eastAsia="微軟正黑體" w:hAnsi="微軟正黑體" w:hint="eastAsia"/>
        </w:rPr>
        <w:lastRenderedPageBreak/>
        <w:t>(2) 退休金領取人數</w:t>
      </w:r>
    </w:p>
    <w:p w:rsidR="003C2AC2" w:rsidRDefault="003C2AC2" w:rsidP="003C2AC2">
      <w:pPr>
        <w:spacing w:afterLines="25" w:after="90" w:line="400" w:lineRule="exact"/>
        <w:ind w:leftChars="295" w:left="708" w:firstLineChars="200" w:firstLine="480"/>
        <w:jc w:val="both"/>
        <w:rPr>
          <w:rFonts w:ascii="微軟正黑體" w:eastAsia="微軟正黑體" w:hAnsi="微軟正黑體"/>
        </w:rPr>
      </w:pPr>
      <w:r w:rsidRPr="00B700E0">
        <w:rPr>
          <w:rFonts w:ascii="微軟正黑體" w:eastAsia="微軟正黑體" w:hAnsi="微軟正黑體" w:hint="eastAsia"/>
        </w:rPr>
        <w:t>領取月退休金者由</w:t>
      </w:r>
      <w:r>
        <w:rPr>
          <w:rFonts w:ascii="微軟正黑體" w:eastAsia="微軟正黑體" w:hAnsi="微軟正黑體" w:hint="eastAsia"/>
        </w:rPr>
        <w:t>100</w:t>
      </w:r>
      <w:r w:rsidRPr="00B700E0">
        <w:rPr>
          <w:rFonts w:ascii="微軟正黑體" w:eastAsia="微軟正黑體" w:hAnsi="微軟正黑體" w:hint="eastAsia"/>
        </w:rPr>
        <w:t>年</w:t>
      </w:r>
      <w:r>
        <w:rPr>
          <w:rFonts w:ascii="微軟正黑體" w:eastAsia="微軟正黑體" w:hAnsi="微軟正黑體" w:hint="eastAsia"/>
        </w:rPr>
        <w:t>20</w:t>
      </w:r>
      <w:r w:rsidRPr="00B700E0">
        <w:rPr>
          <w:rFonts w:ascii="微軟正黑體" w:eastAsia="微軟正黑體" w:hAnsi="微軟正黑體" w:hint="eastAsia"/>
        </w:rPr>
        <w:t>.1萬人，至10</w:t>
      </w:r>
      <w:r>
        <w:rPr>
          <w:rFonts w:ascii="微軟正黑體" w:eastAsia="微軟正黑體" w:hAnsi="微軟正黑體" w:hint="eastAsia"/>
        </w:rPr>
        <w:t>9</w:t>
      </w:r>
      <w:r w:rsidRPr="00B700E0">
        <w:rPr>
          <w:rFonts w:ascii="微軟正黑體" w:eastAsia="微軟正黑體" w:hAnsi="微軟正黑體" w:hint="eastAsia"/>
        </w:rPr>
        <w:t>年累計增加為3</w:t>
      </w:r>
      <w:r>
        <w:rPr>
          <w:rFonts w:ascii="微軟正黑體" w:eastAsia="微軟正黑體" w:hAnsi="微軟正黑體" w:hint="eastAsia"/>
        </w:rPr>
        <w:t>3</w:t>
      </w:r>
      <w:r w:rsidRPr="00B700E0">
        <w:rPr>
          <w:rFonts w:ascii="微軟正黑體" w:eastAsia="微軟正黑體" w:hAnsi="微軟正黑體" w:hint="eastAsia"/>
        </w:rPr>
        <w:t>.</w:t>
      </w:r>
      <w:r>
        <w:rPr>
          <w:rFonts w:ascii="微軟正黑體" w:eastAsia="微軟正黑體" w:hAnsi="微軟正黑體" w:hint="eastAsia"/>
        </w:rPr>
        <w:t>9</w:t>
      </w:r>
      <w:r w:rsidRPr="00B700E0">
        <w:rPr>
          <w:rFonts w:ascii="微軟正黑體" w:eastAsia="微軟正黑體" w:hAnsi="微軟正黑體" w:hint="eastAsia"/>
        </w:rPr>
        <w:t>萬人，主要為領取軍公教月退休金者(退撫新制) 3</w:t>
      </w:r>
      <w:r>
        <w:rPr>
          <w:rFonts w:ascii="微軟正黑體" w:eastAsia="微軟正黑體" w:hAnsi="微軟正黑體" w:hint="eastAsia"/>
        </w:rPr>
        <w:t>3.8</w:t>
      </w:r>
      <w:r w:rsidRPr="00B700E0">
        <w:rPr>
          <w:rFonts w:ascii="微軟正黑體" w:eastAsia="微軟正黑體" w:hAnsi="微軟正黑體" w:hint="eastAsia"/>
        </w:rPr>
        <w:t>萬人，及領取勞工退休金(新制)月退休</w:t>
      </w:r>
      <w:r>
        <w:rPr>
          <w:rFonts w:ascii="微軟正黑體" w:eastAsia="微軟正黑體" w:hAnsi="微軟正黑體" w:hint="eastAsia"/>
        </w:rPr>
        <w:t>金者約1千人</w:t>
      </w:r>
      <w:r>
        <w:rPr>
          <w:rStyle w:val="af4"/>
          <w:rFonts w:ascii="微軟正黑體" w:eastAsia="微軟正黑體" w:hAnsi="微軟正黑體"/>
        </w:rPr>
        <w:footnoteReference w:id="1"/>
      </w:r>
      <w:r>
        <w:rPr>
          <w:rFonts w:ascii="微軟正黑體" w:eastAsia="微軟正黑體" w:hAnsi="微軟正黑體" w:hint="eastAsia"/>
        </w:rPr>
        <w:t>。另每年領取一次退休金者，也呈現逐年增加趨勢，由100年6.5萬人，至109年累計增加為13.3萬人，包括勞退新制8.2萬人、勞退舊制4.0萬人、軍公教退撫新制1萬人及私校退撫新制2千人。</w:t>
      </w:r>
    </w:p>
    <w:p w:rsidR="003C2AC2" w:rsidRDefault="003C2AC2" w:rsidP="003C2AC2">
      <w:pPr>
        <w:spacing w:afterLines="25" w:after="90" w:line="400" w:lineRule="exact"/>
        <w:ind w:leftChars="295" w:left="708" w:firstLineChars="200" w:firstLine="480"/>
        <w:jc w:val="both"/>
        <w:rPr>
          <w:rFonts w:ascii="微軟正黑體" w:eastAsia="微軟正黑體" w:hAnsi="微軟正黑體"/>
        </w:rPr>
      </w:pPr>
    </w:p>
    <w:p w:rsidR="003C2AC2" w:rsidRDefault="003C2AC2" w:rsidP="003C2AC2">
      <w:pPr>
        <w:widowControl/>
        <w:spacing w:afterLines="30" w:after="108" w:line="300" w:lineRule="exact"/>
        <w:jc w:val="center"/>
        <w:rPr>
          <w:rFonts w:ascii="微軟正黑體" w:eastAsia="微軟正黑體" w:hAnsi="微軟正黑體"/>
          <w:sz w:val="20"/>
        </w:rPr>
      </w:pPr>
      <w:r>
        <w:rPr>
          <w:rFonts w:ascii="微軟正黑體" w:eastAsia="微軟正黑體" w:hAnsi="微軟正黑體" w:hint="eastAsia"/>
        </w:rPr>
        <w:t xml:space="preserve">              表1.3  近10年各退休金制度領取人數            </w:t>
      </w:r>
      <w:r>
        <w:rPr>
          <w:rFonts w:ascii="微軟正黑體" w:eastAsia="微軟正黑體" w:hAnsi="微軟正黑體" w:hint="eastAsia"/>
          <w:sz w:val="20"/>
        </w:rPr>
        <w:t>單位：人</w:t>
      </w:r>
    </w:p>
    <w:tbl>
      <w:tblPr>
        <w:tblStyle w:val="1-3"/>
        <w:tblW w:w="8804" w:type="dxa"/>
        <w:jc w:val="center"/>
        <w:tblInd w:w="-32" w:type="dxa"/>
        <w:tblLook w:val="04A0" w:firstRow="1" w:lastRow="0" w:firstColumn="1" w:lastColumn="0" w:noHBand="0" w:noVBand="1"/>
      </w:tblPr>
      <w:tblGrid>
        <w:gridCol w:w="1041"/>
        <w:gridCol w:w="939"/>
        <w:gridCol w:w="852"/>
        <w:gridCol w:w="1025"/>
        <w:gridCol w:w="938"/>
        <w:gridCol w:w="939"/>
        <w:gridCol w:w="938"/>
        <w:gridCol w:w="939"/>
        <w:gridCol w:w="1193"/>
      </w:tblGrid>
      <w:tr w:rsidR="003C2AC2" w:rsidTr="008F19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1" w:type="dxa"/>
            <w:tcBorders>
              <w:top w:val="single" w:sz="8" w:space="0" w:color="C2D69B" w:themeColor="accent3" w:themeTint="99"/>
              <w:left w:val="nil"/>
              <w:right w:val="single" w:sz="8" w:space="0" w:color="C2D69B" w:themeColor="accent3" w:themeTint="99"/>
            </w:tcBorders>
            <w:tcMar>
              <w:top w:w="0" w:type="dxa"/>
              <w:left w:w="57" w:type="dxa"/>
              <w:bottom w:w="0" w:type="dxa"/>
              <w:right w:w="57" w:type="dxa"/>
            </w:tcMar>
            <w:vAlign w:val="center"/>
            <w:hideMark/>
          </w:tcPr>
          <w:p w:rsidR="003C2AC2" w:rsidRDefault="003C2AC2" w:rsidP="008F1977">
            <w:pPr>
              <w:widowControl/>
              <w:spacing w:line="360" w:lineRule="exact"/>
              <w:jc w:val="center"/>
              <w:rPr>
                <w:rFonts w:ascii="微軟正黑體" w:eastAsia="微軟正黑體" w:hAnsi="微軟正黑體"/>
                <w:b w:val="0"/>
                <w:sz w:val="22"/>
              </w:rPr>
            </w:pPr>
            <w:r>
              <w:rPr>
                <w:rFonts w:ascii="微軟正黑體" w:eastAsia="微軟正黑體" w:hAnsi="微軟正黑體" w:hint="eastAsia"/>
                <w:b w:val="0"/>
                <w:sz w:val="22"/>
              </w:rPr>
              <w:t>給付   類型</w:t>
            </w:r>
          </w:p>
        </w:tc>
        <w:tc>
          <w:tcPr>
            <w:tcW w:w="2816" w:type="dxa"/>
            <w:gridSpan w:val="3"/>
            <w:tcBorders>
              <w:top w:val="single" w:sz="8" w:space="0" w:color="C2D69B" w:themeColor="accent3" w:themeTint="99"/>
              <w:left w:val="single" w:sz="8" w:space="0" w:color="C2D69B" w:themeColor="accent3" w:themeTint="99"/>
              <w:right w:val="double" w:sz="4" w:space="0" w:color="76923C" w:themeColor="accent3" w:themeShade="BF"/>
            </w:tcBorders>
            <w:tcMar>
              <w:top w:w="0" w:type="dxa"/>
              <w:left w:w="57" w:type="dxa"/>
              <w:bottom w:w="0" w:type="dxa"/>
              <w:right w:w="57" w:type="dxa"/>
            </w:tcMar>
            <w:vAlign w:val="center"/>
            <w:hideMark/>
          </w:tcPr>
          <w:p w:rsidR="003C2AC2" w:rsidRDefault="003C2AC2" w:rsidP="008F1977">
            <w:pPr>
              <w:widowControl/>
              <w:spacing w:line="36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月退休金</w:t>
            </w:r>
          </w:p>
        </w:tc>
        <w:tc>
          <w:tcPr>
            <w:tcW w:w="4947" w:type="dxa"/>
            <w:gridSpan w:val="5"/>
            <w:tcBorders>
              <w:top w:val="single" w:sz="8" w:space="0" w:color="C2D69B" w:themeColor="accent3" w:themeTint="99"/>
              <w:left w:val="double" w:sz="4" w:space="0" w:color="76923C" w:themeColor="accent3" w:themeShade="BF"/>
              <w:right w:val="nil"/>
            </w:tcBorders>
            <w:tcMar>
              <w:top w:w="0" w:type="dxa"/>
              <w:left w:w="57" w:type="dxa"/>
              <w:bottom w:w="0" w:type="dxa"/>
              <w:right w:w="57" w:type="dxa"/>
            </w:tcMar>
            <w:vAlign w:val="center"/>
            <w:hideMark/>
          </w:tcPr>
          <w:p w:rsidR="003C2AC2" w:rsidRDefault="003C2AC2" w:rsidP="008F1977">
            <w:pPr>
              <w:widowControl/>
              <w:spacing w:line="36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一次退休金</w:t>
            </w:r>
          </w:p>
        </w:tc>
      </w:tr>
      <w:tr w:rsidR="003C2AC2"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vAlign w:val="center"/>
            <w:hideMark/>
          </w:tcPr>
          <w:p w:rsidR="003C2AC2" w:rsidRDefault="003C2AC2" w:rsidP="008F1977">
            <w:pPr>
              <w:widowControl/>
              <w:spacing w:line="360" w:lineRule="exact"/>
              <w:jc w:val="center"/>
              <w:rPr>
                <w:rFonts w:ascii="微軟正黑體" w:eastAsia="微軟正黑體" w:hAnsi="微軟正黑體"/>
                <w:b w:val="0"/>
                <w:sz w:val="22"/>
              </w:rPr>
            </w:pPr>
            <w:r>
              <w:rPr>
                <w:rFonts w:ascii="微軟正黑體" w:eastAsia="微軟正黑體" w:hAnsi="微軟正黑體" w:hint="eastAsia"/>
                <w:b w:val="0"/>
                <w:sz w:val="22"/>
              </w:rPr>
              <w:t>制度</w:t>
            </w:r>
          </w:p>
        </w:tc>
        <w:tc>
          <w:tcPr>
            <w:tcW w:w="939" w:type="dxa"/>
            <w:tcBorders>
              <w:top w:val="nil"/>
              <w:left w:val="single" w:sz="8" w:space="0" w:color="C2D69B" w:themeColor="accent3" w:themeTint="99"/>
              <w:bottom w:val="nil"/>
              <w:right w:val="nil"/>
            </w:tcBorders>
            <w:tcMar>
              <w:top w:w="0" w:type="dxa"/>
              <w:left w:w="57" w:type="dxa"/>
              <w:bottom w:w="0" w:type="dxa"/>
              <w:right w:w="57" w:type="dxa"/>
            </w:tcMar>
            <w:vAlign w:val="center"/>
            <w:hideMark/>
          </w:tcPr>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軍公教退撫</w:t>
            </w:r>
          </w:p>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(新制)</w:t>
            </w:r>
          </w:p>
        </w:tc>
        <w:tc>
          <w:tcPr>
            <w:tcW w:w="852" w:type="dxa"/>
            <w:tcBorders>
              <w:top w:val="nil"/>
              <w:left w:val="nil"/>
              <w:bottom w:val="nil"/>
              <w:right w:val="single" w:sz="8" w:space="0" w:color="C2D69B" w:themeColor="accent3" w:themeTint="99"/>
            </w:tcBorders>
            <w:tcMar>
              <w:top w:w="0" w:type="dxa"/>
              <w:left w:w="57" w:type="dxa"/>
              <w:bottom w:w="0" w:type="dxa"/>
              <w:right w:w="57" w:type="dxa"/>
            </w:tcMar>
            <w:vAlign w:val="center"/>
            <w:hideMark/>
          </w:tcPr>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勞退</w:t>
            </w:r>
          </w:p>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(新制)</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vAlign w:val="center"/>
            <w:hideMark/>
          </w:tcPr>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合計</w:t>
            </w:r>
          </w:p>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人數</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vAlign w:val="center"/>
            <w:hideMark/>
          </w:tcPr>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勞退</w:t>
            </w:r>
          </w:p>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(新制)</w:t>
            </w:r>
          </w:p>
        </w:tc>
        <w:tc>
          <w:tcPr>
            <w:tcW w:w="939" w:type="dxa"/>
            <w:tcBorders>
              <w:top w:val="nil"/>
              <w:left w:val="nil"/>
              <w:bottom w:val="nil"/>
              <w:right w:val="nil"/>
            </w:tcBorders>
            <w:tcMar>
              <w:top w:w="0" w:type="dxa"/>
              <w:left w:w="57" w:type="dxa"/>
              <w:bottom w:w="0" w:type="dxa"/>
              <w:right w:w="57" w:type="dxa"/>
            </w:tcMar>
            <w:vAlign w:val="center"/>
            <w:hideMark/>
          </w:tcPr>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勞退</w:t>
            </w:r>
            <w:r>
              <w:rPr>
                <w:rFonts w:ascii="微軟正黑體" w:eastAsia="微軟正黑體" w:hAnsi="微軟正黑體" w:hint="eastAsia"/>
                <w:color w:val="auto"/>
                <w:sz w:val="22"/>
              </w:rPr>
              <w:t xml:space="preserve"> </w:t>
            </w:r>
          </w:p>
          <w:p w:rsidR="003C2AC2" w:rsidRPr="00B700E0"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700E0">
              <w:rPr>
                <w:rFonts w:ascii="微軟正黑體" w:eastAsia="微軟正黑體" w:hAnsi="微軟正黑體" w:hint="eastAsia"/>
                <w:color w:val="auto"/>
                <w:sz w:val="22"/>
              </w:rPr>
              <w:t>(舊制)</w:t>
            </w:r>
          </w:p>
        </w:tc>
        <w:tc>
          <w:tcPr>
            <w:tcW w:w="938" w:type="dxa"/>
            <w:tcBorders>
              <w:top w:val="nil"/>
              <w:left w:val="nil"/>
              <w:bottom w:val="nil"/>
              <w:right w:val="nil"/>
            </w:tcBorders>
            <w:tcMar>
              <w:top w:w="0" w:type="dxa"/>
              <w:left w:w="57" w:type="dxa"/>
              <w:bottom w:w="0" w:type="dxa"/>
              <w:right w:w="57" w:type="dxa"/>
            </w:tcMar>
            <w:vAlign w:val="center"/>
            <w:hideMark/>
          </w:tcPr>
          <w:p w:rsidR="003C2AC2"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軍公教退撫</w:t>
            </w:r>
          </w:p>
          <w:p w:rsidR="003C2AC2"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(新制)</w:t>
            </w:r>
          </w:p>
        </w:tc>
        <w:tc>
          <w:tcPr>
            <w:tcW w:w="939" w:type="dxa"/>
            <w:tcBorders>
              <w:top w:val="nil"/>
              <w:left w:val="nil"/>
              <w:bottom w:val="nil"/>
              <w:right w:val="single" w:sz="8" w:space="0" w:color="C2D69B" w:themeColor="accent3" w:themeTint="99"/>
            </w:tcBorders>
            <w:tcMar>
              <w:top w:w="0" w:type="dxa"/>
              <w:left w:w="57" w:type="dxa"/>
              <w:bottom w:w="0" w:type="dxa"/>
              <w:right w:w="57" w:type="dxa"/>
            </w:tcMar>
            <w:vAlign w:val="center"/>
            <w:hideMark/>
          </w:tcPr>
          <w:p w:rsidR="003C2AC2"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私校</w:t>
            </w:r>
          </w:p>
          <w:p w:rsidR="003C2AC2"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退撫</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vAlign w:val="center"/>
            <w:hideMark/>
          </w:tcPr>
          <w:p w:rsidR="003C2AC2"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合計</w:t>
            </w:r>
          </w:p>
          <w:p w:rsidR="003C2AC2" w:rsidRDefault="003C2AC2" w:rsidP="008F1977">
            <w:pPr>
              <w:widowControl/>
              <w:spacing w:line="3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人數</w:t>
            </w:r>
          </w:p>
        </w:tc>
      </w:tr>
      <w:tr w:rsidR="003C2AC2" w:rsidTr="008F1977">
        <w:trPr>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center"/>
              <w:rPr>
                <w:rFonts w:ascii="微軟正黑體" w:eastAsia="微軟正黑體" w:hAnsi="微軟正黑體"/>
                <w:b w:val="0"/>
                <w:sz w:val="22"/>
              </w:rPr>
            </w:pPr>
            <w:r>
              <w:rPr>
                <w:rFonts w:ascii="微軟正黑體" w:eastAsia="微軟正黑體" w:hAnsi="微軟正黑體" w:hint="eastAsia"/>
                <w:b w:val="0"/>
                <w:sz w:val="22"/>
              </w:rPr>
              <w:t>100年</w:t>
            </w:r>
          </w:p>
        </w:tc>
        <w:tc>
          <w:tcPr>
            <w:tcW w:w="939" w:type="dxa"/>
            <w:tcBorders>
              <w:top w:val="nil"/>
              <w:left w:val="single" w:sz="8" w:space="0" w:color="C2D69B" w:themeColor="accent3" w:themeTint="99"/>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201,433</w:t>
            </w:r>
          </w:p>
        </w:tc>
        <w:tc>
          <w:tcPr>
            <w:tcW w:w="852" w:type="dxa"/>
            <w:tcBorders>
              <w:top w:val="nil"/>
              <w:left w:val="nil"/>
              <w:bottom w:val="nil"/>
              <w:right w:val="single" w:sz="8" w:space="0" w:color="C2D69B" w:themeColor="accent3" w:themeTint="99"/>
            </w:tcBorders>
            <w:tcMar>
              <w:top w:w="0" w:type="dxa"/>
              <w:left w:w="57" w:type="dxa"/>
              <w:bottom w:w="0" w:type="dxa"/>
              <w:right w:w="57" w:type="dxa"/>
            </w:tcMar>
          </w:tcPr>
          <w:p w:rsidR="003C2AC2" w:rsidRPr="00B700E0"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201,433</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37,521</w:t>
            </w:r>
          </w:p>
        </w:tc>
        <w:tc>
          <w:tcPr>
            <w:tcW w:w="939" w:type="dxa"/>
            <w:tcBorders>
              <w:top w:val="nil"/>
              <w:left w:val="nil"/>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16,263</w:t>
            </w:r>
          </w:p>
        </w:tc>
        <w:tc>
          <w:tcPr>
            <w:tcW w:w="938" w:type="dxa"/>
            <w:tcBorders>
              <w:top w:val="nil"/>
              <w:left w:val="nil"/>
              <w:bottom w:val="nil"/>
              <w:right w:val="nil"/>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9,938</w:t>
            </w:r>
          </w:p>
        </w:tc>
        <w:tc>
          <w:tcPr>
            <w:tcW w:w="939"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1,058</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tcPr>
          <w:p w:rsidR="003C2AC2" w:rsidRPr="00FE7233"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FE7233">
              <w:rPr>
                <w:rFonts w:ascii="微軟正黑體" w:eastAsia="微軟正黑體" w:hAnsi="微軟正黑體" w:hint="eastAsia"/>
                <w:color w:val="auto"/>
                <w:sz w:val="22"/>
                <w:szCs w:val="22"/>
              </w:rPr>
              <w:t>64,780</w:t>
            </w:r>
          </w:p>
        </w:tc>
      </w:tr>
      <w:tr w:rsidR="003C2AC2"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center"/>
              <w:rPr>
                <w:rFonts w:ascii="微軟正黑體" w:eastAsia="微軟正黑體" w:hAnsi="微軟正黑體"/>
                <w:b w:val="0"/>
                <w:sz w:val="22"/>
              </w:rPr>
            </w:pPr>
            <w:r>
              <w:rPr>
                <w:rFonts w:ascii="微軟正黑體" w:eastAsia="微軟正黑體" w:hAnsi="微軟正黑體" w:hint="eastAsia"/>
                <w:b w:val="0"/>
                <w:sz w:val="22"/>
              </w:rPr>
              <w:t>101年</w:t>
            </w:r>
          </w:p>
        </w:tc>
        <w:tc>
          <w:tcPr>
            <w:tcW w:w="939" w:type="dxa"/>
            <w:tcBorders>
              <w:top w:val="nil"/>
              <w:left w:val="single" w:sz="8" w:space="0" w:color="C2D69B" w:themeColor="accent3" w:themeTint="99"/>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220,356</w:t>
            </w:r>
          </w:p>
        </w:tc>
        <w:tc>
          <w:tcPr>
            <w:tcW w:w="852" w:type="dxa"/>
            <w:tcBorders>
              <w:top w:val="nil"/>
              <w:left w:val="nil"/>
              <w:bottom w:val="nil"/>
              <w:right w:val="single" w:sz="8" w:space="0" w:color="C2D69B" w:themeColor="accent3" w:themeTint="99"/>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9</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vAlign w:val="bottom"/>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220,365</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50,053</w:t>
            </w:r>
          </w:p>
        </w:tc>
        <w:tc>
          <w:tcPr>
            <w:tcW w:w="939" w:type="dxa"/>
            <w:tcBorders>
              <w:top w:val="nil"/>
              <w:left w:val="nil"/>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19,545</w:t>
            </w:r>
          </w:p>
        </w:tc>
        <w:tc>
          <w:tcPr>
            <w:tcW w:w="938" w:type="dxa"/>
            <w:tcBorders>
              <w:top w:val="nil"/>
              <w:left w:val="nil"/>
              <w:bottom w:val="nil"/>
              <w:right w:val="nil"/>
            </w:tcBorders>
            <w:tcMar>
              <w:top w:w="0" w:type="dxa"/>
              <w:left w:w="57" w:type="dxa"/>
              <w:bottom w:w="0" w:type="dxa"/>
              <w:right w:w="57" w:type="dxa"/>
            </w:tcMar>
          </w:tcPr>
          <w:p w:rsidR="003C2AC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11,638</w:t>
            </w:r>
          </w:p>
        </w:tc>
        <w:tc>
          <w:tcPr>
            <w:tcW w:w="939"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1,156</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tcPr>
          <w:p w:rsidR="003C2AC2" w:rsidRPr="00FE7233"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FE7233">
              <w:rPr>
                <w:rFonts w:ascii="微軟正黑體" w:eastAsia="微軟正黑體" w:hAnsi="微軟正黑體" w:hint="eastAsia"/>
                <w:color w:val="auto"/>
                <w:sz w:val="22"/>
                <w:szCs w:val="22"/>
              </w:rPr>
              <w:t>82,392</w:t>
            </w:r>
          </w:p>
        </w:tc>
      </w:tr>
      <w:tr w:rsidR="003C2AC2" w:rsidTr="008F1977">
        <w:trPr>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center"/>
              <w:rPr>
                <w:rFonts w:ascii="微軟正黑體" w:eastAsia="微軟正黑體" w:hAnsi="微軟正黑體"/>
                <w:b w:val="0"/>
                <w:sz w:val="22"/>
              </w:rPr>
            </w:pPr>
            <w:r>
              <w:rPr>
                <w:rFonts w:ascii="微軟正黑體" w:eastAsia="微軟正黑體" w:hAnsi="微軟正黑體" w:hint="eastAsia"/>
                <w:b w:val="0"/>
                <w:sz w:val="22"/>
              </w:rPr>
              <w:t>102年</w:t>
            </w:r>
          </w:p>
        </w:tc>
        <w:tc>
          <w:tcPr>
            <w:tcW w:w="939" w:type="dxa"/>
            <w:tcBorders>
              <w:top w:val="nil"/>
              <w:left w:val="single" w:sz="8" w:space="0" w:color="C2D69B" w:themeColor="accent3" w:themeTint="99"/>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238,434</w:t>
            </w:r>
          </w:p>
        </w:tc>
        <w:tc>
          <w:tcPr>
            <w:tcW w:w="852" w:type="dxa"/>
            <w:tcBorders>
              <w:top w:val="nil"/>
              <w:left w:val="nil"/>
              <w:bottom w:val="nil"/>
              <w:right w:val="single" w:sz="8" w:space="0" w:color="C2D69B" w:themeColor="accent3" w:themeTint="99"/>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23</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vAlign w:val="bottom"/>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238,457</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54,850</w:t>
            </w:r>
          </w:p>
        </w:tc>
        <w:tc>
          <w:tcPr>
            <w:tcW w:w="939" w:type="dxa"/>
            <w:tcBorders>
              <w:top w:val="nil"/>
              <w:left w:val="nil"/>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25,192</w:t>
            </w:r>
          </w:p>
        </w:tc>
        <w:tc>
          <w:tcPr>
            <w:tcW w:w="938" w:type="dxa"/>
            <w:tcBorders>
              <w:top w:val="nil"/>
              <w:left w:val="nil"/>
              <w:bottom w:val="nil"/>
              <w:right w:val="nil"/>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13,122</w:t>
            </w:r>
          </w:p>
        </w:tc>
        <w:tc>
          <w:tcPr>
            <w:tcW w:w="939"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1,233</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tcPr>
          <w:p w:rsidR="003C2AC2" w:rsidRPr="00FE7233"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FE7233">
              <w:rPr>
                <w:rFonts w:ascii="微軟正黑體" w:eastAsia="微軟正黑體" w:hAnsi="微軟正黑體" w:hint="eastAsia"/>
                <w:color w:val="auto"/>
                <w:sz w:val="22"/>
                <w:szCs w:val="22"/>
              </w:rPr>
              <w:t>94,397</w:t>
            </w:r>
          </w:p>
        </w:tc>
      </w:tr>
      <w:tr w:rsidR="003C2AC2"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center"/>
              <w:rPr>
                <w:rFonts w:ascii="微軟正黑體" w:eastAsia="微軟正黑體" w:hAnsi="微軟正黑體"/>
                <w:b w:val="0"/>
                <w:sz w:val="22"/>
              </w:rPr>
            </w:pPr>
            <w:r>
              <w:rPr>
                <w:rFonts w:ascii="微軟正黑體" w:eastAsia="微軟正黑體" w:hAnsi="微軟正黑體" w:hint="eastAsia"/>
                <w:b w:val="0"/>
                <w:sz w:val="22"/>
              </w:rPr>
              <w:t>103年</w:t>
            </w:r>
          </w:p>
        </w:tc>
        <w:tc>
          <w:tcPr>
            <w:tcW w:w="939" w:type="dxa"/>
            <w:tcBorders>
              <w:top w:val="nil"/>
              <w:left w:val="single" w:sz="8" w:space="0" w:color="C2D69B" w:themeColor="accent3" w:themeTint="99"/>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254,194</w:t>
            </w:r>
          </w:p>
        </w:tc>
        <w:tc>
          <w:tcPr>
            <w:tcW w:w="852" w:type="dxa"/>
            <w:tcBorders>
              <w:top w:val="nil"/>
              <w:left w:val="nil"/>
              <w:bottom w:val="nil"/>
              <w:right w:val="single" w:sz="8" w:space="0" w:color="C2D69B" w:themeColor="accent3" w:themeTint="99"/>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35</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vAlign w:val="bottom"/>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254,229</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55,714</w:t>
            </w:r>
          </w:p>
        </w:tc>
        <w:tc>
          <w:tcPr>
            <w:tcW w:w="939" w:type="dxa"/>
            <w:tcBorders>
              <w:top w:val="nil"/>
              <w:left w:val="nil"/>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30,561</w:t>
            </w:r>
          </w:p>
        </w:tc>
        <w:tc>
          <w:tcPr>
            <w:tcW w:w="938" w:type="dxa"/>
            <w:tcBorders>
              <w:top w:val="nil"/>
              <w:left w:val="nil"/>
              <w:bottom w:val="nil"/>
              <w:right w:val="nil"/>
            </w:tcBorders>
            <w:tcMar>
              <w:top w:w="0" w:type="dxa"/>
              <w:left w:w="57" w:type="dxa"/>
              <w:bottom w:w="0" w:type="dxa"/>
              <w:right w:w="57" w:type="dxa"/>
            </w:tcMar>
          </w:tcPr>
          <w:p w:rsidR="003C2AC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9,675</w:t>
            </w:r>
          </w:p>
        </w:tc>
        <w:tc>
          <w:tcPr>
            <w:tcW w:w="939"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1,632</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tcPr>
          <w:p w:rsidR="003C2AC2" w:rsidRPr="00FE7233"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FE7233">
              <w:rPr>
                <w:rFonts w:ascii="微軟正黑體" w:eastAsia="微軟正黑體" w:hAnsi="微軟正黑體" w:hint="eastAsia"/>
                <w:color w:val="auto"/>
                <w:sz w:val="22"/>
                <w:szCs w:val="22"/>
              </w:rPr>
              <w:t>97,582</w:t>
            </w:r>
          </w:p>
        </w:tc>
      </w:tr>
      <w:tr w:rsidR="003C2AC2" w:rsidTr="008F1977">
        <w:trPr>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center"/>
              <w:rPr>
                <w:rFonts w:ascii="微軟正黑體" w:eastAsia="微軟正黑體" w:hAnsi="微軟正黑體"/>
                <w:b w:val="0"/>
                <w:sz w:val="22"/>
              </w:rPr>
            </w:pPr>
            <w:r>
              <w:rPr>
                <w:rFonts w:ascii="微軟正黑體" w:eastAsia="微軟正黑體" w:hAnsi="微軟正黑體" w:hint="eastAsia"/>
                <w:b w:val="0"/>
                <w:sz w:val="22"/>
              </w:rPr>
              <w:t>104年</w:t>
            </w:r>
          </w:p>
        </w:tc>
        <w:tc>
          <w:tcPr>
            <w:tcW w:w="939" w:type="dxa"/>
            <w:tcBorders>
              <w:top w:val="nil"/>
              <w:left w:val="single" w:sz="8" w:space="0" w:color="C2D69B" w:themeColor="accent3" w:themeTint="99"/>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270,416</w:t>
            </w:r>
          </w:p>
        </w:tc>
        <w:tc>
          <w:tcPr>
            <w:tcW w:w="852" w:type="dxa"/>
            <w:tcBorders>
              <w:top w:val="nil"/>
              <w:left w:val="nil"/>
              <w:bottom w:val="nil"/>
              <w:right w:val="single" w:sz="8" w:space="0" w:color="C2D69B" w:themeColor="accent3" w:themeTint="99"/>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59</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vAlign w:val="bottom"/>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270,475</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75,912</w:t>
            </w:r>
          </w:p>
        </w:tc>
        <w:tc>
          <w:tcPr>
            <w:tcW w:w="939" w:type="dxa"/>
            <w:tcBorders>
              <w:top w:val="nil"/>
              <w:left w:val="nil"/>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28,373</w:t>
            </w:r>
          </w:p>
        </w:tc>
        <w:tc>
          <w:tcPr>
            <w:tcW w:w="938" w:type="dxa"/>
            <w:tcBorders>
              <w:top w:val="nil"/>
              <w:left w:val="nil"/>
              <w:bottom w:val="nil"/>
              <w:right w:val="nil"/>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7,008</w:t>
            </w:r>
          </w:p>
        </w:tc>
        <w:tc>
          <w:tcPr>
            <w:tcW w:w="939"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1,976</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tcPr>
          <w:p w:rsidR="003C2AC2" w:rsidRPr="00FE7233"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FE7233">
              <w:rPr>
                <w:rFonts w:ascii="微軟正黑體" w:eastAsia="微軟正黑體" w:hAnsi="微軟正黑體" w:hint="eastAsia"/>
                <w:color w:val="auto"/>
                <w:sz w:val="22"/>
                <w:szCs w:val="22"/>
              </w:rPr>
              <w:t>113,269</w:t>
            </w:r>
          </w:p>
        </w:tc>
      </w:tr>
      <w:tr w:rsidR="003C2AC2"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center"/>
              <w:rPr>
                <w:rFonts w:ascii="微軟正黑體" w:eastAsia="微軟正黑體" w:hAnsi="微軟正黑體"/>
                <w:b w:val="0"/>
                <w:sz w:val="22"/>
              </w:rPr>
            </w:pPr>
            <w:r>
              <w:rPr>
                <w:rFonts w:ascii="微軟正黑體" w:eastAsia="微軟正黑體" w:hAnsi="微軟正黑體" w:hint="eastAsia"/>
                <w:b w:val="0"/>
                <w:sz w:val="22"/>
              </w:rPr>
              <w:t>105年</w:t>
            </w:r>
          </w:p>
        </w:tc>
        <w:tc>
          <w:tcPr>
            <w:tcW w:w="939" w:type="dxa"/>
            <w:tcBorders>
              <w:top w:val="nil"/>
              <w:left w:val="single" w:sz="8" w:space="0" w:color="C2D69B" w:themeColor="accent3" w:themeTint="99"/>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289,354</w:t>
            </w:r>
          </w:p>
        </w:tc>
        <w:tc>
          <w:tcPr>
            <w:tcW w:w="852" w:type="dxa"/>
            <w:tcBorders>
              <w:top w:val="nil"/>
              <w:left w:val="nil"/>
              <w:bottom w:val="nil"/>
              <w:right w:val="single" w:sz="8" w:space="0" w:color="C2D69B" w:themeColor="accent3" w:themeTint="99"/>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81</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vAlign w:val="bottom"/>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289,435</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80,902</w:t>
            </w:r>
          </w:p>
        </w:tc>
        <w:tc>
          <w:tcPr>
            <w:tcW w:w="939" w:type="dxa"/>
            <w:tcBorders>
              <w:top w:val="nil"/>
              <w:left w:val="nil"/>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34,205</w:t>
            </w:r>
          </w:p>
        </w:tc>
        <w:tc>
          <w:tcPr>
            <w:tcW w:w="938" w:type="dxa"/>
            <w:tcBorders>
              <w:top w:val="nil"/>
              <w:left w:val="nil"/>
              <w:bottom w:val="nil"/>
              <w:right w:val="nil"/>
            </w:tcBorders>
            <w:tcMar>
              <w:top w:w="0" w:type="dxa"/>
              <w:left w:w="57" w:type="dxa"/>
              <w:bottom w:w="0" w:type="dxa"/>
              <w:right w:w="57" w:type="dxa"/>
            </w:tcMar>
          </w:tcPr>
          <w:p w:rsidR="003C2AC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7,482</w:t>
            </w:r>
          </w:p>
        </w:tc>
        <w:tc>
          <w:tcPr>
            <w:tcW w:w="939"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1,761</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tcPr>
          <w:p w:rsidR="003C2AC2" w:rsidRPr="00FE7233"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FE7233">
              <w:rPr>
                <w:rFonts w:ascii="微軟正黑體" w:eastAsia="微軟正黑體" w:hAnsi="微軟正黑體" w:hint="eastAsia"/>
                <w:color w:val="auto"/>
                <w:sz w:val="22"/>
                <w:szCs w:val="22"/>
              </w:rPr>
              <w:t>124,350</w:t>
            </w:r>
          </w:p>
        </w:tc>
      </w:tr>
      <w:tr w:rsidR="003C2AC2" w:rsidTr="008F1977">
        <w:trPr>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center"/>
              <w:rPr>
                <w:rFonts w:ascii="微軟正黑體" w:eastAsia="微軟正黑體" w:hAnsi="微軟正黑體"/>
                <w:b w:val="0"/>
                <w:sz w:val="22"/>
              </w:rPr>
            </w:pPr>
            <w:r>
              <w:rPr>
                <w:rFonts w:ascii="微軟正黑體" w:eastAsia="微軟正黑體" w:hAnsi="微軟正黑體" w:hint="eastAsia"/>
                <w:b w:val="0"/>
                <w:sz w:val="22"/>
              </w:rPr>
              <w:t>106年</w:t>
            </w:r>
          </w:p>
        </w:tc>
        <w:tc>
          <w:tcPr>
            <w:tcW w:w="939" w:type="dxa"/>
            <w:tcBorders>
              <w:top w:val="nil"/>
              <w:left w:val="single" w:sz="8" w:space="0" w:color="C2D69B" w:themeColor="accent3" w:themeTint="99"/>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305,573</w:t>
            </w:r>
          </w:p>
        </w:tc>
        <w:tc>
          <w:tcPr>
            <w:tcW w:w="852" w:type="dxa"/>
            <w:tcBorders>
              <w:top w:val="nil"/>
              <w:left w:val="nil"/>
              <w:bottom w:val="nil"/>
              <w:right w:val="single" w:sz="8" w:space="0" w:color="C2D69B" w:themeColor="accent3" w:themeTint="99"/>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109</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vAlign w:val="bottom"/>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305,682</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80,668</w:t>
            </w:r>
          </w:p>
        </w:tc>
        <w:tc>
          <w:tcPr>
            <w:tcW w:w="939" w:type="dxa"/>
            <w:tcBorders>
              <w:top w:val="nil"/>
              <w:left w:val="nil"/>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37,655</w:t>
            </w:r>
          </w:p>
        </w:tc>
        <w:tc>
          <w:tcPr>
            <w:tcW w:w="938" w:type="dxa"/>
            <w:tcBorders>
              <w:top w:val="nil"/>
              <w:left w:val="nil"/>
              <w:bottom w:val="nil"/>
              <w:right w:val="nil"/>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8,903</w:t>
            </w:r>
          </w:p>
        </w:tc>
        <w:tc>
          <w:tcPr>
            <w:tcW w:w="939"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1,858</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tcPr>
          <w:p w:rsidR="003C2AC2" w:rsidRPr="00FE7233"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sidRPr="00FE7233">
              <w:rPr>
                <w:rFonts w:ascii="微軟正黑體" w:eastAsia="微軟正黑體" w:hAnsi="微軟正黑體" w:hint="eastAsia"/>
                <w:color w:val="auto"/>
                <w:sz w:val="22"/>
                <w:szCs w:val="22"/>
              </w:rPr>
              <w:t>129,084</w:t>
            </w:r>
          </w:p>
        </w:tc>
      </w:tr>
      <w:tr w:rsidR="003C2AC2"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center"/>
              <w:rPr>
                <w:rFonts w:ascii="微軟正黑體" w:eastAsia="微軟正黑體" w:hAnsi="微軟正黑體"/>
                <w:b w:val="0"/>
                <w:sz w:val="22"/>
              </w:rPr>
            </w:pPr>
            <w:r>
              <w:rPr>
                <w:rFonts w:ascii="微軟正黑體" w:eastAsia="微軟正黑體" w:hAnsi="微軟正黑體" w:hint="eastAsia"/>
                <w:b w:val="0"/>
                <w:sz w:val="22"/>
              </w:rPr>
              <w:t>107年</w:t>
            </w:r>
          </w:p>
        </w:tc>
        <w:tc>
          <w:tcPr>
            <w:tcW w:w="939" w:type="dxa"/>
            <w:tcBorders>
              <w:top w:val="nil"/>
              <w:left w:val="single" w:sz="8" w:space="0" w:color="C2D69B" w:themeColor="accent3" w:themeTint="99"/>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320,567</w:t>
            </w:r>
          </w:p>
        </w:tc>
        <w:tc>
          <w:tcPr>
            <w:tcW w:w="852" w:type="dxa"/>
            <w:tcBorders>
              <w:top w:val="nil"/>
              <w:left w:val="nil"/>
              <w:bottom w:val="nil"/>
              <w:right w:val="single" w:sz="8" w:space="0" w:color="C2D69B" w:themeColor="accent3" w:themeTint="99"/>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142</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vAlign w:val="bottom"/>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320,709</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75,473</w:t>
            </w:r>
          </w:p>
        </w:tc>
        <w:tc>
          <w:tcPr>
            <w:tcW w:w="939" w:type="dxa"/>
            <w:tcBorders>
              <w:top w:val="nil"/>
              <w:left w:val="nil"/>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B700E0">
              <w:rPr>
                <w:rFonts w:ascii="微軟正黑體" w:eastAsia="微軟正黑體" w:hAnsi="微軟正黑體" w:hint="eastAsia"/>
                <w:color w:val="auto"/>
                <w:sz w:val="22"/>
                <w:szCs w:val="22"/>
              </w:rPr>
              <w:t>38,193</w:t>
            </w:r>
          </w:p>
        </w:tc>
        <w:tc>
          <w:tcPr>
            <w:tcW w:w="938" w:type="dxa"/>
            <w:tcBorders>
              <w:top w:val="nil"/>
              <w:left w:val="nil"/>
              <w:bottom w:val="nil"/>
              <w:right w:val="nil"/>
            </w:tcBorders>
            <w:tcMar>
              <w:top w:w="0" w:type="dxa"/>
              <w:left w:w="57" w:type="dxa"/>
              <w:bottom w:w="0" w:type="dxa"/>
              <w:right w:w="57" w:type="dxa"/>
            </w:tcMar>
          </w:tcPr>
          <w:p w:rsidR="003C2AC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9,794</w:t>
            </w:r>
          </w:p>
        </w:tc>
        <w:tc>
          <w:tcPr>
            <w:tcW w:w="939"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2,028</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tcPr>
          <w:p w:rsidR="003C2AC2" w:rsidRPr="00FE7233"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FE7233">
              <w:rPr>
                <w:rFonts w:ascii="微軟正黑體" w:eastAsia="微軟正黑體" w:hAnsi="微軟正黑體" w:hint="eastAsia"/>
                <w:color w:val="auto"/>
                <w:sz w:val="22"/>
                <w:szCs w:val="22"/>
              </w:rPr>
              <w:t>125,488</w:t>
            </w:r>
          </w:p>
        </w:tc>
      </w:tr>
      <w:tr w:rsidR="003C2AC2" w:rsidTr="008F1977">
        <w:trPr>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center"/>
              <w:rPr>
                <w:rFonts w:ascii="微軟正黑體" w:eastAsia="微軟正黑體" w:hAnsi="微軟正黑體"/>
                <w:b w:val="0"/>
                <w:sz w:val="22"/>
              </w:rPr>
            </w:pPr>
            <w:r>
              <w:rPr>
                <w:rFonts w:ascii="微軟正黑體" w:eastAsia="微軟正黑體" w:hAnsi="微軟正黑體" w:hint="eastAsia"/>
                <w:b w:val="0"/>
                <w:sz w:val="22"/>
              </w:rPr>
              <w:t>108年</w:t>
            </w:r>
          </w:p>
        </w:tc>
        <w:tc>
          <w:tcPr>
            <w:tcW w:w="939" w:type="dxa"/>
            <w:tcBorders>
              <w:top w:val="nil"/>
              <w:left w:val="single" w:sz="8" w:space="0" w:color="C2D69B" w:themeColor="accent3" w:themeTint="99"/>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Pr>
                <w:rFonts w:ascii="微軟正黑體" w:eastAsia="微軟正黑體" w:hAnsi="微軟正黑體" w:hint="eastAsia"/>
                <w:color w:val="auto"/>
                <w:sz w:val="22"/>
                <w:szCs w:val="22"/>
              </w:rPr>
              <w:t>331,285</w:t>
            </w:r>
          </w:p>
        </w:tc>
        <w:tc>
          <w:tcPr>
            <w:tcW w:w="852" w:type="dxa"/>
            <w:tcBorders>
              <w:top w:val="nil"/>
              <w:left w:val="nil"/>
              <w:bottom w:val="nil"/>
              <w:right w:val="single" w:sz="8" w:space="0" w:color="C2D69B" w:themeColor="accent3" w:themeTint="99"/>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Pr>
                <w:rFonts w:ascii="微軟正黑體" w:eastAsia="微軟正黑體" w:hAnsi="微軟正黑體" w:hint="eastAsia"/>
                <w:color w:val="auto"/>
                <w:sz w:val="22"/>
                <w:szCs w:val="22"/>
              </w:rPr>
              <w:t>170</w:t>
            </w:r>
          </w:p>
        </w:tc>
        <w:tc>
          <w:tcPr>
            <w:tcW w:w="1025" w:type="dxa"/>
            <w:tcBorders>
              <w:top w:val="nil"/>
              <w:left w:val="single" w:sz="8" w:space="0" w:color="C2D69B" w:themeColor="accent3" w:themeTint="99"/>
              <w:bottom w:val="nil"/>
              <w:right w:val="double" w:sz="4" w:space="0" w:color="76923C" w:themeColor="accent3" w:themeShade="BF"/>
            </w:tcBorders>
            <w:tcMar>
              <w:top w:w="0" w:type="dxa"/>
              <w:left w:w="57" w:type="dxa"/>
              <w:bottom w:w="0" w:type="dxa"/>
              <w:right w:w="57" w:type="dxa"/>
            </w:tcMar>
            <w:vAlign w:val="bottom"/>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Pr>
                <w:rFonts w:ascii="微軟正黑體" w:eastAsia="微軟正黑體" w:hAnsi="微軟正黑體" w:hint="eastAsia"/>
                <w:color w:val="auto"/>
                <w:sz w:val="22"/>
                <w:szCs w:val="22"/>
              </w:rPr>
              <w:t>331,455</w:t>
            </w:r>
          </w:p>
        </w:tc>
        <w:tc>
          <w:tcPr>
            <w:tcW w:w="938" w:type="dxa"/>
            <w:tcBorders>
              <w:top w:val="nil"/>
              <w:left w:val="double" w:sz="4" w:space="0" w:color="76923C" w:themeColor="accent3" w:themeShade="BF"/>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Pr>
                <w:rFonts w:ascii="微軟正黑體" w:eastAsia="微軟正黑體" w:hAnsi="微軟正黑體" w:hint="eastAsia"/>
                <w:color w:val="auto"/>
                <w:sz w:val="22"/>
                <w:szCs w:val="22"/>
              </w:rPr>
              <w:t>87,619</w:t>
            </w:r>
          </w:p>
        </w:tc>
        <w:tc>
          <w:tcPr>
            <w:tcW w:w="939" w:type="dxa"/>
            <w:tcBorders>
              <w:top w:val="nil"/>
              <w:left w:val="nil"/>
              <w:bottom w:val="nil"/>
              <w:right w:val="nil"/>
            </w:tcBorders>
            <w:tcMar>
              <w:top w:w="0" w:type="dxa"/>
              <w:left w:w="57" w:type="dxa"/>
              <w:bottom w:w="0" w:type="dxa"/>
              <w:right w:w="57" w:type="dxa"/>
            </w:tcMar>
          </w:tcPr>
          <w:p w:rsidR="003C2AC2" w:rsidRPr="00B700E0"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Pr>
                <w:rFonts w:ascii="微軟正黑體" w:eastAsia="微軟正黑體" w:hAnsi="微軟正黑體" w:hint="eastAsia"/>
                <w:color w:val="auto"/>
                <w:sz w:val="22"/>
                <w:szCs w:val="22"/>
              </w:rPr>
              <w:t>37,456</w:t>
            </w:r>
          </w:p>
        </w:tc>
        <w:tc>
          <w:tcPr>
            <w:tcW w:w="938" w:type="dxa"/>
            <w:tcBorders>
              <w:top w:val="nil"/>
              <w:left w:val="nil"/>
              <w:bottom w:val="nil"/>
              <w:right w:val="nil"/>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9,942</w:t>
            </w:r>
          </w:p>
        </w:tc>
        <w:tc>
          <w:tcPr>
            <w:tcW w:w="939" w:type="dxa"/>
            <w:tcBorders>
              <w:top w:val="nil"/>
              <w:left w:val="nil"/>
              <w:bottom w:val="nil"/>
              <w:right w:val="single" w:sz="8" w:space="0" w:color="C2D69B" w:themeColor="accent3" w:themeTint="99"/>
            </w:tcBorders>
            <w:tcMar>
              <w:top w:w="0" w:type="dxa"/>
              <w:left w:w="57" w:type="dxa"/>
              <w:bottom w:w="0" w:type="dxa"/>
              <w:right w:w="57" w:type="dxa"/>
            </w:tcMar>
          </w:tcPr>
          <w:p w:rsidR="003C2AC2"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szCs w:val="22"/>
              </w:rPr>
            </w:pPr>
            <w:r>
              <w:rPr>
                <w:rFonts w:ascii="微軟正黑體" w:eastAsia="微軟正黑體" w:hAnsi="微軟正黑體" w:hint="eastAsia"/>
                <w:sz w:val="22"/>
                <w:szCs w:val="22"/>
              </w:rPr>
              <w:t>1,933</w:t>
            </w:r>
          </w:p>
        </w:tc>
        <w:tc>
          <w:tcPr>
            <w:tcW w:w="1193" w:type="dxa"/>
            <w:tcBorders>
              <w:top w:val="nil"/>
              <w:left w:val="single" w:sz="8" w:space="0" w:color="C2D69B" w:themeColor="accent3" w:themeTint="99"/>
              <w:bottom w:val="nil"/>
              <w:right w:val="nil"/>
            </w:tcBorders>
            <w:tcMar>
              <w:top w:w="0" w:type="dxa"/>
              <w:left w:w="57" w:type="dxa"/>
              <w:bottom w:w="0" w:type="dxa"/>
              <w:right w:w="57" w:type="dxa"/>
            </w:tcMar>
          </w:tcPr>
          <w:p w:rsidR="003C2AC2" w:rsidRPr="00FE7233" w:rsidRDefault="003C2AC2" w:rsidP="008F1977">
            <w:pPr>
              <w:widowControl/>
              <w:spacing w:line="400" w:lineRule="exact"/>
              <w:jc w:val="righ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szCs w:val="22"/>
              </w:rPr>
            </w:pPr>
            <w:r>
              <w:rPr>
                <w:rFonts w:ascii="微軟正黑體" w:eastAsia="微軟正黑體" w:hAnsi="微軟正黑體" w:hint="eastAsia"/>
                <w:color w:val="auto"/>
                <w:sz w:val="22"/>
                <w:szCs w:val="22"/>
              </w:rPr>
              <w:t>136,950</w:t>
            </w:r>
          </w:p>
        </w:tc>
      </w:tr>
      <w:tr w:rsidR="003C2AC2" w:rsidRPr="0038767E" w:rsidTr="008F19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1" w:type="dxa"/>
            <w:tcBorders>
              <w:top w:val="nil"/>
              <w:left w:val="nil"/>
              <w:bottom w:val="single" w:sz="8" w:space="0" w:color="9BBB59" w:themeColor="accent3"/>
              <w:right w:val="single" w:sz="8" w:space="0" w:color="C2D69B" w:themeColor="accent3" w:themeTint="99"/>
            </w:tcBorders>
            <w:tcMar>
              <w:top w:w="0" w:type="dxa"/>
              <w:left w:w="57" w:type="dxa"/>
              <w:bottom w:w="0" w:type="dxa"/>
              <w:right w:w="57" w:type="dxa"/>
            </w:tcMar>
          </w:tcPr>
          <w:p w:rsidR="003C2AC2" w:rsidRPr="0038767E" w:rsidRDefault="003C2AC2" w:rsidP="008F1977">
            <w:pPr>
              <w:widowControl/>
              <w:spacing w:line="400" w:lineRule="exact"/>
              <w:jc w:val="center"/>
              <w:rPr>
                <w:rFonts w:ascii="微軟正黑體" w:eastAsia="微軟正黑體" w:hAnsi="微軟正黑體"/>
                <w:b w:val="0"/>
                <w:sz w:val="22"/>
              </w:rPr>
            </w:pPr>
            <w:r w:rsidRPr="0038767E">
              <w:rPr>
                <w:rFonts w:ascii="微軟正黑體" w:eastAsia="微軟正黑體" w:hAnsi="微軟正黑體" w:hint="eastAsia"/>
                <w:b w:val="0"/>
                <w:sz w:val="22"/>
              </w:rPr>
              <w:t>109年</w:t>
            </w:r>
          </w:p>
        </w:tc>
        <w:tc>
          <w:tcPr>
            <w:tcW w:w="939" w:type="dxa"/>
            <w:tcBorders>
              <w:top w:val="nil"/>
              <w:left w:val="single" w:sz="8" w:space="0" w:color="C2D69B" w:themeColor="accent3" w:themeTint="99"/>
              <w:bottom w:val="single" w:sz="8" w:space="0" w:color="9BBB59" w:themeColor="accent3"/>
              <w:right w:val="nil"/>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38767E">
              <w:rPr>
                <w:rFonts w:ascii="微軟正黑體" w:eastAsia="微軟正黑體" w:hAnsi="微軟正黑體" w:hint="eastAsia"/>
                <w:color w:val="auto"/>
                <w:sz w:val="22"/>
                <w:szCs w:val="22"/>
              </w:rPr>
              <w:t>338,327</w:t>
            </w:r>
          </w:p>
        </w:tc>
        <w:tc>
          <w:tcPr>
            <w:tcW w:w="852" w:type="dxa"/>
            <w:tcBorders>
              <w:top w:val="nil"/>
              <w:left w:val="nil"/>
              <w:bottom w:val="single" w:sz="8" w:space="0" w:color="9BBB59" w:themeColor="accent3"/>
              <w:right w:val="single" w:sz="8" w:space="0" w:color="C2D69B" w:themeColor="accent3" w:themeTint="99"/>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38767E">
              <w:rPr>
                <w:rFonts w:ascii="微軟正黑體" w:eastAsia="微軟正黑體" w:hAnsi="微軟正黑體" w:hint="eastAsia"/>
                <w:color w:val="auto"/>
                <w:sz w:val="22"/>
                <w:szCs w:val="22"/>
              </w:rPr>
              <w:t>975</w:t>
            </w:r>
          </w:p>
        </w:tc>
        <w:tc>
          <w:tcPr>
            <w:tcW w:w="1025" w:type="dxa"/>
            <w:tcBorders>
              <w:top w:val="nil"/>
              <w:left w:val="single" w:sz="8" w:space="0" w:color="C2D69B" w:themeColor="accent3" w:themeTint="99"/>
              <w:bottom w:val="single" w:sz="8" w:space="0" w:color="9BBB59" w:themeColor="accent3"/>
              <w:right w:val="double" w:sz="4" w:space="0" w:color="76923C" w:themeColor="accent3" w:themeShade="BF"/>
            </w:tcBorders>
            <w:tcMar>
              <w:top w:w="0" w:type="dxa"/>
              <w:left w:w="57" w:type="dxa"/>
              <w:bottom w:w="0" w:type="dxa"/>
              <w:right w:w="57" w:type="dxa"/>
            </w:tcMar>
            <w:vAlign w:val="bottom"/>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38767E">
              <w:rPr>
                <w:rFonts w:ascii="微軟正黑體" w:eastAsia="微軟正黑體" w:hAnsi="微軟正黑體" w:hint="eastAsia"/>
                <w:color w:val="auto"/>
                <w:sz w:val="22"/>
                <w:szCs w:val="22"/>
              </w:rPr>
              <w:t>339,302</w:t>
            </w:r>
          </w:p>
        </w:tc>
        <w:tc>
          <w:tcPr>
            <w:tcW w:w="938" w:type="dxa"/>
            <w:tcBorders>
              <w:top w:val="nil"/>
              <w:left w:val="double" w:sz="4" w:space="0" w:color="76923C" w:themeColor="accent3" w:themeShade="BF"/>
              <w:bottom w:val="single" w:sz="8" w:space="0" w:color="9BBB59" w:themeColor="accent3"/>
              <w:right w:val="nil"/>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38767E">
              <w:rPr>
                <w:rFonts w:ascii="微軟正黑體" w:eastAsia="微軟正黑體" w:hAnsi="微軟正黑體" w:hint="eastAsia"/>
                <w:color w:val="auto"/>
                <w:sz w:val="22"/>
                <w:szCs w:val="22"/>
              </w:rPr>
              <w:t>82,108</w:t>
            </w:r>
          </w:p>
        </w:tc>
        <w:tc>
          <w:tcPr>
            <w:tcW w:w="939" w:type="dxa"/>
            <w:tcBorders>
              <w:top w:val="nil"/>
              <w:left w:val="nil"/>
              <w:bottom w:val="single" w:sz="8" w:space="0" w:color="9BBB59" w:themeColor="accent3"/>
              <w:right w:val="nil"/>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38767E">
              <w:rPr>
                <w:rFonts w:ascii="微軟正黑體" w:eastAsia="微軟正黑體" w:hAnsi="微軟正黑體" w:hint="eastAsia"/>
                <w:color w:val="auto"/>
                <w:sz w:val="22"/>
                <w:szCs w:val="22"/>
              </w:rPr>
              <w:t>39,507</w:t>
            </w:r>
          </w:p>
        </w:tc>
        <w:tc>
          <w:tcPr>
            <w:tcW w:w="938" w:type="dxa"/>
            <w:tcBorders>
              <w:top w:val="nil"/>
              <w:left w:val="nil"/>
              <w:bottom w:val="single" w:sz="8" w:space="0" w:color="9BBB59" w:themeColor="accent3"/>
              <w:right w:val="nil"/>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sidRPr="0038767E">
              <w:rPr>
                <w:rFonts w:ascii="微軟正黑體" w:eastAsia="微軟正黑體" w:hAnsi="微軟正黑體" w:hint="eastAsia"/>
                <w:sz w:val="22"/>
                <w:szCs w:val="22"/>
              </w:rPr>
              <w:t>9,527</w:t>
            </w:r>
          </w:p>
        </w:tc>
        <w:tc>
          <w:tcPr>
            <w:tcW w:w="939" w:type="dxa"/>
            <w:tcBorders>
              <w:top w:val="nil"/>
              <w:left w:val="nil"/>
              <w:bottom w:val="single" w:sz="8" w:space="0" w:color="9BBB59" w:themeColor="accent3"/>
              <w:right w:val="single" w:sz="8" w:space="0" w:color="C2D69B" w:themeColor="accent3" w:themeTint="99"/>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szCs w:val="22"/>
              </w:rPr>
            </w:pPr>
            <w:r w:rsidRPr="0038767E">
              <w:rPr>
                <w:rFonts w:ascii="微軟正黑體" w:eastAsia="微軟正黑體" w:hAnsi="微軟正黑體" w:hint="eastAsia"/>
                <w:sz w:val="22"/>
                <w:szCs w:val="22"/>
              </w:rPr>
              <w:t>2,148</w:t>
            </w:r>
          </w:p>
        </w:tc>
        <w:tc>
          <w:tcPr>
            <w:tcW w:w="1193" w:type="dxa"/>
            <w:tcBorders>
              <w:top w:val="nil"/>
              <w:left w:val="single" w:sz="8" w:space="0" w:color="C2D69B" w:themeColor="accent3" w:themeTint="99"/>
              <w:bottom w:val="single" w:sz="8" w:space="0" w:color="9BBB59" w:themeColor="accent3"/>
              <w:right w:val="nil"/>
            </w:tcBorders>
            <w:tcMar>
              <w:top w:w="0" w:type="dxa"/>
              <w:left w:w="57" w:type="dxa"/>
              <w:bottom w:w="0" w:type="dxa"/>
              <w:right w:w="57" w:type="dxa"/>
            </w:tcMar>
          </w:tcPr>
          <w:p w:rsidR="003C2AC2" w:rsidRPr="0038767E" w:rsidRDefault="003C2AC2" w:rsidP="008F1977">
            <w:pPr>
              <w:widowControl/>
              <w:spacing w:line="400" w:lineRule="exact"/>
              <w:jc w:val="righ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szCs w:val="22"/>
              </w:rPr>
            </w:pPr>
            <w:r w:rsidRPr="0038767E">
              <w:rPr>
                <w:rFonts w:ascii="微軟正黑體" w:eastAsia="微軟正黑體" w:hAnsi="微軟正黑體" w:hint="eastAsia"/>
                <w:color w:val="auto"/>
                <w:sz w:val="22"/>
                <w:szCs w:val="22"/>
              </w:rPr>
              <w:t>133,290</w:t>
            </w:r>
          </w:p>
        </w:tc>
      </w:tr>
    </w:tbl>
    <w:p w:rsidR="003C2AC2" w:rsidRDefault="003C2AC2" w:rsidP="003C2AC2">
      <w:pPr>
        <w:widowControl/>
        <w:spacing w:line="240" w:lineRule="exact"/>
        <w:ind w:leftChars="59" w:left="762" w:rightChars="58" w:right="139" w:hangingChars="310" w:hanging="620"/>
        <w:rPr>
          <w:rFonts w:ascii="微軟正黑體" w:eastAsia="微軟正黑體" w:hAnsi="微軟正黑體"/>
          <w:sz w:val="20"/>
        </w:rPr>
      </w:pPr>
      <w:r>
        <w:rPr>
          <w:rFonts w:ascii="微軟正黑體" w:eastAsia="微軟正黑體" w:hAnsi="微軟正黑體" w:hint="eastAsia"/>
          <w:sz w:val="20"/>
        </w:rPr>
        <w:t xml:space="preserve"> 註：1.月退休金為當年度累計領取人數，一次退休金為當年度初次核付人數。</w:t>
      </w:r>
    </w:p>
    <w:p w:rsidR="003C2AC2" w:rsidRDefault="003C2AC2" w:rsidP="003C2AC2">
      <w:pPr>
        <w:widowControl/>
        <w:spacing w:line="240" w:lineRule="exact"/>
        <w:ind w:leftChars="59" w:left="802" w:rightChars="58" w:right="139" w:hangingChars="330" w:hanging="660"/>
        <w:rPr>
          <w:rFonts w:ascii="微軟正黑體" w:eastAsia="微軟正黑體" w:hAnsi="微軟正黑體"/>
          <w:sz w:val="20"/>
        </w:rPr>
      </w:pPr>
      <w:r>
        <w:rPr>
          <w:rFonts w:ascii="微軟正黑體" w:eastAsia="微軟正黑體" w:hAnsi="微軟正黑體" w:hint="eastAsia"/>
          <w:sz w:val="20"/>
        </w:rPr>
        <w:t xml:space="preserve">     2.勞退(新制/一次退休金)：為勞工本人請領人數，不含「勞工領取退休金後繼續工作者」及「遺屬或指定請領人」。</w:t>
      </w:r>
    </w:p>
    <w:p w:rsidR="003C2AC2" w:rsidRDefault="003C2AC2" w:rsidP="003C2AC2">
      <w:pPr>
        <w:widowControl/>
        <w:spacing w:line="240" w:lineRule="exact"/>
        <w:ind w:leftChars="59" w:left="802" w:rightChars="58" w:right="139" w:hangingChars="330" w:hanging="660"/>
        <w:rPr>
          <w:rFonts w:ascii="微軟正黑體" w:eastAsia="微軟正黑體" w:hAnsi="微軟正黑體"/>
          <w:sz w:val="20"/>
        </w:rPr>
      </w:pPr>
      <w:r w:rsidRPr="0038767E">
        <w:rPr>
          <w:rFonts w:ascii="微軟正黑體" w:eastAsia="微軟正黑體" w:hAnsi="微軟正黑體" w:hint="eastAsia"/>
          <w:sz w:val="20"/>
        </w:rPr>
        <w:t xml:space="preserve">     3</w:t>
      </w:r>
      <w:r>
        <w:rPr>
          <w:rFonts w:ascii="微軟正黑體" w:eastAsia="微軟正黑體" w:hAnsi="微軟正黑體" w:hint="eastAsia"/>
          <w:sz w:val="20"/>
        </w:rPr>
        <w:t>.</w:t>
      </w:r>
      <w:r w:rsidRPr="0038767E">
        <w:rPr>
          <w:rFonts w:ascii="微軟正黑體" w:eastAsia="微軟正黑體" w:hAnsi="微軟正黑體" w:hint="eastAsia"/>
          <w:sz w:val="20"/>
        </w:rPr>
        <w:t>軍公教退撫(新制/一次退休金)統計人數含政務人員、公務人員、教育人員及軍職人員。</w:t>
      </w:r>
    </w:p>
    <w:p w:rsidR="003C2AC2" w:rsidRPr="0038767E" w:rsidRDefault="003C2AC2" w:rsidP="003C2AC2">
      <w:pPr>
        <w:widowControl/>
        <w:spacing w:line="240" w:lineRule="exact"/>
        <w:ind w:leftChars="59" w:left="934" w:rightChars="58" w:right="139" w:hangingChars="330" w:hanging="792"/>
        <w:rPr>
          <w:rFonts w:ascii="微軟正黑體" w:eastAsia="微軟正黑體" w:hAnsi="微軟正黑體"/>
        </w:rPr>
      </w:pPr>
    </w:p>
    <w:p w:rsidR="003C2AC2" w:rsidRPr="00395CBA" w:rsidRDefault="003C2AC2" w:rsidP="003C2AC2">
      <w:pPr>
        <w:adjustRightInd w:val="0"/>
        <w:spacing w:beforeLines="30" w:before="108" w:line="400" w:lineRule="exact"/>
        <w:ind w:firstLineChars="100" w:firstLine="240"/>
        <w:textAlignment w:val="baseline"/>
        <w:rPr>
          <w:rFonts w:ascii="微軟正黑體" w:eastAsia="微軟正黑體" w:hAnsi="微軟正黑體"/>
        </w:rPr>
      </w:pPr>
      <w:r>
        <w:rPr>
          <w:rFonts w:ascii="微軟正黑體" w:eastAsia="微軟正黑體" w:hAnsi="微軟正黑體" w:hint="eastAsia"/>
        </w:rPr>
        <w:t xml:space="preserve">(3) </w:t>
      </w:r>
      <w:r w:rsidRPr="00395CBA">
        <w:rPr>
          <w:rFonts w:ascii="微軟正黑體" w:eastAsia="微軟正黑體" w:hAnsi="微軟正黑體" w:hint="eastAsia"/>
        </w:rPr>
        <w:t>退休金平均領取金額</w:t>
      </w:r>
    </w:p>
    <w:p w:rsidR="003C2AC2" w:rsidRDefault="003C2AC2" w:rsidP="003C2AC2">
      <w:pPr>
        <w:pStyle w:val="af0"/>
        <w:adjustRightInd w:val="0"/>
        <w:spacing w:line="400" w:lineRule="exact"/>
        <w:ind w:leftChars="0" w:left="743" w:hanging="357"/>
        <w:jc w:val="both"/>
        <w:textAlignment w:val="baseline"/>
        <w:rPr>
          <w:rFonts w:ascii="微軟正黑體" w:eastAsia="微軟正黑體" w:hAnsi="微軟正黑體"/>
        </w:rPr>
      </w:pPr>
      <w:r>
        <w:rPr>
          <w:rFonts w:ascii="微軟正黑體" w:eastAsia="微軟正黑體" w:hAnsi="微軟正黑體" w:hint="eastAsia"/>
          <w:color w:val="FF0000"/>
        </w:rPr>
        <w:t xml:space="preserve">       </w:t>
      </w:r>
      <w:r>
        <w:rPr>
          <w:rFonts w:ascii="微軟正黑體" w:eastAsia="微軟正黑體" w:hAnsi="微軟正黑體" w:hint="eastAsia"/>
        </w:rPr>
        <w:t>一次退休金部分，109年私校教職員平均領取312.7萬元(含舊制退休金及新制儲金)，勞工退休金舊制平均領取212.2萬元，另勞工退休金新制因甫自94年開辦，目前領取一次退休金者提繳年資多數較</w:t>
      </w:r>
      <w:r w:rsidRPr="00C34084">
        <w:rPr>
          <w:rFonts w:ascii="微軟正黑體" w:eastAsia="微軟正黑體" w:hAnsi="微軟正黑體" w:hint="eastAsia"/>
        </w:rPr>
        <w:t>短</w:t>
      </w:r>
      <w:r>
        <w:rPr>
          <w:rFonts w:ascii="微軟正黑體" w:eastAsia="微軟正黑體" w:hAnsi="微軟正黑體" w:hint="eastAsia"/>
        </w:rPr>
        <w:t>，平均領取28.2萬元。</w:t>
      </w:r>
    </w:p>
    <w:p w:rsidR="003C2AC2" w:rsidRDefault="003C2AC2" w:rsidP="003C2AC2">
      <w:pPr>
        <w:pStyle w:val="af0"/>
        <w:adjustRightInd w:val="0"/>
        <w:spacing w:line="400" w:lineRule="exact"/>
        <w:ind w:leftChars="0" w:left="743" w:hanging="357"/>
        <w:jc w:val="both"/>
        <w:textAlignment w:val="baseline"/>
        <w:rPr>
          <w:rFonts w:ascii="微軟正黑體" w:eastAsia="微軟正黑體" w:hAnsi="微軟正黑體"/>
        </w:rPr>
      </w:pPr>
    </w:p>
    <w:p w:rsidR="003C2AC2" w:rsidRDefault="003C2AC2" w:rsidP="003C2AC2">
      <w:pPr>
        <w:pStyle w:val="af0"/>
        <w:adjustRightInd w:val="0"/>
        <w:spacing w:line="400" w:lineRule="exact"/>
        <w:ind w:leftChars="0" w:left="743" w:hanging="357"/>
        <w:jc w:val="both"/>
        <w:textAlignment w:val="baseline"/>
        <w:rPr>
          <w:rFonts w:ascii="微軟正黑體" w:eastAsia="微軟正黑體" w:hAnsi="微軟正黑體"/>
        </w:rPr>
      </w:pPr>
    </w:p>
    <w:p w:rsidR="003C2AC2" w:rsidRDefault="003C2AC2" w:rsidP="003C2AC2">
      <w:pPr>
        <w:pStyle w:val="af0"/>
        <w:adjustRightInd w:val="0"/>
        <w:spacing w:line="400" w:lineRule="exact"/>
        <w:ind w:leftChars="0" w:left="743" w:hanging="357"/>
        <w:jc w:val="both"/>
        <w:textAlignment w:val="baseline"/>
        <w:rPr>
          <w:rFonts w:ascii="微軟正黑體" w:eastAsia="微軟正黑體" w:hAnsi="微軟正黑體"/>
        </w:rPr>
      </w:pPr>
    </w:p>
    <w:p w:rsidR="003C2AC2" w:rsidRDefault="003C2AC2" w:rsidP="003C2AC2">
      <w:pPr>
        <w:widowControl/>
        <w:spacing w:line="400" w:lineRule="exact"/>
        <w:ind w:leftChars="295" w:left="708" w:firstLineChars="200" w:firstLine="480"/>
        <w:rPr>
          <w:rFonts w:ascii="微軟正黑體" w:eastAsia="微軟正黑體" w:hAnsi="微軟正黑體"/>
        </w:rPr>
      </w:pPr>
    </w:p>
    <w:p w:rsidR="003C2AC2" w:rsidRDefault="003C2AC2" w:rsidP="003C2AC2">
      <w:pPr>
        <w:widowControl/>
        <w:spacing w:line="400" w:lineRule="exact"/>
        <w:ind w:leftChars="295" w:left="708" w:firstLineChars="200" w:firstLine="480"/>
        <w:rPr>
          <w:rFonts w:ascii="微軟正黑體" w:eastAsia="微軟正黑體" w:hAnsi="微軟正黑體"/>
        </w:rPr>
      </w:pPr>
      <w:r>
        <w:rPr>
          <w:rFonts w:hint="eastAsia"/>
          <w:noProof/>
        </w:rPr>
        <w:lastRenderedPageBreak/>
        <w:drawing>
          <wp:anchor distT="0" distB="0" distL="114300" distR="114300" simplePos="0" relativeHeight="252516352" behindDoc="0" locked="0" layoutInCell="1" allowOverlap="1" wp14:anchorId="604969ED" wp14:editId="7B7182C9">
            <wp:simplePos x="0" y="0"/>
            <wp:positionH relativeFrom="column">
              <wp:posOffset>215265</wp:posOffset>
            </wp:positionH>
            <wp:positionV relativeFrom="paragraph">
              <wp:posOffset>138430</wp:posOffset>
            </wp:positionV>
            <wp:extent cx="5486400" cy="1360805"/>
            <wp:effectExtent l="0" t="0" r="19050" b="10795"/>
            <wp:wrapNone/>
            <wp:docPr id="21550" name="圖表 21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3C2AC2" w:rsidRDefault="003C2AC2" w:rsidP="003C2AC2">
      <w:pPr>
        <w:widowControl/>
        <w:spacing w:line="400" w:lineRule="exact"/>
        <w:rPr>
          <w:rFonts w:ascii="微軟正黑體" w:eastAsia="微軟正黑體" w:hAnsi="微軟正黑體"/>
        </w:rPr>
      </w:pPr>
    </w:p>
    <w:p w:rsidR="003C2AC2" w:rsidRDefault="003C2AC2" w:rsidP="003C2AC2">
      <w:pPr>
        <w:widowControl/>
        <w:rPr>
          <w:rFonts w:ascii="微軟正黑體" w:eastAsia="微軟正黑體" w:hAnsi="微軟正黑體"/>
        </w:rPr>
      </w:pPr>
    </w:p>
    <w:p w:rsidR="003C2AC2" w:rsidRDefault="003C2AC2" w:rsidP="003C2AC2">
      <w:pPr>
        <w:widowControl/>
        <w:rPr>
          <w:rFonts w:ascii="微軟正黑體" w:eastAsia="微軟正黑體" w:hAnsi="微軟正黑體"/>
        </w:rPr>
      </w:pPr>
    </w:p>
    <w:p w:rsidR="003C2AC2" w:rsidRDefault="003C2AC2" w:rsidP="003C2AC2">
      <w:pPr>
        <w:widowControl/>
        <w:jc w:val="center"/>
        <w:rPr>
          <w:rFonts w:ascii="微軟正黑體" w:eastAsia="微軟正黑體" w:hAnsi="微軟正黑體"/>
        </w:rPr>
      </w:pPr>
      <w:r>
        <w:rPr>
          <w:rFonts w:ascii="微軟正黑體" w:eastAsia="微軟正黑體" w:hAnsi="微軟正黑體" w:hint="eastAsia"/>
        </w:rPr>
        <w:t>圖1.13  109年一次退休金平均領取金額</w:t>
      </w:r>
    </w:p>
    <w:p w:rsidR="003C2AC2" w:rsidRPr="0038767E" w:rsidRDefault="003C2AC2" w:rsidP="003C2AC2">
      <w:pPr>
        <w:widowControl/>
        <w:jc w:val="center"/>
        <w:rPr>
          <w:rFonts w:ascii="微軟正黑體" w:eastAsia="微軟正黑體" w:hAnsi="微軟正黑體"/>
        </w:rPr>
      </w:pPr>
    </w:p>
    <w:p w:rsidR="003C2AC2" w:rsidRPr="00395CBA" w:rsidRDefault="003C2AC2" w:rsidP="003C2AC2">
      <w:pPr>
        <w:widowControl/>
        <w:spacing w:afterLines="30" w:after="108" w:line="400" w:lineRule="exact"/>
        <w:ind w:firstLineChars="100" w:firstLine="240"/>
        <w:rPr>
          <w:rFonts w:ascii="微軟正黑體" w:eastAsia="微軟正黑體" w:hAnsi="微軟正黑體"/>
        </w:rPr>
      </w:pPr>
      <w:r>
        <w:rPr>
          <w:rFonts w:ascii="微軟正黑體" w:eastAsia="微軟正黑體" w:hAnsi="微軟正黑體" w:hint="eastAsia"/>
        </w:rPr>
        <w:t xml:space="preserve">3. </w:t>
      </w:r>
      <w:r w:rsidRPr="00395CBA">
        <w:rPr>
          <w:rFonts w:ascii="微軟正黑體" w:eastAsia="微軟正黑體" w:hAnsi="微軟正黑體" w:hint="eastAsia"/>
        </w:rPr>
        <w:t>財務概況</w:t>
      </w:r>
    </w:p>
    <w:p w:rsidR="003C2AC2" w:rsidRPr="0038767E" w:rsidRDefault="003C2AC2" w:rsidP="003C2AC2">
      <w:pPr>
        <w:adjustRightInd w:val="0"/>
        <w:spacing w:afterLines="25" w:after="90" w:line="400" w:lineRule="exact"/>
        <w:ind w:firstLineChars="100" w:firstLine="240"/>
        <w:textAlignment w:val="baseline"/>
        <w:rPr>
          <w:rFonts w:ascii="微軟正黑體" w:eastAsia="微軟正黑體" w:hAnsi="微軟正黑體"/>
          <w:kern w:val="0"/>
        </w:rPr>
      </w:pPr>
      <w:r w:rsidRPr="0038767E">
        <w:rPr>
          <w:rFonts w:ascii="微軟正黑體" w:eastAsia="微軟正黑體" w:hAnsi="微軟正黑體" w:hint="eastAsia"/>
          <w:kern w:val="0"/>
        </w:rPr>
        <w:t>(1) 基金運用規模</w:t>
      </w:r>
    </w:p>
    <w:p w:rsidR="003C2AC2" w:rsidRPr="00B700E0" w:rsidRDefault="003C2AC2" w:rsidP="003C2AC2">
      <w:pPr>
        <w:widowControl/>
        <w:spacing w:afterLines="25" w:after="90" w:line="400" w:lineRule="exact"/>
        <w:ind w:leftChars="295" w:left="708" w:firstLineChars="200" w:firstLine="480"/>
        <w:jc w:val="both"/>
        <w:rPr>
          <w:rFonts w:ascii="微軟正黑體" w:eastAsia="微軟正黑體" w:hAnsi="微軟正黑體"/>
        </w:rPr>
      </w:pPr>
      <w:r w:rsidRPr="00B700E0">
        <w:rPr>
          <w:rFonts w:ascii="微軟正黑體" w:eastAsia="微軟正黑體" w:hAnsi="微軟正黑體" w:hint="eastAsia"/>
        </w:rPr>
        <w:t>各職業別退休金基金中，以勞工退休金新制規模最大，</w:t>
      </w:r>
      <w:r>
        <w:rPr>
          <w:rFonts w:ascii="微軟正黑體" w:eastAsia="微軟正黑體" w:hAnsi="微軟正黑體" w:hint="eastAsia"/>
        </w:rPr>
        <w:t>109</w:t>
      </w:r>
      <w:r w:rsidRPr="00B700E0">
        <w:rPr>
          <w:rFonts w:ascii="微軟正黑體" w:eastAsia="微軟正黑體" w:hAnsi="微軟正黑體" w:hint="eastAsia"/>
        </w:rPr>
        <w:t>年達2兆</w:t>
      </w:r>
      <w:r>
        <w:rPr>
          <w:rFonts w:ascii="微軟正黑體" w:eastAsia="微軟正黑體" w:hAnsi="微軟正黑體" w:hint="eastAsia"/>
        </w:rPr>
        <w:t>7,224.5</w:t>
      </w:r>
      <w:r w:rsidRPr="00B700E0">
        <w:rPr>
          <w:rFonts w:ascii="微軟正黑體" w:eastAsia="微軟正黑體" w:hAnsi="微軟正黑體" w:hint="eastAsia"/>
        </w:rPr>
        <w:t>億元，其次為勞工退休金舊制</w:t>
      </w:r>
      <w:r>
        <w:rPr>
          <w:rFonts w:ascii="微軟正黑體" w:eastAsia="微軟正黑體" w:hAnsi="微軟正黑體" w:hint="eastAsia"/>
        </w:rPr>
        <w:t>8</w:t>
      </w:r>
      <w:r w:rsidRPr="00B700E0">
        <w:rPr>
          <w:rFonts w:ascii="微軟正黑體" w:eastAsia="微軟正黑體" w:hAnsi="微軟正黑體" w:hint="eastAsia"/>
        </w:rPr>
        <w:t>,</w:t>
      </w:r>
      <w:r>
        <w:rPr>
          <w:rFonts w:ascii="微軟正黑體" w:eastAsia="微軟正黑體" w:hAnsi="微軟正黑體" w:hint="eastAsia"/>
        </w:rPr>
        <w:t>975.5</w:t>
      </w:r>
      <w:r w:rsidRPr="00B700E0">
        <w:rPr>
          <w:rFonts w:ascii="微軟正黑體" w:eastAsia="微軟正黑體" w:hAnsi="微軟正黑體" w:hint="eastAsia"/>
        </w:rPr>
        <w:t>億元，軍公教退撫基金</w:t>
      </w:r>
      <w:r>
        <w:rPr>
          <w:rFonts w:ascii="微軟正黑體" w:eastAsia="微軟正黑體" w:hAnsi="微軟正黑體" w:hint="eastAsia"/>
        </w:rPr>
        <w:t>6</w:t>
      </w:r>
      <w:r w:rsidR="006E668E">
        <w:rPr>
          <w:rFonts w:ascii="微軟正黑體" w:eastAsia="微軟正黑體" w:hAnsi="微軟正黑體" w:hint="eastAsia"/>
        </w:rPr>
        <w:t>,</w:t>
      </w:r>
      <w:r>
        <w:rPr>
          <w:rFonts w:ascii="微軟正黑體" w:eastAsia="微軟正黑體" w:hAnsi="微軟正黑體" w:hint="eastAsia"/>
        </w:rPr>
        <w:t>402.7</w:t>
      </w:r>
      <w:r w:rsidRPr="00B700E0">
        <w:rPr>
          <w:rFonts w:ascii="微軟正黑體" w:eastAsia="微軟正黑體" w:hAnsi="微軟正黑體" w:hint="eastAsia"/>
        </w:rPr>
        <w:t>億元，私校退撫儲金</w:t>
      </w:r>
      <w:r>
        <w:rPr>
          <w:rFonts w:ascii="微軟正黑體" w:eastAsia="微軟正黑體" w:hAnsi="微軟正黑體" w:hint="eastAsia"/>
        </w:rPr>
        <w:t>610.0</w:t>
      </w:r>
      <w:r w:rsidRPr="00B700E0">
        <w:rPr>
          <w:rFonts w:ascii="微軟正黑體" w:eastAsia="微軟正黑體" w:hAnsi="微軟正黑體" w:hint="eastAsia"/>
        </w:rPr>
        <w:t>億元，總計我國職業退休基金規模為</w:t>
      </w:r>
      <w:r>
        <w:rPr>
          <w:rFonts w:ascii="微軟正黑體" w:eastAsia="微軟正黑體" w:hAnsi="微軟正黑體" w:hint="eastAsia"/>
        </w:rPr>
        <w:t>4</w:t>
      </w:r>
      <w:r w:rsidRPr="00B700E0">
        <w:rPr>
          <w:rFonts w:ascii="微軟正黑體" w:eastAsia="微軟正黑體" w:hAnsi="微軟正黑體" w:hint="eastAsia"/>
        </w:rPr>
        <w:t>兆</w:t>
      </w:r>
      <w:r>
        <w:rPr>
          <w:rFonts w:ascii="微軟正黑體" w:eastAsia="微軟正黑體" w:hAnsi="微軟正黑體" w:hint="eastAsia"/>
        </w:rPr>
        <w:t>3</w:t>
      </w:r>
      <w:r w:rsidRPr="00B700E0">
        <w:rPr>
          <w:rFonts w:ascii="微軟正黑體" w:eastAsia="微軟正黑體" w:hAnsi="微軟正黑體" w:hint="eastAsia"/>
        </w:rPr>
        <w:t>,</w:t>
      </w:r>
      <w:r>
        <w:rPr>
          <w:rFonts w:ascii="微軟正黑體" w:eastAsia="微軟正黑體" w:hAnsi="微軟正黑體" w:hint="eastAsia"/>
        </w:rPr>
        <w:t>212.8</w:t>
      </w:r>
      <w:r w:rsidRPr="00B700E0">
        <w:rPr>
          <w:rFonts w:ascii="微軟正黑體" w:eastAsia="微軟正黑體" w:hAnsi="微軟正黑體" w:hint="eastAsia"/>
        </w:rPr>
        <w:t>億元，較10</w:t>
      </w:r>
      <w:r>
        <w:rPr>
          <w:rFonts w:ascii="微軟正黑體" w:eastAsia="微軟正黑體" w:hAnsi="微軟正黑體" w:hint="eastAsia"/>
        </w:rPr>
        <w:t>8</w:t>
      </w:r>
      <w:r w:rsidRPr="00B700E0">
        <w:rPr>
          <w:rFonts w:ascii="微軟正黑體" w:eastAsia="微軟正黑體" w:hAnsi="微軟正黑體" w:hint="eastAsia"/>
        </w:rPr>
        <w:t>年增加</w:t>
      </w:r>
      <w:r>
        <w:rPr>
          <w:rFonts w:ascii="微軟正黑體" w:eastAsia="微軟正黑體" w:hAnsi="微軟正黑體" w:hint="eastAsia"/>
        </w:rPr>
        <w:t>2,845.1</w:t>
      </w:r>
      <w:r w:rsidRPr="00B700E0">
        <w:rPr>
          <w:rFonts w:ascii="微軟正黑體" w:eastAsia="微軟正黑體" w:hAnsi="微軟正黑體" w:hint="eastAsia"/>
        </w:rPr>
        <w:t>億元。</w:t>
      </w:r>
    </w:p>
    <w:p w:rsidR="003C2AC2" w:rsidRDefault="003C2AC2" w:rsidP="003C2AC2">
      <w:pPr>
        <w:widowControl/>
        <w:spacing w:afterLines="25" w:after="90" w:line="400" w:lineRule="exact"/>
        <w:rPr>
          <w:rFonts w:ascii="微軟正黑體" w:eastAsia="微軟正黑體" w:hAnsi="微軟正黑體"/>
        </w:rPr>
      </w:pPr>
      <w:r>
        <w:rPr>
          <w:rFonts w:hint="eastAsia"/>
          <w:noProof/>
        </w:rPr>
        <w:drawing>
          <wp:anchor distT="0" distB="0" distL="114300" distR="114300" simplePos="0" relativeHeight="252511232" behindDoc="0" locked="0" layoutInCell="1" allowOverlap="1" wp14:anchorId="4CB35A1F" wp14:editId="17952FE8">
            <wp:simplePos x="0" y="0"/>
            <wp:positionH relativeFrom="column">
              <wp:posOffset>-205528</wp:posOffset>
            </wp:positionH>
            <wp:positionV relativeFrom="paragraph">
              <wp:posOffset>53340</wp:posOffset>
            </wp:positionV>
            <wp:extent cx="6443134" cy="4004734"/>
            <wp:effectExtent l="0" t="0" r="15240" b="15240"/>
            <wp:wrapNone/>
            <wp:docPr id="21551" name="圖表 21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Default="006E668E" w:rsidP="003C2AC2">
      <w:pPr>
        <w:widowControl/>
        <w:spacing w:afterLines="25" w:after="90" w:line="400" w:lineRule="exact"/>
        <w:rPr>
          <w:rFonts w:ascii="微軟正黑體" w:eastAsia="微軟正黑體" w:hAnsi="微軟正黑體"/>
        </w:rPr>
      </w:pPr>
      <w:r>
        <w:rPr>
          <w:rFonts w:hint="eastAsia"/>
          <w:noProof/>
        </w:rPr>
        <mc:AlternateContent>
          <mc:Choice Requires="wps">
            <w:drawing>
              <wp:anchor distT="0" distB="0" distL="114300" distR="114300" simplePos="0" relativeHeight="252529664" behindDoc="0" locked="0" layoutInCell="1" allowOverlap="1" wp14:anchorId="515B8630" wp14:editId="3F37AE0A">
                <wp:simplePos x="0" y="0"/>
                <wp:positionH relativeFrom="column">
                  <wp:posOffset>1151043</wp:posOffset>
                </wp:positionH>
                <wp:positionV relativeFrom="paragraph">
                  <wp:posOffset>118110</wp:posOffset>
                </wp:positionV>
                <wp:extent cx="955675" cy="262255"/>
                <wp:effectExtent l="0" t="0" r="0" b="4445"/>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262255"/>
                        </a:xfrm>
                        <a:prstGeom prst="rect">
                          <a:avLst/>
                        </a:prstGeom>
                        <a:noFill/>
                        <a:ln w="9525">
                          <a:noFill/>
                          <a:miter lim="800000"/>
                          <a:headEnd/>
                          <a:tailEnd/>
                        </a:ln>
                      </wps:spPr>
                      <wps:txbx>
                        <w:txbxContent>
                          <w:p w:rsidR="00745375" w:rsidRPr="00EF6A94" w:rsidRDefault="00745375" w:rsidP="003C2AC2">
                            <w:pPr>
                              <w:rPr>
                                <w:sz w:val="14"/>
                                <w:szCs w:val="14"/>
                              </w:rPr>
                            </w:pPr>
                            <w:r w:rsidRPr="00EF6A94">
                              <w:rPr>
                                <w:sz w:val="14"/>
                                <w:szCs w:val="14"/>
                              </w:rPr>
                              <w:t xml:space="preserve"> </w:t>
                            </w:r>
                            <w:r w:rsidRPr="00EF6A94">
                              <w:rPr>
                                <w:rFonts w:hint="eastAsia"/>
                                <w:sz w:val="14"/>
                                <w:szCs w:val="14"/>
                              </w:rPr>
                              <w:t>－</w:t>
                            </w:r>
                            <w:r w:rsidRPr="00EF6A94">
                              <w:rPr>
                                <w:sz w:val="14"/>
                                <w:szCs w:val="14"/>
                              </w:rPr>
                              <w:t xml:space="preserve">       </w:t>
                            </w:r>
                            <w:r>
                              <w:rPr>
                                <w:rFonts w:hint="eastAsia"/>
                                <w:sz w:val="14"/>
                                <w:szCs w:val="14"/>
                              </w:rPr>
                              <w:t xml:space="preserve"> </w:t>
                            </w:r>
                            <w:r w:rsidRPr="00EF6A94">
                              <w:rPr>
                                <w:sz w:val="14"/>
                                <w:szCs w:val="14"/>
                              </w:rPr>
                              <w:t xml:space="preserve"> </w:t>
                            </w:r>
                            <w:r w:rsidRPr="00EF6A94">
                              <w:rPr>
                                <w:rFonts w:hint="eastAsia"/>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6" o:spid="_x0000_s1030" type="#_x0000_t202" style="position:absolute;margin-left:90.65pt;margin-top:9.3pt;width:75.25pt;height:20.6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" filled="f" stroked="f">
                <v:textbox>
                  <w:txbxContent>
                    <w:p w:rsidR="00745375" w:rsidRPr="00EF6A94" w:rsidRDefault="00745375" w:rsidP="003C2AC2">
                      <w:pPr>
                        <w:rPr>
                          <w:sz w:val="14"/>
                          <w:szCs w:val="14"/>
                        </w:rPr>
                      </w:pPr>
                      <w:r w:rsidRPr="00EF6A94">
                        <w:rPr>
                          <w:sz w:val="14"/>
                          <w:szCs w:val="14"/>
                        </w:rPr>
                        <w:t xml:space="preserve"> </w:t>
                      </w:r>
                      <w:r w:rsidRPr="00EF6A94">
                        <w:rPr>
                          <w:rFonts w:hint="eastAsia"/>
                          <w:sz w:val="14"/>
                          <w:szCs w:val="14"/>
                        </w:rPr>
                        <w:t>－</w:t>
                      </w:r>
                      <w:r w:rsidRPr="00EF6A94">
                        <w:rPr>
                          <w:sz w:val="14"/>
                          <w:szCs w:val="14"/>
                        </w:rPr>
                        <w:t xml:space="preserve">       </w:t>
                      </w:r>
                      <w:r>
                        <w:rPr>
                          <w:rFonts w:hint="eastAsia"/>
                          <w:sz w:val="14"/>
                          <w:szCs w:val="14"/>
                        </w:rPr>
                        <w:t xml:space="preserve"> </w:t>
                      </w:r>
                      <w:r w:rsidRPr="00EF6A94">
                        <w:rPr>
                          <w:sz w:val="14"/>
                          <w:szCs w:val="14"/>
                        </w:rPr>
                        <w:t xml:space="preserve"> </w:t>
                      </w:r>
                      <w:r w:rsidRPr="00EF6A94">
                        <w:rPr>
                          <w:rFonts w:hint="eastAsia"/>
                          <w:sz w:val="14"/>
                          <w:szCs w:val="14"/>
                        </w:rPr>
                        <w:t>－</w:t>
                      </w:r>
                    </w:p>
                  </w:txbxContent>
                </v:textbox>
              </v:shape>
            </w:pict>
          </mc:Fallback>
        </mc:AlternateContent>
      </w:r>
    </w:p>
    <w:p w:rsidR="003C2AC2" w:rsidRDefault="003C2AC2" w:rsidP="003C2AC2">
      <w:pPr>
        <w:widowControl/>
        <w:spacing w:afterLines="25" w:after="90" w:line="400" w:lineRule="exact"/>
        <w:rPr>
          <w:rFonts w:ascii="微軟正黑體" w:eastAsia="微軟正黑體" w:hAnsi="微軟正黑體"/>
          <w:sz w:val="20"/>
          <w:szCs w:val="20"/>
        </w:rPr>
      </w:pPr>
    </w:p>
    <w:p w:rsidR="003C2AC2" w:rsidRPr="0038767E" w:rsidRDefault="003C2AC2" w:rsidP="003C2AC2">
      <w:pPr>
        <w:widowControl/>
        <w:spacing w:afterLines="25" w:after="90" w:line="400" w:lineRule="exact"/>
        <w:rPr>
          <w:rFonts w:ascii="微軟正黑體" w:eastAsia="微軟正黑體" w:hAnsi="微軟正黑體"/>
          <w:sz w:val="20"/>
          <w:szCs w:val="20"/>
        </w:rPr>
      </w:pPr>
      <w:r w:rsidRPr="0038767E">
        <w:rPr>
          <w:rFonts w:ascii="微軟正黑體" w:eastAsia="微軟正黑體" w:hAnsi="微軟正黑體" w:hint="eastAsia"/>
          <w:sz w:val="20"/>
          <w:szCs w:val="20"/>
        </w:rPr>
        <w:t>註：本項統計為基金運用規模，非資產總計。</w:t>
      </w:r>
    </w:p>
    <w:p w:rsidR="003C2AC2" w:rsidRDefault="003C2AC2" w:rsidP="003C2AC2">
      <w:pPr>
        <w:widowControl/>
        <w:spacing w:beforeLines="50" w:before="180" w:line="400" w:lineRule="exact"/>
        <w:jc w:val="center"/>
        <w:rPr>
          <w:rFonts w:ascii="微軟正黑體" w:eastAsia="微軟正黑體" w:hAnsi="微軟正黑體"/>
        </w:rPr>
      </w:pPr>
      <w:r w:rsidRPr="00B700E0">
        <w:rPr>
          <w:rFonts w:ascii="微軟正黑體" w:eastAsia="微軟正黑體" w:hAnsi="微軟正黑體" w:hint="eastAsia"/>
        </w:rPr>
        <w:t>圖1.14  近10年各職業別退休金基金</w:t>
      </w:r>
      <w:r>
        <w:rPr>
          <w:rFonts w:ascii="微軟正黑體" w:eastAsia="微軟正黑體" w:hAnsi="微軟正黑體" w:hint="eastAsia"/>
        </w:rPr>
        <w:t>運用</w:t>
      </w:r>
      <w:r w:rsidRPr="00B700E0">
        <w:rPr>
          <w:rFonts w:ascii="微軟正黑體" w:eastAsia="微軟正黑體" w:hAnsi="微軟正黑體" w:hint="eastAsia"/>
        </w:rPr>
        <w:t>規模</w:t>
      </w:r>
    </w:p>
    <w:p w:rsidR="003C2AC2" w:rsidRDefault="003C2AC2" w:rsidP="003C2AC2">
      <w:pPr>
        <w:adjustRightInd w:val="0"/>
        <w:spacing w:afterLines="25" w:after="90" w:line="400" w:lineRule="exact"/>
        <w:ind w:firstLineChars="100" w:firstLine="240"/>
        <w:textAlignment w:val="baseline"/>
        <w:rPr>
          <w:rFonts w:ascii="微軟正黑體" w:eastAsia="微軟正黑體" w:hAnsi="微軟正黑體"/>
          <w:kern w:val="0"/>
        </w:rPr>
      </w:pPr>
    </w:p>
    <w:p w:rsidR="003C2AC2" w:rsidRPr="00B700E0" w:rsidRDefault="003C2AC2" w:rsidP="003C2AC2">
      <w:pPr>
        <w:adjustRightInd w:val="0"/>
        <w:spacing w:afterLines="25" w:after="90" w:line="400" w:lineRule="exact"/>
        <w:ind w:firstLineChars="100" w:firstLine="240"/>
        <w:textAlignment w:val="baseline"/>
        <w:rPr>
          <w:rFonts w:ascii="微軟正黑體" w:eastAsia="微軟正黑體" w:hAnsi="微軟正黑體"/>
          <w:kern w:val="0"/>
        </w:rPr>
      </w:pPr>
      <w:r w:rsidRPr="00B700E0">
        <w:rPr>
          <w:rFonts w:ascii="微軟正黑體" w:eastAsia="微軟正黑體" w:hAnsi="微軟正黑體" w:hint="eastAsia"/>
          <w:kern w:val="0"/>
        </w:rPr>
        <w:lastRenderedPageBreak/>
        <w:t>(2) 基金運用收益</w:t>
      </w:r>
    </w:p>
    <w:p w:rsidR="003C2AC2" w:rsidRDefault="003C2AC2" w:rsidP="003C2AC2">
      <w:pPr>
        <w:widowControl/>
        <w:spacing w:beforeLines="30" w:before="108" w:afterLines="25" w:after="90" w:line="400" w:lineRule="exact"/>
        <w:ind w:leftChars="295" w:left="708" w:firstLineChars="200" w:firstLine="480"/>
        <w:rPr>
          <w:rFonts w:ascii="微軟正黑體" w:eastAsia="微軟正黑體" w:hAnsi="微軟正黑體"/>
        </w:rPr>
      </w:pPr>
      <w:r w:rsidRPr="00B700E0">
        <w:rPr>
          <w:rFonts w:ascii="微軟正黑體" w:eastAsia="微軟正黑體" w:hAnsi="微軟正黑體" w:hint="eastAsia"/>
        </w:rPr>
        <w:t>同社會保險基金，職業別退休基金之運用收益也受到國際經濟情勢影響，100</w:t>
      </w:r>
      <w:r>
        <w:rPr>
          <w:rFonts w:ascii="微軟正黑體" w:eastAsia="微軟正黑體" w:hAnsi="微軟正黑體" w:hint="eastAsia"/>
        </w:rPr>
        <w:t>年歐債危機、104年全球經濟復甦不如預期、107年全球經濟放緩及中美貿易衝突等因素影響，各退休基金當年度之基金投資收益均滑落。</w:t>
      </w:r>
      <w:r>
        <w:rPr>
          <w:rFonts w:ascii="微軟正黑體" w:eastAsia="微軟正黑體" w:hAnsi="微軟正黑體" w:hint="eastAsia"/>
          <w:color w:val="000000" w:themeColor="text1"/>
        </w:rPr>
        <w:t>109年各基金運用收益良好。</w:t>
      </w:r>
    </w:p>
    <w:p w:rsidR="003C2AC2" w:rsidRDefault="003C2AC2" w:rsidP="003C2AC2">
      <w:pPr>
        <w:widowControl/>
        <w:spacing w:line="400" w:lineRule="exact"/>
        <w:ind w:firstLineChars="200" w:firstLine="480"/>
        <w:jc w:val="center"/>
        <w:rPr>
          <w:rFonts w:ascii="微軟正黑體" w:eastAsia="微軟正黑體" w:hAnsi="微軟正黑體"/>
        </w:rPr>
      </w:pPr>
      <w:r>
        <w:rPr>
          <w:rFonts w:hint="eastAsia"/>
          <w:noProof/>
        </w:rPr>
        <w:drawing>
          <wp:anchor distT="0" distB="0" distL="114300" distR="114300" simplePos="0" relativeHeight="252510208" behindDoc="0" locked="0" layoutInCell="1" allowOverlap="1" wp14:anchorId="561C7DDD" wp14:editId="1E156506">
            <wp:simplePos x="0" y="0"/>
            <wp:positionH relativeFrom="column">
              <wp:posOffset>131734</wp:posOffset>
            </wp:positionH>
            <wp:positionV relativeFrom="paragraph">
              <wp:posOffset>31635</wp:posOffset>
            </wp:positionV>
            <wp:extent cx="5493327" cy="2881745"/>
            <wp:effectExtent l="0" t="0" r="12700" b="13970"/>
            <wp:wrapNone/>
            <wp:docPr id="21552" name="圖表 21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3C2AC2" w:rsidRDefault="003C2AC2" w:rsidP="003C2AC2">
      <w:pPr>
        <w:widowControl/>
        <w:spacing w:line="400" w:lineRule="exact"/>
        <w:ind w:firstLineChars="200" w:firstLine="480"/>
        <w:jc w:val="center"/>
        <w:rPr>
          <w:rFonts w:ascii="微軟正黑體" w:eastAsia="微軟正黑體" w:hAnsi="微軟正黑體"/>
        </w:rPr>
      </w:pPr>
    </w:p>
    <w:p w:rsidR="003C2AC2" w:rsidRDefault="003C2AC2" w:rsidP="003C2AC2">
      <w:pPr>
        <w:widowControl/>
        <w:spacing w:line="400" w:lineRule="exact"/>
        <w:ind w:firstLineChars="200" w:firstLine="480"/>
        <w:jc w:val="center"/>
        <w:rPr>
          <w:rFonts w:ascii="微軟正黑體" w:eastAsia="微軟正黑體" w:hAnsi="微軟正黑體"/>
        </w:rPr>
      </w:pPr>
    </w:p>
    <w:p w:rsidR="003C2AC2" w:rsidRDefault="003C2AC2" w:rsidP="003C2AC2">
      <w:pPr>
        <w:widowControl/>
        <w:spacing w:line="400" w:lineRule="exact"/>
        <w:ind w:firstLineChars="200" w:firstLine="480"/>
        <w:jc w:val="center"/>
        <w:rPr>
          <w:rFonts w:ascii="微軟正黑體" w:eastAsia="微軟正黑體" w:hAnsi="微軟正黑體"/>
        </w:rPr>
      </w:pPr>
    </w:p>
    <w:p w:rsidR="003C2AC2" w:rsidRDefault="003C2AC2" w:rsidP="003C2AC2">
      <w:pPr>
        <w:widowControl/>
        <w:spacing w:line="400" w:lineRule="exact"/>
        <w:ind w:firstLineChars="200" w:firstLine="480"/>
        <w:jc w:val="center"/>
        <w:rPr>
          <w:rFonts w:ascii="微軟正黑體" w:eastAsia="微軟正黑體" w:hAnsi="微軟正黑體"/>
        </w:rPr>
      </w:pPr>
    </w:p>
    <w:p w:rsidR="003C2AC2" w:rsidRDefault="003C2AC2" w:rsidP="003C2AC2">
      <w:pPr>
        <w:widowControl/>
        <w:spacing w:line="400" w:lineRule="exact"/>
        <w:ind w:firstLineChars="200" w:firstLine="480"/>
        <w:jc w:val="center"/>
        <w:rPr>
          <w:rFonts w:ascii="微軟正黑體" w:eastAsia="微軟正黑體" w:hAnsi="微軟正黑體"/>
        </w:rPr>
      </w:pPr>
    </w:p>
    <w:p w:rsidR="003C2AC2" w:rsidRDefault="003C2AC2" w:rsidP="003C2AC2">
      <w:pPr>
        <w:widowControl/>
        <w:spacing w:line="400" w:lineRule="exact"/>
        <w:ind w:firstLineChars="200" w:firstLine="480"/>
        <w:jc w:val="center"/>
        <w:rPr>
          <w:rFonts w:ascii="微軟正黑體" w:eastAsia="微軟正黑體" w:hAnsi="微軟正黑體"/>
        </w:rPr>
      </w:pPr>
    </w:p>
    <w:p w:rsidR="003C2AC2" w:rsidRDefault="003C2AC2" w:rsidP="003C2AC2">
      <w:pPr>
        <w:widowControl/>
        <w:spacing w:line="400" w:lineRule="exact"/>
        <w:ind w:firstLineChars="200" w:firstLine="480"/>
        <w:jc w:val="center"/>
        <w:rPr>
          <w:rFonts w:ascii="微軟正黑體" w:eastAsia="微軟正黑體" w:hAnsi="微軟正黑體"/>
        </w:rPr>
      </w:pPr>
    </w:p>
    <w:p w:rsidR="003C2AC2" w:rsidRDefault="003C2AC2" w:rsidP="003C2AC2">
      <w:pPr>
        <w:widowControl/>
        <w:spacing w:line="400" w:lineRule="exact"/>
        <w:ind w:firstLineChars="200" w:firstLine="480"/>
        <w:jc w:val="center"/>
        <w:rPr>
          <w:rFonts w:ascii="微軟正黑體" w:eastAsia="微軟正黑體" w:hAnsi="微軟正黑體"/>
        </w:rPr>
      </w:pPr>
    </w:p>
    <w:p w:rsidR="003C2AC2" w:rsidRDefault="003C2AC2" w:rsidP="003C2AC2">
      <w:pPr>
        <w:widowControl/>
        <w:spacing w:line="400" w:lineRule="exact"/>
        <w:ind w:firstLineChars="200" w:firstLine="480"/>
        <w:jc w:val="center"/>
        <w:rPr>
          <w:rFonts w:ascii="微軟正黑體" w:eastAsia="微軟正黑體" w:hAnsi="微軟正黑體"/>
        </w:rPr>
      </w:pPr>
    </w:p>
    <w:p w:rsidR="003C2AC2" w:rsidRDefault="003C2AC2" w:rsidP="003C2AC2">
      <w:pPr>
        <w:widowControl/>
        <w:spacing w:beforeLines="30" w:before="108" w:line="400" w:lineRule="exact"/>
        <w:jc w:val="center"/>
        <w:rPr>
          <w:rFonts w:ascii="微軟正黑體" w:eastAsia="微軟正黑體" w:hAnsi="微軟正黑體"/>
        </w:rPr>
      </w:pPr>
    </w:p>
    <w:p w:rsidR="003C2AC2" w:rsidRPr="00A03EFF" w:rsidRDefault="003C2AC2" w:rsidP="003C2AC2">
      <w:pPr>
        <w:widowControl/>
        <w:spacing w:beforeLines="30" w:before="108" w:line="400" w:lineRule="exact"/>
        <w:jc w:val="center"/>
        <w:rPr>
          <w:rFonts w:ascii="微軟正黑體" w:eastAsia="微軟正黑體" w:hAnsi="微軟正黑體"/>
        </w:rPr>
      </w:pPr>
      <w:r>
        <w:rPr>
          <w:rFonts w:ascii="微軟正黑體" w:eastAsia="微軟正黑體" w:hAnsi="微軟正黑體" w:hint="eastAsia"/>
        </w:rPr>
        <w:t>圖1.15  近10年各職業別退休金基金運用收益</w:t>
      </w:r>
    </w:p>
    <w:p w:rsidR="003C2AC2" w:rsidRDefault="003C2AC2" w:rsidP="003C2AC2">
      <w:pPr>
        <w:widowControl/>
        <w:spacing w:beforeLines="50" w:before="180" w:line="400" w:lineRule="exact"/>
        <w:rPr>
          <w:rFonts w:ascii="微軟正黑體" w:eastAsia="微軟正黑體" w:hAnsi="微軟正黑體"/>
        </w:rPr>
      </w:pPr>
      <w:r>
        <w:rPr>
          <w:rFonts w:ascii="微軟正黑體" w:eastAsia="微軟正黑體" w:hAnsi="微軟正黑體" w:hint="eastAsia"/>
        </w:rPr>
        <w:t>(三) 老年福利津貼</w:t>
      </w:r>
    </w:p>
    <w:p w:rsidR="003C2AC2" w:rsidRPr="00395CBA" w:rsidRDefault="003C2AC2" w:rsidP="003C2AC2">
      <w:pPr>
        <w:snapToGrid w:val="0"/>
        <w:spacing w:beforeLines="30" w:before="108" w:line="400" w:lineRule="exact"/>
        <w:ind w:firstLineChars="100" w:firstLine="240"/>
        <w:jc w:val="both"/>
        <w:rPr>
          <w:rFonts w:ascii="微軟正黑體" w:eastAsia="微軟正黑體" w:hAnsi="微軟正黑體"/>
        </w:rPr>
      </w:pPr>
      <w:r>
        <w:rPr>
          <w:rFonts w:ascii="微軟正黑體" w:eastAsia="微軟正黑體" w:hAnsi="微軟正黑體" w:hint="eastAsia"/>
        </w:rPr>
        <w:t xml:space="preserve">1. </w:t>
      </w:r>
      <w:r w:rsidRPr="00395CBA">
        <w:rPr>
          <w:rFonts w:ascii="微軟正黑體" w:eastAsia="微軟正黑體" w:hAnsi="微軟正黑體" w:hint="eastAsia"/>
        </w:rPr>
        <w:t>受益人數</w:t>
      </w:r>
    </w:p>
    <w:p w:rsidR="003C2AC2" w:rsidRDefault="003C2AC2" w:rsidP="003C2AC2">
      <w:pPr>
        <w:snapToGrid w:val="0"/>
        <w:spacing w:beforeLines="30" w:before="108" w:afterLines="25" w:after="90" w:line="400" w:lineRule="exact"/>
        <w:ind w:leftChars="236" w:left="566" w:firstLineChars="140" w:firstLine="336"/>
        <w:jc w:val="both"/>
        <w:rPr>
          <w:rFonts w:ascii="微軟正黑體" w:eastAsia="微軟正黑體" w:hAnsi="微軟正黑體"/>
        </w:rPr>
      </w:pPr>
      <w:r>
        <w:rPr>
          <w:rFonts w:ascii="微軟正黑體" w:eastAsia="微軟正黑體" w:hAnsi="微軟正黑體" w:hint="eastAsia"/>
        </w:rPr>
        <w:t xml:space="preserve"> 現行老年福利津貼包括老年基本保證年金、原住民給付、老年農民福利津貼、中低收入老人生活津貼及榮民就養給付等，自開辦以來受益人數持續增加，至97年受益人數為最高，達182餘萬人，占65歲以上人口比率為76.1%。另自97年10月、98年1月陸續推動國民年金與勞保年金以來，由於領取國民年金與勞保年金給付日漸增加，老年福利津貼受益人數逐年減少，至109年降至132.5萬餘人，占65歲以上人口比率亦降至35.0%。在所有津貼中，以老年農民福利津貼領取人數最多，109年度計有57.8萬人領取；其次為老年基本保證年金，109</w:t>
      </w:r>
      <w:r w:rsidRPr="00C34084">
        <w:rPr>
          <w:rFonts w:ascii="微軟正黑體" w:eastAsia="微軟正黑體" w:hAnsi="微軟正黑體" w:hint="eastAsia"/>
        </w:rPr>
        <w:t>年</w:t>
      </w:r>
      <w:r>
        <w:rPr>
          <w:rFonts w:ascii="微軟正黑體" w:eastAsia="微軟正黑體" w:hAnsi="微軟正黑體" w:hint="eastAsia"/>
        </w:rPr>
        <w:t>度計有49.9</w:t>
      </w:r>
      <w:r w:rsidRPr="00C34084">
        <w:rPr>
          <w:rFonts w:ascii="微軟正黑體" w:eastAsia="微軟正黑體" w:hAnsi="微軟正黑體" w:hint="eastAsia"/>
        </w:rPr>
        <w:t>萬人</w:t>
      </w:r>
      <w:r>
        <w:rPr>
          <w:rFonts w:ascii="微軟正黑體" w:eastAsia="微軟正黑體" w:hAnsi="微軟正黑體" w:hint="eastAsia"/>
        </w:rPr>
        <w:t>領取，該給付原為敬老福利生活津貼，於國民年金實施後轉為老年基本保證年金，領取人數也在國民年金實施後逐漸下降。</w:t>
      </w:r>
    </w:p>
    <w:p w:rsidR="003C2AC2" w:rsidRDefault="003C2AC2" w:rsidP="003C2AC2">
      <w:pPr>
        <w:snapToGrid w:val="0"/>
        <w:spacing w:beforeLines="30" w:before="108" w:afterLines="25" w:after="90" w:line="400" w:lineRule="exact"/>
        <w:ind w:leftChars="236" w:left="566" w:firstLineChars="140" w:firstLine="336"/>
        <w:jc w:val="both"/>
        <w:rPr>
          <w:rFonts w:ascii="微軟正黑體" w:eastAsia="微軟正黑體" w:hAnsi="微軟正黑體"/>
        </w:rPr>
      </w:pPr>
    </w:p>
    <w:p w:rsidR="003C2AC2" w:rsidRDefault="003C2AC2" w:rsidP="003C2AC2">
      <w:pPr>
        <w:snapToGrid w:val="0"/>
        <w:spacing w:beforeLines="30" w:before="108" w:afterLines="25" w:after="90" w:line="400" w:lineRule="exact"/>
        <w:ind w:leftChars="236" w:left="566" w:firstLineChars="140" w:firstLine="336"/>
        <w:jc w:val="both"/>
        <w:rPr>
          <w:rFonts w:ascii="微軟正黑體" w:eastAsia="微軟正黑體" w:hAnsi="微軟正黑體"/>
        </w:rPr>
      </w:pPr>
    </w:p>
    <w:p w:rsidR="003C2AC2" w:rsidRDefault="003C2AC2" w:rsidP="003C2AC2">
      <w:pPr>
        <w:snapToGrid w:val="0"/>
        <w:spacing w:beforeLines="30" w:before="108" w:afterLines="25" w:after="90" w:line="400" w:lineRule="exact"/>
        <w:ind w:leftChars="236" w:left="566" w:firstLineChars="140" w:firstLine="336"/>
        <w:jc w:val="both"/>
        <w:rPr>
          <w:rFonts w:ascii="微軟正黑體" w:eastAsia="微軟正黑體" w:hAnsi="微軟正黑體"/>
        </w:rPr>
      </w:pPr>
    </w:p>
    <w:p w:rsidR="003C2AC2" w:rsidRDefault="003C2AC2" w:rsidP="003C2AC2">
      <w:pPr>
        <w:snapToGrid w:val="0"/>
        <w:spacing w:beforeLines="30" w:before="108" w:afterLines="25" w:after="90" w:line="400" w:lineRule="exact"/>
        <w:ind w:leftChars="236" w:left="566" w:firstLineChars="140" w:firstLine="336"/>
        <w:jc w:val="both"/>
        <w:rPr>
          <w:rFonts w:ascii="微軟正黑體" w:eastAsia="微軟正黑體" w:hAnsi="微軟正黑體"/>
        </w:rPr>
      </w:pPr>
    </w:p>
    <w:p w:rsidR="003C2AC2" w:rsidRDefault="003C2AC2" w:rsidP="003C2AC2">
      <w:pPr>
        <w:snapToGrid w:val="0"/>
        <w:spacing w:beforeLines="30" w:before="108" w:afterLines="25" w:after="90" w:line="400" w:lineRule="exact"/>
        <w:ind w:leftChars="236" w:left="566" w:firstLineChars="140" w:firstLine="336"/>
        <w:jc w:val="both"/>
        <w:rPr>
          <w:rFonts w:ascii="微軟正黑體" w:eastAsia="微軟正黑體" w:hAnsi="微軟正黑體"/>
        </w:rPr>
      </w:pPr>
    </w:p>
    <w:p w:rsidR="003C2AC2" w:rsidRDefault="003C2AC2" w:rsidP="003C2AC2">
      <w:pPr>
        <w:snapToGrid w:val="0"/>
        <w:spacing w:beforeLines="30" w:before="108" w:afterLines="25" w:after="90" w:line="400" w:lineRule="exact"/>
        <w:ind w:leftChars="236" w:left="566" w:firstLineChars="140" w:firstLine="336"/>
        <w:jc w:val="both"/>
        <w:rPr>
          <w:rFonts w:ascii="微軟正黑體" w:eastAsia="微軟正黑體" w:hAnsi="微軟正黑體"/>
        </w:rPr>
      </w:pPr>
      <w:r>
        <w:rPr>
          <w:rFonts w:hint="eastAsia"/>
          <w:noProof/>
        </w:rPr>
        <w:lastRenderedPageBreak/>
        <w:drawing>
          <wp:anchor distT="0" distB="0" distL="114300" distR="114300" simplePos="0" relativeHeight="252530688" behindDoc="0" locked="0" layoutInCell="1" allowOverlap="1" wp14:anchorId="35D15393" wp14:editId="3A7FF150">
            <wp:simplePos x="0" y="0"/>
            <wp:positionH relativeFrom="column">
              <wp:posOffset>56303</wp:posOffset>
            </wp:positionH>
            <wp:positionV relativeFrom="paragraph">
              <wp:posOffset>41910</wp:posOffset>
            </wp:positionV>
            <wp:extent cx="5494867" cy="2794000"/>
            <wp:effectExtent l="0" t="0" r="10795" b="25400"/>
            <wp:wrapNone/>
            <wp:docPr id="21553" name="圖表 21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3C2AC2" w:rsidRDefault="003C2AC2" w:rsidP="003C2AC2">
      <w:pPr>
        <w:snapToGrid w:val="0"/>
        <w:spacing w:beforeLines="30" w:before="108" w:afterLines="25" w:after="90" w:line="400" w:lineRule="exact"/>
        <w:ind w:leftChars="236" w:left="566" w:firstLineChars="140" w:firstLine="336"/>
        <w:jc w:val="both"/>
        <w:rPr>
          <w:rFonts w:ascii="微軟正黑體" w:eastAsia="微軟正黑體" w:hAnsi="微軟正黑體"/>
        </w:rPr>
      </w:pPr>
    </w:p>
    <w:p w:rsidR="003C2AC2" w:rsidRDefault="003C2AC2" w:rsidP="003C2AC2">
      <w:pPr>
        <w:widowControl/>
        <w:spacing w:beforeLines="50" w:before="180" w:line="400" w:lineRule="exact"/>
        <w:jc w:val="center"/>
        <w:rPr>
          <w:rFonts w:ascii="微軟正黑體" w:eastAsia="微軟正黑體" w:hAnsi="微軟正黑體"/>
        </w:rPr>
      </w:pPr>
    </w:p>
    <w:p w:rsidR="003C2AC2" w:rsidRDefault="003C2AC2" w:rsidP="003C2AC2">
      <w:pPr>
        <w:widowControl/>
        <w:spacing w:beforeLines="50" w:before="180" w:line="400" w:lineRule="exact"/>
        <w:jc w:val="center"/>
        <w:rPr>
          <w:rFonts w:ascii="微軟正黑體" w:eastAsia="微軟正黑體" w:hAnsi="微軟正黑體"/>
        </w:rPr>
      </w:pPr>
    </w:p>
    <w:p w:rsidR="003C2AC2" w:rsidRDefault="003C2AC2" w:rsidP="003C2AC2">
      <w:pPr>
        <w:widowControl/>
        <w:spacing w:beforeLines="50" w:before="180" w:line="400" w:lineRule="exact"/>
        <w:jc w:val="center"/>
        <w:rPr>
          <w:rFonts w:ascii="微軟正黑體" w:eastAsia="微軟正黑體" w:hAnsi="微軟正黑體"/>
        </w:rPr>
      </w:pPr>
    </w:p>
    <w:p w:rsidR="003C2AC2" w:rsidRDefault="003C2AC2" w:rsidP="003C2AC2">
      <w:pPr>
        <w:widowControl/>
        <w:spacing w:beforeLines="50" w:before="180" w:line="400" w:lineRule="exact"/>
        <w:jc w:val="center"/>
        <w:rPr>
          <w:rFonts w:ascii="微軟正黑體" w:eastAsia="微軟正黑體" w:hAnsi="微軟正黑體"/>
        </w:rPr>
      </w:pPr>
    </w:p>
    <w:p w:rsidR="003C2AC2" w:rsidRDefault="003C2AC2" w:rsidP="003C2AC2">
      <w:pPr>
        <w:widowControl/>
        <w:spacing w:beforeLines="50" w:before="180" w:line="400" w:lineRule="exact"/>
        <w:jc w:val="center"/>
        <w:rPr>
          <w:rFonts w:ascii="微軟正黑體" w:eastAsia="微軟正黑體" w:hAnsi="微軟正黑體"/>
        </w:rPr>
      </w:pPr>
    </w:p>
    <w:p w:rsidR="003C2AC2" w:rsidRDefault="003C2AC2" w:rsidP="003C2AC2">
      <w:pPr>
        <w:widowControl/>
        <w:spacing w:beforeLines="50" w:before="180" w:line="400" w:lineRule="exact"/>
        <w:jc w:val="center"/>
        <w:rPr>
          <w:rFonts w:ascii="微軟正黑體" w:eastAsia="微軟正黑體" w:hAnsi="微軟正黑體"/>
        </w:rPr>
      </w:pPr>
    </w:p>
    <w:p w:rsidR="003C2AC2" w:rsidRPr="00AC72E0" w:rsidRDefault="003C2AC2" w:rsidP="003C2AC2">
      <w:pPr>
        <w:widowControl/>
        <w:spacing w:line="400" w:lineRule="exact"/>
        <w:rPr>
          <w:rFonts w:ascii="微軟正黑體" w:eastAsia="微軟正黑體" w:hAnsi="微軟正黑體"/>
          <w:sz w:val="20"/>
          <w:szCs w:val="20"/>
        </w:rPr>
      </w:pPr>
      <w:r w:rsidRPr="00AC72E0">
        <w:rPr>
          <w:rFonts w:ascii="微軟正黑體" w:eastAsia="微軟正黑體" w:hAnsi="微軟正黑體" w:hint="eastAsia"/>
        </w:rPr>
        <w:t xml:space="preserve">  </w:t>
      </w:r>
      <w:r>
        <w:rPr>
          <w:rFonts w:ascii="微軟正黑體" w:eastAsia="微軟正黑體" w:hAnsi="微軟正黑體" w:hint="eastAsia"/>
          <w:sz w:val="20"/>
          <w:szCs w:val="20"/>
        </w:rPr>
        <w:t>註：「未領津</w:t>
      </w:r>
      <w:r w:rsidRPr="00AC72E0">
        <w:rPr>
          <w:rFonts w:ascii="微軟正黑體" w:eastAsia="微軟正黑體" w:hAnsi="微軟正黑體" w:hint="eastAsia"/>
          <w:sz w:val="20"/>
          <w:szCs w:val="20"/>
        </w:rPr>
        <w:t>貼者」包含已領老年給付或退休金者。</w:t>
      </w:r>
    </w:p>
    <w:p w:rsidR="003C2AC2" w:rsidRDefault="003C2AC2" w:rsidP="003C2AC2">
      <w:pPr>
        <w:widowControl/>
        <w:spacing w:beforeLines="30" w:before="108" w:line="400" w:lineRule="exact"/>
        <w:jc w:val="center"/>
        <w:rPr>
          <w:rFonts w:ascii="微軟正黑體" w:eastAsia="微軟正黑體" w:hAnsi="微軟正黑體"/>
        </w:rPr>
      </w:pPr>
      <w:r>
        <w:rPr>
          <w:rFonts w:ascii="微軟正黑體" w:eastAsia="微軟正黑體" w:hAnsi="微軟正黑體" w:hint="eastAsia"/>
        </w:rPr>
        <w:t>圖1.16  近10年老年福利津貼領取人數</w:t>
      </w:r>
    </w:p>
    <w:p w:rsidR="003C2AC2" w:rsidRDefault="003C2AC2" w:rsidP="003C2AC2">
      <w:pPr>
        <w:widowControl/>
        <w:spacing w:beforeLines="30" w:before="108" w:line="400" w:lineRule="exact"/>
        <w:jc w:val="center"/>
        <w:rPr>
          <w:rFonts w:ascii="微軟正黑體" w:eastAsia="微軟正黑體" w:hAnsi="微軟正黑體"/>
        </w:rPr>
      </w:pPr>
    </w:p>
    <w:p w:rsidR="003C2AC2" w:rsidRDefault="003C2AC2" w:rsidP="003C2AC2">
      <w:pPr>
        <w:widowControl/>
        <w:spacing w:afterLines="30" w:after="108" w:line="300" w:lineRule="exact"/>
        <w:jc w:val="center"/>
        <w:rPr>
          <w:rFonts w:ascii="微軟正黑體" w:eastAsia="微軟正黑體" w:hAnsi="微軟正黑體"/>
          <w:sz w:val="20"/>
          <w:szCs w:val="20"/>
        </w:rPr>
      </w:pPr>
      <w:r>
        <w:rPr>
          <w:rFonts w:ascii="微軟正黑體" w:eastAsia="微軟正黑體" w:hAnsi="微軟正黑體" w:hint="eastAsia"/>
        </w:rPr>
        <w:t xml:space="preserve">                表1.4  歷年各老年福利津貼領取人數概況        </w:t>
      </w:r>
      <w:r>
        <w:rPr>
          <w:rFonts w:ascii="微軟正黑體" w:eastAsia="微軟正黑體" w:hAnsi="微軟正黑體" w:hint="eastAsia"/>
          <w:sz w:val="20"/>
          <w:szCs w:val="20"/>
        </w:rPr>
        <w:t>單位：人</w:t>
      </w:r>
    </w:p>
    <w:tbl>
      <w:tblPr>
        <w:tblW w:w="9244" w:type="dxa"/>
        <w:jc w:val="center"/>
        <w:tblInd w:w="57" w:type="dxa"/>
        <w:tblCellMar>
          <w:left w:w="28" w:type="dxa"/>
          <w:right w:w="28" w:type="dxa"/>
        </w:tblCellMar>
        <w:tblLook w:val="04A0" w:firstRow="1" w:lastRow="0" w:firstColumn="1" w:lastColumn="0" w:noHBand="0" w:noVBand="1"/>
      </w:tblPr>
      <w:tblGrid>
        <w:gridCol w:w="692"/>
        <w:gridCol w:w="1032"/>
        <w:gridCol w:w="857"/>
        <w:gridCol w:w="855"/>
        <w:gridCol w:w="992"/>
        <w:gridCol w:w="990"/>
        <w:gridCol w:w="993"/>
        <w:gridCol w:w="850"/>
        <w:gridCol w:w="1134"/>
        <w:gridCol w:w="849"/>
      </w:tblGrid>
      <w:tr w:rsidR="003C2AC2" w:rsidTr="008F1977">
        <w:trPr>
          <w:tblHeader/>
          <w:jc w:val="center"/>
        </w:trPr>
        <w:tc>
          <w:tcPr>
            <w:tcW w:w="692" w:type="dxa"/>
            <w:tcBorders>
              <w:top w:val="single" w:sz="4" w:space="0" w:color="auto"/>
              <w:left w:val="nil"/>
              <w:bottom w:val="single" w:sz="8" w:space="0" w:color="auto"/>
              <w:right w:val="single" w:sz="8" w:space="0" w:color="auto"/>
            </w:tcBorders>
            <w:noWrap/>
            <w:vAlign w:val="center"/>
            <w:hideMark/>
          </w:tcPr>
          <w:p w:rsidR="003C2AC2" w:rsidRDefault="003C2AC2" w:rsidP="008F1977">
            <w:pPr>
              <w:widowControl/>
              <w:adjustRightInd w:val="0"/>
              <w:snapToGrid w:val="0"/>
              <w:jc w:val="center"/>
              <w:rPr>
                <w:rFonts w:ascii="微軟正黑體" w:eastAsia="微軟正黑體" w:hAnsi="微軟正黑體"/>
                <w:sz w:val="22"/>
                <w:szCs w:val="28"/>
              </w:rPr>
            </w:pPr>
            <w:r>
              <w:rPr>
                <w:rFonts w:ascii="微軟正黑體" w:eastAsia="微軟正黑體" w:hAnsi="微軟正黑體" w:hint="eastAsia"/>
                <w:sz w:val="22"/>
                <w:szCs w:val="28"/>
              </w:rPr>
              <w:t>年度</w:t>
            </w:r>
          </w:p>
        </w:tc>
        <w:tc>
          <w:tcPr>
            <w:tcW w:w="1032" w:type="dxa"/>
            <w:tcBorders>
              <w:top w:val="single" w:sz="4" w:space="0" w:color="auto"/>
              <w:left w:val="single" w:sz="8" w:space="0" w:color="auto"/>
              <w:bottom w:val="single" w:sz="8" w:space="0" w:color="auto"/>
              <w:right w:val="single" w:sz="8" w:space="0" w:color="auto"/>
            </w:tcBorders>
            <w:vAlign w:val="center"/>
            <w:hideMark/>
          </w:tcPr>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領取人數</w:t>
            </w:r>
          </w:p>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合    計</w:t>
            </w:r>
          </w:p>
        </w:tc>
        <w:tc>
          <w:tcPr>
            <w:tcW w:w="857" w:type="dxa"/>
            <w:tcBorders>
              <w:top w:val="single" w:sz="4" w:space="0" w:color="auto"/>
              <w:left w:val="single" w:sz="8" w:space="0" w:color="auto"/>
              <w:bottom w:val="single" w:sz="8" w:space="0" w:color="auto"/>
              <w:right w:val="single" w:sz="4" w:space="0" w:color="auto"/>
            </w:tcBorders>
            <w:vAlign w:val="center"/>
            <w:hideMark/>
          </w:tcPr>
          <w:p w:rsidR="003C2AC2" w:rsidRDefault="003C2AC2" w:rsidP="008F1977">
            <w:pPr>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老年基本保證</w:t>
            </w:r>
          </w:p>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年金</w:t>
            </w:r>
          </w:p>
        </w:tc>
        <w:tc>
          <w:tcPr>
            <w:tcW w:w="855" w:type="dxa"/>
            <w:tcBorders>
              <w:top w:val="single" w:sz="4" w:space="0" w:color="auto"/>
              <w:left w:val="single" w:sz="4" w:space="0" w:color="auto"/>
              <w:bottom w:val="single" w:sz="8" w:space="0" w:color="auto"/>
              <w:right w:val="single" w:sz="8" w:space="0" w:color="auto"/>
            </w:tcBorders>
            <w:vAlign w:val="center"/>
            <w:hideMark/>
          </w:tcPr>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原住民給付</w:t>
            </w:r>
          </w:p>
        </w:tc>
        <w:tc>
          <w:tcPr>
            <w:tcW w:w="992" w:type="dxa"/>
            <w:tcBorders>
              <w:top w:val="single" w:sz="4" w:space="0" w:color="auto"/>
              <w:left w:val="single" w:sz="8" w:space="0" w:color="auto"/>
              <w:bottom w:val="single" w:sz="8" w:space="0" w:color="auto"/>
              <w:right w:val="single" w:sz="8" w:space="0" w:color="auto"/>
            </w:tcBorders>
            <w:vAlign w:val="center"/>
            <w:hideMark/>
          </w:tcPr>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老年農民</w:t>
            </w:r>
          </w:p>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福利津貼</w:t>
            </w:r>
          </w:p>
        </w:tc>
        <w:tc>
          <w:tcPr>
            <w:tcW w:w="990" w:type="dxa"/>
            <w:tcBorders>
              <w:top w:val="single" w:sz="4" w:space="0" w:color="auto"/>
              <w:left w:val="single" w:sz="8" w:space="0" w:color="auto"/>
              <w:bottom w:val="single" w:sz="8" w:space="0" w:color="auto"/>
              <w:right w:val="single" w:sz="8" w:space="0" w:color="auto"/>
            </w:tcBorders>
            <w:vAlign w:val="center"/>
            <w:hideMark/>
          </w:tcPr>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中低收入</w:t>
            </w:r>
          </w:p>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老人生活</w:t>
            </w:r>
          </w:p>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津貼</w:t>
            </w:r>
          </w:p>
        </w:tc>
        <w:tc>
          <w:tcPr>
            <w:tcW w:w="993" w:type="dxa"/>
            <w:tcBorders>
              <w:top w:val="single" w:sz="4" w:space="0" w:color="auto"/>
              <w:left w:val="single" w:sz="8" w:space="0" w:color="auto"/>
              <w:bottom w:val="single" w:sz="8" w:space="0" w:color="auto"/>
              <w:right w:val="single" w:sz="8" w:space="0" w:color="auto"/>
            </w:tcBorders>
            <w:vAlign w:val="center"/>
            <w:hideMark/>
          </w:tcPr>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榮民就養給付</w:t>
            </w:r>
          </w:p>
        </w:tc>
        <w:tc>
          <w:tcPr>
            <w:tcW w:w="850" w:type="dxa"/>
            <w:tcBorders>
              <w:top w:val="single" w:sz="4" w:space="0" w:color="auto"/>
              <w:left w:val="single" w:sz="8" w:space="0" w:color="auto"/>
              <w:bottom w:val="single" w:sz="8" w:space="0" w:color="auto"/>
              <w:right w:val="single" w:sz="8" w:space="0" w:color="auto"/>
            </w:tcBorders>
            <w:vAlign w:val="center"/>
            <w:hideMark/>
          </w:tcPr>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占65歲以上人口比率(%)</w:t>
            </w:r>
            <w:r>
              <w:rPr>
                <w:rFonts w:ascii="微軟正黑體" w:eastAsia="微軟正黑體" w:hAnsi="微軟正黑體" w:hint="eastAsia"/>
                <w:sz w:val="22"/>
                <w:szCs w:val="28"/>
                <w:vertAlign w:val="superscript"/>
              </w:rPr>
              <w:t>註</w:t>
            </w:r>
          </w:p>
        </w:tc>
        <w:tc>
          <w:tcPr>
            <w:tcW w:w="1134" w:type="dxa"/>
            <w:tcBorders>
              <w:top w:val="single" w:sz="4" w:space="0" w:color="auto"/>
              <w:left w:val="single" w:sz="8" w:space="0" w:color="auto"/>
              <w:bottom w:val="single" w:sz="8" w:space="0" w:color="auto"/>
              <w:right w:val="single" w:sz="8" w:space="0" w:color="auto"/>
            </w:tcBorders>
            <w:vAlign w:val="center"/>
            <w:hideMark/>
          </w:tcPr>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65歲以上人口數</w:t>
            </w:r>
          </w:p>
        </w:tc>
        <w:tc>
          <w:tcPr>
            <w:tcW w:w="849" w:type="dxa"/>
            <w:tcBorders>
              <w:top w:val="single" w:sz="4" w:space="0" w:color="auto"/>
              <w:left w:val="single" w:sz="8" w:space="0" w:color="auto"/>
              <w:bottom w:val="single" w:sz="8" w:space="0" w:color="auto"/>
              <w:right w:val="nil"/>
            </w:tcBorders>
            <w:hideMark/>
          </w:tcPr>
          <w:p w:rsidR="003C2AC2" w:rsidRDefault="003C2AC2" w:rsidP="008F1977">
            <w:pPr>
              <w:widowControl/>
              <w:adjustRightInd w:val="0"/>
              <w:snapToGrid w:val="0"/>
              <w:spacing w:line="320" w:lineRule="exact"/>
              <w:jc w:val="center"/>
              <w:rPr>
                <w:rFonts w:ascii="微軟正黑體" w:eastAsia="微軟正黑體" w:hAnsi="微軟正黑體"/>
                <w:sz w:val="22"/>
                <w:szCs w:val="28"/>
              </w:rPr>
            </w:pPr>
            <w:r>
              <w:rPr>
                <w:rFonts w:ascii="微軟正黑體" w:eastAsia="微軟正黑體" w:hAnsi="微軟正黑體" w:hint="eastAsia"/>
                <w:sz w:val="22"/>
                <w:szCs w:val="28"/>
              </w:rPr>
              <w:t>65歲以上人口占總人口比率(%)</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85年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770,649</w:t>
            </w:r>
          </w:p>
        </w:tc>
        <w:tc>
          <w:tcPr>
            <w:tcW w:w="857" w:type="dxa"/>
            <w:tcBorders>
              <w:top w:val="nil"/>
              <w:left w:val="single" w:sz="8" w:space="0" w:color="auto"/>
              <w:bottom w:val="nil"/>
              <w:right w:val="single" w:sz="4"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855" w:type="dxa"/>
            <w:tcBorders>
              <w:top w:val="nil"/>
              <w:left w:val="single" w:sz="4"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366,059</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272,878</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131,712</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45.6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1,691,608</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7.9</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86年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711,129</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425,947</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157,077</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128,105</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40.6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1,752,056</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8.1</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87年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758,576</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441,665</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191,852</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125,059</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41.9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1,810,231</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8.3</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88年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899,106</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588,429</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190,583</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120,094</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48.2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1,865,472</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8.4</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89年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958,503</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635,838</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204,964</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117,701</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49.9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1,921,308</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8.6</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90年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951,503</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656,460</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181,211</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113,832</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48.2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1,973,357</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8.8</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91年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1,401,441</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424,096</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15,171</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669,779</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182,392</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110,003</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69.0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2,031,300</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9.0</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92年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1,610,949</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639,427</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14,726</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677,048</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173,951</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105,797</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77.2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2,087,734</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9.2</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pacing w:val="-20"/>
                <w:sz w:val="21"/>
                <w:szCs w:val="21"/>
              </w:rPr>
            </w:pPr>
            <w:r w:rsidRPr="00291D9C">
              <w:rPr>
                <w:rFonts w:ascii="微軟正黑體" w:eastAsia="微軟正黑體" w:hAnsi="微軟正黑體" w:hint="eastAsia"/>
                <w:sz w:val="21"/>
                <w:szCs w:val="21"/>
              </w:rPr>
              <w:t>93年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1,650,766</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687,990</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18,340</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688,840</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156,446</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99,150</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76.8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2,150,475</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9.5</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pacing w:val="-20"/>
                <w:sz w:val="21"/>
                <w:szCs w:val="21"/>
              </w:rPr>
            </w:pPr>
            <w:r w:rsidRPr="00291D9C">
              <w:rPr>
                <w:rFonts w:ascii="微軟正黑體" w:eastAsia="微軟正黑體" w:hAnsi="微軟正黑體" w:hint="eastAsia"/>
                <w:sz w:val="21"/>
                <w:szCs w:val="21"/>
              </w:rPr>
              <w:t>94年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1,704,177</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746,410</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19,218</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696,808</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148,118</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93,623</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76.9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2,216,804</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9.7</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pacing w:val="-20"/>
                <w:sz w:val="21"/>
                <w:szCs w:val="21"/>
              </w:rPr>
            </w:pPr>
            <w:r w:rsidRPr="00291D9C">
              <w:rPr>
                <w:rFonts w:ascii="微軟正黑體" w:eastAsia="微軟正黑體" w:hAnsi="微軟正黑體" w:hint="eastAsia"/>
                <w:sz w:val="21"/>
                <w:szCs w:val="21"/>
              </w:rPr>
              <w:t>95年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1,749,435</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795,141</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20,548</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703,238</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140,544</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89,964</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76.5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2,287,029</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10.0</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96年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kern w:val="0"/>
                <w:sz w:val="20"/>
                <w:szCs w:val="20"/>
                <w:lang w:bidi="hi-IN"/>
              </w:rPr>
            </w:pPr>
            <w:r>
              <w:rPr>
                <w:rFonts w:ascii="微軟正黑體" w:eastAsia="微軟正黑體" w:hAnsi="微軟正黑體" w:hint="eastAsia"/>
                <w:sz w:val="20"/>
                <w:szCs w:val="20"/>
              </w:rPr>
              <w:t>1,791,086</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842,335</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21,775</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707,045</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134,644</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85,287</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 xml:space="preserve">76.4 </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2,343,092</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10.2</w:t>
            </w:r>
          </w:p>
        </w:tc>
      </w:tr>
      <w:tr w:rsidR="003C2AC2" w:rsidRPr="00B700E0"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97年</w:t>
            </w:r>
          </w:p>
        </w:tc>
        <w:tc>
          <w:tcPr>
            <w:tcW w:w="1032" w:type="dxa"/>
            <w:tcBorders>
              <w:top w:val="nil"/>
              <w:left w:val="single" w:sz="8" w:space="0" w:color="auto"/>
              <w:bottom w:val="nil"/>
              <w:right w:val="single" w:sz="8" w:space="0" w:color="auto"/>
            </w:tcBorders>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1,827,060</w:t>
            </w:r>
          </w:p>
        </w:tc>
        <w:tc>
          <w:tcPr>
            <w:tcW w:w="857" w:type="dxa"/>
            <w:tcBorders>
              <w:top w:val="nil"/>
              <w:left w:val="single" w:sz="8" w:space="0" w:color="auto"/>
              <w:bottom w:val="nil"/>
              <w:right w:val="single" w:sz="8" w:space="0" w:color="auto"/>
            </w:tcBorders>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887,264</w:t>
            </w:r>
          </w:p>
        </w:tc>
        <w:tc>
          <w:tcPr>
            <w:tcW w:w="855" w:type="dxa"/>
            <w:tcBorders>
              <w:top w:val="nil"/>
              <w:left w:val="single" w:sz="8" w:space="0" w:color="auto"/>
              <w:bottom w:val="nil"/>
              <w:right w:val="single" w:sz="8" w:space="0" w:color="auto"/>
            </w:tcBorders>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23,413</w:t>
            </w:r>
          </w:p>
        </w:tc>
        <w:tc>
          <w:tcPr>
            <w:tcW w:w="992" w:type="dxa"/>
            <w:tcBorders>
              <w:top w:val="nil"/>
              <w:left w:val="single" w:sz="8" w:space="0" w:color="auto"/>
              <w:bottom w:val="nil"/>
              <w:right w:val="single" w:sz="8" w:space="0" w:color="auto"/>
            </w:tcBorders>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710,031</w:t>
            </w:r>
          </w:p>
        </w:tc>
        <w:tc>
          <w:tcPr>
            <w:tcW w:w="990" w:type="dxa"/>
            <w:tcBorders>
              <w:top w:val="nil"/>
              <w:left w:val="single" w:sz="8" w:space="0" w:color="auto"/>
              <w:bottom w:val="nil"/>
              <w:right w:val="single" w:sz="8" w:space="0" w:color="auto"/>
            </w:tcBorders>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125,951</w:t>
            </w:r>
          </w:p>
        </w:tc>
        <w:tc>
          <w:tcPr>
            <w:tcW w:w="993" w:type="dxa"/>
            <w:tcBorders>
              <w:top w:val="nil"/>
              <w:left w:val="single" w:sz="8" w:space="0" w:color="auto"/>
              <w:bottom w:val="nil"/>
              <w:right w:val="single" w:sz="8" w:space="0" w:color="auto"/>
            </w:tcBorders>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80,401</w:t>
            </w:r>
          </w:p>
        </w:tc>
        <w:tc>
          <w:tcPr>
            <w:tcW w:w="850" w:type="dxa"/>
            <w:tcBorders>
              <w:top w:val="nil"/>
              <w:left w:val="single" w:sz="8" w:space="0" w:color="auto"/>
              <w:bottom w:val="nil"/>
              <w:right w:val="single" w:sz="8" w:space="0" w:color="auto"/>
            </w:tcBorders>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76.1</w:t>
            </w:r>
          </w:p>
        </w:tc>
        <w:tc>
          <w:tcPr>
            <w:tcW w:w="1134" w:type="dxa"/>
            <w:tcBorders>
              <w:top w:val="nil"/>
              <w:left w:val="single" w:sz="8" w:space="0" w:color="auto"/>
              <w:bottom w:val="nil"/>
              <w:right w:val="single" w:sz="8" w:space="0" w:color="auto"/>
            </w:tcBorders>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2,402,220</w:t>
            </w:r>
          </w:p>
        </w:tc>
        <w:tc>
          <w:tcPr>
            <w:tcW w:w="849" w:type="dxa"/>
            <w:tcBorders>
              <w:top w:val="nil"/>
              <w:left w:val="single" w:sz="8" w:space="0" w:color="auto"/>
              <w:bottom w:val="nil"/>
              <w:right w:val="nil"/>
            </w:tcBorders>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10.4</w:t>
            </w:r>
          </w:p>
        </w:tc>
      </w:tr>
      <w:tr w:rsidR="003C2AC2" w:rsidRPr="00B700E0" w:rsidTr="008F1977">
        <w:trPr>
          <w:jc w:val="center"/>
        </w:trPr>
        <w:tc>
          <w:tcPr>
            <w:tcW w:w="692" w:type="dxa"/>
            <w:tcBorders>
              <w:top w:val="nil"/>
              <w:left w:val="nil"/>
              <w:bottom w:val="nil"/>
              <w:right w:val="single" w:sz="8" w:space="0" w:color="auto"/>
            </w:tcBorders>
            <w:shd w:val="clear" w:color="auto" w:fill="auto"/>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98年</w:t>
            </w:r>
          </w:p>
        </w:tc>
        <w:tc>
          <w:tcPr>
            <w:tcW w:w="103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1,792,806</w:t>
            </w:r>
          </w:p>
        </w:tc>
        <w:tc>
          <w:tcPr>
            <w:tcW w:w="857"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863,953</w:t>
            </w:r>
          </w:p>
        </w:tc>
        <w:tc>
          <w:tcPr>
            <w:tcW w:w="855"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24,247</w:t>
            </w:r>
          </w:p>
        </w:tc>
        <w:tc>
          <w:tcPr>
            <w:tcW w:w="99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706,308</w:t>
            </w:r>
          </w:p>
        </w:tc>
        <w:tc>
          <w:tcPr>
            <w:tcW w:w="990" w:type="dxa"/>
            <w:tcBorders>
              <w:top w:val="nil"/>
              <w:left w:val="single" w:sz="8" w:space="0" w:color="auto"/>
              <w:bottom w:val="nil"/>
              <w:right w:val="single" w:sz="8" w:space="0" w:color="auto"/>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122,523</w:t>
            </w:r>
          </w:p>
        </w:tc>
        <w:tc>
          <w:tcPr>
            <w:tcW w:w="993"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75,775</w:t>
            </w:r>
          </w:p>
        </w:tc>
        <w:tc>
          <w:tcPr>
            <w:tcW w:w="850"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72.9</w:t>
            </w:r>
          </w:p>
        </w:tc>
        <w:tc>
          <w:tcPr>
            <w:tcW w:w="1134"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2,457,648</w:t>
            </w:r>
          </w:p>
        </w:tc>
        <w:tc>
          <w:tcPr>
            <w:tcW w:w="849" w:type="dxa"/>
            <w:tcBorders>
              <w:top w:val="nil"/>
              <w:left w:val="single" w:sz="8" w:space="0" w:color="auto"/>
              <w:bottom w:val="nil"/>
              <w:right w:val="nil"/>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10.6</w:t>
            </w:r>
          </w:p>
        </w:tc>
      </w:tr>
      <w:tr w:rsidR="003C2AC2" w:rsidRPr="00B700E0" w:rsidTr="008F1977">
        <w:trPr>
          <w:jc w:val="center"/>
        </w:trPr>
        <w:tc>
          <w:tcPr>
            <w:tcW w:w="692" w:type="dxa"/>
            <w:tcBorders>
              <w:top w:val="nil"/>
              <w:left w:val="nil"/>
              <w:bottom w:val="nil"/>
              <w:right w:val="single" w:sz="8" w:space="0" w:color="auto"/>
            </w:tcBorders>
            <w:shd w:val="clear" w:color="auto" w:fill="auto"/>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99年</w:t>
            </w:r>
          </w:p>
        </w:tc>
        <w:tc>
          <w:tcPr>
            <w:tcW w:w="103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1,745,272</w:t>
            </w:r>
          </w:p>
        </w:tc>
        <w:tc>
          <w:tcPr>
            <w:tcW w:w="857"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832,118</w:t>
            </w:r>
          </w:p>
        </w:tc>
        <w:tc>
          <w:tcPr>
            <w:tcW w:w="855"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26,555</w:t>
            </w:r>
          </w:p>
        </w:tc>
        <w:tc>
          <w:tcPr>
            <w:tcW w:w="99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696,143</w:t>
            </w:r>
          </w:p>
        </w:tc>
        <w:tc>
          <w:tcPr>
            <w:tcW w:w="990" w:type="dxa"/>
            <w:tcBorders>
              <w:top w:val="nil"/>
              <w:left w:val="single" w:sz="8" w:space="0" w:color="auto"/>
              <w:bottom w:val="nil"/>
              <w:right w:val="single" w:sz="8" w:space="0" w:color="auto"/>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119,861</w:t>
            </w:r>
          </w:p>
        </w:tc>
        <w:tc>
          <w:tcPr>
            <w:tcW w:w="993"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70,595</w:t>
            </w:r>
          </w:p>
        </w:tc>
        <w:tc>
          <w:tcPr>
            <w:tcW w:w="850"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70.2</w:t>
            </w:r>
          </w:p>
        </w:tc>
        <w:tc>
          <w:tcPr>
            <w:tcW w:w="1134"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2,487,893</w:t>
            </w:r>
          </w:p>
        </w:tc>
        <w:tc>
          <w:tcPr>
            <w:tcW w:w="849" w:type="dxa"/>
            <w:tcBorders>
              <w:top w:val="nil"/>
              <w:left w:val="single" w:sz="8" w:space="0" w:color="auto"/>
              <w:bottom w:val="nil"/>
              <w:right w:val="nil"/>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10.7</w:t>
            </w:r>
          </w:p>
        </w:tc>
      </w:tr>
      <w:tr w:rsidR="003C2AC2" w:rsidRPr="00B700E0" w:rsidTr="008F1977">
        <w:trPr>
          <w:jc w:val="center"/>
        </w:trPr>
        <w:tc>
          <w:tcPr>
            <w:tcW w:w="692" w:type="dxa"/>
            <w:tcBorders>
              <w:top w:val="nil"/>
              <w:left w:val="nil"/>
              <w:bottom w:val="nil"/>
              <w:right w:val="single" w:sz="8" w:space="0" w:color="auto"/>
            </w:tcBorders>
            <w:shd w:val="clear" w:color="auto" w:fill="auto"/>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100年</w:t>
            </w:r>
          </w:p>
        </w:tc>
        <w:tc>
          <w:tcPr>
            <w:tcW w:w="103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1,736,718</w:t>
            </w:r>
          </w:p>
        </w:tc>
        <w:tc>
          <w:tcPr>
            <w:tcW w:w="857"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836,706</w:t>
            </w:r>
          </w:p>
        </w:tc>
        <w:tc>
          <w:tcPr>
            <w:tcW w:w="855"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29,444</w:t>
            </w:r>
          </w:p>
        </w:tc>
        <w:tc>
          <w:tcPr>
            <w:tcW w:w="99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684,637</w:t>
            </w:r>
          </w:p>
        </w:tc>
        <w:tc>
          <w:tcPr>
            <w:tcW w:w="990" w:type="dxa"/>
            <w:tcBorders>
              <w:top w:val="nil"/>
              <w:left w:val="single" w:sz="8" w:space="0" w:color="auto"/>
              <w:bottom w:val="nil"/>
              <w:right w:val="single" w:sz="8" w:space="0" w:color="auto"/>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120,266</w:t>
            </w:r>
          </w:p>
        </w:tc>
        <w:tc>
          <w:tcPr>
            <w:tcW w:w="993"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65,665</w:t>
            </w:r>
          </w:p>
        </w:tc>
        <w:tc>
          <w:tcPr>
            <w:tcW w:w="850"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68.7</w:t>
            </w:r>
          </w:p>
        </w:tc>
        <w:tc>
          <w:tcPr>
            <w:tcW w:w="1134"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2,528,249</w:t>
            </w:r>
          </w:p>
        </w:tc>
        <w:tc>
          <w:tcPr>
            <w:tcW w:w="849" w:type="dxa"/>
            <w:tcBorders>
              <w:top w:val="nil"/>
              <w:left w:val="single" w:sz="8" w:space="0" w:color="auto"/>
              <w:bottom w:val="nil"/>
              <w:right w:val="nil"/>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10.9</w:t>
            </w:r>
          </w:p>
        </w:tc>
      </w:tr>
      <w:tr w:rsidR="003C2AC2" w:rsidRPr="00B700E0" w:rsidTr="008F1977">
        <w:trPr>
          <w:jc w:val="center"/>
        </w:trPr>
        <w:tc>
          <w:tcPr>
            <w:tcW w:w="692" w:type="dxa"/>
            <w:tcBorders>
              <w:top w:val="nil"/>
              <w:left w:val="nil"/>
              <w:bottom w:val="nil"/>
              <w:right w:val="single" w:sz="8" w:space="0" w:color="auto"/>
            </w:tcBorders>
            <w:shd w:val="clear" w:color="auto" w:fill="auto"/>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lastRenderedPageBreak/>
              <w:t>101年</w:t>
            </w:r>
          </w:p>
        </w:tc>
        <w:tc>
          <w:tcPr>
            <w:tcW w:w="103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1,680,515</w:t>
            </w:r>
          </w:p>
        </w:tc>
        <w:tc>
          <w:tcPr>
            <w:tcW w:w="857"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793,052</w:t>
            </w:r>
          </w:p>
        </w:tc>
        <w:tc>
          <w:tcPr>
            <w:tcW w:w="855"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31,672</w:t>
            </w:r>
          </w:p>
        </w:tc>
        <w:tc>
          <w:tcPr>
            <w:tcW w:w="99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674,870</w:t>
            </w:r>
          </w:p>
        </w:tc>
        <w:tc>
          <w:tcPr>
            <w:tcW w:w="990" w:type="dxa"/>
            <w:tcBorders>
              <w:top w:val="nil"/>
              <w:left w:val="single" w:sz="8" w:space="0" w:color="auto"/>
              <w:bottom w:val="nil"/>
              <w:right w:val="single" w:sz="8" w:space="0" w:color="auto"/>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120,968</w:t>
            </w:r>
          </w:p>
        </w:tc>
        <w:tc>
          <w:tcPr>
            <w:tcW w:w="993"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59,953</w:t>
            </w:r>
          </w:p>
        </w:tc>
        <w:tc>
          <w:tcPr>
            <w:tcW w:w="850"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64.6</w:t>
            </w:r>
          </w:p>
        </w:tc>
        <w:tc>
          <w:tcPr>
            <w:tcW w:w="1134"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2,600,152</w:t>
            </w:r>
          </w:p>
        </w:tc>
        <w:tc>
          <w:tcPr>
            <w:tcW w:w="849" w:type="dxa"/>
            <w:tcBorders>
              <w:top w:val="nil"/>
              <w:left w:val="single" w:sz="8" w:space="0" w:color="auto"/>
              <w:bottom w:val="nil"/>
              <w:right w:val="nil"/>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11.2</w:t>
            </w:r>
          </w:p>
        </w:tc>
      </w:tr>
      <w:tr w:rsidR="003C2AC2" w:rsidRPr="00B700E0" w:rsidTr="008F1977">
        <w:trPr>
          <w:jc w:val="center"/>
        </w:trPr>
        <w:tc>
          <w:tcPr>
            <w:tcW w:w="692" w:type="dxa"/>
            <w:tcBorders>
              <w:top w:val="nil"/>
              <w:left w:val="nil"/>
              <w:bottom w:val="nil"/>
              <w:right w:val="single" w:sz="8" w:space="0" w:color="auto"/>
            </w:tcBorders>
            <w:shd w:val="clear" w:color="auto" w:fill="auto"/>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102年</w:t>
            </w:r>
          </w:p>
        </w:tc>
        <w:tc>
          <w:tcPr>
            <w:tcW w:w="103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1,638,791</w:t>
            </w:r>
          </w:p>
        </w:tc>
        <w:tc>
          <w:tcPr>
            <w:tcW w:w="857"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764,476</w:t>
            </w:r>
          </w:p>
        </w:tc>
        <w:tc>
          <w:tcPr>
            <w:tcW w:w="855"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33,099</w:t>
            </w:r>
          </w:p>
        </w:tc>
        <w:tc>
          <w:tcPr>
            <w:tcW w:w="99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664,995</w:t>
            </w:r>
          </w:p>
        </w:tc>
        <w:tc>
          <w:tcPr>
            <w:tcW w:w="990" w:type="dxa"/>
            <w:tcBorders>
              <w:top w:val="nil"/>
              <w:left w:val="single" w:sz="8" w:space="0" w:color="auto"/>
              <w:bottom w:val="nil"/>
              <w:right w:val="single" w:sz="8" w:space="0" w:color="auto"/>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120,869</w:t>
            </w:r>
          </w:p>
        </w:tc>
        <w:tc>
          <w:tcPr>
            <w:tcW w:w="993"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55,352</w:t>
            </w:r>
          </w:p>
        </w:tc>
        <w:tc>
          <w:tcPr>
            <w:tcW w:w="850"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60.8</w:t>
            </w:r>
          </w:p>
        </w:tc>
        <w:tc>
          <w:tcPr>
            <w:tcW w:w="1134"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2,694,406</w:t>
            </w:r>
          </w:p>
        </w:tc>
        <w:tc>
          <w:tcPr>
            <w:tcW w:w="849" w:type="dxa"/>
            <w:tcBorders>
              <w:top w:val="nil"/>
              <w:left w:val="single" w:sz="8" w:space="0" w:color="auto"/>
              <w:bottom w:val="nil"/>
              <w:right w:val="nil"/>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11.5</w:t>
            </w:r>
          </w:p>
        </w:tc>
      </w:tr>
      <w:tr w:rsidR="003C2AC2" w:rsidRPr="00B700E0" w:rsidTr="008F1977">
        <w:trPr>
          <w:jc w:val="center"/>
        </w:trPr>
        <w:tc>
          <w:tcPr>
            <w:tcW w:w="692" w:type="dxa"/>
            <w:tcBorders>
              <w:top w:val="nil"/>
              <w:left w:val="nil"/>
              <w:bottom w:val="nil"/>
              <w:right w:val="single" w:sz="8" w:space="0" w:color="auto"/>
            </w:tcBorders>
            <w:shd w:val="clear" w:color="auto" w:fill="auto"/>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103年</w:t>
            </w:r>
          </w:p>
        </w:tc>
        <w:tc>
          <w:tcPr>
            <w:tcW w:w="103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1,587,763</w:t>
            </w:r>
          </w:p>
        </w:tc>
        <w:tc>
          <w:tcPr>
            <w:tcW w:w="857"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728,187</w:t>
            </w:r>
          </w:p>
        </w:tc>
        <w:tc>
          <w:tcPr>
            <w:tcW w:w="855"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35,091</w:t>
            </w:r>
          </w:p>
        </w:tc>
        <w:tc>
          <w:tcPr>
            <w:tcW w:w="99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651,482</w:t>
            </w:r>
          </w:p>
        </w:tc>
        <w:tc>
          <w:tcPr>
            <w:tcW w:w="990" w:type="dxa"/>
            <w:tcBorders>
              <w:top w:val="nil"/>
              <w:left w:val="single" w:sz="8" w:space="0" w:color="auto"/>
              <w:bottom w:val="nil"/>
              <w:right w:val="single" w:sz="8" w:space="0" w:color="auto"/>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122,423</w:t>
            </w:r>
          </w:p>
        </w:tc>
        <w:tc>
          <w:tcPr>
            <w:tcW w:w="993"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50,580</w:t>
            </w:r>
          </w:p>
        </w:tc>
        <w:tc>
          <w:tcPr>
            <w:tcW w:w="850"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56.5</w:t>
            </w:r>
          </w:p>
        </w:tc>
        <w:tc>
          <w:tcPr>
            <w:tcW w:w="1134"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2,808,690</w:t>
            </w:r>
          </w:p>
        </w:tc>
        <w:tc>
          <w:tcPr>
            <w:tcW w:w="849" w:type="dxa"/>
            <w:tcBorders>
              <w:top w:val="nil"/>
              <w:left w:val="single" w:sz="8" w:space="0" w:color="auto"/>
              <w:bottom w:val="nil"/>
              <w:right w:val="nil"/>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12.0</w:t>
            </w:r>
          </w:p>
        </w:tc>
      </w:tr>
      <w:tr w:rsidR="003C2AC2" w:rsidRPr="00B700E0" w:rsidTr="008F1977">
        <w:trPr>
          <w:jc w:val="center"/>
        </w:trPr>
        <w:tc>
          <w:tcPr>
            <w:tcW w:w="692" w:type="dxa"/>
            <w:tcBorders>
              <w:top w:val="nil"/>
              <w:left w:val="nil"/>
              <w:bottom w:val="nil"/>
              <w:right w:val="single" w:sz="8" w:space="0" w:color="auto"/>
            </w:tcBorders>
            <w:shd w:val="clear" w:color="auto" w:fill="auto"/>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104年</w:t>
            </w:r>
          </w:p>
        </w:tc>
        <w:tc>
          <w:tcPr>
            <w:tcW w:w="103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1,538,485</w:t>
            </w:r>
          </w:p>
        </w:tc>
        <w:tc>
          <w:tcPr>
            <w:tcW w:w="857"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692,129</w:t>
            </w:r>
          </w:p>
        </w:tc>
        <w:tc>
          <w:tcPr>
            <w:tcW w:w="855"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36,852</w:t>
            </w:r>
          </w:p>
        </w:tc>
        <w:tc>
          <w:tcPr>
            <w:tcW w:w="99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638,334</w:t>
            </w:r>
          </w:p>
        </w:tc>
        <w:tc>
          <w:tcPr>
            <w:tcW w:w="990" w:type="dxa"/>
            <w:tcBorders>
              <w:top w:val="nil"/>
              <w:left w:val="single" w:sz="8" w:space="0" w:color="auto"/>
              <w:bottom w:val="nil"/>
              <w:right w:val="single" w:sz="8" w:space="0" w:color="auto"/>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124,490</w:t>
            </w:r>
          </w:p>
        </w:tc>
        <w:tc>
          <w:tcPr>
            <w:tcW w:w="993"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46,680</w:t>
            </w:r>
          </w:p>
        </w:tc>
        <w:tc>
          <w:tcPr>
            <w:tcW w:w="850"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52.4</w:t>
            </w:r>
          </w:p>
        </w:tc>
        <w:tc>
          <w:tcPr>
            <w:tcW w:w="1134"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2,938,579</w:t>
            </w:r>
          </w:p>
        </w:tc>
        <w:tc>
          <w:tcPr>
            <w:tcW w:w="849" w:type="dxa"/>
            <w:tcBorders>
              <w:top w:val="nil"/>
              <w:left w:val="single" w:sz="8" w:space="0" w:color="auto"/>
              <w:bottom w:val="nil"/>
              <w:right w:val="nil"/>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12.5</w:t>
            </w:r>
          </w:p>
        </w:tc>
      </w:tr>
      <w:tr w:rsidR="003C2AC2" w:rsidRPr="00B700E0" w:rsidTr="008F1977">
        <w:trPr>
          <w:jc w:val="center"/>
        </w:trPr>
        <w:tc>
          <w:tcPr>
            <w:tcW w:w="692" w:type="dxa"/>
            <w:tcBorders>
              <w:top w:val="nil"/>
              <w:left w:val="nil"/>
              <w:bottom w:val="nil"/>
              <w:right w:val="single" w:sz="8" w:space="0" w:color="auto"/>
            </w:tcBorders>
            <w:shd w:val="clear" w:color="auto" w:fill="auto"/>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105年</w:t>
            </w:r>
          </w:p>
        </w:tc>
        <w:tc>
          <w:tcPr>
            <w:tcW w:w="103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1,489,219</w:t>
            </w:r>
          </w:p>
        </w:tc>
        <w:tc>
          <w:tcPr>
            <w:tcW w:w="857"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652,187</w:t>
            </w:r>
          </w:p>
        </w:tc>
        <w:tc>
          <w:tcPr>
            <w:tcW w:w="855"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38,089</w:t>
            </w:r>
          </w:p>
        </w:tc>
        <w:tc>
          <w:tcPr>
            <w:tcW w:w="99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627,392</w:t>
            </w:r>
          </w:p>
        </w:tc>
        <w:tc>
          <w:tcPr>
            <w:tcW w:w="990" w:type="dxa"/>
            <w:tcBorders>
              <w:top w:val="nil"/>
              <w:left w:val="single" w:sz="8" w:space="0" w:color="auto"/>
              <w:bottom w:val="nil"/>
              <w:right w:val="single" w:sz="8" w:space="0" w:color="auto"/>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128,188</w:t>
            </w:r>
          </w:p>
        </w:tc>
        <w:tc>
          <w:tcPr>
            <w:tcW w:w="993"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43,363</w:t>
            </w:r>
          </w:p>
        </w:tc>
        <w:tc>
          <w:tcPr>
            <w:tcW w:w="850"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47.9</w:t>
            </w:r>
          </w:p>
        </w:tc>
        <w:tc>
          <w:tcPr>
            <w:tcW w:w="1134"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3,106,105</w:t>
            </w:r>
          </w:p>
        </w:tc>
        <w:tc>
          <w:tcPr>
            <w:tcW w:w="849" w:type="dxa"/>
            <w:tcBorders>
              <w:top w:val="nil"/>
              <w:left w:val="single" w:sz="8" w:space="0" w:color="auto"/>
              <w:bottom w:val="nil"/>
              <w:right w:val="nil"/>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13.2</w:t>
            </w:r>
          </w:p>
        </w:tc>
      </w:tr>
      <w:tr w:rsidR="003C2AC2" w:rsidRPr="00B700E0" w:rsidTr="008F1977">
        <w:trPr>
          <w:trHeight w:val="487"/>
          <w:jc w:val="center"/>
        </w:trPr>
        <w:tc>
          <w:tcPr>
            <w:tcW w:w="692" w:type="dxa"/>
            <w:tcBorders>
              <w:top w:val="nil"/>
              <w:left w:val="nil"/>
              <w:bottom w:val="nil"/>
              <w:right w:val="single" w:sz="8" w:space="0" w:color="auto"/>
            </w:tcBorders>
            <w:shd w:val="clear" w:color="auto" w:fill="auto"/>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106年</w:t>
            </w:r>
          </w:p>
        </w:tc>
        <w:tc>
          <w:tcPr>
            <w:tcW w:w="103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right"/>
              <w:rPr>
                <w:rFonts w:ascii="微軟正黑體" w:eastAsia="微軟正黑體" w:hAnsi="微軟正黑體"/>
                <w:sz w:val="20"/>
                <w:szCs w:val="20"/>
              </w:rPr>
            </w:pPr>
            <w:r w:rsidRPr="00B700E0">
              <w:rPr>
                <w:rFonts w:ascii="微軟正黑體" w:eastAsia="微軟正黑體" w:hAnsi="微軟正黑體" w:hint="eastAsia"/>
                <w:sz w:val="20"/>
                <w:szCs w:val="20"/>
              </w:rPr>
              <w:t>1,442,154</w:t>
            </w:r>
          </w:p>
        </w:tc>
        <w:tc>
          <w:tcPr>
            <w:tcW w:w="857"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613,157</w:t>
            </w:r>
          </w:p>
        </w:tc>
        <w:tc>
          <w:tcPr>
            <w:tcW w:w="855"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39,701</w:t>
            </w:r>
          </w:p>
        </w:tc>
        <w:tc>
          <w:tcPr>
            <w:tcW w:w="992"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614,678</w:t>
            </w:r>
          </w:p>
        </w:tc>
        <w:tc>
          <w:tcPr>
            <w:tcW w:w="990" w:type="dxa"/>
            <w:tcBorders>
              <w:top w:val="nil"/>
              <w:left w:val="single" w:sz="8" w:space="0" w:color="auto"/>
              <w:bottom w:val="nil"/>
              <w:right w:val="single" w:sz="8" w:space="0" w:color="auto"/>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134,365</w:t>
            </w:r>
          </w:p>
        </w:tc>
        <w:tc>
          <w:tcPr>
            <w:tcW w:w="993"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40,253</w:t>
            </w:r>
          </w:p>
        </w:tc>
        <w:tc>
          <w:tcPr>
            <w:tcW w:w="850"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44.1</w:t>
            </w:r>
          </w:p>
        </w:tc>
        <w:tc>
          <w:tcPr>
            <w:tcW w:w="1134" w:type="dxa"/>
            <w:tcBorders>
              <w:top w:val="nil"/>
              <w:left w:val="single" w:sz="8" w:space="0" w:color="auto"/>
              <w:bottom w:val="nil"/>
              <w:right w:val="single" w:sz="8" w:space="0" w:color="auto"/>
            </w:tcBorders>
            <w:shd w:val="clear" w:color="auto" w:fill="auto"/>
            <w:noWrap/>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3,268,013</w:t>
            </w:r>
          </w:p>
        </w:tc>
        <w:tc>
          <w:tcPr>
            <w:tcW w:w="849" w:type="dxa"/>
            <w:tcBorders>
              <w:top w:val="nil"/>
              <w:left w:val="single" w:sz="8" w:space="0" w:color="auto"/>
              <w:bottom w:val="nil"/>
              <w:right w:val="nil"/>
            </w:tcBorders>
            <w:shd w:val="clear" w:color="auto" w:fill="auto"/>
            <w:vAlign w:val="center"/>
            <w:hideMark/>
          </w:tcPr>
          <w:p w:rsidR="003C2AC2" w:rsidRPr="00B700E0" w:rsidRDefault="003C2AC2" w:rsidP="008F1977">
            <w:pPr>
              <w:widowControl/>
              <w:adjustRightInd w:val="0"/>
              <w:snapToGrid w:val="0"/>
              <w:spacing w:line="400" w:lineRule="exact"/>
              <w:jc w:val="center"/>
              <w:rPr>
                <w:rFonts w:ascii="微軟正黑體" w:eastAsia="微軟正黑體" w:hAnsi="微軟正黑體"/>
                <w:sz w:val="20"/>
                <w:szCs w:val="20"/>
              </w:rPr>
            </w:pPr>
            <w:r w:rsidRPr="00B700E0">
              <w:rPr>
                <w:rFonts w:ascii="微軟正黑體" w:eastAsia="微軟正黑體" w:hAnsi="微軟正黑體" w:hint="eastAsia"/>
                <w:sz w:val="20"/>
                <w:szCs w:val="20"/>
              </w:rPr>
              <w:t>13.9</w:t>
            </w:r>
          </w:p>
        </w:tc>
      </w:tr>
      <w:tr w:rsidR="003C2AC2" w:rsidTr="008F1977">
        <w:trPr>
          <w:jc w:val="center"/>
        </w:trPr>
        <w:tc>
          <w:tcPr>
            <w:tcW w:w="692" w:type="dxa"/>
            <w:tcBorders>
              <w:top w:val="nil"/>
              <w:left w:val="nil"/>
              <w:bottom w:val="nil"/>
              <w:right w:val="single" w:sz="8" w:space="0" w:color="auto"/>
            </w:tcBorders>
            <w:noWrap/>
            <w:vAlign w:val="center"/>
            <w:hideMark/>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107年</w:t>
            </w:r>
          </w:p>
        </w:tc>
        <w:tc>
          <w:tcPr>
            <w:tcW w:w="103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right"/>
              <w:rPr>
                <w:rFonts w:ascii="微軟正黑體" w:eastAsia="微軟正黑體" w:hAnsi="微軟正黑體"/>
                <w:sz w:val="20"/>
                <w:szCs w:val="20"/>
              </w:rPr>
            </w:pPr>
            <w:r>
              <w:rPr>
                <w:rFonts w:ascii="微軟正黑體" w:eastAsia="微軟正黑體" w:hAnsi="微軟正黑體" w:hint="eastAsia"/>
                <w:sz w:val="20"/>
                <w:szCs w:val="20"/>
              </w:rPr>
              <w:t>1,397,419</w:t>
            </w:r>
          </w:p>
        </w:tc>
        <w:tc>
          <w:tcPr>
            <w:tcW w:w="857"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574,008</w:t>
            </w:r>
          </w:p>
        </w:tc>
        <w:tc>
          <w:tcPr>
            <w:tcW w:w="855"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40,878</w:t>
            </w:r>
          </w:p>
        </w:tc>
        <w:tc>
          <w:tcPr>
            <w:tcW w:w="992"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601,518</w:t>
            </w:r>
          </w:p>
        </w:tc>
        <w:tc>
          <w:tcPr>
            <w:tcW w:w="990" w:type="dxa"/>
            <w:tcBorders>
              <w:top w:val="nil"/>
              <w:left w:val="single" w:sz="8" w:space="0" w:color="auto"/>
              <w:bottom w:val="nil"/>
              <w:right w:val="single" w:sz="8" w:space="0" w:color="auto"/>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143,610</w:t>
            </w:r>
          </w:p>
        </w:tc>
        <w:tc>
          <w:tcPr>
            <w:tcW w:w="993"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37,405</w:t>
            </w:r>
          </w:p>
        </w:tc>
        <w:tc>
          <w:tcPr>
            <w:tcW w:w="850" w:type="dxa"/>
            <w:tcBorders>
              <w:top w:val="nil"/>
              <w:left w:val="single" w:sz="8" w:space="0" w:color="auto"/>
              <w:bottom w:val="nil"/>
              <w:right w:val="single" w:sz="8" w:space="0" w:color="auto"/>
            </w:tcBorders>
            <w:noWrap/>
            <w:vAlign w:val="center"/>
            <w:hideMark/>
          </w:tcPr>
          <w:p w:rsidR="003C2AC2" w:rsidRDefault="003C2AC2" w:rsidP="008F1977">
            <w:pPr>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40.7</w:t>
            </w:r>
          </w:p>
        </w:tc>
        <w:tc>
          <w:tcPr>
            <w:tcW w:w="1134" w:type="dxa"/>
            <w:tcBorders>
              <w:top w:val="nil"/>
              <w:left w:val="single" w:sz="8" w:space="0" w:color="auto"/>
              <w:bottom w:val="nil"/>
              <w:right w:val="single" w:sz="8" w:space="0" w:color="auto"/>
            </w:tcBorders>
            <w:noWrap/>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3,433,517</w:t>
            </w:r>
          </w:p>
        </w:tc>
        <w:tc>
          <w:tcPr>
            <w:tcW w:w="849" w:type="dxa"/>
            <w:tcBorders>
              <w:top w:val="nil"/>
              <w:left w:val="single" w:sz="8" w:space="0" w:color="auto"/>
              <w:bottom w:val="nil"/>
              <w:right w:val="nil"/>
            </w:tcBorders>
            <w:vAlign w:val="center"/>
            <w:hideMark/>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14.7</w:t>
            </w:r>
          </w:p>
        </w:tc>
      </w:tr>
      <w:tr w:rsidR="003C2AC2" w:rsidTr="008F1977">
        <w:trPr>
          <w:jc w:val="center"/>
        </w:trPr>
        <w:tc>
          <w:tcPr>
            <w:tcW w:w="692" w:type="dxa"/>
            <w:tcBorders>
              <w:top w:val="nil"/>
              <w:left w:val="nil"/>
              <w:bottom w:val="nil"/>
              <w:right w:val="single" w:sz="8" w:space="0" w:color="auto"/>
            </w:tcBorders>
            <w:noWrap/>
            <w:vAlign w:val="center"/>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108年</w:t>
            </w:r>
          </w:p>
        </w:tc>
        <w:tc>
          <w:tcPr>
            <w:tcW w:w="1032" w:type="dxa"/>
            <w:tcBorders>
              <w:top w:val="nil"/>
              <w:left w:val="single" w:sz="8" w:space="0" w:color="auto"/>
              <w:bottom w:val="nil"/>
              <w:right w:val="single" w:sz="8" w:space="0" w:color="auto"/>
            </w:tcBorders>
            <w:noWrap/>
          </w:tcPr>
          <w:p w:rsidR="003C2AC2" w:rsidRPr="00C34084" w:rsidRDefault="003C2AC2" w:rsidP="008F1977">
            <w:pPr>
              <w:widowControl/>
              <w:adjustRightInd w:val="0"/>
              <w:snapToGrid w:val="0"/>
              <w:spacing w:line="400" w:lineRule="exact"/>
              <w:jc w:val="center"/>
              <w:rPr>
                <w:rFonts w:ascii="微軟正黑體" w:eastAsia="微軟正黑體" w:hAnsi="微軟正黑體"/>
                <w:sz w:val="20"/>
                <w:szCs w:val="20"/>
              </w:rPr>
            </w:pPr>
            <w:r w:rsidRPr="00C34084">
              <w:rPr>
                <w:rFonts w:ascii="微軟正黑體" w:eastAsia="微軟正黑體" w:hAnsi="微軟正黑體"/>
                <w:sz w:val="20"/>
                <w:szCs w:val="20"/>
              </w:rPr>
              <w:t xml:space="preserve">1,358,420 </w:t>
            </w:r>
          </w:p>
        </w:tc>
        <w:tc>
          <w:tcPr>
            <w:tcW w:w="857" w:type="dxa"/>
            <w:tcBorders>
              <w:top w:val="nil"/>
              <w:left w:val="single" w:sz="8" w:space="0" w:color="auto"/>
              <w:bottom w:val="nil"/>
              <w:right w:val="single" w:sz="8" w:space="0" w:color="auto"/>
            </w:tcBorders>
            <w:noWrap/>
          </w:tcPr>
          <w:p w:rsidR="003C2AC2" w:rsidRPr="00C34084" w:rsidRDefault="003C2AC2" w:rsidP="008F1977">
            <w:pPr>
              <w:widowControl/>
              <w:adjustRightInd w:val="0"/>
              <w:snapToGrid w:val="0"/>
              <w:spacing w:line="400" w:lineRule="exact"/>
              <w:jc w:val="center"/>
              <w:rPr>
                <w:rFonts w:ascii="微軟正黑體" w:eastAsia="微軟正黑體" w:hAnsi="微軟正黑體"/>
                <w:sz w:val="20"/>
                <w:szCs w:val="20"/>
              </w:rPr>
            </w:pPr>
            <w:r w:rsidRPr="00C34084">
              <w:rPr>
                <w:rFonts w:ascii="微軟正黑體" w:eastAsia="微軟正黑體" w:hAnsi="微軟正黑體"/>
                <w:sz w:val="20"/>
                <w:szCs w:val="20"/>
              </w:rPr>
              <w:t xml:space="preserve">536,099 </w:t>
            </w:r>
          </w:p>
        </w:tc>
        <w:tc>
          <w:tcPr>
            <w:tcW w:w="855" w:type="dxa"/>
            <w:tcBorders>
              <w:top w:val="nil"/>
              <w:left w:val="single" w:sz="8" w:space="0" w:color="auto"/>
              <w:bottom w:val="nil"/>
              <w:right w:val="single" w:sz="8" w:space="0" w:color="auto"/>
            </w:tcBorders>
            <w:noWrap/>
          </w:tcPr>
          <w:p w:rsidR="003C2AC2" w:rsidRPr="00C34084" w:rsidRDefault="003C2AC2" w:rsidP="008F1977">
            <w:pPr>
              <w:widowControl/>
              <w:adjustRightInd w:val="0"/>
              <w:snapToGrid w:val="0"/>
              <w:spacing w:line="400" w:lineRule="exact"/>
              <w:jc w:val="center"/>
              <w:rPr>
                <w:rFonts w:ascii="微軟正黑體" w:eastAsia="微軟正黑體" w:hAnsi="微軟正黑體"/>
                <w:sz w:val="20"/>
                <w:szCs w:val="20"/>
              </w:rPr>
            </w:pPr>
            <w:r w:rsidRPr="00C34084">
              <w:rPr>
                <w:rFonts w:ascii="微軟正黑體" w:eastAsia="微軟正黑體" w:hAnsi="微軟正黑體"/>
                <w:sz w:val="20"/>
                <w:szCs w:val="20"/>
              </w:rPr>
              <w:t>42,012</w:t>
            </w:r>
          </w:p>
        </w:tc>
        <w:tc>
          <w:tcPr>
            <w:tcW w:w="992" w:type="dxa"/>
            <w:tcBorders>
              <w:top w:val="nil"/>
              <w:left w:val="single" w:sz="8" w:space="0" w:color="auto"/>
              <w:bottom w:val="nil"/>
              <w:right w:val="single" w:sz="8" w:space="0" w:color="auto"/>
            </w:tcBorders>
            <w:noWrap/>
          </w:tcPr>
          <w:p w:rsidR="003C2AC2" w:rsidRPr="00C34084" w:rsidRDefault="003C2AC2" w:rsidP="008F1977">
            <w:pPr>
              <w:widowControl/>
              <w:adjustRightInd w:val="0"/>
              <w:snapToGrid w:val="0"/>
              <w:spacing w:line="400" w:lineRule="exact"/>
              <w:jc w:val="center"/>
              <w:rPr>
                <w:rFonts w:ascii="微軟正黑體" w:eastAsia="微軟正黑體" w:hAnsi="微軟正黑體"/>
                <w:sz w:val="20"/>
                <w:szCs w:val="20"/>
              </w:rPr>
            </w:pPr>
            <w:r w:rsidRPr="00C34084">
              <w:rPr>
                <w:rFonts w:ascii="微軟正黑體" w:eastAsia="微軟正黑體" w:hAnsi="微軟正黑體"/>
                <w:sz w:val="20"/>
                <w:szCs w:val="20"/>
              </w:rPr>
              <w:t>588,863</w:t>
            </w:r>
          </w:p>
        </w:tc>
        <w:tc>
          <w:tcPr>
            <w:tcW w:w="990" w:type="dxa"/>
            <w:tcBorders>
              <w:top w:val="nil"/>
              <w:left w:val="single" w:sz="8" w:space="0" w:color="auto"/>
              <w:bottom w:val="nil"/>
              <w:right w:val="single" w:sz="8" w:space="0" w:color="auto"/>
            </w:tcBorders>
          </w:tcPr>
          <w:p w:rsidR="003C2AC2" w:rsidRPr="00C34084" w:rsidRDefault="003C2AC2" w:rsidP="008F1977">
            <w:pPr>
              <w:widowControl/>
              <w:adjustRightInd w:val="0"/>
              <w:snapToGrid w:val="0"/>
              <w:spacing w:line="400" w:lineRule="exact"/>
              <w:jc w:val="center"/>
              <w:rPr>
                <w:rFonts w:ascii="微軟正黑體" w:eastAsia="微軟正黑體" w:hAnsi="微軟正黑體"/>
                <w:sz w:val="20"/>
                <w:szCs w:val="20"/>
              </w:rPr>
            </w:pPr>
            <w:r w:rsidRPr="00C34084">
              <w:rPr>
                <w:rFonts w:ascii="微軟正黑體" w:eastAsia="微軟正黑體" w:hAnsi="微軟正黑體"/>
                <w:sz w:val="20"/>
                <w:szCs w:val="20"/>
              </w:rPr>
              <w:t>156,783</w:t>
            </w:r>
          </w:p>
        </w:tc>
        <w:tc>
          <w:tcPr>
            <w:tcW w:w="993" w:type="dxa"/>
            <w:tcBorders>
              <w:top w:val="nil"/>
              <w:left w:val="single" w:sz="8" w:space="0" w:color="auto"/>
              <w:bottom w:val="nil"/>
              <w:right w:val="single" w:sz="8" w:space="0" w:color="auto"/>
            </w:tcBorders>
            <w:noWrap/>
          </w:tcPr>
          <w:p w:rsidR="003C2AC2" w:rsidRPr="00C34084" w:rsidRDefault="003C2AC2" w:rsidP="008F1977">
            <w:pPr>
              <w:widowControl/>
              <w:adjustRightInd w:val="0"/>
              <w:snapToGrid w:val="0"/>
              <w:spacing w:line="400" w:lineRule="exact"/>
              <w:jc w:val="center"/>
              <w:rPr>
                <w:rFonts w:ascii="微軟正黑體" w:eastAsia="微軟正黑體" w:hAnsi="微軟正黑體"/>
                <w:sz w:val="20"/>
                <w:szCs w:val="20"/>
              </w:rPr>
            </w:pPr>
            <w:r w:rsidRPr="00C34084">
              <w:rPr>
                <w:rFonts w:ascii="微軟正黑體" w:eastAsia="微軟正黑體" w:hAnsi="微軟正黑體"/>
                <w:sz w:val="20"/>
                <w:szCs w:val="20"/>
              </w:rPr>
              <w:t>34,663</w:t>
            </w:r>
          </w:p>
        </w:tc>
        <w:tc>
          <w:tcPr>
            <w:tcW w:w="850" w:type="dxa"/>
            <w:tcBorders>
              <w:top w:val="nil"/>
              <w:left w:val="single" w:sz="8" w:space="0" w:color="auto"/>
              <w:bottom w:val="nil"/>
              <w:right w:val="single" w:sz="8" w:space="0" w:color="auto"/>
            </w:tcBorders>
            <w:noWrap/>
            <w:vAlign w:val="center"/>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37.7</w:t>
            </w:r>
          </w:p>
        </w:tc>
        <w:tc>
          <w:tcPr>
            <w:tcW w:w="1134" w:type="dxa"/>
            <w:tcBorders>
              <w:top w:val="nil"/>
              <w:left w:val="single" w:sz="8" w:space="0" w:color="auto"/>
              <w:bottom w:val="nil"/>
              <w:right w:val="single" w:sz="8" w:space="0" w:color="auto"/>
            </w:tcBorders>
            <w:noWrap/>
            <w:vAlign w:val="center"/>
          </w:tcPr>
          <w:p w:rsidR="003C2AC2" w:rsidRPr="00C34084" w:rsidRDefault="003C2AC2" w:rsidP="008F1977">
            <w:pPr>
              <w:widowControl/>
              <w:adjustRightInd w:val="0"/>
              <w:snapToGrid w:val="0"/>
              <w:spacing w:line="400" w:lineRule="exact"/>
              <w:jc w:val="center"/>
              <w:rPr>
                <w:rFonts w:ascii="微軟正黑體" w:eastAsia="微軟正黑體" w:hAnsi="微軟正黑體"/>
                <w:sz w:val="20"/>
                <w:szCs w:val="20"/>
              </w:rPr>
            </w:pPr>
            <w:r w:rsidRPr="00C34084">
              <w:rPr>
                <w:rFonts w:ascii="微軟正黑體" w:eastAsia="微軟正黑體" w:hAnsi="微軟正黑體" w:hint="eastAsia"/>
                <w:sz w:val="20"/>
                <w:szCs w:val="20"/>
              </w:rPr>
              <w:t>3,607,127</w:t>
            </w:r>
          </w:p>
        </w:tc>
        <w:tc>
          <w:tcPr>
            <w:tcW w:w="849" w:type="dxa"/>
            <w:tcBorders>
              <w:top w:val="nil"/>
              <w:left w:val="single" w:sz="8" w:space="0" w:color="auto"/>
              <w:bottom w:val="nil"/>
              <w:right w:val="nil"/>
            </w:tcBorders>
            <w:vAlign w:val="center"/>
          </w:tcPr>
          <w:p w:rsidR="003C2AC2" w:rsidRDefault="003C2AC2" w:rsidP="008F1977">
            <w:pPr>
              <w:widowControl/>
              <w:adjustRightInd w:val="0"/>
              <w:snapToGrid w:val="0"/>
              <w:spacing w:line="400" w:lineRule="exact"/>
              <w:jc w:val="center"/>
              <w:rPr>
                <w:rFonts w:ascii="微軟正黑體" w:eastAsia="微軟正黑體" w:hAnsi="微軟正黑體"/>
                <w:sz w:val="20"/>
                <w:szCs w:val="20"/>
              </w:rPr>
            </w:pPr>
            <w:r>
              <w:rPr>
                <w:rFonts w:ascii="微軟正黑體" w:eastAsia="微軟正黑體" w:hAnsi="微軟正黑體" w:hint="eastAsia"/>
                <w:sz w:val="20"/>
                <w:szCs w:val="20"/>
              </w:rPr>
              <w:t>15.3</w:t>
            </w:r>
          </w:p>
        </w:tc>
      </w:tr>
      <w:tr w:rsidR="003C2AC2" w:rsidRPr="00C34084" w:rsidTr="008F1977">
        <w:trPr>
          <w:jc w:val="center"/>
        </w:trPr>
        <w:tc>
          <w:tcPr>
            <w:tcW w:w="692" w:type="dxa"/>
            <w:tcBorders>
              <w:top w:val="nil"/>
              <w:left w:val="nil"/>
              <w:bottom w:val="single" w:sz="8" w:space="0" w:color="auto"/>
              <w:right w:val="single" w:sz="8" w:space="0" w:color="auto"/>
            </w:tcBorders>
            <w:noWrap/>
            <w:vAlign w:val="center"/>
          </w:tcPr>
          <w:p w:rsidR="003C2AC2" w:rsidRPr="00291D9C" w:rsidRDefault="003C2AC2" w:rsidP="008F1977">
            <w:pPr>
              <w:widowControl/>
              <w:adjustRightInd w:val="0"/>
              <w:snapToGrid w:val="0"/>
              <w:spacing w:line="400" w:lineRule="exact"/>
              <w:jc w:val="center"/>
              <w:rPr>
                <w:rFonts w:ascii="微軟正黑體" w:eastAsia="微軟正黑體" w:hAnsi="微軟正黑體"/>
                <w:sz w:val="21"/>
                <w:szCs w:val="21"/>
              </w:rPr>
            </w:pPr>
            <w:r w:rsidRPr="00291D9C">
              <w:rPr>
                <w:rFonts w:ascii="微軟正黑體" w:eastAsia="微軟正黑體" w:hAnsi="微軟正黑體" w:hint="eastAsia"/>
                <w:sz w:val="21"/>
                <w:szCs w:val="21"/>
              </w:rPr>
              <w:t>109年</w:t>
            </w:r>
          </w:p>
        </w:tc>
        <w:tc>
          <w:tcPr>
            <w:tcW w:w="1032" w:type="dxa"/>
            <w:tcBorders>
              <w:top w:val="nil"/>
              <w:left w:val="single" w:sz="8" w:space="0" w:color="auto"/>
              <w:bottom w:val="single" w:sz="8" w:space="0" w:color="auto"/>
              <w:right w:val="single" w:sz="8" w:space="0" w:color="auto"/>
            </w:tcBorders>
            <w:noWrap/>
          </w:tcPr>
          <w:p w:rsidR="003C2AC2" w:rsidRPr="006C14D1" w:rsidRDefault="003C2AC2" w:rsidP="008F1977">
            <w:pPr>
              <w:widowControl/>
              <w:adjustRightInd w:val="0"/>
              <w:snapToGrid w:val="0"/>
              <w:spacing w:line="400" w:lineRule="exact"/>
              <w:jc w:val="center"/>
              <w:rPr>
                <w:rFonts w:ascii="微軟正黑體" w:eastAsia="微軟正黑體" w:hAnsi="微軟正黑體"/>
                <w:sz w:val="20"/>
                <w:szCs w:val="20"/>
              </w:rPr>
            </w:pPr>
            <w:r w:rsidRPr="006C14D1">
              <w:rPr>
                <w:rFonts w:ascii="微軟正黑體" w:eastAsia="微軟正黑體" w:hAnsi="微軟正黑體"/>
                <w:sz w:val="20"/>
                <w:szCs w:val="20"/>
              </w:rPr>
              <w:t>1,325,220</w:t>
            </w:r>
          </w:p>
        </w:tc>
        <w:tc>
          <w:tcPr>
            <w:tcW w:w="857" w:type="dxa"/>
            <w:tcBorders>
              <w:top w:val="nil"/>
              <w:left w:val="single" w:sz="8" w:space="0" w:color="auto"/>
              <w:bottom w:val="single" w:sz="8" w:space="0" w:color="auto"/>
              <w:right w:val="single" w:sz="8" w:space="0" w:color="auto"/>
            </w:tcBorders>
            <w:noWrap/>
          </w:tcPr>
          <w:p w:rsidR="003C2AC2" w:rsidRPr="006C14D1" w:rsidRDefault="003C2AC2" w:rsidP="008F1977">
            <w:pPr>
              <w:widowControl/>
              <w:adjustRightInd w:val="0"/>
              <w:snapToGrid w:val="0"/>
              <w:spacing w:line="400" w:lineRule="exact"/>
              <w:jc w:val="center"/>
              <w:rPr>
                <w:rFonts w:ascii="微軟正黑體" w:eastAsia="微軟正黑體" w:hAnsi="微軟正黑體"/>
                <w:sz w:val="20"/>
                <w:szCs w:val="20"/>
              </w:rPr>
            </w:pPr>
            <w:r w:rsidRPr="006C14D1">
              <w:rPr>
                <w:rFonts w:ascii="微軟正黑體" w:eastAsia="微軟正黑體" w:hAnsi="微軟正黑體"/>
                <w:sz w:val="20"/>
                <w:szCs w:val="20"/>
              </w:rPr>
              <w:t>498,971</w:t>
            </w:r>
          </w:p>
        </w:tc>
        <w:tc>
          <w:tcPr>
            <w:tcW w:w="855" w:type="dxa"/>
            <w:tcBorders>
              <w:top w:val="nil"/>
              <w:left w:val="single" w:sz="8" w:space="0" w:color="auto"/>
              <w:bottom w:val="single" w:sz="8" w:space="0" w:color="auto"/>
              <w:right w:val="single" w:sz="8" w:space="0" w:color="auto"/>
            </w:tcBorders>
            <w:noWrap/>
          </w:tcPr>
          <w:p w:rsidR="003C2AC2" w:rsidRPr="006C14D1" w:rsidRDefault="003C2AC2" w:rsidP="008F1977">
            <w:pPr>
              <w:widowControl/>
              <w:adjustRightInd w:val="0"/>
              <w:snapToGrid w:val="0"/>
              <w:spacing w:line="400" w:lineRule="exact"/>
              <w:jc w:val="center"/>
              <w:rPr>
                <w:rFonts w:ascii="微軟正黑體" w:eastAsia="微軟正黑體" w:hAnsi="微軟正黑體"/>
                <w:sz w:val="20"/>
                <w:szCs w:val="20"/>
              </w:rPr>
            </w:pPr>
            <w:r w:rsidRPr="006C14D1">
              <w:rPr>
                <w:rFonts w:ascii="微軟正黑體" w:eastAsia="微軟正黑體" w:hAnsi="微軟正黑體"/>
                <w:sz w:val="20"/>
                <w:szCs w:val="20"/>
              </w:rPr>
              <w:t>42,920</w:t>
            </w:r>
          </w:p>
        </w:tc>
        <w:tc>
          <w:tcPr>
            <w:tcW w:w="992" w:type="dxa"/>
            <w:tcBorders>
              <w:top w:val="nil"/>
              <w:left w:val="single" w:sz="8" w:space="0" w:color="auto"/>
              <w:bottom w:val="single" w:sz="8" w:space="0" w:color="auto"/>
              <w:right w:val="single" w:sz="8" w:space="0" w:color="auto"/>
            </w:tcBorders>
            <w:noWrap/>
          </w:tcPr>
          <w:p w:rsidR="003C2AC2" w:rsidRPr="006C14D1" w:rsidRDefault="003C2AC2" w:rsidP="008F1977">
            <w:pPr>
              <w:widowControl/>
              <w:adjustRightInd w:val="0"/>
              <w:snapToGrid w:val="0"/>
              <w:spacing w:line="400" w:lineRule="exact"/>
              <w:jc w:val="center"/>
              <w:rPr>
                <w:rFonts w:ascii="微軟正黑體" w:eastAsia="微軟正黑體" w:hAnsi="微軟正黑體"/>
                <w:sz w:val="20"/>
                <w:szCs w:val="20"/>
              </w:rPr>
            </w:pPr>
            <w:r w:rsidRPr="006C14D1">
              <w:rPr>
                <w:rFonts w:ascii="微軟正黑體" w:eastAsia="微軟正黑體" w:hAnsi="微軟正黑體"/>
                <w:sz w:val="20"/>
                <w:szCs w:val="20"/>
              </w:rPr>
              <w:t>577,548</w:t>
            </w:r>
          </w:p>
        </w:tc>
        <w:tc>
          <w:tcPr>
            <w:tcW w:w="990" w:type="dxa"/>
            <w:tcBorders>
              <w:top w:val="nil"/>
              <w:left w:val="single" w:sz="8" w:space="0" w:color="auto"/>
              <w:bottom w:val="single" w:sz="8" w:space="0" w:color="auto"/>
              <w:right w:val="single" w:sz="8" w:space="0" w:color="auto"/>
            </w:tcBorders>
          </w:tcPr>
          <w:p w:rsidR="003C2AC2" w:rsidRPr="006C14D1" w:rsidRDefault="003C2AC2" w:rsidP="008F1977">
            <w:pPr>
              <w:widowControl/>
              <w:adjustRightInd w:val="0"/>
              <w:snapToGrid w:val="0"/>
              <w:spacing w:line="400" w:lineRule="exact"/>
              <w:jc w:val="center"/>
              <w:rPr>
                <w:rFonts w:ascii="微軟正黑體" w:eastAsia="微軟正黑體" w:hAnsi="微軟正黑體"/>
                <w:sz w:val="20"/>
                <w:szCs w:val="20"/>
              </w:rPr>
            </w:pPr>
            <w:r w:rsidRPr="006C14D1">
              <w:rPr>
                <w:rFonts w:ascii="微軟正黑體" w:eastAsia="微軟正黑體" w:hAnsi="微軟正黑體"/>
                <w:sz w:val="20"/>
                <w:szCs w:val="20"/>
              </w:rPr>
              <w:t>173,011</w:t>
            </w:r>
          </w:p>
        </w:tc>
        <w:tc>
          <w:tcPr>
            <w:tcW w:w="993" w:type="dxa"/>
            <w:tcBorders>
              <w:top w:val="nil"/>
              <w:left w:val="single" w:sz="8" w:space="0" w:color="auto"/>
              <w:bottom w:val="single" w:sz="8" w:space="0" w:color="auto"/>
              <w:right w:val="single" w:sz="8" w:space="0" w:color="auto"/>
            </w:tcBorders>
            <w:noWrap/>
          </w:tcPr>
          <w:p w:rsidR="003C2AC2" w:rsidRPr="006C14D1" w:rsidRDefault="003C2AC2" w:rsidP="008F1977">
            <w:pPr>
              <w:widowControl/>
              <w:adjustRightInd w:val="0"/>
              <w:snapToGrid w:val="0"/>
              <w:spacing w:line="400" w:lineRule="exact"/>
              <w:jc w:val="center"/>
              <w:rPr>
                <w:rFonts w:ascii="微軟正黑體" w:eastAsia="微軟正黑體" w:hAnsi="微軟正黑體"/>
                <w:sz w:val="20"/>
                <w:szCs w:val="20"/>
              </w:rPr>
            </w:pPr>
            <w:r w:rsidRPr="006C14D1">
              <w:rPr>
                <w:rFonts w:ascii="微軟正黑體" w:eastAsia="微軟正黑體" w:hAnsi="微軟正黑體"/>
                <w:sz w:val="20"/>
                <w:szCs w:val="20"/>
              </w:rPr>
              <w:t>32,770</w:t>
            </w:r>
          </w:p>
        </w:tc>
        <w:tc>
          <w:tcPr>
            <w:tcW w:w="850" w:type="dxa"/>
            <w:tcBorders>
              <w:top w:val="nil"/>
              <w:left w:val="single" w:sz="8" w:space="0" w:color="auto"/>
              <w:bottom w:val="single" w:sz="8" w:space="0" w:color="auto"/>
              <w:right w:val="single" w:sz="8" w:space="0" w:color="auto"/>
            </w:tcBorders>
            <w:noWrap/>
            <w:vAlign w:val="center"/>
          </w:tcPr>
          <w:p w:rsidR="003C2AC2" w:rsidRPr="00C34084" w:rsidRDefault="003C2AC2" w:rsidP="008F1977">
            <w:pPr>
              <w:adjustRightInd w:val="0"/>
              <w:snapToGrid w:val="0"/>
              <w:spacing w:line="400" w:lineRule="exact"/>
              <w:jc w:val="center"/>
              <w:rPr>
                <w:rFonts w:ascii="微軟正黑體" w:eastAsia="微軟正黑體" w:hAnsi="微軟正黑體"/>
                <w:sz w:val="20"/>
                <w:szCs w:val="20"/>
              </w:rPr>
            </w:pPr>
            <w:r w:rsidRPr="00C34084">
              <w:rPr>
                <w:rFonts w:ascii="微軟正黑體" w:eastAsia="微軟正黑體" w:hAnsi="微軟正黑體" w:hint="eastAsia"/>
                <w:sz w:val="20"/>
                <w:szCs w:val="20"/>
              </w:rPr>
              <w:t>35.0</w:t>
            </w:r>
          </w:p>
        </w:tc>
        <w:tc>
          <w:tcPr>
            <w:tcW w:w="1134" w:type="dxa"/>
            <w:tcBorders>
              <w:top w:val="nil"/>
              <w:left w:val="single" w:sz="8" w:space="0" w:color="auto"/>
              <w:bottom w:val="single" w:sz="8" w:space="0" w:color="auto"/>
              <w:right w:val="single" w:sz="8" w:space="0" w:color="auto"/>
            </w:tcBorders>
            <w:noWrap/>
            <w:vAlign w:val="center"/>
          </w:tcPr>
          <w:p w:rsidR="003C2AC2" w:rsidRPr="006C14D1" w:rsidRDefault="003C2AC2" w:rsidP="008F1977">
            <w:pPr>
              <w:widowControl/>
              <w:adjustRightInd w:val="0"/>
              <w:snapToGrid w:val="0"/>
              <w:spacing w:line="400" w:lineRule="exact"/>
              <w:jc w:val="center"/>
              <w:rPr>
                <w:rFonts w:ascii="微軟正黑體" w:eastAsia="微軟正黑體" w:hAnsi="微軟正黑體"/>
                <w:sz w:val="20"/>
                <w:szCs w:val="20"/>
              </w:rPr>
            </w:pPr>
            <w:r w:rsidRPr="006C14D1">
              <w:rPr>
                <w:rFonts w:ascii="微軟正黑體" w:eastAsia="微軟正黑體" w:hAnsi="微軟正黑體" w:hint="eastAsia"/>
                <w:sz w:val="20"/>
                <w:szCs w:val="20"/>
              </w:rPr>
              <w:t xml:space="preserve">3,787,315 </w:t>
            </w:r>
          </w:p>
        </w:tc>
        <w:tc>
          <w:tcPr>
            <w:tcW w:w="849" w:type="dxa"/>
            <w:tcBorders>
              <w:top w:val="nil"/>
              <w:left w:val="single" w:sz="8" w:space="0" w:color="auto"/>
              <w:bottom w:val="single" w:sz="8" w:space="0" w:color="auto"/>
              <w:right w:val="nil"/>
            </w:tcBorders>
            <w:vAlign w:val="center"/>
          </w:tcPr>
          <w:p w:rsidR="003C2AC2" w:rsidRPr="00C34084" w:rsidRDefault="003C2AC2" w:rsidP="008F1977">
            <w:pPr>
              <w:widowControl/>
              <w:adjustRightInd w:val="0"/>
              <w:snapToGrid w:val="0"/>
              <w:spacing w:line="400" w:lineRule="exact"/>
              <w:jc w:val="center"/>
              <w:rPr>
                <w:rFonts w:ascii="微軟正黑體" w:eastAsia="微軟正黑體" w:hAnsi="微軟正黑體"/>
                <w:sz w:val="20"/>
                <w:szCs w:val="20"/>
              </w:rPr>
            </w:pPr>
            <w:r w:rsidRPr="00C34084">
              <w:rPr>
                <w:rFonts w:ascii="微軟正黑體" w:eastAsia="微軟正黑體" w:hAnsi="微軟正黑體" w:hint="eastAsia"/>
                <w:sz w:val="20"/>
                <w:szCs w:val="20"/>
              </w:rPr>
              <w:t>16.1</w:t>
            </w:r>
          </w:p>
        </w:tc>
      </w:tr>
    </w:tbl>
    <w:p w:rsidR="003C2AC2" w:rsidRDefault="003C2AC2" w:rsidP="003C2AC2">
      <w:pPr>
        <w:widowControl/>
        <w:spacing w:line="240" w:lineRule="exact"/>
        <w:ind w:leftChars="-21" w:left="-50" w:firstLineChars="25" w:firstLine="50"/>
        <w:rPr>
          <w:rFonts w:ascii="微軟正黑體" w:eastAsia="微軟正黑體" w:hAnsi="微軟正黑體"/>
          <w:sz w:val="20"/>
          <w:szCs w:val="20"/>
        </w:rPr>
      </w:pPr>
      <w:r>
        <w:rPr>
          <w:rFonts w:ascii="微軟正黑體" w:eastAsia="微軟正黑體" w:hAnsi="微軟正黑體" w:hint="eastAsia"/>
          <w:sz w:val="20"/>
          <w:szCs w:val="20"/>
        </w:rPr>
        <w:t>註：1.</w:t>
      </w:r>
      <w:r>
        <w:rPr>
          <w:rFonts w:ascii="微軟正黑體" w:eastAsia="微軟正黑體" w:hAnsi="微軟正黑體" w:hint="eastAsia"/>
          <w:sz w:val="10"/>
          <w:szCs w:val="10"/>
        </w:rPr>
        <w:t xml:space="preserve"> </w:t>
      </w:r>
      <w:r>
        <w:rPr>
          <w:rFonts w:ascii="微軟正黑體" w:eastAsia="微軟正黑體" w:hAnsi="微軟正黑體" w:hint="eastAsia"/>
          <w:sz w:val="20"/>
          <w:szCs w:val="20"/>
        </w:rPr>
        <w:t>老年基本保證年金及原住民給付於國民年金97年開辦前，係分別指敬老福利生活津貼及原住民敬</w:t>
      </w:r>
    </w:p>
    <w:p w:rsidR="003C2AC2" w:rsidRDefault="003C2AC2" w:rsidP="003C2AC2">
      <w:pPr>
        <w:widowControl/>
        <w:spacing w:line="240" w:lineRule="exact"/>
        <w:ind w:leftChars="-21" w:left="-50" w:firstLineChars="25" w:firstLine="50"/>
        <w:rPr>
          <w:rFonts w:ascii="微軟正黑體" w:eastAsia="微軟正黑體" w:hAnsi="微軟正黑體"/>
          <w:sz w:val="20"/>
          <w:szCs w:val="20"/>
        </w:rPr>
      </w:pPr>
      <w:r>
        <w:rPr>
          <w:rFonts w:ascii="微軟正黑體" w:eastAsia="微軟正黑體" w:hAnsi="微軟正黑體" w:hint="eastAsia"/>
          <w:sz w:val="20"/>
          <w:szCs w:val="20"/>
        </w:rPr>
        <w:t xml:space="preserve">      老福利生活津貼。</w:t>
      </w:r>
    </w:p>
    <w:p w:rsidR="003C2AC2" w:rsidRDefault="003C2AC2" w:rsidP="003C2AC2">
      <w:pPr>
        <w:widowControl/>
        <w:spacing w:line="240" w:lineRule="exact"/>
        <w:ind w:leftChars="-21" w:left="-50" w:firstLineChars="25" w:firstLine="50"/>
        <w:rPr>
          <w:rFonts w:ascii="微軟正黑體" w:eastAsia="微軟正黑體" w:hAnsi="微軟正黑體"/>
          <w:sz w:val="20"/>
          <w:szCs w:val="20"/>
        </w:rPr>
      </w:pPr>
      <w:r>
        <w:rPr>
          <w:rFonts w:ascii="微軟正黑體" w:eastAsia="微軟正黑體" w:hAnsi="微軟正黑體" w:hint="eastAsia"/>
          <w:sz w:val="20"/>
          <w:szCs w:val="20"/>
        </w:rPr>
        <w:t xml:space="preserve">    2.</w:t>
      </w:r>
      <w:r>
        <w:rPr>
          <w:rFonts w:ascii="微軟正黑體" w:eastAsia="微軟正黑體" w:hAnsi="微軟正黑體" w:hint="eastAsia"/>
          <w:sz w:val="10"/>
          <w:szCs w:val="10"/>
        </w:rPr>
        <w:t xml:space="preserve"> </w:t>
      </w:r>
      <w:r>
        <w:rPr>
          <w:rFonts w:ascii="微軟正黑體" w:eastAsia="微軟正黑體" w:hAnsi="微軟正黑體" w:hint="eastAsia"/>
          <w:sz w:val="20"/>
          <w:szCs w:val="20"/>
        </w:rPr>
        <w:t>原住民給付請領年齡為年滿55歲，榮民就養給付為年滿61歲或身心障礙者，故各項老人津貼占</w:t>
      </w:r>
    </w:p>
    <w:p w:rsidR="003C2AC2" w:rsidRDefault="003C2AC2" w:rsidP="003C2AC2">
      <w:pPr>
        <w:widowControl/>
        <w:spacing w:line="240" w:lineRule="exact"/>
        <w:ind w:leftChars="-21" w:left="-50" w:firstLineChars="25" w:firstLine="50"/>
        <w:rPr>
          <w:rFonts w:ascii="微軟正黑體" w:eastAsia="微軟正黑體" w:hAnsi="微軟正黑體"/>
          <w:sz w:val="20"/>
          <w:szCs w:val="20"/>
        </w:rPr>
      </w:pPr>
      <w:r>
        <w:rPr>
          <w:rFonts w:ascii="微軟正黑體" w:eastAsia="微軟正黑體" w:hAnsi="微軟正黑體" w:hint="eastAsia"/>
          <w:sz w:val="20"/>
          <w:szCs w:val="20"/>
        </w:rPr>
        <w:t xml:space="preserve">      65歲以上人口比率可能高估。</w:t>
      </w:r>
    </w:p>
    <w:p w:rsidR="003C2AC2" w:rsidRDefault="003C2AC2" w:rsidP="003C2AC2">
      <w:pPr>
        <w:widowControl/>
        <w:spacing w:line="240" w:lineRule="exact"/>
        <w:ind w:leftChars="-21" w:left="-50" w:firstLineChars="25" w:firstLine="50"/>
        <w:rPr>
          <w:rFonts w:ascii="微軟正黑體" w:eastAsia="微軟正黑體" w:hAnsi="微軟正黑體"/>
          <w:sz w:val="20"/>
          <w:szCs w:val="20"/>
        </w:rPr>
      </w:pPr>
    </w:p>
    <w:p w:rsidR="003C2AC2" w:rsidRDefault="003C2AC2" w:rsidP="003C2AC2">
      <w:pPr>
        <w:widowControl/>
        <w:spacing w:line="240" w:lineRule="exact"/>
        <w:ind w:leftChars="-21" w:left="-50" w:firstLineChars="25" w:firstLine="50"/>
        <w:rPr>
          <w:rFonts w:ascii="微軟正黑體" w:eastAsia="微軟正黑體" w:hAnsi="微軟正黑體"/>
          <w:sz w:val="20"/>
          <w:szCs w:val="20"/>
        </w:rPr>
      </w:pPr>
    </w:p>
    <w:p w:rsidR="003C2AC2" w:rsidRPr="00395CBA" w:rsidRDefault="003C2AC2" w:rsidP="003C2AC2">
      <w:pPr>
        <w:snapToGrid w:val="0"/>
        <w:spacing w:beforeLines="30" w:before="108" w:line="400" w:lineRule="exact"/>
        <w:ind w:firstLineChars="100" w:firstLine="240"/>
        <w:jc w:val="both"/>
        <w:rPr>
          <w:rFonts w:ascii="微軟正黑體" w:eastAsia="微軟正黑體" w:hAnsi="微軟正黑體"/>
        </w:rPr>
      </w:pPr>
      <w:r>
        <w:rPr>
          <w:rFonts w:ascii="微軟正黑體" w:eastAsia="微軟正黑體" w:hAnsi="微軟正黑體" w:hint="eastAsia"/>
        </w:rPr>
        <w:t xml:space="preserve">2. </w:t>
      </w:r>
      <w:r w:rsidRPr="00395CBA">
        <w:rPr>
          <w:rFonts w:ascii="微軟正黑體" w:eastAsia="微軟正黑體" w:hAnsi="微軟正黑體" w:hint="eastAsia"/>
        </w:rPr>
        <w:t>給付總額</w:t>
      </w:r>
    </w:p>
    <w:p w:rsidR="003C2AC2" w:rsidRDefault="003C2AC2" w:rsidP="003C2AC2">
      <w:pPr>
        <w:snapToGrid w:val="0"/>
        <w:spacing w:beforeLines="30" w:before="108" w:afterLines="25" w:after="90" w:line="400" w:lineRule="exact"/>
        <w:ind w:leftChars="236" w:left="566" w:firstLineChars="200" w:firstLine="480"/>
        <w:jc w:val="both"/>
        <w:rPr>
          <w:rFonts w:ascii="微軟正黑體" w:eastAsia="微軟正黑體" w:hAnsi="微軟正黑體"/>
        </w:rPr>
      </w:pPr>
      <w:r>
        <w:rPr>
          <w:rFonts w:ascii="微軟正黑體" w:eastAsia="微軟正黑體" w:hAnsi="微軟正黑體" w:hint="eastAsia"/>
        </w:rPr>
        <w:t>現行老年福利津貼所需經費均由政府編列預算支應，97年以前整體支出隨領取人數增加而逐年增加，並於97年達1,059.7億元，98至100年隨國保與勞保年</w:t>
      </w:r>
      <w:r w:rsidRPr="00AC72E0">
        <w:rPr>
          <w:rFonts w:ascii="微軟正黑體" w:eastAsia="微軟正黑體" w:hAnsi="微軟正黑體" w:hint="eastAsia"/>
        </w:rPr>
        <w:t>金開辦後領取人數減少而降低，101年老農津貼調整給付金額，八大社福津貼亦</w:t>
      </w:r>
      <w:r>
        <w:rPr>
          <w:rFonts w:ascii="微軟正黑體" w:eastAsia="微軟正黑體" w:hAnsi="微軟正黑體" w:hint="eastAsia"/>
        </w:rPr>
        <w:t>併同調高，其中老農津貼由6,000元提高至7,000元、老年基本保證年金與原住民給付由3,000元提高至3,500元、中低收入老人生活津貼則由3,000元及6,000元提高至3,600元及7,200元，致101年整體福利津貼支出不減反增，達</w:t>
      </w:r>
      <w:r w:rsidRPr="008A4D4C">
        <w:rPr>
          <w:rFonts w:ascii="微軟正黑體" w:eastAsia="微軟正黑體" w:hAnsi="微軟正黑體" w:hint="eastAsia"/>
        </w:rPr>
        <w:t>1,12</w:t>
      </w:r>
      <w:r w:rsidR="00852B95" w:rsidRPr="008A4D4C">
        <w:rPr>
          <w:rFonts w:ascii="微軟正黑體" w:eastAsia="微軟正黑體" w:hAnsi="微軟正黑體" w:hint="eastAsia"/>
        </w:rPr>
        <w:t>7.8</w:t>
      </w:r>
      <w:r>
        <w:rPr>
          <w:rFonts w:ascii="微軟正黑體" w:eastAsia="微軟正黑體" w:hAnsi="微軟正黑體" w:hint="eastAsia"/>
        </w:rPr>
        <w:t>億元。</w:t>
      </w:r>
    </w:p>
    <w:p w:rsidR="003C2AC2" w:rsidRDefault="003C2AC2" w:rsidP="003C2AC2">
      <w:pPr>
        <w:snapToGrid w:val="0"/>
        <w:spacing w:before="30" w:afterLines="25" w:after="90" w:line="400" w:lineRule="exact"/>
        <w:ind w:leftChars="236" w:left="566" w:firstLineChars="200" w:firstLine="480"/>
        <w:jc w:val="both"/>
        <w:rPr>
          <w:rFonts w:ascii="微軟正黑體" w:eastAsia="微軟正黑體" w:hAnsi="微軟正黑體"/>
        </w:rPr>
      </w:pPr>
      <w:r>
        <w:rPr>
          <w:rFonts w:ascii="微軟正黑體" w:eastAsia="微軟正黑體" w:hAnsi="微軟正黑體" w:hint="eastAsia"/>
        </w:rPr>
        <w:t>另101年亦確立各項津貼每4年隨消費者物價指數調整之機制，爰105年及109年皆有調整</w:t>
      </w:r>
      <w:r w:rsidRPr="0038767E">
        <w:rPr>
          <w:rFonts w:ascii="微軟正黑體" w:eastAsia="微軟正黑體" w:hAnsi="微軟正黑體" w:hint="eastAsia"/>
        </w:rPr>
        <w:t>各項津貼給付額度，109年起老農津貼為</w:t>
      </w:r>
      <w:r w:rsidRPr="0038767E">
        <w:rPr>
          <w:rFonts w:ascii="微軟正黑體" w:eastAsia="微軟正黑體" w:hAnsi="微軟正黑體"/>
        </w:rPr>
        <w:t>7,550元</w:t>
      </w:r>
      <w:r w:rsidRPr="0038767E">
        <w:rPr>
          <w:rFonts w:ascii="微軟正黑體" w:eastAsia="微軟正黑體" w:hAnsi="微軟正黑體" w:hint="eastAsia"/>
        </w:rPr>
        <w:t>，老年基本保證年金及原住民給付為3,772 元</w:t>
      </w:r>
      <w:r>
        <w:rPr>
          <w:rFonts w:ascii="微軟正黑體" w:eastAsia="微軟正黑體" w:hAnsi="微軟正黑體" w:hint="eastAsia"/>
        </w:rPr>
        <w:t>，中低老人生活津貼則為</w:t>
      </w:r>
      <w:r w:rsidRPr="00AC3C9E">
        <w:rPr>
          <w:rFonts w:ascii="微軟正黑體" w:eastAsia="微軟正黑體" w:hAnsi="微軟正黑體"/>
        </w:rPr>
        <w:t>3,879元及7,759</w:t>
      </w:r>
      <w:r>
        <w:t>元。</w:t>
      </w:r>
    </w:p>
    <w:p w:rsidR="003C2AC2" w:rsidRDefault="003C2AC2" w:rsidP="003C2AC2">
      <w:pPr>
        <w:snapToGrid w:val="0"/>
        <w:spacing w:before="30" w:afterLines="25" w:after="90" w:line="400" w:lineRule="exact"/>
        <w:ind w:leftChars="236" w:left="566" w:firstLineChars="200" w:firstLine="480"/>
        <w:jc w:val="both"/>
        <w:rPr>
          <w:rFonts w:ascii="微軟正黑體" w:eastAsia="微軟正黑體" w:hAnsi="微軟正黑體"/>
        </w:rPr>
      </w:pPr>
      <w:r>
        <w:rPr>
          <w:rFonts w:ascii="微軟正黑體" w:eastAsia="微軟正黑體" w:hAnsi="微軟正黑體" w:hint="eastAsia"/>
        </w:rPr>
        <w:t>109年除中低老人生活津貼領取人數些微增長外，其餘津貼領取人數持續下降，各津貼給付總額共976.6億元，較108年度增加13.1億元。</w:t>
      </w:r>
    </w:p>
    <w:p w:rsidR="003C2AC2" w:rsidRDefault="003C2AC2" w:rsidP="003C2AC2">
      <w:pPr>
        <w:snapToGrid w:val="0"/>
        <w:spacing w:before="30" w:afterLines="25" w:after="90" w:line="400" w:lineRule="exact"/>
        <w:ind w:leftChars="236" w:left="566" w:firstLineChars="200" w:firstLine="480"/>
        <w:jc w:val="both"/>
        <w:rPr>
          <w:rFonts w:ascii="微軟正黑體" w:eastAsia="微軟正黑體" w:hAnsi="微軟正黑體"/>
        </w:rPr>
      </w:pPr>
    </w:p>
    <w:p w:rsidR="003C2AC2" w:rsidRDefault="003C2AC2" w:rsidP="003C2AC2">
      <w:pPr>
        <w:snapToGrid w:val="0"/>
        <w:spacing w:before="30" w:afterLines="25" w:after="90" w:line="400" w:lineRule="exact"/>
        <w:ind w:leftChars="236" w:left="566" w:firstLineChars="200" w:firstLine="480"/>
        <w:jc w:val="both"/>
        <w:rPr>
          <w:rFonts w:ascii="微軟正黑體" w:eastAsia="微軟正黑體" w:hAnsi="微軟正黑體"/>
        </w:rPr>
      </w:pPr>
    </w:p>
    <w:p w:rsidR="003C2AC2" w:rsidRDefault="003C2AC2" w:rsidP="003C2AC2">
      <w:pPr>
        <w:snapToGrid w:val="0"/>
        <w:spacing w:before="30" w:afterLines="25" w:after="90" w:line="400" w:lineRule="exact"/>
        <w:ind w:leftChars="236" w:left="566" w:firstLineChars="200" w:firstLine="480"/>
        <w:jc w:val="both"/>
        <w:rPr>
          <w:rFonts w:ascii="微軟正黑體" w:eastAsia="微軟正黑體" w:hAnsi="微軟正黑體"/>
        </w:rPr>
      </w:pPr>
    </w:p>
    <w:p w:rsidR="003C2AC2" w:rsidRDefault="003C2AC2" w:rsidP="003C2AC2">
      <w:pPr>
        <w:snapToGrid w:val="0"/>
        <w:spacing w:before="30" w:afterLines="25" w:after="90" w:line="400" w:lineRule="exact"/>
        <w:ind w:leftChars="236" w:left="566" w:firstLineChars="200" w:firstLine="480"/>
        <w:jc w:val="both"/>
        <w:rPr>
          <w:rFonts w:ascii="微軟正黑體" w:eastAsia="微軟正黑體" w:hAnsi="微軟正黑體"/>
        </w:rPr>
      </w:pPr>
    </w:p>
    <w:p w:rsidR="003C2AC2" w:rsidRDefault="003C2AC2" w:rsidP="003C2AC2">
      <w:pPr>
        <w:snapToGrid w:val="0"/>
        <w:spacing w:before="30" w:afterLines="25" w:after="90" w:line="400" w:lineRule="exact"/>
        <w:ind w:leftChars="177" w:left="425" w:firstLineChars="200" w:firstLine="480"/>
        <w:jc w:val="both"/>
        <w:rPr>
          <w:rFonts w:ascii="微軟正黑體" w:eastAsia="微軟正黑體" w:hAnsi="微軟正黑體"/>
        </w:rPr>
      </w:pPr>
      <w:r>
        <w:rPr>
          <w:rFonts w:hint="eastAsia"/>
          <w:noProof/>
        </w:rPr>
        <w:lastRenderedPageBreak/>
        <w:drawing>
          <wp:anchor distT="0" distB="0" distL="114300" distR="114300" simplePos="0" relativeHeight="252513280" behindDoc="0" locked="0" layoutInCell="1" allowOverlap="1" wp14:anchorId="59596BC5" wp14:editId="56883902">
            <wp:simplePos x="0" y="0"/>
            <wp:positionH relativeFrom="column">
              <wp:posOffset>15875</wp:posOffset>
            </wp:positionH>
            <wp:positionV relativeFrom="paragraph">
              <wp:posOffset>100330</wp:posOffset>
            </wp:positionV>
            <wp:extent cx="5693410" cy="3554095"/>
            <wp:effectExtent l="0" t="0" r="21590" b="27305"/>
            <wp:wrapNone/>
            <wp:docPr id="21554" name="圖表 21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3C2AC2" w:rsidRDefault="003C2AC2" w:rsidP="003C2AC2">
      <w:pPr>
        <w:widowControl/>
        <w:jc w:val="center"/>
        <w:rPr>
          <w:rFonts w:ascii="微軟正黑體" w:eastAsia="微軟正黑體" w:hAnsi="微軟正黑體"/>
        </w:rPr>
      </w:pPr>
    </w:p>
    <w:p w:rsidR="003C2AC2" w:rsidRDefault="003C2AC2" w:rsidP="003C2AC2">
      <w:pPr>
        <w:widowControl/>
        <w:jc w:val="center"/>
        <w:rPr>
          <w:rFonts w:ascii="微軟正黑體" w:eastAsia="微軟正黑體" w:hAnsi="微軟正黑體"/>
        </w:rPr>
      </w:pPr>
    </w:p>
    <w:p w:rsidR="003C2AC2" w:rsidRDefault="003C2AC2" w:rsidP="003C2AC2">
      <w:pPr>
        <w:widowControl/>
        <w:jc w:val="center"/>
        <w:rPr>
          <w:rFonts w:ascii="微軟正黑體" w:eastAsia="微軟正黑體" w:hAnsi="微軟正黑體"/>
        </w:rPr>
      </w:pPr>
    </w:p>
    <w:p w:rsidR="003C2AC2" w:rsidRDefault="003C2AC2" w:rsidP="003C2AC2">
      <w:pPr>
        <w:widowControl/>
        <w:jc w:val="center"/>
        <w:rPr>
          <w:rFonts w:ascii="微軟正黑體" w:eastAsia="微軟正黑體" w:hAnsi="微軟正黑體"/>
        </w:rPr>
      </w:pPr>
    </w:p>
    <w:p w:rsidR="003C2AC2" w:rsidRDefault="003C2AC2" w:rsidP="003C2AC2">
      <w:pPr>
        <w:widowControl/>
        <w:jc w:val="center"/>
        <w:rPr>
          <w:rFonts w:ascii="微軟正黑體" w:eastAsia="微軟正黑體" w:hAnsi="微軟正黑體"/>
        </w:rPr>
      </w:pPr>
    </w:p>
    <w:p w:rsidR="003C2AC2" w:rsidRDefault="003C2AC2" w:rsidP="003C2AC2">
      <w:pPr>
        <w:widowControl/>
        <w:jc w:val="center"/>
        <w:rPr>
          <w:rFonts w:ascii="微軟正黑體" w:eastAsia="微軟正黑體" w:hAnsi="微軟正黑體"/>
        </w:rPr>
      </w:pPr>
    </w:p>
    <w:p w:rsidR="003C2AC2" w:rsidRDefault="003C2AC2" w:rsidP="003C2AC2">
      <w:pPr>
        <w:widowControl/>
        <w:jc w:val="center"/>
        <w:rPr>
          <w:rFonts w:ascii="微軟正黑體" w:eastAsia="微軟正黑體" w:hAnsi="微軟正黑體"/>
        </w:rPr>
      </w:pPr>
    </w:p>
    <w:p w:rsidR="003C2AC2" w:rsidRDefault="003C2AC2" w:rsidP="003C2AC2">
      <w:pPr>
        <w:widowControl/>
        <w:spacing w:beforeLines="50" w:before="180"/>
        <w:jc w:val="center"/>
        <w:rPr>
          <w:rFonts w:ascii="微軟正黑體" w:eastAsia="微軟正黑體" w:hAnsi="微軟正黑體"/>
        </w:rPr>
      </w:pPr>
      <w:r>
        <w:rPr>
          <w:rFonts w:ascii="微軟正黑體" w:eastAsia="微軟正黑體" w:hAnsi="微軟正黑體" w:hint="eastAsia"/>
        </w:rPr>
        <w:t>圖1.17  近10年老年福利津貼給付總額</w:t>
      </w: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afterLines="30" w:after="108" w:line="240" w:lineRule="exact"/>
        <w:jc w:val="center"/>
        <w:rPr>
          <w:rFonts w:ascii="微軟正黑體" w:eastAsia="微軟正黑體" w:hAnsi="微軟正黑體"/>
        </w:rPr>
      </w:pPr>
    </w:p>
    <w:p w:rsidR="003C2AC2" w:rsidRDefault="003C2AC2" w:rsidP="003C2AC2">
      <w:pPr>
        <w:widowControl/>
        <w:spacing w:afterLines="30" w:after="108" w:line="240" w:lineRule="exact"/>
        <w:jc w:val="center"/>
        <w:rPr>
          <w:rFonts w:ascii="微軟正黑體" w:eastAsia="微軟正黑體" w:hAnsi="微軟正黑體"/>
        </w:rPr>
      </w:pPr>
      <w:r>
        <w:rPr>
          <w:rFonts w:ascii="微軟正黑體" w:eastAsia="微軟正黑體" w:hAnsi="微軟正黑體" w:hint="eastAsia"/>
        </w:rPr>
        <w:t xml:space="preserve">                 表1.5   歷年各福利津貼發放額度調整情形        </w:t>
      </w:r>
      <w:r>
        <w:rPr>
          <w:rFonts w:ascii="微軟正黑體" w:eastAsia="微軟正黑體" w:hAnsi="微軟正黑體" w:hint="eastAsia"/>
          <w:sz w:val="20"/>
          <w:szCs w:val="20"/>
        </w:rPr>
        <w:t xml:space="preserve"> 單位：元</w:t>
      </w:r>
    </w:p>
    <w:tbl>
      <w:tblPr>
        <w:tblW w:w="9895" w:type="dxa"/>
        <w:tblInd w:w="-369" w:type="dxa"/>
        <w:tblLayout w:type="fixed"/>
        <w:tblLook w:val="04A0" w:firstRow="1" w:lastRow="0" w:firstColumn="1" w:lastColumn="0" w:noHBand="0" w:noVBand="1"/>
      </w:tblPr>
      <w:tblGrid>
        <w:gridCol w:w="1376"/>
        <w:gridCol w:w="566"/>
        <w:gridCol w:w="567"/>
        <w:gridCol w:w="567"/>
        <w:gridCol w:w="567"/>
        <w:gridCol w:w="283"/>
        <w:gridCol w:w="284"/>
        <w:gridCol w:w="1701"/>
        <w:gridCol w:w="567"/>
        <w:gridCol w:w="1134"/>
        <w:gridCol w:w="1149"/>
        <w:gridCol w:w="1134"/>
      </w:tblGrid>
      <w:tr w:rsidR="003C2AC2" w:rsidTr="008F1977">
        <w:trPr>
          <w:trHeight w:val="819"/>
        </w:trPr>
        <w:tc>
          <w:tcPr>
            <w:tcW w:w="1376" w:type="dxa"/>
            <w:tcBorders>
              <w:top w:val="single" w:sz="4" w:space="0" w:color="auto"/>
              <w:left w:val="single" w:sz="4" w:space="0" w:color="auto"/>
              <w:bottom w:val="single" w:sz="4" w:space="0" w:color="auto"/>
              <w:right w:val="single" w:sz="4" w:space="0" w:color="auto"/>
              <w:tl2br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rPr>
                <w:rFonts w:ascii="微軟正黑體" w:eastAsia="微軟正黑體" w:hAnsi="微軟正黑體"/>
                <w:b/>
                <w:color w:val="FFFFFF" w:themeColor="background1"/>
                <w:sz w:val="22"/>
              </w:rPr>
            </w:pPr>
            <w:r>
              <w:rPr>
                <w:rFonts w:ascii="微軟正黑體" w:eastAsia="微軟正黑體" w:hAnsi="微軟正黑體" w:hint="eastAsia"/>
                <w:b/>
                <w:color w:val="FFFFFF" w:themeColor="background1"/>
                <w:sz w:val="22"/>
              </w:rPr>
              <w:t xml:space="preserve">     年度</w:t>
            </w:r>
          </w:p>
          <w:p w:rsidR="003C2AC2" w:rsidRDefault="003C2AC2" w:rsidP="008F1977">
            <w:pPr>
              <w:widowControl/>
              <w:spacing w:line="240" w:lineRule="exact"/>
              <w:rPr>
                <w:rFonts w:ascii="微軟正黑體" w:eastAsia="微軟正黑體" w:hAnsi="微軟正黑體"/>
                <w:b/>
                <w:color w:val="FFFFFF" w:themeColor="background1"/>
                <w:sz w:val="22"/>
              </w:rPr>
            </w:pPr>
            <w:r>
              <w:rPr>
                <w:rFonts w:ascii="微軟正黑體" w:eastAsia="微軟正黑體" w:hAnsi="微軟正黑體" w:hint="eastAsia"/>
                <w:b/>
                <w:color w:val="FFFFFF" w:themeColor="background1"/>
                <w:sz w:val="22"/>
              </w:rPr>
              <w:t>制度</w:t>
            </w:r>
          </w:p>
        </w:tc>
        <w:tc>
          <w:tcPr>
            <w:tcW w:w="566" w:type="dxa"/>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92</w:t>
            </w:r>
          </w:p>
        </w:tc>
        <w:tc>
          <w:tcPr>
            <w:tcW w:w="567" w:type="dxa"/>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93</w:t>
            </w:r>
          </w:p>
        </w:tc>
        <w:tc>
          <w:tcPr>
            <w:tcW w:w="567" w:type="dxa"/>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94</w:t>
            </w:r>
          </w:p>
        </w:tc>
        <w:tc>
          <w:tcPr>
            <w:tcW w:w="567" w:type="dxa"/>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95</w:t>
            </w:r>
          </w:p>
        </w:tc>
        <w:tc>
          <w:tcPr>
            <w:tcW w:w="567" w:type="dxa"/>
            <w:gridSpan w:val="2"/>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96</w:t>
            </w:r>
          </w:p>
        </w:tc>
        <w:tc>
          <w:tcPr>
            <w:tcW w:w="1701" w:type="dxa"/>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97-100</w:t>
            </w:r>
          </w:p>
        </w:tc>
        <w:tc>
          <w:tcPr>
            <w:tcW w:w="567" w:type="dxa"/>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101</w:t>
            </w:r>
          </w:p>
        </w:tc>
        <w:tc>
          <w:tcPr>
            <w:tcW w:w="1134" w:type="dxa"/>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102-104</w:t>
            </w:r>
          </w:p>
        </w:tc>
        <w:tc>
          <w:tcPr>
            <w:tcW w:w="1149" w:type="dxa"/>
            <w:tcBorders>
              <w:top w:val="single" w:sz="4" w:space="0" w:color="auto"/>
              <w:left w:val="single" w:sz="4" w:space="0" w:color="auto"/>
              <w:bottom w:val="single" w:sz="4" w:space="0" w:color="auto"/>
              <w:right w:val="single" w:sz="4" w:space="0" w:color="auto"/>
            </w:tcBorders>
            <w:shd w:val="clear" w:color="auto" w:fill="31849B" w:themeFill="accent5" w:themeFillShade="BF"/>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105-108</w:t>
            </w:r>
          </w:p>
        </w:tc>
        <w:tc>
          <w:tcPr>
            <w:tcW w:w="1134"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3C2AC2" w:rsidRDefault="003C2AC2" w:rsidP="008F1977">
            <w:pPr>
              <w:widowControl/>
              <w:spacing w:line="240" w:lineRule="exact"/>
              <w:jc w:val="center"/>
              <w:rPr>
                <w:rFonts w:ascii="微軟正黑體" w:eastAsia="微軟正黑體" w:hAnsi="微軟正黑體"/>
                <w:b/>
                <w:color w:val="FFFFFF" w:themeColor="background1"/>
                <w:sz w:val="22"/>
                <w:szCs w:val="22"/>
              </w:rPr>
            </w:pPr>
            <w:r>
              <w:rPr>
                <w:rFonts w:ascii="微軟正黑體" w:eastAsia="微軟正黑體" w:hAnsi="微軟正黑體" w:hint="eastAsia"/>
                <w:b/>
                <w:color w:val="FFFFFF" w:themeColor="background1"/>
                <w:sz w:val="22"/>
                <w:szCs w:val="22"/>
              </w:rPr>
              <w:t>109</w:t>
            </w:r>
          </w:p>
        </w:tc>
      </w:tr>
      <w:tr w:rsidR="003C2AC2" w:rsidTr="008F1977">
        <w:trPr>
          <w:trHeight w:val="737"/>
        </w:trPr>
        <w:tc>
          <w:tcPr>
            <w:tcW w:w="13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rPr>
                <w:rFonts w:ascii="微軟正黑體" w:eastAsia="微軟正黑體" w:hAnsi="微軟正黑體"/>
                <w:sz w:val="20"/>
                <w:szCs w:val="20"/>
              </w:rPr>
            </w:pPr>
            <w:r>
              <w:rPr>
                <w:rFonts w:ascii="微軟正黑體" w:eastAsia="微軟正黑體" w:hAnsi="微軟正黑體" w:hint="eastAsia"/>
                <w:sz w:val="20"/>
                <w:szCs w:val="20"/>
              </w:rPr>
              <w:t>老年基本保證年金</w:t>
            </w:r>
          </w:p>
          <w:p w:rsidR="003C2AC2" w:rsidRDefault="003C2AC2" w:rsidP="008F1977">
            <w:pPr>
              <w:widowControl/>
              <w:spacing w:line="240" w:lineRule="exact"/>
              <w:rPr>
                <w:rFonts w:ascii="微軟正黑體" w:eastAsia="微軟正黑體" w:hAnsi="微軟正黑體"/>
                <w:sz w:val="20"/>
                <w:szCs w:val="20"/>
              </w:rPr>
            </w:pPr>
            <w:r>
              <w:rPr>
                <w:rFonts w:ascii="微軟正黑體" w:eastAsia="微軟正黑體" w:hAnsi="微軟正黑體" w:hint="eastAsia"/>
                <w:sz w:val="20"/>
                <w:szCs w:val="20"/>
              </w:rPr>
              <w:t>原住民給付</w:t>
            </w:r>
          </w:p>
        </w:tc>
        <w:tc>
          <w:tcPr>
            <w:tcW w:w="453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3,000</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3,500</w:t>
            </w:r>
          </w:p>
        </w:tc>
        <w:tc>
          <w:tcPr>
            <w:tcW w:w="11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3,628</w:t>
            </w:r>
          </w:p>
        </w:tc>
        <w:tc>
          <w:tcPr>
            <w:tcW w:w="1134" w:type="dxa"/>
            <w:tcBorders>
              <w:top w:val="single" w:sz="4" w:space="0" w:color="auto"/>
              <w:left w:val="single" w:sz="4" w:space="0" w:color="auto"/>
              <w:bottom w:val="single" w:sz="4" w:space="0" w:color="auto"/>
              <w:right w:val="single" w:sz="4" w:space="0" w:color="auto"/>
            </w:tcBorders>
            <w:vAlign w:val="center"/>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3,772</w:t>
            </w:r>
          </w:p>
        </w:tc>
      </w:tr>
      <w:tr w:rsidR="003C2AC2" w:rsidTr="008F1977">
        <w:trPr>
          <w:trHeight w:val="737"/>
        </w:trPr>
        <w:tc>
          <w:tcPr>
            <w:tcW w:w="13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rPr>
                <w:rFonts w:ascii="微軟正黑體" w:eastAsia="微軟正黑體" w:hAnsi="微軟正黑體"/>
                <w:sz w:val="20"/>
                <w:szCs w:val="20"/>
              </w:rPr>
            </w:pPr>
            <w:r>
              <w:rPr>
                <w:rFonts w:ascii="微軟正黑體" w:eastAsia="微軟正黑體" w:hAnsi="微軟正黑體" w:hint="eastAsia"/>
                <w:sz w:val="20"/>
                <w:szCs w:val="20"/>
              </w:rPr>
              <w:t>老年農民福利津貼</w:t>
            </w:r>
          </w:p>
        </w:tc>
        <w:tc>
          <w:tcPr>
            <w:tcW w:w="56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ind w:leftChars="-23" w:left="-55" w:rightChars="-23" w:right="-55"/>
              <w:jc w:val="center"/>
              <w:rPr>
                <w:rFonts w:ascii="微軟正黑體" w:eastAsia="微軟正黑體" w:hAnsi="微軟正黑體"/>
                <w:sz w:val="18"/>
                <w:szCs w:val="18"/>
              </w:rPr>
            </w:pPr>
            <w:r>
              <w:rPr>
                <w:rFonts w:ascii="微軟正黑體" w:eastAsia="微軟正黑體" w:hAnsi="微軟正黑體" w:hint="eastAsia"/>
                <w:sz w:val="18"/>
                <w:szCs w:val="18"/>
              </w:rPr>
              <w:t>3,000</w:t>
            </w:r>
          </w:p>
        </w:tc>
        <w:tc>
          <w:tcPr>
            <w:tcW w:w="113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4,000</w:t>
            </w:r>
          </w:p>
        </w:tc>
        <w:tc>
          <w:tcPr>
            <w:tcW w:w="8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5,000</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rsidR="003C2AC2" w:rsidRDefault="003C2AC2" w:rsidP="008F1977">
            <w:pPr>
              <w:spacing w:line="240" w:lineRule="exact"/>
              <w:ind w:leftChars="-1" w:left="-2" w:firstLine="1"/>
              <w:jc w:val="center"/>
              <w:rPr>
                <w:rFonts w:ascii="微軟正黑體" w:eastAsia="微軟正黑體" w:hAnsi="微軟正黑體"/>
                <w:sz w:val="18"/>
                <w:szCs w:val="18"/>
              </w:rPr>
            </w:pPr>
            <w:r>
              <w:rPr>
                <w:rFonts w:ascii="微軟正黑體" w:eastAsia="微軟正黑體" w:hAnsi="微軟正黑體" w:hint="eastAsia"/>
                <w:sz w:val="18"/>
                <w:szCs w:val="18"/>
              </w:rPr>
              <w:t>6,000</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7,000</w:t>
            </w:r>
          </w:p>
        </w:tc>
        <w:tc>
          <w:tcPr>
            <w:tcW w:w="11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7,256</w:t>
            </w:r>
          </w:p>
        </w:tc>
        <w:tc>
          <w:tcPr>
            <w:tcW w:w="1134" w:type="dxa"/>
            <w:tcBorders>
              <w:top w:val="single" w:sz="4" w:space="0" w:color="auto"/>
              <w:left w:val="single" w:sz="4" w:space="0" w:color="auto"/>
              <w:bottom w:val="single" w:sz="4" w:space="0" w:color="auto"/>
              <w:right w:val="single" w:sz="4" w:space="0" w:color="auto"/>
            </w:tcBorders>
            <w:vAlign w:val="center"/>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7,550</w:t>
            </w:r>
          </w:p>
        </w:tc>
      </w:tr>
      <w:tr w:rsidR="003C2AC2" w:rsidTr="008F1977">
        <w:trPr>
          <w:trHeight w:val="737"/>
        </w:trPr>
        <w:tc>
          <w:tcPr>
            <w:tcW w:w="13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rPr>
                <w:rFonts w:ascii="微軟正黑體" w:eastAsia="微軟正黑體" w:hAnsi="微軟正黑體"/>
                <w:sz w:val="20"/>
                <w:szCs w:val="20"/>
              </w:rPr>
            </w:pPr>
            <w:r>
              <w:rPr>
                <w:rFonts w:ascii="微軟正黑體" w:eastAsia="微軟正黑體" w:hAnsi="微軟正黑體" w:hint="eastAsia"/>
                <w:sz w:val="20"/>
                <w:szCs w:val="20"/>
              </w:rPr>
              <w:t>中低收入老人生活津貼(1)</w:t>
            </w:r>
          </w:p>
        </w:tc>
        <w:tc>
          <w:tcPr>
            <w:tcW w:w="453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6,000</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7,200</w:t>
            </w:r>
          </w:p>
        </w:tc>
        <w:tc>
          <w:tcPr>
            <w:tcW w:w="11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7,463</w:t>
            </w:r>
          </w:p>
        </w:tc>
        <w:tc>
          <w:tcPr>
            <w:tcW w:w="1134" w:type="dxa"/>
            <w:tcBorders>
              <w:top w:val="single" w:sz="4" w:space="0" w:color="auto"/>
              <w:left w:val="single" w:sz="4" w:space="0" w:color="auto"/>
              <w:bottom w:val="single" w:sz="4" w:space="0" w:color="auto"/>
              <w:right w:val="single" w:sz="4" w:space="0" w:color="auto"/>
            </w:tcBorders>
            <w:vAlign w:val="center"/>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7,759</w:t>
            </w:r>
          </w:p>
        </w:tc>
      </w:tr>
      <w:tr w:rsidR="003C2AC2" w:rsidTr="008F1977">
        <w:trPr>
          <w:trHeight w:val="737"/>
        </w:trPr>
        <w:tc>
          <w:tcPr>
            <w:tcW w:w="13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rPr>
                <w:rFonts w:ascii="微軟正黑體" w:eastAsia="微軟正黑體" w:hAnsi="微軟正黑體"/>
                <w:sz w:val="20"/>
                <w:szCs w:val="20"/>
              </w:rPr>
            </w:pPr>
            <w:r>
              <w:rPr>
                <w:rFonts w:ascii="微軟正黑體" w:eastAsia="微軟正黑體" w:hAnsi="微軟正黑體" w:hint="eastAsia"/>
                <w:sz w:val="20"/>
                <w:szCs w:val="20"/>
              </w:rPr>
              <w:t>中低收入老人生活津貼(2)</w:t>
            </w:r>
          </w:p>
        </w:tc>
        <w:tc>
          <w:tcPr>
            <w:tcW w:w="4535" w:type="dxa"/>
            <w:gridSpan w:val="7"/>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3,000</w:t>
            </w:r>
          </w:p>
        </w:tc>
        <w:tc>
          <w:tcPr>
            <w:tcW w:w="17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3,600</w:t>
            </w:r>
          </w:p>
        </w:tc>
        <w:tc>
          <w:tcPr>
            <w:tcW w:w="11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3,731</w:t>
            </w:r>
          </w:p>
        </w:tc>
        <w:tc>
          <w:tcPr>
            <w:tcW w:w="1134" w:type="dxa"/>
            <w:tcBorders>
              <w:top w:val="single" w:sz="4" w:space="0" w:color="auto"/>
              <w:left w:val="single" w:sz="4" w:space="0" w:color="auto"/>
              <w:bottom w:val="single" w:sz="4" w:space="0" w:color="auto"/>
              <w:right w:val="single" w:sz="4" w:space="0" w:color="auto"/>
            </w:tcBorders>
            <w:vAlign w:val="center"/>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3,879</w:t>
            </w:r>
          </w:p>
        </w:tc>
      </w:tr>
      <w:tr w:rsidR="003C2AC2" w:rsidTr="008F1977">
        <w:trPr>
          <w:trHeight w:val="737"/>
        </w:trPr>
        <w:tc>
          <w:tcPr>
            <w:tcW w:w="13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rPr>
                <w:rFonts w:ascii="微軟正黑體" w:eastAsia="微軟正黑體" w:hAnsi="微軟正黑體"/>
                <w:sz w:val="20"/>
                <w:szCs w:val="20"/>
              </w:rPr>
            </w:pPr>
            <w:r>
              <w:rPr>
                <w:rFonts w:ascii="微軟正黑體" w:eastAsia="微軟正黑體" w:hAnsi="微軟正黑體" w:hint="eastAsia"/>
                <w:sz w:val="20"/>
                <w:szCs w:val="20"/>
              </w:rPr>
              <w:t>榮民就養給付</w:t>
            </w:r>
          </w:p>
        </w:tc>
        <w:tc>
          <w:tcPr>
            <w:tcW w:w="5102" w:type="dxa"/>
            <w:gridSpan w:val="8"/>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13,550</w:t>
            </w:r>
          </w:p>
        </w:tc>
        <w:tc>
          <w:tcPr>
            <w:tcW w:w="228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14,150</w:t>
            </w:r>
          </w:p>
        </w:tc>
        <w:tc>
          <w:tcPr>
            <w:tcW w:w="1134" w:type="dxa"/>
            <w:tcBorders>
              <w:top w:val="single" w:sz="4" w:space="0" w:color="auto"/>
              <w:left w:val="single" w:sz="4" w:space="0" w:color="auto"/>
              <w:bottom w:val="single" w:sz="4" w:space="0" w:color="auto"/>
              <w:right w:val="single" w:sz="4" w:space="0" w:color="auto"/>
            </w:tcBorders>
            <w:vAlign w:val="center"/>
          </w:tcPr>
          <w:p w:rsidR="003C2AC2" w:rsidRDefault="003C2AC2" w:rsidP="008F1977">
            <w:pPr>
              <w:widowControl/>
              <w:spacing w:line="240" w:lineRule="exact"/>
              <w:jc w:val="center"/>
              <w:rPr>
                <w:rFonts w:ascii="微軟正黑體" w:eastAsia="微軟正黑體" w:hAnsi="微軟正黑體"/>
                <w:sz w:val="18"/>
                <w:szCs w:val="18"/>
              </w:rPr>
            </w:pPr>
            <w:r>
              <w:rPr>
                <w:rFonts w:ascii="微軟正黑體" w:eastAsia="微軟正黑體" w:hAnsi="微軟正黑體" w:hint="eastAsia"/>
                <w:sz w:val="18"/>
                <w:szCs w:val="18"/>
              </w:rPr>
              <w:t>14,558</w:t>
            </w:r>
          </w:p>
        </w:tc>
      </w:tr>
    </w:tbl>
    <w:p w:rsidR="003C2AC2" w:rsidRDefault="003C2AC2" w:rsidP="003C2AC2">
      <w:pPr>
        <w:widowControl/>
        <w:spacing w:line="240" w:lineRule="exact"/>
        <w:ind w:leftChars="-177" w:left="-25" w:rightChars="-119" w:right="-286" w:hangingChars="200" w:hanging="400"/>
        <w:rPr>
          <w:rFonts w:ascii="微軟正黑體" w:eastAsia="微軟正黑體" w:hAnsi="微軟正黑體"/>
          <w:sz w:val="20"/>
          <w:szCs w:val="20"/>
        </w:rPr>
      </w:pPr>
      <w:r>
        <w:rPr>
          <w:rFonts w:ascii="微軟正黑體" w:eastAsia="微軟正黑體" w:hAnsi="微軟正黑體" w:hint="eastAsia"/>
          <w:sz w:val="20"/>
          <w:szCs w:val="20"/>
        </w:rPr>
        <w:t>註：「中低收入老人生活津貼(1)」係指最低生活費1.5倍以下者；「中低收入老人生活津貼(2)」係指未達最低生活費2.5倍者。</w:t>
      </w:r>
    </w:p>
    <w:p w:rsidR="003C2AC2" w:rsidRDefault="003C2AC2" w:rsidP="003C2AC2">
      <w:pPr>
        <w:widowControl/>
        <w:spacing w:line="240" w:lineRule="exact"/>
        <w:ind w:rightChars="-260" w:right="-624"/>
        <w:rPr>
          <w:rFonts w:ascii="微軟正黑體" w:eastAsia="微軟正黑體" w:hAnsi="微軟正黑體"/>
          <w:sz w:val="20"/>
          <w:szCs w:val="20"/>
        </w:rPr>
      </w:pPr>
    </w:p>
    <w:p w:rsidR="003C2AC2" w:rsidRDefault="003C2AC2" w:rsidP="003C2AC2">
      <w:pPr>
        <w:widowControl/>
        <w:spacing w:line="240" w:lineRule="exact"/>
        <w:ind w:rightChars="-260" w:right="-624"/>
        <w:rPr>
          <w:rFonts w:ascii="微軟正黑體" w:eastAsia="微軟正黑體" w:hAnsi="微軟正黑體"/>
          <w:sz w:val="20"/>
          <w:szCs w:val="20"/>
        </w:rPr>
      </w:pPr>
    </w:p>
    <w:p w:rsidR="003C2AC2" w:rsidRDefault="003C2AC2" w:rsidP="003C2AC2">
      <w:pPr>
        <w:widowControl/>
        <w:spacing w:line="240" w:lineRule="exact"/>
        <w:ind w:rightChars="-260" w:right="-624"/>
        <w:rPr>
          <w:rFonts w:ascii="微軟正黑體" w:eastAsia="微軟正黑體" w:hAnsi="微軟正黑體"/>
          <w:sz w:val="20"/>
          <w:szCs w:val="20"/>
        </w:rPr>
      </w:pPr>
    </w:p>
    <w:p w:rsidR="003C2AC2" w:rsidRDefault="003C2AC2" w:rsidP="003C2AC2">
      <w:pPr>
        <w:widowControl/>
        <w:spacing w:line="240" w:lineRule="exact"/>
        <w:ind w:rightChars="-260" w:right="-624"/>
        <w:rPr>
          <w:rFonts w:ascii="微軟正黑體" w:eastAsia="微軟正黑體" w:hAnsi="微軟正黑體"/>
          <w:sz w:val="20"/>
          <w:szCs w:val="20"/>
        </w:rPr>
      </w:pPr>
    </w:p>
    <w:p w:rsidR="003C2AC2" w:rsidRDefault="003C2AC2" w:rsidP="003C2AC2">
      <w:pPr>
        <w:widowControl/>
        <w:spacing w:line="240" w:lineRule="exact"/>
        <w:ind w:rightChars="-260" w:right="-624"/>
        <w:rPr>
          <w:rFonts w:ascii="微軟正黑體" w:eastAsia="微軟正黑體" w:hAnsi="微軟正黑體"/>
          <w:sz w:val="20"/>
          <w:szCs w:val="20"/>
        </w:rPr>
      </w:pPr>
    </w:p>
    <w:p w:rsidR="003C2AC2" w:rsidRDefault="003C2AC2" w:rsidP="003C2AC2">
      <w:pPr>
        <w:widowControl/>
        <w:spacing w:line="400" w:lineRule="exact"/>
        <w:ind w:rightChars="-260" w:right="-624"/>
        <w:rPr>
          <w:rFonts w:ascii="微軟正黑體" w:eastAsia="微軟正黑體" w:hAnsi="微軟正黑體"/>
          <w:b/>
          <w:sz w:val="28"/>
        </w:rPr>
      </w:pPr>
    </w:p>
    <w:p w:rsidR="003C2AC2" w:rsidRDefault="003C2AC2" w:rsidP="003C2AC2">
      <w:pPr>
        <w:pStyle w:val="af0"/>
        <w:numPr>
          <w:ilvl w:val="0"/>
          <w:numId w:val="9"/>
        </w:numPr>
        <w:tabs>
          <w:tab w:val="left" w:pos="567"/>
        </w:tabs>
        <w:snapToGrid w:val="0"/>
        <w:spacing w:afterLines="50" w:after="180" w:line="400" w:lineRule="exact"/>
        <w:ind w:leftChars="0" w:left="655" w:hangingChars="234" w:hanging="655"/>
        <w:rPr>
          <w:rFonts w:ascii="微軟正黑體" w:eastAsia="微軟正黑體" w:hAnsi="微軟正黑體"/>
          <w:b/>
          <w:bCs/>
          <w:sz w:val="28"/>
          <w:szCs w:val="28"/>
        </w:rPr>
      </w:pPr>
      <w:r>
        <w:rPr>
          <w:rFonts w:ascii="微軟正黑體" w:eastAsia="微軟正黑體" w:hAnsi="微軟正黑體" w:hint="eastAsia"/>
          <w:b/>
          <w:bCs/>
          <w:sz w:val="28"/>
          <w:szCs w:val="28"/>
        </w:rPr>
        <w:lastRenderedPageBreak/>
        <w:t>性別統計</w:t>
      </w:r>
    </w:p>
    <w:p w:rsidR="003C2AC2" w:rsidRDefault="003C2AC2" w:rsidP="003C2AC2">
      <w:pPr>
        <w:widowControl/>
        <w:spacing w:beforeLines="30" w:before="108" w:afterLines="30" w:after="108" w:line="400" w:lineRule="exact"/>
        <w:rPr>
          <w:rFonts w:ascii="微軟正黑體" w:eastAsia="微軟正黑體" w:hAnsi="微軟正黑體"/>
        </w:rPr>
      </w:pPr>
      <w:r>
        <w:rPr>
          <w:rFonts w:ascii="微軟正黑體" w:eastAsia="微軟正黑體" w:hAnsi="微軟正黑體" w:hint="eastAsia"/>
        </w:rPr>
        <w:t>(一) 社會保險</w:t>
      </w:r>
    </w:p>
    <w:p w:rsidR="003C2AC2" w:rsidRPr="00395CBA" w:rsidRDefault="003C2AC2" w:rsidP="003C2AC2">
      <w:pPr>
        <w:widowControl/>
        <w:spacing w:beforeLines="30" w:before="108" w:afterLines="30" w:after="108" w:line="400" w:lineRule="exact"/>
        <w:ind w:firstLineChars="100" w:firstLine="240"/>
        <w:rPr>
          <w:rFonts w:ascii="微軟正黑體" w:eastAsia="微軟正黑體" w:hAnsi="微軟正黑體"/>
        </w:rPr>
      </w:pPr>
      <w:r>
        <w:rPr>
          <w:rFonts w:ascii="微軟正黑體" w:eastAsia="微軟正黑體" w:hAnsi="微軟正黑體" w:hint="eastAsia"/>
        </w:rPr>
        <w:t xml:space="preserve">1. </w:t>
      </w:r>
      <w:r w:rsidRPr="00395CBA">
        <w:rPr>
          <w:rFonts w:ascii="微軟正黑體" w:eastAsia="微軟正黑體" w:hAnsi="微軟正黑體" w:hint="eastAsia"/>
        </w:rPr>
        <w:t>納保人數性別落差</w:t>
      </w:r>
    </w:p>
    <w:p w:rsidR="003C2AC2" w:rsidRDefault="003C2AC2" w:rsidP="003C2AC2">
      <w:pPr>
        <w:widowControl/>
        <w:spacing w:beforeLines="30" w:before="108" w:line="400" w:lineRule="exact"/>
        <w:ind w:leftChars="236" w:left="566"/>
        <w:jc w:val="both"/>
        <w:rPr>
          <w:rFonts w:ascii="微軟正黑體" w:eastAsia="微軟正黑體" w:hAnsi="微軟正黑體"/>
        </w:rPr>
      </w:pPr>
      <w:r>
        <w:rPr>
          <w:rFonts w:hint="eastAsia"/>
          <w:noProof/>
        </w:rPr>
        <w:drawing>
          <wp:anchor distT="0" distB="0" distL="114300" distR="114300" simplePos="0" relativeHeight="252515328" behindDoc="0" locked="0" layoutInCell="1" allowOverlap="1" wp14:anchorId="42FFF6C4" wp14:editId="70AA8C66">
            <wp:simplePos x="0" y="0"/>
            <wp:positionH relativeFrom="column">
              <wp:posOffset>208280</wp:posOffset>
            </wp:positionH>
            <wp:positionV relativeFrom="paragraph">
              <wp:posOffset>949960</wp:posOffset>
            </wp:positionV>
            <wp:extent cx="5498465" cy="2889250"/>
            <wp:effectExtent l="0" t="0" r="26035" b="25400"/>
            <wp:wrapNone/>
            <wp:docPr id="21555" name="圖表 21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rPr>
        <w:t xml:space="preserve">    109年度</w:t>
      </w:r>
      <w:r w:rsidR="006C69E5" w:rsidRPr="00AD17D2">
        <w:rPr>
          <w:rFonts w:ascii="微軟正黑體" w:eastAsia="微軟正黑體" w:hAnsi="微軟正黑體" w:hint="eastAsia"/>
        </w:rPr>
        <w:t>各</w:t>
      </w:r>
      <w:r>
        <w:rPr>
          <w:rFonts w:ascii="微軟正黑體" w:eastAsia="微軟正黑體" w:hAnsi="微軟正黑體" w:hint="eastAsia"/>
        </w:rPr>
        <w:t>社會保險被保險人之性別分布情形，僅勞工保險男性略多於女性，其餘公教人員保險、農民健康保險及國民年金保險均女性略多於男性。如以比率看，國保兩性差距最大，女性人數約超過男性</w:t>
      </w:r>
      <w:r w:rsidRPr="0038767E">
        <w:rPr>
          <w:rFonts w:ascii="微軟正黑體" w:eastAsia="微軟正黑體" w:hAnsi="微軟正黑體" w:hint="eastAsia"/>
        </w:rPr>
        <w:t>2.8%</w:t>
      </w:r>
      <w:r>
        <w:rPr>
          <w:rFonts w:ascii="微軟正黑體" w:eastAsia="微軟正黑體" w:hAnsi="微軟正黑體" w:hint="eastAsia"/>
        </w:rPr>
        <w:t>，其餘制度差距均在2%以內。</w:t>
      </w:r>
    </w:p>
    <w:p w:rsidR="003C2AC2" w:rsidRDefault="003C2AC2" w:rsidP="003C2AC2">
      <w:pPr>
        <w:widowControl/>
        <w:spacing w:afterLines="25" w:after="90" w:line="400" w:lineRule="exact"/>
        <w:jc w:val="center"/>
        <w:rPr>
          <w:rFonts w:ascii="微軟正黑體" w:eastAsia="微軟正黑體" w:hAnsi="微軟正黑體"/>
        </w:rPr>
      </w:pPr>
      <w:r>
        <w:rPr>
          <w:rFonts w:ascii="微軟正黑體" w:eastAsia="微軟正黑體" w:hAnsi="微軟正黑體" w:hint="eastAsia"/>
        </w:rPr>
        <w:t xml:space="preserve">    </w:t>
      </w: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r>
        <w:rPr>
          <w:rFonts w:ascii="微軟正黑體" w:eastAsia="微軟正黑體" w:hAnsi="微軟正黑體" w:hint="eastAsia"/>
        </w:rPr>
        <w:t>圖1.18  109年各社會保險納保人數性別落差</w:t>
      </w:r>
    </w:p>
    <w:p w:rsidR="003C2AC2" w:rsidRPr="00154091" w:rsidRDefault="003C2AC2" w:rsidP="003C2AC2">
      <w:pPr>
        <w:widowControl/>
        <w:spacing w:afterLines="25" w:after="90" w:line="400" w:lineRule="exact"/>
        <w:jc w:val="center"/>
        <w:rPr>
          <w:rFonts w:ascii="微軟正黑體" w:eastAsia="微軟正黑體" w:hAnsi="微軟正黑體"/>
        </w:rPr>
      </w:pPr>
    </w:p>
    <w:p w:rsidR="003C2AC2" w:rsidRPr="00395CBA" w:rsidRDefault="006C69E5" w:rsidP="003C2AC2">
      <w:pPr>
        <w:pStyle w:val="af0"/>
        <w:widowControl/>
        <w:numPr>
          <w:ilvl w:val="0"/>
          <w:numId w:val="11"/>
        </w:numPr>
        <w:spacing w:beforeLines="30" w:before="108" w:afterLines="25" w:after="90" w:line="400" w:lineRule="exact"/>
        <w:ind w:leftChars="0"/>
        <w:rPr>
          <w:rFonts w:ascii="微軟正黑體" w:eastAsia="微軟正黑體" w:hAnsi="微軟正黑體"/>
        </w:rPr>
      </w:pPr>
      <w:r w:rsidRPr="00AD17D2">
        <w:rPr>
          <w:rFonts w:ascii="微軟正黑體" w:eastAsia="微軟正黑體" w:hAnsi="微軟正黑體" w:hint="eastAsia"/>
        </w:rPr>
        <w:t>納保</w:t>
      </w:r>
      <w:r w:rsidR="003C2AC2" w:rsidRPr="00395CBA">
        <w:rPr>
          <w:rFonts w:ascii="微軟正黑體" w:eastAsia="微軟正黑體" w:hAnsi="微軟正黑體" w:hint="eastAsia"/>
        </w:rPr>
        <w:t>年齡及性別分布</w:t>
      </w:r>
    </w:p>
    <w:p w:rsidR="003C2AC2" w:rsidRDefault="003C2AC2" w:rsidP="003C2AC2">
      <w:pPr>
        <w:widowControl/>
        <w:spacing w:afterLines="25" w:after="90" w:line="400" w:lineRule="exact"/>
        <w:ind w:leftChars="236" w:left="566" w:firstLineChars="200" w:firstLine="480"/>
        <w:jc w:val="both"/>
        <w:rPr>
          <w:rFonts w:ascii="微軟正黑體" w:eastAsia="微軟正黑體" w:hAnsi="微軟正黑體"/>
        </w:rPr>
      </w:pPr>
      <w:r>
        <w:rPr>
          <w:rFonts w:ascii="微軟正黑體" w:eastAsia="微軟正黑體" w:hAnsi="微軟正黑體" w:hint="eastAsia"/>
        </w:rPr>
        <w:t>由109年各社會保險納保者年齡及性別分布圖來看(圖1.19)，勞工保險、公教人員保險及農民健康保險均呈現鐘型分布，惟人數最多之年齡層各有不同，勞工保險(全體)以</w:t>
      </w:r>
      <w:r w:rsidR="00F85347" w:rsidRPr="00AD17D2">
        <w:rPr>
          <w:rFonts w:ascii="微軟正黑體" w:eastAsia="微軟正黑體" w:hAnsi="微軟正黑體" w:hint="eastAsia"/>
        </w:rPr>
        <w:t>「</w:t>
      </w:r>
      <w:r w:rsidRPr="00AD17D2">
        <w:rPr>
          <w:rFonts w:ascii="微軟正黑體" w:eastAsia="微軟正黑體" w:hAnsi="微軟正黑體" w:hint="eastAsia"/>
        </w:rPr>
        <w:t>40-44歲</w:t>
      </w:r>
      <w:r w:rsidR="00F85347" w:rsidRPr="00AD17D2">
        <w:rPr>
          <w:rFonts w:ascii="微軟正黑體" w:eastAsia="微軟正黑體" w:hAnsi="微軟正黑體" w:hint="eastAsia"/>
        </w:rPr>
        <w:t>」</w:t>
      </w:r>
      <w:r w:rsidRPr="00AD17D2">
        <w:rPr>
          <w:rFonts w:ascii="微軟正黑體" w:eastAsia="微軟正黑體" w:hAnsi="微軟正黑體" w:hint="eastAsia"/>
        </w:rPr>
        <w:t>人數最多，公教人員保險落在</w:t>
      </w:r>
      <w:r w:rsidR="00F85347" w:rsidRPr="00AD17D2">
        <w:rPr>
          <w:rFonts w:ascii="微軟正黑體" w:eastAsia="微軟正黑體" w:hAnsi="微軟正黑體" w:hint="eastAsia"/>
        </w:rPr>
        <w:t>「</w:t>
      </w:r>
      <w:r w:rsidRPr="00AD17D2">
        <w:rPr>
          <w:rFonts w:ascii="微軟正黑體" w:eastAsia="微軟正黑體" w:hAnsi="微軟正黑體" w:hint="eastAsia"/>
        </w:rPr>
        <w:t>45-49歲</w:t>
      </w:r>
      <w:r w:rsidR="00F85347" w:rsidRPr="00AD17D2">
        <w:rPr>
          <w:rFonts w:ascii="微軟正黑體" w:eastAsia="微軟正黑體" w:hAnsi="微軟正黑體" w:hint="eastAsia"/>
        </w:rPr>
        <w:t>」</w:t>
      </w:r>
      <w:r w:rsidRPr="00AD17D2">
        <w:rPr>
          <w:rFonts w:ascii="微軟正黑體" w:eastAsia="微軟正黑體" w:hAnsi="微軟正黑體" w:hint="eastAsia"/>
        </w:rPr>
        <w:t>，農民健康保險因年滿65歲無須退出保險，人數最多落在</w:t>
      </w:r>
      <w:r w:rsidR="00F85347" w:rsidRPr="00AD17D2">
        <w:rPr>
          <w:rFonts w:ascii="微軟正黑體" w:eastAsia="微軟正黑體" w:hAnsi="微軟正黑體" w:hint="eastAsia"/>
        </w:rPr>
        <w:t>「</w:t>
      </w:r>
      <w:r w:rsidRPr="00AD17D2">
        <w:rPr>
          <w:rFonts w:ascii="微軟正黑體" w:eastAsia="微軟正黑體" w:hAnsi="微軟正黑體" w:hint="eastAsia"/>
        </w:rPr>
        <w:t>80-84歲</w:t>
      </w:r>
      <w:r w:rsidR="00F85347" w:rsidRPr="00AD17D2">
        <w:rPr>
          <w:rFonts w:ascii="微軟正黑體" w:eastAsia="微軟正黑體" w:hAnsi="微軟正黑體" w:hint="eastAsia"/>
        </w:rPr>
        <w:t>」</w:t>
      </w:r>
      <w:r w:rsidRPr="00AD17D2">
        <w:rPr>
          <w:rFonts w:ascii="微軟正黑體" w:eastAsia="微軟正黑體" w:hAnsi="微軟正黑體" w:hint="eastAsia"/>
        </w:rPr>
        <w:t>。另國民年金保險之納保對象為未就業者，因此分布情形不同於其他保險，人數最多落在</w:t>
      </w:r>
      <w:r w:rsidR="00F85347" w:rsidRPr="00AD17D2">
        <w:rPr>
          <w:rFonts w:ascii="微軟正黑體" w:eastAsia="微軟正黑體" w:hAnsi="微軟正黑體" w:hint="eastAsia"/>
        </w:rPr>
        <w:t>「</w:t>
      </w:r>
      <w:r w:rsidRPr="00AD17D2">
        <w:rPr>
          <w:rFonts w:ascii="微軟正黑體" w:eastAsia="微軟正黑體" w:hAnsi="微軟正黑體" w:hint="eastAsia"/>
        </w:rPr>
        <w:t>40-44歲</w:t>
      </w:r>
      <w:r w:rsidR="00F85347" w:rsidRPr="00AD17D2">
        <w:rPr>
          <w:rFonts w:ascii="微軟正黑體" w:eastAsia="微軟正黑體" w:hAnsi="微軟正黑體" w:hint="eastAsia"/>
        </w:rPr>
        <w:t>」</w:t>
      </w:r>
      <w:r w:rsidRPr="00AD17D2">
        <w:rPr>
          <w:rFonts w:ascii="微軟正黑體" w:eastAsia="微軟正黑體" w:hAnsi="微軟正黑體" w:hint="eastAsia"/>
        </w:rPr>
        <w:t>，其次為</w:t>
      </w:r>
      <w:r w:rsidR="00F85347" w:rsidRPr="00AD17D2">
        <w:rPr>
          <w:rFonts w:ascii="微軟正黑體" w:eastAsia="微軟正黑體" w:hAnsi="微軟正黑體" w:hint="eastAsia"/>
        </w:rPr>
        <w:t>「</w:t>
      </w:r>
      <w:r w:rsidRPr="00AD17D2">
        <w:rPr>
          <w:rFonts w:ascii="微軟正黑體" w:eastAsia="微軟正黑體" w:hAnsi="微軟正黑體" w:hint="eastAsia"/>
        </w:rPr>
        <w:t>25-29歲</w:t>
      </w:r>
      <w:r w:rsidR="00F85347" w:rsidRPr="00AD17D2">
        <w:rPr>
          <w:rFonts w:ascii="微軟正黑體" w:eastAsia="微軟正黑體" w:hAnsi="微軟正黑體" w:hint="eastAsia"/>
        </w:rPr>
        <w:t>」</w:t>
      </w:r>
      <w:r w:rsidRPr="00AD17D2">
        <w:rPr>
          <w:rFonts w:ascii="微軟正黑體" w:eastAsia="微軟正黑體" w:hAnsi="微軟正黑體" w:hint="eastAsia"/>
        </w:rPr>
        <w:t>及</w:t>
      </w:r>
      <w:r w:rsidR="00F85347" w:rsidRPr="00AD17D2">
        <w:rPr>
          <w:rFonts w:ascii="微軟正黑體" w:eastAsia="微軟正黑體" w:hAnsi="微軟正黑體" w:hint="eastAsia"/>
        </w:rPr>
        <w:t>「</w:t>
      </w:r>
      <w:r w:rsidRPr="00AD17D2">
        <w:rPr>
          <w:rFonts w:ascii="微軟正黑體" w:eastAsia="微軟正黑體" w:hAnsi="微軟正黑體" w:hint="eastAsia"/>
        </w:rPr>
        <w:t>60-64歲</w:t>
      </w:r>
      <w:r w:rsidR="00F85347" w:rsidRPr="00AD17D2">
        <w:rPr>
          <w:rFonts w:ascii="微軟正黑體" w:eastAsia="微軟正黑體" w:hAnsi="微軟正黑體" w:hint="eastAsia"/>
        </w:rPr>
        <w:t>」</w:t>
      </w:r>
      <w:r w:rsidRPr="00AD17D2">
        <w:rPr>
          <w:rFonts w:ascii="微軟正黑體" w:eastAsia="微軟正黑體" w:hAnsi="微軟正黑體" w:hint="eastAsia"/>
        </w:rPr>
        <w:t>。</w:t>
      </w:r>
    </w:p>
    <w:p w:rsidR="003C2AC2" w:rsidRDefault="003C2AC2" w:rsidP="003C2AC2">
      <w:pPr>
        <w:widowControl/>
        <w:spacing w:afterLines="25" w:after="90" w:line="400" w:lineRule="exact"/>
        <w:ind w:leftChars="236" w:left="566" w:firstLineChars="200" w:firstLine="480"/>
        <w:jc w:val="both"/>
        <w:rPr>
          <w:rFonts w:ascii="微軟正黑體" w:eastAsia="微軟正黑體" w:hAnsi="微軟正黑體"/>
        </w:rPr>
      </w:pPr>
      <w:r>
        <w:rPr>
          <w:rFonts w:ascii="微軟正黑體" w:eastAsia="微軟正黑體" w:hAnsi="微軟正黑體" w:hint="eastAsia"/>
        </w:rPr>
        <w:t>以被保險人平均年齡觀察，農保被保險人平均年齡最高，達67.6歲，其餘保險約在40歲至45歲間。勞保男女被保險人平均年齡男性為41.0歲，女性為41.1歲；勞保、國保及農保則以女性年齡高於男性，分別高出0.1歲、0.6歲及3.4歲；公保則男性高於女性0.7歲(表1.6)。</w:t>
      </w: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r>
        <w:rPr>
          <w:rFonts w:ascii="微軟正黑體" w:eastAsia="微軟正黑體" w:hAnsi="微軟正黑體"/>
          <w:noProof/>
        </w:rPr>
        <w:lastRenderedPageBreak/>
        <w:drawing>
          <wp:anchor distT="0" distB="0" distL="114300" distR="114300" simplePos="0" relativeHeight="252532736" behindDoc="0" locked="0" layoutInCell="1" allowOverlap="1" wp14:anchorId="59D92508" wp14:editId="7A6E8708">
            <wp:simplePos x="0" y="0"/>
            <wp:positionH relativeFrom="column">
              <wp:posOffset>-252730</wp:posOffset>
            </wp:positionH>
            <wp:positionV relativeFrom="paragraph">
              <wp:posOffset>97182</wp:posOffset>
            </wp:positionV>
            <wp:extent cx="3022600" cy="1686572"/>
            <wp:effectExtent l="19050" t="19050" r="25400" b="27940"/>
            <wp:wrapNone/>
            <wp:docPr id="21556" name="圖片 2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勞保.png"/>
                    <pic:cNvPicPr/>
                  </pic:nvPicPr>
                  <pic:blipFill rotWithShape="1">
                    <a:blip r:embed="rId34">
                      <a:extLst>
                        <a:ext uri="{28A0092B-C50C-407E-A947-70E740481C1C}">
                          <a14:useLocalDpi xmlns:a14="http://schemas.microsoft.com/office/drawing/2010/main" val="0"/>
                        </a:ext>
                      </a:extLst>
                    </a:blip>
                    <a:srcRect l="-1" t="1866" r="1296" b="2865"/>
                    <a:stretch/>
                  </pic:blipFill>
                  <pic:spPr bwMode="auto">
                    <a:xfrm>
                      <a:off x="0" y="0"/>
                      <a:ext cx="3022600" cy="1686572"/>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rPr>
        <w:drawing>
          <wp:anchor distT="0" distB="0" distL="114300" distR="114300" simplePos="0" relativeHeight="252531712" behindDoc="0" locked="0" layoutInCell="1" allowOverlap="1" wp14:anchorId="7D3F4A05" wp14:editId="0007956F">
            <wp:simplePos x="0" y="0"/>
            <wp:positionH relativeFrom="column">
              <wp:posOffset>2833370</wp:posOffset>
            </wp:positionH>
            <wp:positionV relativeFrom="paragraph">
              <wp:posOffset>101600</wp:posOffset>
            </wp:positionV>
            <wp:extent cx="2978150" cy="1714500"/>
            <wp:effectExtent l="19050" t="19050" r="12700" b="19050"/>
            <wp:wrapNone/>
            <wp:docPr id="21557" name="圖片 2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教.png"/>
                    <pic:cNvPicPr/>
                  </pic:nvPicPr>
                  <pic:blipFill rotWithShape="1">
                    <a:blip r:embed="rId35">
                      <a:extLst>
                        <a:ext uri="{28A0092B-C50C-407E-A947-70E740481C1C}">
                          <a14:useLocalDpi xmlns:a14="http://schemas.microsoft.com/office/drawing/2010/main" val="0"/>
                        </a:ext>
                      </a:extLst>
                    </a:blip>
                    <a:srcRect r="636"/>
                    <a:stretch/>
                  </pic:blipFill>
                  <pic:spPr bwMode="auto">
                    <a:xfrm>
                      <a:off x="0" y="0"/>
                      <a:ext cx="2978150" cy="17145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r>
        <w:rPr>
          <w:rFonts w:ascii="微軟正黑體" w:eastAsia="微軟正黑體" w:hAnsi="微軟正黑體"/>
          <w:noProof/>
        </w:rPr>
        <w:drawing>
          <wp:anchor distT="0" distB="0" distL="114300" distR="114300" simplePos="0" relativeHeight="252534784" behindDoc="0" locked="0" layoutInCell="1" allowOverlap="1" wp14:anchorId="3DFC814A" wp14:editId="1AF8D60B">
            <wp:simplePos x="0" y="0"/>
            <wp:positionH relativeFrom="column">
              <wp:posOffset>2814955</wp:posOffset>
            </wp:positionH>
            <wp:positionV relativeFrom="paragraph">
              <wp:posOffset>82550</wp:posOffset>
            </wp:positionV>
            <wp:extent cx="2977515" cy="1676400"/>
            <wp:effectExtent l="19050" t="19050" r="13335" b="19050"/>
            <wp:wrapNone/>
            <wp:docPr id="21558" name="圖片 2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農保.png"/>
                    <pic:cNvPicPr/>
                  </pic:nvPicPr>
                  <pic:blipFill rotWithShape="1">
                    <a:blip r:embed="rId36">
                      <a:extLst>
                        <a:ext uri="{28A0092B-C50C-407E-A947-70E740481C1C}">
                          <a14:useLocalDpi xmlns:a14="http://schemas.microsoft.com/office/drawing/2010/main" val="0"/>
                        </a:ext>
                      </a:extLst>
                    </a:blip>
                    <a:srcRect r="1092" b="3012"/>
                    <a:stretch/>
                  </pic:blipFill>
                  <pic:spPr bwMode="auto">
                    <a:xfrm>
                      <a:off x="0" y="0"/>
                      <a:ext cx="2977515" cy="16764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rPr>
        <w:drawing>
          <wp:anchor distT="0" distB="0" distL="114300" distR="114300" simplePos="0" relativeHeight="252533760" behindDoc="0" locked="0" layoutInCell="1" allowOverlap="1" wp14:anchorId="57382329" wp14:editId="1FA9BA75">
            <wp:simplePos x="0" y="0"/>
            <wp:positionH relativeFrom="column">
              <wp:posOffset>-233680</wp:posOffset>
            </wp:positionH>
            <wp:positionV relativeFrom="paragraph">
              <wp:posOffset>78105</wp:posOffset>
            </wp:positionV>
            <wp:extent cx="2997200" cy="1697355"/>
            <wp:effectExtent l="19050" t="19050" r="12700" b="17145"/>
            <wp:wrapNone/>
            <wp:docPr id="21559" name="圖片 2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國寶.png"/>
                    <pic:cNvPicPr/>
                  </pic:nvPicPr>
                  <pic:blipFill rotWithShape="1">
                    <a:blip r:embed="rId37">
                      <a:extLst>
                        <a:ext uri="{28A0092B-C50C-407E-A947-70E740481C1C}">
                          <a14:useLocalDpi xmlns:a14="http://schemas.microsoft.com/office/drawing/2010/main" val="0"/>
                        </a:ext>
                      </a:extLst>
                    </a:blip>
                    <a:srcRect r="1470" b="1859"/>
                    <a:stretch/>
                  </pic:blipFill>
                  <pic:spPr bwMode="auto">
                    <a:xfrm>
                      <a:off x="0" y="0"/>
                      <a:ext cx="2997200" cy="169735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afterLines="25" w:after="90" w:line="400" w:lineRule="exact"/>
        <w:ind w:firstLineChars="200" w:firstLine="480"/>
        <w:jc w:val="both"/>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r>
        <w:rPr>
          <w:rFonts w:ascii="微軟正黑體" w:eastAsia="微軟正黑體" w:hAnsi="微軟正黑體" w:hint="eastAsia"/>
        </w:rPr>
        <w:t>圖1.19  109年各社會保險納保年齡及性別分布圖</w:t>
      </w: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0" w:after="72" w:line="400" w:lineRule="exact"/>
        <w:jc w:val="center"/>
        <w:rPr>
          <w:rFonts w:ascii="微軟正黑體" w:eastAsia="微軟正黑體" w:hAnsi="微軟正黑體"/>
        </w:rPr>
      </w:pPr>
      <w:r>
        <w:rPr>
          <w:rFonts w:ascii="微軟正黑體" w:eastAsia="微軟正黑體" w:hAnsi="微軟正黑體" w:hint="eastAsia"/>
        </w:rPr>
        <w:t xml:space="preserve">             表1.6  109年各社會保險被保險人平均年齡及性別落差    </w:t>
      </w:r>
      <w:r>
        <w:rPr>
          <w:rFonts w:ascii="微軟正黑體" w:eastAsia="微軟正黑體" w:hAnsi="微軟正黑體" w:hint="eastAsia"/>
          <w:sz w:val="20"/>
          <w:szCs w:val="20"/>
        </w:rPr>
        <w:t>單位：歲</w:t>
      </w:r>
    </w:p>
    <w:tbl>
      <w:tblPr>
        <w:tblStyle w:val="-10"/>
        <w:tblW w:w="0" w:type="auto"/>
        <w:tblLook w:val="04A0" w:firstRow="1" w:lastRow="0" w:firstColumn="1" w:lastColumn="0" w:noHBand="0" w:noVBand="1"/>
      </w:tblPr>
      <w:tblGrid>
        <w:gridCol w:w="1734"/>
        <w:gridCol w:w="1664"/>
        <w:gridCol w:w="1768"/>
        <w:gridCol w:w="1769"/>
        <w:gridCol w:w="2243"/>
      </w:tblGrid>
      <w:tr w:rsidR="003C2AC2" w:rsidRPr="00E60638" w:rsidTr="008F1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vMerge w:val="restart"/>
            <w:tcBorders>
              <w:bottom w:val="nil"/>
            </w:tcBorders>
          </w:tcPr>
          <w:p w:rsidR="003C2AC2" w:rsidRPr="00E60638" w:rsidRDefault="003C2AC2" w:rsidP="008F1977">
            <w:pPr>
              <w:widowControl/>
              <w:spacing w:line="400" w:lineRule="exact"/>
              <w:rPr>
                <w:rFonts w:ascii="微軟正黑體" w:eastAsia="微軟正黑體" w:hAnsi="微軟正黑體"/>
                <w:color w:val="auto"/>
                <w:sz w:val="22"/>
              </w:rPr>
            </w:pPr>
          </w:p>
        </w:tc>
        <w:tc>
          <w:tcPr>
            <w:tcW w:w="7444" w:type="dxa"/>
            <w:gridSpan w:val="4"/>
            <w:hideMark/>
          </w:tcPr>
          <w:p w:rsidR="003C2AC2" w:rsidRPr="00E60638" w:rsidRDefault="003C2AC2" w:rsidP="008F1977">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E60638">
              <w:rPr>
                <w:rFonts w:ascii="微軟正黑體" w:eastAsia="微軟正黑體" w:hAnsi="微軟正黑體" w:hint="eastAsia"/>
                <w:color w:val="auto"/>
                <w:sz w:val="22"/>
              </w:rPr>
              <w:t>被保險人平均年齡</w:t>
            </w:r>
          </w:p>
        </w:tc>
      </w:tr>
      <w:tr w:rsidR="003C2AC2" w:rsidRPr="00E60638" w:rsidTr="008F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F81BD" w:themeColor="accent1"/>
              <w:bottom w:val="nil"/>
            </w:tcBorders>
            <w:vAlign w:val="center"/>
            <w:hideMark/>
          </w:tcPr>
          <w:p w:rsidR="003C2AC2" w:rsidRPr="00E60638" w:rsidRDefault="003C2AC2" w:rsidP="008F1977">
            <w:pPr>
              <w:widowControl/>
              <w:rPr>
                <w:rFonts w:ascii="微軟正黑體" w:eastAsia="微軟正黑體" w:hAnsi="微軟正黑體"/>
                <w:color w:val="auto"/>
                <w:sz w:val="22"/>
              </w:rPr>
            </w:pPr>
          </w:p>
        </w:tc>
        <w:tc>
          <w:tcPr>
            <w:tcW w:w="1664" w:type="dxa"/>
            <w:tcBorders>
              <w:top w:val="nil"/>
              <w:bottom w:val="nil"/>
            </w:tcBorders>
            <w:hideMark/>
          </w:tcPr>
          <w:p w:rsidR="003C2AC2" w:rsidRPr="00E60638"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E60638">
              <w:rPr>
                <w:rFonts w:ascii="微軟正黑體" w:eastAsia="微軟正黑體" w:hAnsi="微軟正黑體" w:hint="eastAsia"/>
                <w:color w:val="auto"/>
                <w:sz w:val="22"/>
              </w:rPr>
              <w:t>全體</w:t>
            </w:r>
          </w:p>
        </w:tc>
        <w:tc>
          <w:tcPr>
            <w:tcW w:w="1768" w:type="dxa"/>
            <w:tcBorders>
              <w:top w:val="nil"/>
              <w:bottom w:val="nil"/>
            </w:tcBorders>
            <w:hideMark/>
          </w:tcPr>
          <w:p w:rsidR="003C2AC2" w:rsidRPr="00E60638"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E60638">
              <w:rPr>
                <w:rFonts w:ascii="微軟正黑體" w:eastAsia="微軟正黑體" w:hAnsi="微軟正黑體" w:hint="eastAsia"/>
                <w:color w:val="auto"/>
                <w:sz w:val="22"/>
              </w:rPr>
              <w:t>男性</w:t>
            </w:r>
          </w:p>
        </w:tc>
        <w:tc>
          <w:tcPr>
            <w:tcW w:w="1769" w:type="dxa"/>
            <w:tcBorders>
              <w:top w:val="nil"/>
              <w:bottom w:val="nil"/>
            </w:tcBorders>
            <w:hideMark/>
          </w:tcPr>
          <w:p w:rsidR="003C2AC2" w:rsidRPr="00E60638"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E60638">
              <w:rPr>
                <w:rFonts w:ascii="微軟正黑體" w:eastAsia="微軟正黑體" w:hAnsi="微軟正黑體" w:hint="eastAsia"/>
                <w:color w:val="auto"/>
                <w:sz w:val="22"/>
              </w:rPr>
              <w:t>女性</w:t>
            </w:r>
          </w:p>
        </w:tc>
        <w:tc>
          <w:tcPr>
            <w:tcW w:w="2243" w:type="dxa"/>
            <w:tcBorders>
              <w:top w:val="nil"/>
              <w:bottom w:val="nil"/>
            </w:tcBorders>
            <w:hideMark/>
          </w:tcPr>
          <w:p w:rsidR="003C2AC2" w:rsidRPr="00E60638" w:rsidRDefault="003C2AC2" w:rsidP="008F1977">
            <w:pPr>
              <w:widowControl/>
              <w:spacing w:line="400" w:lineRule="exac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E60638">
              <w:rPr>
                <w:rFonts w:ascii="微軟正黑體" w:eastAsia="微軟正黑體" w:hAnsi="微軟正黑體" w:hint="eastAsia"/>
                <w:color w:val="auto"/>
                <w:sz w:val="22"/>
              </w:rPr>
              <w:t>性別落差(男性-女性)</w:t>
            </w:r>
          </w:p>
        </w:tc>
      </w:tr>
      <w:tr w:rsidR="003C2AC2" w:rsidRPr="00E60638" w:rsidTr="008F1977">
        <w:tc>
          <w:tcPr>
            <w:cnfStyle w:val="001000000000" w:firstRow="0" w:lastRow="0" w:firstColumn="1" w:lastColumn="0" w:oddVBand="0" w:evenVBand="0" w:oddHBand="0" w:evenHBand="0" w:firstRowFirstColumn="0" w:firstRowLastColumn="0" w:lastRowFirstColumn="0" w:lastRowLastColumn="0"/>
            <w:tcW w:w="1734" w:type="dxa"/>
            <w:tcBorders>
              <w:top w:val="nil"/>
              <w:left w:val="nil"/>
              <w:bottom w:val="nil"/>
              <w:right w:val="nil"/>
            </w:tcBorders>
            <w:hideMark/>
          </w:tcPr>
          <w:p w:rsidR="003C2AC2" w:rsidRPr="00E60638" w:rsidRDefault="003C2AC2" w:rsidP="008F1977">
            <w:pPr>
              <w:widowControl/>
              <w:spacing w:line="400" w:lineRule="exact"/>
              <w:rPr>
                <w:rFonts w:ascii="微軟正黑體" w:eastAsia="微軟正黑體" w:hAnsi="微軟正黑體"/>
                <w:color w:val="auto"/>
                <w:sz w:val="22"/>
              </w:rPr>
            </w:pPr>
            <w:r w:rsidRPr="00E60638">
              <w:rPr>
                <w:rFonts w:ascii="微軟正黑體" w:eastAsia="微軟正黑體" w:hAnsi="微軟正黑體" w:hint="eastAsia"/>
                <w:color w:val="auto"/>
                <w:sz w:val="22"/>
              </w:rPr>
              <w:t>勞工保險</w:t>
            </w:r>
          </w:p>
        </w:tc>
        <w:tc>
          <w:tcPr>
            <w:tcW w:w="1664" w:type="dxa"/>
            <w:tcBorders>
              <w:top w:val="nil"/>
              <w:left w:val="nil"/>
              <w:bottom w:val="nil"/>
              <w:right w:val="nil"/>
            </w:tcBorders>
            <w:hideMark/>
          </w:tcPr>
          <w:p w:rsidR="003C2AC2" w:rsidRPr="00BA6B6A"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A6B6A">
              <w:rPr>
                <w:rFonts w:ascii="微軟正黑體" w:eastAsia="微軟正黑體" w:hAnsi="微軟正黑體" w:hint="eastAsia"/>
                <w:color w:val="auto"/>
                <w:sz w:val="22"/>
              </w:rPr>
              <w:t>41.</w:t>
            </w:r>
            <w:r>
              <w:rPr>
                <w:rFonts w:ascii="微軟正黑體" w:eastAsia="微軟正黑體" w:hAnsi="微軟正黑體" w:hint="eastAsia"/>
                <w:color w:val="auto"/>
                <w:sz w:val="22"/>
              </w:rPr>
              <w:t>1</w:t>
            </w:r>
          </w:p>
        </w:tc>
        <w:tc>
          <w:tcPr>
            <w:tcW w:w="1768" w:type="dxa"/>
            <w:tcBorders>
              <w:top w:val="nil"/>
              <w:left w:val="nil"/>
              <w:bottom w:val="nil"/>
              <w:right w:val="nil"/>
            </w:tcBorders>
            <w:hideMark/>
          </w:tcPr>
          <w:p w:rsidR="003C2AC2" w:rsidRPr="00BA6B6A"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A6B6A">
              <w:rPr>
                <w:rFonts w:ascii="微軟正黑體" w:eastAsia="微軟正黑體" w:hAnsi="微軟正黑體" w:hint="eastAsia"/>
                <w:color w:val="auto"/>
                <w:sz w:val="22"/>
              </w:rPr>
              <w:t>41.0</w:t>
            </w:r>
          </w:p>
        </w:tc>
        <w:tc>
          <w:tcPr>
            <w:tcW w:w="1769" w:type="dxa"/>
            <w:tcBorders>
              <w:top w:val="nil"/>
              <w:left w:val="nil"/>
              <w:bottom w:val="nil"/>
              <w:right w:val="nil"/>
            </w:tcBorders>
            <w:hideMark/>
          </w:tcPr>
          <w:p w:rsidR="003C2AC2" w:rsidRPr="00BA6B6A"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A6B6A">
              <w:rPr>
                <w:rFonts w:ascii="微軟正黑體" w:eastAsia="微軟正黑體" w:hAnsi="微軟正黑體" w:hint="eastAsia"/>
                <w:color w:val="auto"/>
                <w:sz w:val="22"/>
              </w:rPr>
              <w:t>41.</w:t>
            </w:r>
            <w:r>
              <w:rPr>
                <w:rFonts w:ascii="微軟正黑體" w:eastAsia="微軟正黑體" w:hAnsi="微軟正黑體" w:hint="eastAsia"/>
                <w:color w:val="auto"/>
                <w:sz w:val="22"/>
              </w:rPr>
              <w:t>1</w:t>
            </w:r>
          </w:p>
        </w:tc>
        <w:tc>
          <w:tcPr>
            <w:tcW w:w="2243" w:type="dxa"/>
            <w:tcBorders>
              <w:top w:val="nil"/>
              <w:left w:val="nil"/>
              <w:bottom w:val="nil"/>
              <w:right w:val="nil"/>
            </w:tcBorders>
            <w:hideMark/>
          </w:tcPr>
          <w:p w:rsidR="003C2AC2" w:rsidRPr="00BA6B6A"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BA6B6A">
              <w:rPr>
                <w:rFonts w:ascii="微軟正黑體" w:eastAsia="微軟正黑體" w:hAnsi="微軟正黑體" w:hint="eastAsia"/>
                <w:color w:val="auto"/>
                <w:sz w:val="22"/>
              </w:rPr>
              <w:t>-0.</w:t>
            </w:r>
            <w:r>
              <w:rPr>
                <w:rFonts w:ascii="微軟正黑體" w:eastAsia="微軟正黑體" w:hAnsi="微軟正黑體" w:hint="eastAsia"/>
                <w:color w:val="auto"/>
                <w:sz w:val="22"/>
              </w:rPr>
              <w:t>1</w:t>
            </w:r>
          </w:p>
        </w:tc>
      </w:tr>
      <w:tr w:rsidR="003C2AC2" w:rsidRPr="00E60638" w:rsidTr="008F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Borders>
              <w:top w:val="nil"/>
              <w:bottom w:val="nil"/>
            </w:tcBorders>
            <w:hideMark/>
          </w:tcPr>
          <w:p w:rsidR="003C2AC2" w:rsidRPr="00E60638" w:rsidRDefault="003C2AC2" w:rsidP="008F1977">
            <w:pPr>
              <w:widowControl/>
              <w:spacing w:line="400" w:lineRule="exact"/>
              <w:rPr>
                <w:rFonts w:ascii="微軟正黑體" w:eastAsia="微軟正黑體" w:hAnsi="微軟正黑體"/>
                <w:color w:val="auto"/>
                <w:sz w:val="22"/>
              </w:rPr>
            </w:pPr>
            <w:r w:rsidRPr="00E60638">
              <w:rPr>
                <w:rFonts w:ascii="微軟正黑體" w:eastAsia="微軟正黑體" w:hAnsi="微軟正黑體" w:hint="eastAsia"/>
                <w:color w:val="auto"/>
                <w:sz w:val="22"/>
              </w:rPr>
              <w:t>公教人員保險</w:t>
            </w:r>
          </w:p>
        </w:tc>
        <w:tc>
          <w:tcPr>
            <w:tcW w:w="1664" w:type="dxa"/>
            <w:tcBorders>
              <w:top w:val="nil"/>
              <w:bottom w:val="nil"/>
            </w:tcBorders>
            <w:hideMark/>
          </w:tcPr>
          <w:p w:rsidR="003C2AC2" w:rsidRPr="00BA6B6A"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A6B6A">
              <w:rPr>
                <w:rFonts w:ascii="微軟正黑體" w:eastAsia="微軟正黑體" w:hAnsi="微軟正黑體" w:hint="eastAsia"/>
                <w:color w:val="auto"/>
                <w:sz w:val="22"/>
              </w:rPr>
              <w:t>44.1</w:t>
            </w:r>
          </w:p>
        </w:tc>
        <w:tc>
          <w:tcPr>
            <w:tcW w:w="1768" w:type="dxa"/>
            <w:tcBorders>
              <w:top w:val="nil"/>
              <w:bottom w:val="nil"/>
            </w:tcBorders>
            <w:hideMark/>
          </w:tcPr>
          <w:p w:rsidR="003C2AC2" w:rsidRPr="00BA6B6A"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A6B6A">
              <w:rPr>
                <w:rFonts w:ascii="微軟正黑體" w:eastAsia="微軟正黑體" w:hAnsi="微軟正黑體" w:hint="eastAsia"/>
                <w:color w:val="auto"/>
                <w:sz w:val="22"/>
              </w:rPr>
              <w:t>44.</w:t>
            </w:r>
            <w:r>
              <w:rPr>
                <w:rFonts w:ascii="微軟正黑體" w:eastAsia="微軟正黑體" w:hAnsi="微軟正黑體" w:hint="eastAsia"/>
                <w:color w:val="auto"/>
                <w:sz w:val="22"/>
              </w:rPr>
              <w:t>5</w:t>
            </w:r>
          </w:p>
        </w:tc>
        <w:tc>
          <w:tcPr>
            <w:tcW w:w="1769" w:type="dxa"/>
            <w:tcBorders>
              <w:top w:val="nil"/>
              <w:bottom w:val="nil"/>
            </w:tcBorders>
            <w:hideMark/>
          </w:tcPr>
          <w:p w:rsidR="003C2AC2" w:rsidRPr="00BA6B6A"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BA6B6A">
              <w:rPr>
                <w:rFonts w:ascii="微軟正黑體" w:eastAsia="微軟正黑體" w:hAnsi="微軟正黑體" w:hint="eastAsia"/>
                <w:color w:val="auto"/>
                <w:sz w:val="22"/>
              </w:rPr>
              <w:t>43.8</w:t>
            </w:r>
          </w:p>
        </w:tc>
        <w:tc>
          <w:tcPr>
            <w:tcW w:w="2243" w:type="dxa"/>
            <w:tcBorders>
              <w:top w:val="nil"/>
              <w:bottom w:val="nil"/>
            </w:tcBorders>
            <w:hideMark/>
          </w:tcPr>
          <w:p w:rsidR="003C2AC2" w:rsidRPr="00BA6B6A"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Pr>
                <w:rFonts w:ascii="微軟正黑體" w:eastAsia="微軟正黑體" w:hAnsi="微軟正黑體" w:hint="eastAsia"/>
                <w:color w:val="auto"/>
                <w:sz w:val="22"/>
              </w:rPr>
              <w:t xml:space="preserve"> </w:t>
            </w:r>
            <w:r w:rsidRPr="00BA6B6A">
              <w:rPr>
                <w:rFonts w:ascii="微軟正黑體" w:eastAsia="微軟正黑體" w:hAnsi="微軟正黑體" w:hint="eastAsia"/>
                <w:color w:val="auto"/>
                <w:sz w:val="22"/>
              </w:rPr>
              <w:t>0.</w:t>
            </w:r>
            <w:r>
              <w:rPr>
                <w:rFonts w:ascii="微軟正黑體" w:eastAsia="微軟正黑體" w:hAnsi="微軟正黑體" w:hint="eastAsia"/>
                <w:color w:val="auto"/>
                <w:sz w:val="22"/>
              </w:rPr>
              <w:t>7</w:t>
            </w:r>
          </w:p>
        </w:tc>
      </w:tr>
      <w:tr w:rsidR="003C2AC2" w:rsidRPr="00E60638" w:rsidTr="008F1977">
        <w:tc>
          <w:tcPr>
            <w:cnfStyle w:val="001000000000" w:firstRow="0" w:lastRow="0" w:firstColumn="1" w:lastColumn="0" w:oddVBand="0" w:evenVBand="0" w:oddHBand="0" w:evenHBand="0" w:firstRowFirstColumn="0" w:firstRowLastColumn="0" w:lastRowFirstColumn="0" w:lastRowLastColumn="0"/>
            <w:tcW w:w="1734" w:type="dxa"/>
            <w:tcBorders>
              <w:top w:val="nil"/>
              <w:left w:val="nil"/>
              <w:bottom w:val="nil"/>
              <w:right w:val="nil"/>
            </w:tcBorders>
            <w:hideMark/>
          </w:tcPr>
          <w:p w:rsidR="003C2AC2" w:rsidRPr="00E60638" w:rsidRDefault="003C2AC2" w:rsidP="008F1977">
            <w:pPr>
              <w:widowControl/>
              <w:spacing w:line="400" w:lineRule="exact"/>
              <w:rPr>
                <w:rFonts w:ascii="微軟正黑體" w:eastAsia="微軟正黑體" w:hAnsi="微軟正黑體"/>
                <w:color w:val="auto"/>
                <w:sz w:val="22"/>
              </w:rPr>
            </w:pPr>
            <w:r w:rsidRPr="00E60638">
              <w:rPr>
                <w:rFonts w:ascii="微軟正黑體" w:eastAsia="微軟正黑體" w:hAnsi="微軟正黑體" w:hint="eastAsia"/>
                <w:color w:val="auto"/>
                <w:sz w:val="22"/>
              </w:rPr>
              <w:t>國民年金保險</w:t>
            </w:r>
          </w:p>
        </w:tc>
        <w:tc>
          <w:tcPr>
            <w:tcW w:w="1664" w:type="dxa"/>
            <w:tcBorders>
              <w:top w:val="nil"/>
              <w:left w:val="nil"/>
              <w:bottom w:val="nil"/>
              <w:right w:val="nil"/>
            </w:tcBorders>
            <w:hideMark/>
          </w:tcPr>
          <w:p w:rsidR="003C2AC2" w:rsidRPr="00610C32"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Pr>
                <w:rFonts w:ascii="微軟正黑體" w:eastAsia="微軟正黑體" w:hAnsi="微軟正黑體" w:hint="eastAsia"/>
                <w:color w:val="auto"/>
                <w:sz w:val="22"/>
              </w:rPr>
              <w:t>44.7</w:t>
            </w:r>
          </w:p>
        </w:tc>
        <w:tc>
          <w:tcPr>
            <w:tcW w:w="1768" w:type="dxa"/>
            <w:tcBorders>
              <w:top w:val="nil"/>
              <w:left w:val="nil"/>
              <w:bottom w:val="nil"/>
              <w:right w:val="nil"/>
            </w:tcBorders>
            <w:hideMark/>
          </w:tcPr>
          <w:p w:rsidR="003C2AC2" w:rsidRPr="00610C32"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610C32">
              <w:rPr>
                <w:rFonts w:ascii="微軟正黑體" w:eastAsia="微軟正黑體" w:hAnsi="微軟正黑體" w:hint="eastAsia"/>
                <w:color w:val="auto"/>
                <w:sz w:val="22"/>
              </w:rPr>
              <w:t>44.3</w:t>
            </w:r>
          </w:p>
        </w:tc>
        <w:tc>
          <w:tcPr>
            <w:tcW w:w="1769" w:type="dxa"/>
            <w:tcBorders>
              <w:top w:val="nil"/>
              <w:left w:val="nil"/>
              <w:bottom w:val="nil"/>
              <w:right w:val="nil"/>
            </w:tcBorders>
            <w:hideMark/>
          </w:tcPr>
          <w:p w:rsidR="003C2AC2" w:rsidRPr="00610C32"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610C32">
              <w:rPr>
                <w:rFonts w:ascii="微軟正黑體" w:eastAsia="微軟正黑體" w:hAnsi="微軟正黑體" w:hint="eastAsia"/>
                <w:color w:val="auto"/>
                <w:sz w:val="22"/>
              </w:rPr>
              <w:t>44.9</w:t>
            </w:r>
          </w:p>
        </w:tc>
        <w:tc>
          <w:tcPr>
            <w:tcW w:w="2243" w:type="dxa"/>
            <w:tcBorders>
              <w:top w:val="nil"/>
              <w:left w:val="nil"/>
              <w:bottom w:val="nil"/>
              <w:right w:val="nil"/>
            </w:tcBorders>
            <w:hideMark/>
          </w:tcPr>
          <w:p w:rsidR="003C2AC2" w:rsidRPr="00610C32"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olor w:val="auto"/>
                <w:sz w:val="22"/>
              </w:rPr>
            </w:pPr>
            <w:r w:rsidRPr="00610C32">
              <w:rPr>
                <w:rFonts w:ascii="微軟正黑體" w:eastAsia="微軟正黑體" w:hAnsi="微軟正黑體" w:hint="eastAsia"/>
                <w:color w:val="auto"/>
                <w:sz w:val="22"/>
              </w:rPr>
              <w:t>-0.6</w:t>
            </w:r>
          </w:p>
        </w:tc>
      </w:tr>
      <w:tr w:rsidR="003C2AC2" w:rsidRPr="00E60638" w:rsidTr="008F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4" w:type="dxa"/>
            <w:tcBorders>
              <w:top w:val="nil"/>
              <w:bottom w:val="single" w:sz="8" w:space="0" w:color="4F81BD" w:themeColor="accent1"/>
            </w:tcBorders>
            <w:hideMark/>
          </w:tcPr>
          <w:p w:rsidR="003C2AC2" w:rsidRPr="00E60638" w:rsidRDefault="003C2AC2" w:rsidP="008F1977">
            <w:pPr>
              <w:widowControl/>
              <w:spacing w:line="400" w:lineRule="exact"/>
              <w:rPr>
                <w:rFonts w:ascii="微軟正黑體" w:eastAsia="微軟正黑體" w:hAnsi="微軟正黑體"/>
                <w:color w:val="auto"/>
                <w:sz w:val="22"/>
              </w:rPr>
            </w:pPr>
            <w:r w:rsidRPr="00E60638">
              <w:rPr>
                <w:rFonts w:ascii="微軟正黑體" w:eastAsia="微軟正黑體" w:hAnsi="微軟正黑體" w:hint="eastAsia"/>
                <w:color w:val="auto"/>
                <w:sz w:val="22"/>
              </w:rPr>
              <w:t>農民健康保險</w:t>
            </w:r>
          </w:p>
        </w:tc>
        <w:tc>
          <w:tcPr>
            <w:tcW w:w="1664" w:type="dxa"/>
            <w:tcBorders>
              <w:top w:val="nil"/>
              <w:bottom w:val="single" w:sz="8" w:space="0" w:color="4F81BD" w:themeColor="accent1"/>
            </w:tcBorders>
            <w:hideMark/>
          </w:tcPr>
          <w:p w:rsidR="003C2AC2" w:rsidRPr="00F70EF8"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Pr>
                <w:rFonts w:ascii="微軟正黑體" w:eastAsia="微軟正黑體" w:hAnsi="微軟正黑體"/>
                <w:color w:val="auto"/>
                <w:sz w:val="22"/>
              </w:rPr>
              <w:t>67.</w:t>
            </w:r>
            <w:r>
              <w:rPr>
                <w:rFonts w:ascii="微軟正黑體" w:eastAsia="微軟正黑體" w:hAnsi="微軟正黑體" w:hint="eastAsia"/>
                <w:color w:val="auto"/>
                <w:sz w:val="22"/>
              </w:rPr>
              <w:t>6</w:t>
            </w:r>
          </w:p>
        </w:tc>
        <w:tc>
          <w:tcPr>
            <w:tcW w:w="1768" w:type="dxa"/>
            <w:tcBorders>
              <w:top w:val="nil"/>
              <w:bottom w:val="single" w:sz="8" w:space="0" w:color="4F81BD" w:themeColor="accent1"/>
            </w:tcBorders>
            <w:hideMark/>
          </w:tcPr>
          <w:p w:rsidR="003C2AC2" w:rsidRPr="00F70EF8"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F70EF8">
              <w:rPr>
                <w:rFonts w:ascii="微軟正黑體" w:eastAsia="微軟正黑體" w:hAnsi="微軟正黑體"/>
                <w:color w:val="auto"/>
                <w:sz w:val="22"/>
              </w:rPr>
              <w:t>65.8</w:t>
            </w:r>
          </w:p>
        </w:tc>
        <w:tc>
          <w:tcPr>
            <w:tcW w:w="1769" w:type="dxa"/>
            <w:tcBorders>
              <w:top w:val="nil"/>
              <w:bottom w:val="single" w:sz="8" w:space="0" w:color="4F81BD" w:themeColor="accent1"/>
            </w:tcBorders>
            <w:hideMark/>
          </w:tcPr>
          <w:p w:rsidR="003C2AC2" w:rsidRPr="00F70EF8"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sidRPr="00F70EF8">
              <w:rPr>
                <w:rFonts w:ascii="微軟正黑體" w:eastAsia="微軟正黑體" w:hAnsi="微軟正黑體"/>
                <w:color w:val="auto"/>
                <w:sz w:val="22"/>
              </w:rPr>
              <w:t>69.2</w:t>
            </w:r>
          </w:p>
        </w:tc>
        <w:tc>
          <w:tcPr>
            <w:tcW w:w="2243" w:type="dxa"/>
            <w:tcBorders>
              <w:top w:val="nil"/>
              <w:bottom w:val="single" w:sz="8" w:space="0" w:color="4F81BD" w:themeColor="accent1"/>
            </w:tcBorders>
            <w:hideMark/>
          </w:tcPr>
          <w:p w:rsidR="003C2AC2" w:rsidRPr="00F70EF8"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olor w:val="auto"/>
                <w:sz w:val="22"/>
              </w:rPr>
            </w:pPr>
            <w:r>
              <w:rPr>
                <w:rFonts w:ascii="微軟正黑體" w:eastAsia="微軟正黑體" w:hAnsi="微軟正黑體" w:hint="eastAsia"/>
                <w:color w:val="auto"/>
                <w:sz w:val="22"/>
              </w:rPr>
              <w:t>-3.4</w:t>
            </w:r>
          </w:p>
        </w:tc>
      </w:tr>
    </w:tbl>
    <w:p w:rsidR="003C2AC2" w:rsidRDefault="003C2AC2" w:rsidP="003C2AC2">
      <w:pPr>
        <w:widowControl/>
        <w:spacing w:line="400" w:lineRule="exact"/>
        <w:rPr>
          <w:rFonts w:ascii="微軟正黑體" w:eastAsia="微軟正黑體" w:hAnsi="微軟正黑體"/>
        </w:rPr>
      </w:pPr>
    </w:p>
    <w:p w:rsidR="003C2AC2" w:rsidRDefault="003C2AC2" w:rsidP="003C2AC2">
      <w:pPr>
        <w:widowControl/>
        <w:spacing w:line="400" w:lineRule="exact"/>
        <w:rPr>
          <w:rFonts w:ascii="微軟正黑體" w:eastAsia="微軟正黑體" w:hAnsi="微軟正黑體"/>
        </w:rPr>
      </w:pPr>
    </w:p>
    <w:p w:rsidR="003C2AC2" w:rsidRPr="00AD17D2" w:rsidRDefault="003C2AC2" w:rsidP="00AD17D2">
      <w:pPr>
        <w:pStyle w:val="af0"/>
        <w:widowControl/>
        <w:numPr>
          <w:ilvl w:val="0"/>
          <w:numId w:val="11"/>
        </w:numPr>
        <w:spacing w:beforeLines="30" w:before="108" w:afterLines="25" w:after="90" w:line="400" w:lineRule="exact"/>
        <w:ind w:leftChars="0"/>
        <w:rPr>
          <w:rFonts w:ascii="微軟正黑體" w:eastAsia="微軟正黑體" w:hAnsi="微軟正黑體"/>
        </w:rPr>
      </w:pPr>
      <w:r w:rsidRPr="00AD17D2">
        <w:rPr>
          <w:rFonts w:ascii="微軟正黑體" w:eastAsia="微軟正黑體" w:hAnsi="微軟正黑體" w:hint="eastAsia"/>
        </w:rPr>
        <w:t>投保薪資性別分布</w:t>
      </w:r>
    </w:p>
    <w:p w:rsidR="003C2AC2" w:rsidRPr="0038767E" w:rsidRDefault="003C2AC2" w:rsidP="003C2AC2">
      <w:pPr>
        <w:widowControl/>
        <w:spacing w:afterLines="25" w:after="90" w:line="400" w:lineRule="exact"/>
        <w:ind w:leftChars="236" w:left="566" w:firstLineChars="200" w:firstLine="480"/>
        <w:rPr>
          <w:rFonts w:ascii="微軟正黑體" w:eastAsia="微軟正黑體" w:hAnsi="微軟正黑體"/>
        </w:rPr>
      </w:pPr>
      <w:r>
        <w:rPr>
          <w:rFonts w:ascii="微軟正黑體" w:eastAsia="微軟正黑體" w:hAnsi="微軟正黑體" w:hint="eastAsia"/>
        </w:rPr>
        <w:t>勞工保險及公教人員保險在最高投保薪資一級，男性人數均高於</w:t>
      </w:r>
      <w:r w:rsidRPr="0038767E">
        <w:rPr>
          <w:rFonts w:ascii="微軟正黑體" w:eastAsia="微軟正黑體" w:hAnsi="微軟正黑體" w:hint="eastAsia"/>
        </w:rPr>
        <w:t>女性，其中，勞保最高投保薪資級距之男性投保人數占61.9%，公保最高投保薪資級距之男性投保人數占69.9%。</w:t>
      </w:r>
    </w:p>
    <w:p w:rsidR="003C2AC2" w:rsidRDefault="003C2AC2" w:rsidP="003C2AC2">
      <w:pPr>
        <w:widowControl/>
        <w:spacing w:afterLines="25" w:after="90" w:line="400" w:lineRule="exact"/>
        <w:ind w:leftChars="236" w:left="566" w:firstLineChars="200" w:firstLine="480"/>
        <w:rPr>
          <w:rFonts w:ascii="微軟正黑體" w:eastAsia="微軟正黑體" w:hAnsi="微軟正黑體"/>
        </w:rPr>
      </w:pPr>
    </w:p>
    <w:p w:rsidR="003C2AC2" w:rsidRDefault="003C2AC2" w:rsidP="003C2AC2">
      <w:pPr>
        <w:widowControl/>
        <w:spacing w:afterLines="25" w:after="90" w:line="400" w:lineRule="exact"/>
        <w:ind w:leftChars="236" w:left="566" w:firstLineChars="200" w:firstLine="480"/>
        <w:rPr>
          <w:rFonts w:ascii="微軟正黑體" w:eastAsia="微軟正黑體" w:hAnsi="微軟正黑體"/>
        </w:rPr>
      </w:pPr>
    </w:p>
    <w:p w:rsidR="003C2AC2" w:rsidRDefault="003C2AC2" w:rsidP="003C2AC2">
      <w:pPr>
        <w:widowControl/>
        <w:spacing w:afterLines="25" w:after="90" w:line="400" w:lineRule="exact"/>
        <w:rPr>
          <w:rFonts w:ascii="微軟正黑體" w:eastAsia="微軟正黑體" w:hAnsi="微軟正黑體"/>
        </w:rPr>
      </w:pPr>
    </w:p>
    <w:p w:rsidR="003C2AC2" w:rsidRPr="00367762" w:rsidRDefault="003C2AC2" w:rsidP="003C2AC2">
      <w:pPr>
        <w:widowControl/>
        <w:rPr>
          <w:rFonts w:ascii="微軟正黑體" w:eastAsia="微軟正黑體" w:hAnsi="微軟正黑體"/>
        </w:rPr>
      </w:pPr>
      <w:r>
        <w:rPr>
          <w:noProof/>
        </w:rPr>
        <w:lastRenderedPageBreak/>
        <w:drawing>
          <wp:anchor distT="0" distB="0" distL="114300" distR="114300" simplePos="0" relativeHeight="252535808" behindDoc="0" locked="0" layoutInCell="1" allowOverlap="1" wp14:anchorId="4D62D6D2" wp14:editId="63D81898">
            <wp:simplePos x="0" y="0"/>
            <wp:positionH relativeFrom="column">
              <wp:posOffset>83185</wp:posOffset>
            </wp:positionH>
            <wp:positionV relativeFrom="paragraph">
              <wp:posOffset>41275</wp:posOffset>
            </wp:positionV>
            <wp:extent cx="5486400" cy="2803525"/>
            <wp:effectExtent l="0" t="0" r="19050" b="15875"/>
            <wp:wrapNone/>
            <wp:docPr id="21560" name="圖表 21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3C2AC2" w:rsidRDefault="003C2AC2" w:rsidP="003C2AC2">
      <w:pPr>
        <w:widowControl/>
        <w:rPr>
          <w:rFonts w:ascii="微軟正黑體" w:eastAsia="微軟正黑體" w:hAnsi="微軟正黑體"/>
        </w:rPr>
      </w:pPr>
    </w:p>
    <w:p w:rsidR="003C2AC2" w:rsidRDefault="003C2AC2" w:rsidP="003C2AC2">
      <w:pPr>
        <w:widowControl/>
        <w:rPr>
          <w:rFonts w:ascii="微軟正黑體" w:eastAsia="微軟正黑體" w:hAnsi="微軟正黑體"/>
        </w:rPr>
      </w:pPr>
    </w:p>
    <w:p w:rsidR="003C2AC2" w:rsidRDefault="003C2AC2" w:rsidP="003C2AC2">
      <w:pPr>
        <w:widowControl/>
        <w:rPr>
          <w:rFonts w:ascii="微軟正黑體" w:eastAsia="微軟正黑體" w:hAnsi="微軟正黑體"/>
        </w:rPr>
      </w:pPr>
    </w:p>
    <w:p w:rsidR="003C2AC2" w:rsidRDefault="003C2AC2" w:rsidP="003C2AC2">
      <w:pPr>
        <w:widowControl/>
        <w:rPr>
          <w:rFonts w:ascii="微軟正黑體" w:eastAsia="微軟正黑體" w:hAnsi="微軟正黑體"/>
        </w:rPr>
      </w:pPr>
    </w:p>
    <w:p w:rsidR="003C2AC2" w:rsidRDefault="003C2AC2" w:rsidP="003C2AC2">
      <w:pPr>
        <w:widowControl/>
        <w:rPr>
          <w:rFonts w:ascii="微軟正黑體" w:eastAsia="微軟正黑體" w:hAnsi="微軟正黑體"/>
        </w:rPr>
      </w:pPr>
    </w:p>
    <w:p w:rsidR="003C2AC2" w:rsidRDefault="003C2AC2" w:rsidP="003C2AC2">
      <w:pPr>
        <w:widowControl/>
        <w:rPr>
          <w:rFonts w:ascii="微軟正黑體" w:eastAsia="微軟正黑體" w:hAnsi="微軟正黑體"/>
        </w:rPr>
      </w:pPr>
      <w:r>
        <w:rPr>
          <w:noProof/>
        </w:rPr>
        <w:drawing>
          <wp:anchor distT="0" distB="0" distL="114300" distR="114300" simplePos="0" relativeHeight="252536832" behindDoc="0" locked="0" layoutInCell="1" allowOverlap="1" wp14:anchorId="7434650B" wp14:editId="1915516E">
            <wp:simplePos x="0" y="0"/>
            <wp:positionH relativeFrom="column">
              <wp:posOffset>83243</wp:posOffset>
            </wp:positionH>
            <wp:positionV relativeFrom="paragraph">
              <wp:posOffset>235874</wp:posOffset>
            </wp:positionV>
            <wp:extent cx="5486400" cy="2694709"/>
            <wp:effectExtent l="0" t="0" r="19050" b="10795"/>
            <wp:wrapNone/>
            <wp:docPr id="21561" name="圖表 21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3C2AC2" w:rsidRDefault="003C2AC2" w:rsidP="003C2AC2">
      <w:pPr>
        <w:widowControl/>
        <w:spacing w:beforeLines="100" w:before="360" w:line="400" w:lineRule="exact"/>
        <w:jc w:val="center"/>
        <w:rPr>
          <w:rFonts w:ascii="微軟正黑體" w:eastAsia="微軟正黑體" w:hAnsi="微軟正黑體"/>
        </w:rPr>
      </w:pPr>
    </w:p>
    <w:p w:rsidR="003C2AC2" w:rsidRDefault="003C2AC2" w:rsidP="003C2AC2">
      <w:pPr>
        <w:widowControl/>
        <w:spacing w:beforeLines="100" w:before="360"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beforeLines="150" w:before="540" w:line="400" w:lineRule="exact"/>
        <w:jc w:val="center"/>
        <w:rPr>
          <w:rFonts w:ascii="微軟正黑體" w:eastAsia="微軟正黑體" w:hAnsi="微軟正黑體"/>
        </w:rPr>
      </w:pPr>
      <w:r>
        <w:rPr>
          <w:rFonts w:ascii="微軟正黑體" w:eastAsia="微軟正黑體" w:hAnsi="微軟正黑體" w:hint="eastAsia"/>
        </w:rPr>
        <w:t>圖1.20  109年各社會保險投保薪資性別分布圖</w:t>
      </w:r>
    </w:p>
    <w:p w:rsidR="003C2AC2" w:rsidRDefault="003C2AC2" w:rsidP="003C2AC2">
      <w:pPr>
        <w:widowControl/>
        <w:spacing w:beforeLines="100" w:before="360" w:line="400" w:lineRule="exact"/>
        <w:jc w:val="center"/>
        <w:rPr>
          <w:rFonts w:ascii="微軟正黑體" w:eastAsia="微軟正黑體" w:hAnsi="微軟正黑體"/>
        </w:rPr>
      </w:pPr>
    </w:p>
    <w:p w:rsidR="003C2AC2" w:rsidRPr="00395CBA" w:rsidRDefault="003C2AC2" w:rsidP="003C2AC2">
      <w:pPr>
        <w:widowControl/>
        <w:spacing w:beforeLines="30" w:before="108" w:afterLines="25" w:after="90" w:line="400" w:lineRule="exact"/>
        <w:ind w:firstLineChars="100" w:firstLine="240"/>
        <w:rPr>
          <w:rFonts w:ascii="微軟正黑體" w:eastAsia="微軟正黑體" w:hAnsi="微軟正黑體"/>
        </w:rPr>
      </w:pPr>
      <w:r>
        <w:rPr>
          <w:rFonts w:ascii="微軟正黑體" w:eastAsia="微軟正黑體" w:hAnsi="微軟正黑體" w:hint="eastAsia"/>
        </w:rPr>
        <w:t xml:space="preserve">4. </w:t>
      </w:r>
      <w:r w:rsidRPr="00395CBA">
        <w:rPr>
          <w:rFonts w:ascii="微軟正黑體" w:eastAsia="微軟正黑體" w:hAnsi="微軟正黑體" w:hint="eastAsia"/>
        </w:rPr>
        <w:t>領取老年給付人數及金額性別落差</w:t>
      </w:r>
    </w:p>
    <w:p w:rsidR="003C2AC2" w:rsidRDefault="003C2AC2" w:rsidP="003C2AC2">
      <w:pPr>
        <w:widowControl/>
        <w:spacing w:afterLines="50" w:after="180" w:line="400" w:lineRule="exact"/>
        <w:ind w:leftChars="236" w:left="566"/>
        <w:jc w:val="both"/>
        <w:rPr>
          <w:rFonts w:ascii="微軟正黑體" w:eastAsia="微軟正黑體" w:hAnsi="微軟正黑體"/>
        </w:rPr>
      </w:pPr>
      <w:r>
        <w:rPr>
          <w:rFonts w:ascii="微軟正黑體" w:eastAsia="微軟正黑體" w:hAnsi="微軟正黑體" w:hint="eastAsia"/>
        </w:rPr>
        <w:t xml:space="preserve">    現行社</w:t>
      </w:r>
      <w:r w:rsidRPr="00E91417">
        <w:rPr>
          <w:rFonts w:ascii="微軟正黑體" w:eastAsia="微軟正黑體" w:hAnsi="微軟正黑體" w:hint="eastAsia"/>
        </w:rPr>
        <w:t>會保險老年給付以年金給付為主，包含國保老年年金及勞保老年年金，且兩者制度女性領取人數均高於男性，國保女性領取人數為66.1萬人(占55.5%)，勞保女性領取人數為75.6萬人(占54.1%)</w:t>
      </w:r>
      <w:r>
        <w:rPr>
          <w:rFonts w:ascii="微軟正黑體" w:eastAsia="微軟正黑體" w:hAnsi="微軟正黑體" w:hint="eastAsia"/>
        </w:rPr>
        <w:t>。</w:t>
      </w:r>
    </w:p>
    <w:p w:rsidR="003C2AC2" w:rsidRDefault="003C2AC2" w:rsidP="003C2AC2">
      <w:pPr>
        <w:widowControl/>
        <w:spacing w:afterLines="50" w:after="180" w:line="400" w:lineRule="exact"/>
        <w:ind w:leftChars="236" w:left="566"/>
        <w:jc w:val="both"/>
        <w:rPr>
          <w:rFonts w:ascii="微軟正黑體" w:eastAsia="微軟正黑體" w:hAnsi="微軟正黑體"/>
        </w:rPr>
      </w:pPr>
    </w:p>
    <w:p w:rsidR="003C2AC2" w:rsidRDefault="003C2AC2" w:rsidP="003C2AC2">
      <w:pPr>
        <w:widowControl/>
        <w:spacing w:afterLines="50" w:after="180" w:line="400" w:lineRule="exact"/>
        <w:ind w:leftChars="236" w:left="566"/>
        <w:jc w:val="both"/>
        <w:rPr>
          <w:rFonts w:ascii="微軟正黑體" w:eastAsia="微軟正黑體" w:hAnsi="微軟正黑體"/>
        </w:rPr>
      </w:pPr>
    </w:p>
    <w:p w:rsidR="003C2AC2" w:rsidRPr="00E91417" w:rsidRDefault="003C2AC2" w:rsidP="003C2AC2">
      <w:pPr>
        <w:widowControl/>
        <w:spacing w:afterLines="50" w:after="180" w:line="400" w:lineRule="exact"/>
        <w:ind w:leftChars="236" w:left="566"/>
        <w:jc w:val="both"/>
        <w:rPr>
          <w:rFonts w:ascii="微軟正黑體" w:eastAsia="微軟正黑體" w:hAnsi="微軟正黑體"/>
        </w:rPr>
      </w:pPr>
    </w:p>
    <w:p w:rsidR="003C2AC2" w:rsidRPr="00914291" w:rsidRDefault="003C2AC2" w:rsidP="003C2AC2">
      <w:pPr>
        <w:widowControl/>
        <w:spacing w:afterLines="50" w:after="180" w:line="400" w:lineRule="exact"/>
        <w:ind w:leftChars="236" w:left="566"/>
        <w:jc w:val="both"/>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r>
        <w:rPr>
          <w:rFonts w:hint="eastAsia"/>
          <w:noProof/>
        </w:rPr>
        <w:lastRenderedPageBreak/>
        <w:drawing>
          <wp:anchor distT="0" distB="0" distL="114300" distR="114300" simplePos="0" relativeHeight="252518400" behindDoc="0" locked="0" layoutInCell="1" allowOverlap="1" wp14:anchorId="61E1BB4E" wp14:editId="2BDB9114">
            <wp:simplePos x="0" y="0"/>
            <wp:positionH relativeFrom="column">
              <wp:posOffset>260985</wp:posOffset>
            </wp:positionH>
            <wp:positionV relativeFrom="paragraph">
              <wp:posOffset>41275</wp:posOffset>
            </wp:positionV>
            <wp:extent cx="5498465" cy="3181985"/>
            <wp:effectExtent l="0" t="0" r="26035" b="18415"/>
            <wp:wrapNone/>
            <wp:docPr id="21562" name="圖表 21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3C2AC2" w:rsidRDefault="003C2AC2" w:rsidP="003C2AC2">
      <w:pPr>
        <w:widowControl/>
        <w:spacing w:beforeLines="50" w:before="180" w:afterLines="25" w:after="90" w:line="400" w:lineRule="exact"/>
        <w:jc w:val="center"/>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p>
    <w:p w:rsidR="003C2AC2" w:rsidRPr="0038767E" w:rsidRDefault="003C2AC2" w:rsidP="003C2AC2">
      <w:pPr>
        <w:widowControl/>
        <w:spacing w:line="320" w:lineRule="exact"/>
        <w:rPr>
          <w:rFonts w:ascii="微軟正黑體" w:eastAsia="微軟正黑體" w:hAnsi="微軟正黑體"/>
          <w:sz w:val="20"/>
          <w:szCs w:val="20"/>
        </w:rPr>
      </w:pPr>
      <w:r w:rsidRPr="0038767E">
        <w:rPr>
          <w:rFonts w:ascii="微軟正黑體" w:eastAsia="微軟正黑體" w:hAnsi="微軟正黑體" w:hint="eastAsia"/>
          <w:sz w:val="20"/>
          <w:szCs w:val="20"/>
        </w:rPr>
        <w:t xml:space="preserve">    註：一次給付為當年度領取人數，年金為累計領取人數。</w:t>
      </w:r>
    </w:p>
    <w:p w:rsidR="003C2AC2" w:rsidRDefault="003C2AC2" w:rsidP="003C2AC2">
      <w:pPr>
        <w:widowControl/>
        <w:spacing w:beforeLines="50" w:before="180" w:afterLines="25" w:after="90" w:line="400" w:lineRule="exact"/>
        <w:jc w:val="center"/>
        <w:rPr>
          <w:rFonts w:ascii="微軟正黑體" w:eastAsia="微軟正黑體" w:hAnsi="微軟正黑體"/>
        </w:rPr>
      </w:pPr>
      <w:r>
        <w:rPr>
          <w:rFonts w:ascii="微軟正黑體" w:eastAsia="微軟正黑體" w:hAnsi="微軟正黑體" w:hint="eastAsia"/>
        </w:rPr>
        <w:t>圖1.21  109年各社會保險領取老年給付人數</w:t>
      </w: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ind w:leftChars="236" w:left="566"/>
        <w:jc w:val="both"/>
        <w:rPr>
          <w:rFonts w:ascii="微軟正黑體" w:eastAsia="微軟正黑體" w:hAnsi="微軟正黑體"/>
        </w:rPr>
      </w:pPr>
      <w:r>
        <w:rPr>
          <w:rFonts w:hint="eastAsia"/>
          <w:noProof/>
        </w:rPr>
        <w:drawing>
          <wp:anchor distT="0" distB="0" distL="114300" distR="114300" simplePos="0" relativeHeight="252519424" behindDoc="0" locked="0" layoutInCell="1" allowOverlap="1" wp14:anchorId="21597BC4" wp14:editId="00EDDD55">
            <wp:simplePos x="0" y="0"/>
            <wp:positionH relativeFrom="column">
              <wp:posOffset>55880</wp:posOffset>
            </wp:positionH>
            <wp:positionV relativeFrom="paragraph">
              <wp:posOffset>988695</wp:posOffset>
            </wp:positionV>
            <wp:extent cx="2987675" cy="2902585"/>
            <wp:effectExtent l="0" t="0" r="22225" b="12065"/>
            <wp:wrapSquare wrapText="bothSides"/>
            <wp:docPr id="21563" name="圖表 21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520448" behindDoc="0" locked="0" layoutInCell="1" allowOverlap="1" wp14:anchorId="4050B229" wp14:editId="72CFB625">
            <wp:simplePos x="0" y="0"/>
            <wp:positionH relativeFrom="column">
              <wp:posOffset>3096895</wp:posOffset>
            </wp:positionH>
            <wp:positionV relativeFrom="paragraph">
              <wp:posOffset>988695</wp:posOffset>
            </wp:positionV>
            <wp:extent cx="2891790" cy="2902585"/>
            <wp:effectExtent l="0" t="0" r="22860" b="12065"/>
            <wp:wrapSquare wrapText="bothSides"/>
            <wp:docPr id="21564" name="圖表 21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rPr>
        <w:t xml:space="preserve">    所領年金金額部分，勞保及公保男性所領金額均高於女性，女性所領年金約</w:t>
      </w:r>
      <w:r w:rsidRPr="00B700E0">
        <w:rPr>
          <w:rFonts w:ascii="微軟正黑體" w:eastAsia="微軟正黑體" w:hAnsi="微軟正黑體" w:hint="eastAsia"/>
        </w:rPr>
        <w:t>為男性9成</w:t>
      </w:r>
      <w:r w:rsidRPr="00B700E0">
        <w:rPr>
          <w:rFonts w:ascii="新細明體" w:hAnsi="新細明體" w:hint="eastAsia"/>
        </w:rPr>
        <w:t>；</w:t>
      </w:r>
      <w:r w:rsidRPr="00B700E0">
        <w:rPr>
          <w:rFonts w:ascii="微軟正黑體" w:eastAsia="微軟正黑體" w:hAnsi="微軟正黑體" w:hint="eastAsia"/>
        </w:rPr>
        <w:t>國保年金則以女性所領金額稍高於男性。一次給付部分，兩性所領</w:t>
      </w:r>
      <w:r>
        <w:rPr>
          <w:rFonts w:ascii="微軟正黑體" w:eastAsia="微軟正黑體" w:hAnsi="微軟正黑體" w:hint="eastAsia"/>
        </w:rPr>
        <w:t>年金落差較小。</w:t>
      </w:r>
    </w:p>
    <w:p w:rsidR="003C2AC2" w:rsidRDefault="003C2AC2" w:rsidP="003C2AC2">
      <w:pPr>
        <w:widowControl/>
        <w:spacing w:beforeLines="50" w:before="180" w:afterLines="50" w:after="180" w:line="400" w:lineRule="exact"/>
        <w:jc w:val="center"/>
        <w:rPr>
          <w:rFonts w:ascii="微軟正黑體" w:eastAsia="微軟正黑體" w:hAnsi="微軟正黑體"/>
        </w:rPr>
      </w:pPr>
      <w:r w:rsidRPr="00B700E0">
        <w:rPr>
          <w:rFonts w:ascii="微軟正黑體" w:eastAsia="微軟正黑體" w:hAnsi="微軟正黑體" w:hint="eastAsia"/>
        </w:rPr>
        <w:t>圖1.22  10</w:t>
      </w:r>
      <w:r>
        <w:rPr>
          <w:rFonts w:ascii="微軟正黑體" w:eastAsia="微軟正黑體" w:hAnsi="微軟正黑體" w:hint="eastAsia"/>
        </w:rPr>
        <w:t>9</w:t>
      </w:r>
      <w:r w:rsidRPr="00B700E0">
        <w:rPr>
          <w:rFonts w:ascii="微軟正黑體" w:eastAsia="微軟正黑體" w:hAnsi="微軟正黑體" w:hint="eastAsia"/>
        </w:rPr>
        <w:t>年各社會保險老年給付平均領取金額</w:t>
      </w:r>
    </w:p>
    <w:p w:rsidR="003C2AC2" w:rsidRDefault="003C2AC2" w:rsidP="003C2AC2">
      <w:pPr>
        <w:widowControl/>
        <w:spacing w:afterLines="50" w:after="180" w:line="400" w:lineRule="exact"/>
        <w:jc w:val="center"/>
        <w:rPr>
          <w:rFonts w:ascii="微軟正黑體" w:eastAsia="微軟正黑體" w:hAnsi="微軟正黑體"/>
        </w:rPr>
      </w:pPr>
    </w:p>
    <w:p w:rsidR="003C2AC2" w:rsidRDefault="003C2AC2" w:rsidP="003C2AC2">
      <w:pPr>
        <w:widowControl/>
        <w:spacing w:afterLines="50" w:after="180" w:line="400" w:lineRule="exact"/>
        <w:jc w:val="center"/>
        <w:rPr>
          <w:rFonts w:ascii="微軟正黑體" w:eastAsia="微軟正黑體" w:hAnsi="微軟正黑體"/>
        </w:rPr>
      </w:pPr>
    </w:p>
    <w:p w:rsidR="003C2AC2" w:rsidRDefault="003C2AC2" w:rsidP="003C2AC2">
      <w:pPr>
        <w:widowControl/>
        <w:spacing w:afterLines="30" w:after="108" w:line="400" w:lineRule="exact"/>
        <w:jc w:val="center"/>
        <w:rPr>
          <w:rFonts w:ascii="微軟正黑體" w:eastAsia="微軟正黑體" w:hAnsi="微軟正黑體"/>
        </w:rPr>
      </w:pPr>
      <w:r>
        <w:rPr>
          <w:rFonts w:ascii="微軟正黑體" w:eastAsia="微軟正黑體" w:hAnsi="微軟正黑體" w:hint="eastAsia"/>
        </w:rPr>
        <w:lastRenderedPageBreak/>
        <w:t>表1.7  109年各社會保險老年給付性別落差</w:t>
      </w:r>
    </w:p>
    <w:tbl>
      <w:tblPr>
        <w:tblStyle w:val="-50"/>
        <w:tblW w:w="0" w:type="auto"/>
        <w:tblInd w:w="250" w:type="dxa"/>
        <w:tblLook w:val="04A0" w:firstRow="1" w:lastRow="0" w:firstColumn="1" w:lastColumn="0" w:noHBand="0" w:noVBand="1"/>
      </w:tblPr>
      <w:tblGrid>
        <w:gridCol w:w="1276"/>
        <w:gridCol w:w="2551"/>
        <w:gridCol w:w="2835"/>
        <w:gridCol w:w="2268"/>
      </w:tblGrid>
      <w:tr w:rsidR="003C2AC2" w:rsidTr="008F1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7" w:type="dxa"/>
            <w:gridSpan w:val="2"/>
            <w:tcBorders>
              <w:top w:val="single" w:sz="8" w:space="0" w:color="4BACC6" w:themeColor="accent5"/>
              <w:left w:val="single" w:sz="8" w:space="0" w:color="4BACC6" w:themeColor="accent5"/>
              <w:bottom w:val="nil"/>
              <w:right w:val="nil"/>
            </w:tcBorders>
            <w:shd w:val="clear" w:color="auto" w:fill="31849B" w:themeFill="accent5" w:themeFillShade="BF"/>
            <w:hideMark/>
          </w:tcPr>
          <w:p w:rsidR="003C2AC2" w:rsidRPr="00CC553A" w:rsidRDefault="003C2AC2" w:rsidP="008F1977">
            <w:pPr>
              <w:widowControl/>
              <w:spacing w:line="400" w:lineRule="exact"/>
              <w:jc w:val="center"/>
              <w:rPr>
                <w:rFonts w:ascii="微軟正黑體" w:eastAsia="微軟正黑體" w:hAnsi="微軟正黑體"/>
                <w:sz w:val="22"/>
              </w:rPr>
            </w:pPr>
            <w:r w:rsidRPr="00CC553A">
              <w:rPr>
                <w:rFonts w:ascii="微軟正黑體" w:eastAsia="微軟正黑體" w:hAnsi="微軟正黑體" w:hint="eastAsia"/>
                <w:sz w:val="22"/>
              </w:rPr>
              <w:t>給付項目</w:t>
            </w:r>
          </w:p>
        </w:tc>
        <w:tc>
          <w:tcPr>
            <w:tcW w:w="2835" w:type="dxa"/>
            <w:tcBorders>
              <w:top w:val="single" w:sz="8" w:space="0" w:color="4BACC6" w:themeColor="accent5"/>
              <w:left w:val="nil"/>
              <w:bottom w:val="nil"/>
              <w:right w:val="nil"/>
            </w:tcBorders>
            <w:shd w:val="clear" w:color="auto" w:fill="31849B" w:themeFill="accent5" w:themeFillShade="BF"/>
            <w:hideMark/>
          </w:tcPr>
          <w:p w:rsidR="003C2AC2" w:rsidRPr="00CC553A" w:rsidRDefault="003C2AC2" w:rsidP="008F1977">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CC553A">
              <w:rPr>
                <w:rFonts w:ascii="微軟正黑體" w:eastAsia="微軟正黑體" w:hAnsi="微軟正黑體" w:hint="eastAsia"/>
                <w:sz w:val="22"/>
              </w:rPr>
              <w:t>女性領取金額占男性比率</w:t>
            </w:r>
          </w:p>
        </w:tc>
        <w:tc>
          <w:tcPr>
            <w:tcW w:w="2268" w:type="dxa"/>
            <w:tcBorders>
              <w:top w:val="single" w:sz="8" w:space="0" w:color="4BACC6" w:themeColor="accent5"/>
              <w:left w:val="nil"/>
              <w:bottom w:val="nil"/>
              <w:right w:val="single" w:sz="8" w:space="0" w:color="4BACC6" w:themeColor="accent5"/>
            </w:tcBorders>
            <w:shd w:val="clear" w:color="auto" w:fill="31849B" w:themeFill="accent5" w:themeFillShade="BF"/>
            <w:hideMark/>
          </w:tcPr>
          <w:p w:rsidR="003C2AC2" w:rsidRPr="00CC553A" w:rsidRDefault="003C2AC2" w:rsidP="008F1977">
            <w:pPr>
              <w:widowControl/>
              <w:spacing w:line="400" w:lineRule="exac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CC553A">
              <w:rPr>
                <w:rFonts w:ascii="微軟正黑體" w:eastAsia="微軟正黑體" w:hAnsi="微軟正黑體" w:hint="eastAsia"/>
                <w:sz w:val="22"/>
              </w:rPr>
              <w:t>給付落差(男性-女性)</w:t>
            </w:r>
          </w:p>
        </w:tc>
      </w:tr>
      <w:tr w:rsidR="003C2AC2" w:rsidRPr="00B700E0" w:rsidTr="008F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tcBorders>
              <w:right w:val="nil"/>
            </w:tcBorders>
            <w:vAlign w:val="center"/>
            <w:hideMark/>
          </w:tcPr>
          <w:p w:rsidR="003C2AC2" w:rsidRPr="00B700E0" w:rsidRDefault="003C2AC2" w:rsidP="008F1977">
            <w:pPr>
              <w:widowControl/>
              <w:spacing w:line="360" w:lineRule="exact"/>
              <w:jc w:val="center"/>
              <w:rPr>
                <w:rFonts w:ascii="微軟正黑體" w:eastAsia="微軟正黑體" w:hAnsi="微軟正黑體"/>
                <w:b w:val="0"/>
                <w:sz w:val="22"/>
              </w:rPr>
            </w:pPr>
            <w:r w:rsidRPr="00B700E0">
              <w:rPr>
                <w:rFonts w:ascii="微軟正黑體" w:eastAsia="微軟正黑體" w:hAnsi="微軟正黑體" w:hint="eastAsia"/>
                <w:b w:val="0"/>
                <w:sz w:val="22"/>
              </w:rPr>
              <w:t>年金給付</w:t>
            </w:r>
          </w:p>
        </w:tc>
        <w:tc>
          <w:tcPr>
            <w:tcW w:w="2551" w:type="dxa"/>
            <w:tcBorders>
              <w:left w:val="nil"/>
              <w:right w:val="nil"/>
            </w:tcBorders>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B700E0">
              <w:rPr>
                <w:rFonts w:ascii="微軟正黑體" w:eastAsia="微軟正黑體" w:hAnsi="微軟正黑體" w:hint="eastAsia"/>
                <w:sz w:val="22"/>
              </w:rPr>
              <w:t>勞保老年年金</w:t>
            </w:r>
          </w:p>
        </w:tc>
        <w:tc>
          <w:tcPr>
            <w:tcW w:w="2835" w:type="dxa"/>
            <w:tcBorders>
              <w:left w:val="nil"/>
              <w:right w:val="nil"/>
            </w:tcBorders>
            <w:hideMark/>
          </w:tcPr>
          <w:p w:rsidR="003C2AC2" w:rsidRPr="00E91417"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E91417">
              <w:rPr>
                <w:rFonts w:ascii="微軟正黑體" w:eastAsia="微軟正黑體" w:hAnsi="微軟正黑體" w:hint="eastAsia"/>
                <w:sz w:val="22"/>
              </w:rPr>
              <w:t>88.3%</w:t>
            </w:r>
          </w:p>
        </w:tc>
        <w:tc>
          <w:tcPr>
            <w:tcW w:w="2268" w:type="dxa"/>
            <w:tcBorders>
              <w:left w:val="nil"/>
            </w:tcBorders>
            <w:hideMark/>
          </w:tcPr>
          <w:p w:rsidR="003C2AC2" w:rsidRPr="00E91417"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E91417">
              <w:rPr>
                <w:rFonts w:ascii="微軟正黑體" w:eastAsia="微軟正黑體" w:hAnsi="微軟正黑體" w:hint="eastAsia"/>
                <w:sz w:val="22"/>
              </w:rPr>
              <w:t>11.7%</w:t>
            </w:r>
          </w:p>
        </w:tc>
      </w:tr>
      <w:tr w:rsidR="003C2AC2" w:rsidRPr="00B700E0" w:rsidTr="008F1977">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4BACC6" w:themeColor="accent5"/>
              <w:left w:val="single" w:sz="8" w:space="0" w:color="4BACC6" w:themeColor="accent5"/>
              <w:bottom w:val="single" w:sz="8" w:space="0" w:color="4BACC6" w:themeColor="accent5"/>
              <w:right w:val="nil"/>
            </w:tcBorders>
            <w:vAlign w:val="center"/>
            <w:hideMark/>
          </w:tcPr>
          <w:p w:rsidR="003C2AC2" w:rsidRPr="00B700E0" w:rsidRDefault="003C2AC2" w:rsidP="008F1977">
            <w:pPr>
              <w:widowControl/>
              <w:rPr>
                <w:rFonts w:ascii="微軟正黑體" w:eastAsia="微軟正黑體" w:hAnsi="微軟正黑體"/>
                <w:sz w:val="22"/>
              </w:rPr>
            </w:pPr>
          </w:p>
        </w:tc>
        <w:tc>
          <w:tcPr>
            <w:tcW w:w="2551" w:type="dxa"/>
            <w:tcBorders>
              <w:top w:val="nil"/>
              <w:left w:val="nil"/>
              <w:bottom w:val="nil"/>
              <w:right w:val="nil"/>
            </w:tcBorders>
            <w:hideMark/>
          </w:tcPr>
          <w:p w:rsidR="003C2AC2" w:rsidRPr="00B700E0"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B700E0">
              <w:rPr>
                <w:rFonts w:ascii="微軟正黑體" w:eastAsia="微軟正黑體" w:hAnsi="微軟正黑體" w:hint="eastAsia"/>
                <w:sz w:val="22"/>
              </w:rPr>
              <w:t>公保養老年金</w:t>
            </w:r>
          </w:p>
        </w:tc>
        <w:tc>
          <w:tcPr>
            <w:tcW w:w="2835" w:type="dxa"/>
            <w:tcBorders>
              <w:top w:val="nil"/>
              <w:left w:val="nil"/>
              <w:bottom w:val="nil"/>
              <w:right w:val="nil"/>
            </w:tcBorders>
            <w:hideMark/>
          </w:tcPr>
          <w:p w:rsidR="003C2AC2" w:rsidRPr="00E91417"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E91417">
              <w:rPr>
                <w:rFonts w:ascii="微軟正黑體" w:eastAsia="微軟正黑體" w:hAnsi="微軟正黑體" w:hint="eastAsia"/>
                <w:sz w:val="22"/>
              </w:rPr>
              <w:t>88.0%</w:t>
            </w:r>
          </w:p>
        </w:tc>
        <w:tc>
          <w:tcPr>
            <w:tcW w:w="2268" w:type="dxa"/>
            <w:tcBorders>
              <w:top w:val="nil"/>
              <w:left w:val="nil"/>
              <w:bottom w:val="nil"/>
              <w:right w:val="single" w:sz="8" w:space="0" w:color="4BACC6" w:themeColor="accent5"/>
            </w:tcBorders>
            <w:hideMark/>
          </w:tcPr>
          <w:p w:rsidR="003C2AC2" w:rsidRPr="00E91417"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E91417">
              <w:rPr>
                <w:rFonts w:ascii="微軟正黑體" w:eastAsia="微軟正黑體" w:hAnsi="微軟正黑體" w:hint="eastAsia"/>
                <w:sz w:val="22"/>
              </w:rPr>
              <w:t>12.0%</w:t>
            </w:r>
          </w:p>
        </w:tc>
      </w:tr>
      <w:tr w:rsidR="003C2AC2" w:rsidRPr="00B700E0" w:rsidTr="008F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right w:val="nil"/>
            </w:tcBorders>
            <w:vAlign w:val="center"/>
            <w:hideMark/>
          </w:tcPr>
          <w:p w:rsidR="003C2AC2" w:rsidRPr="00B700E0" w:rsidRDefault="003C2AC2" w:rsidP="008F1977">
            <w:pPr>
              <w:widowControl/>
              <w:rPr>
                <w:rFonts w:ascii="微軟正黑體" w:eastAsia="微軟正黑體" w:hAnsi="微軟正黑體"/>
                <w:sz w:val="22"/>
              </w:rPr>
            </w:pPr>
          </w:p>
        </w:tc>
        <w:tc>
          <w:tcPr>
            <w:tcW w:w="2551" w:type="dxa"/>
            <w:tcBorders>
              <w:left w:val="nil"/>
              <w:right w:val="nil"/>
            </w:tcBorders>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B700E0">
              <w:rPr>
                <w:rFonts w:ascii="微軟正黑體" w:eastAsia="微軟正黑體" w:hAnsi="微軟正黑體" w:hint="eastAsia"/>
                <w:sz w:val="22"/>
              </w:rPr>
              <w:t>國保老年年金</w:t>
            </w:r>
          </w:p>
        </w:tc>
        <w:tc>
          <w:tcPr>
            <w:tcW w:w="2835" w:type="dxa"/>
            <w:tcBorders>
              <w:left w:val="nil"/>
              <w:right w:val="nil"/>
            </w:tcBorders>
            <w:hideMark/>
          </w:tcPr>
          <w:p w:rsidR="003C2AC2" w:rsidRPr="00E91417"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E91417">
              <w:rPr>
                <w:rFonts w:ascii="微軟正黑體" w:eastAsia="微軟正黑體" w:hAnsi="微軟正黑體" w:hint="eastAsia"/>
                <w:sz w:val="22"/>
              </w:rPr>
              <w:t>107.2%</w:t>
            </w:r>
          </w:p>
        </w:tc>
        <w:tc>
          <w:tcPr>
            <w:tcW w:w="2268" w:type="dxa"/>
            <w:tcBorders>
              <w:left w:val="nil"/>
            </w:tcBorders>
            <w:hideMark/>
          </w:tcPr>
          <w:p w:rsidR="003C2AC2" w:rsidRPr="00E91417"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E91417">
              <w:rPr>
                <w:rFonts w:ascii="微軟正黑體" w:eastAsia="微軟正黑體" w:hAnsi="微軟正黑體" w:hint="eastAsia"/>
                <w:sz w:val="22"/>
              </w:rPr>
              <w:t>-7.2%</w:t>
            </w:r>
          </w:p>
        </w:tc>
      </w:tr>
      <w:tr w:rsidR="003C2AC2" w:rsidRPr="00B700E0" w:rsidTr="008F1977">
        <w:tc>
          <w:tcPr>
            <w:cnfStyle w:val="001000000000" w:firstRow="0" w:lastRow="0" w:firstColumn="1" w:lastColumn="0" w:oddVBand="0" w:evenVBand="0" w:oddHBand="0" w:evenHBand="0" w:firstRowFirstColumn="0" w:firstRowLastColumn="0" w:lastRowFirstColumn="0" w:lastRowLastColumn="0"/>
            <w:tcW w:w="1276" w:type="dxa"/>
            <w:vMerge w:val="restart"/>
            <w:tcBorders>
              <w:top w:val="nil"/>
              <w:left w:val="single" w:sz="8" w:space="0" w:color="4BACC6" w:themeColor="accent5"/>
              <w:bottom w:val="single" w:sz="8" w:space="0" w:color="4BACC6" w:themeColor="accent5"/>
              <w:right w:val="nil"/>
            </w:tcBorders>
            <w:vAlign w:val="center"/>
            <w:hideMark/>
          </w:tcPr>
          <w:p w:rsidR="003C2AC2" w:rsidRPr="00B700E0" w:rsidRDefault="003C2AC2" w:rsidP="008F1977">
            <w:pPr>
              <w:widowControl/>
              <w:spacing w:line="360" w:lineRule="exact"/>
              <w:jc w:val="center"/>
              <w:rPr>
                <w:rFonts w:ascii="微軟正黑體" w:eastAsia="微軟正黑體" w:hAnsi="微軟正黑體"/>
                <w:b w:val="0"/>
                <w:sz w:val="22"/>
              </w:rPr>
            </w:pPr>
            <w:r w:rsidRPr="00B700E0">
              <w:rPr>
                <w:rFonts w:ascii="微軟正黑體" w:eastAsia="微軟正黑體" w:hAnsi="微軟正黑體" w:hint="eastAsia"/>
                <w:b w:val="0"/>
                <w:sz w:val="22"/>
              </w:rPr>
              <w:t>一次給付</w:t>
            </w:r>
          </w:p>
        </w:tc>
        <w:tc>
          <w:tcPr>
            <w:tcW w:w="2551" w:type="dxa"/>
            <w:tcBorders>
              <w:top w:val="nil"/>
              <w:left w:val="nil"/>
              <w:bottom w:val="nil"/>
              <w:right w:val="nil"/>
            </w:tcBorders>
            <w:hideMark/>
          </w:tcPr>
          <w:p w:rsidR="003C2AC2" w:rsidRPr="00B700E0"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B700E0">
              <w:rPr>
                <w:rFonts w:ascii="微軟正黑體" w:eastAsia="微軟正黑體" w:hAnsi="微軟正黑體" w:hint="eastAsia"/>
                <w:sz w:val="22"/>
              </w:rPr>
              <w:t>公保一次養老給付</w:t>
            </w:r>
          </w:p>
        </w:tc>
        <w:tc>
          <w:tcPr>
            <w:tcW w:w="2835" w:type="dxa"/>
            <w:tcBorders>
              <w:top w:val="nil"/>
              <w:left w:val="nil"/>
              <w:bottom w:val="nil"/>
              <w:right w:val="nil"/>
            </w:tcBorders>
            <w:hideMark/>
          </w:tcPr>
          <w:p w:rsidR="003C2AC2" w:rsidRPr="00E91417"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E91417">
              <w:rPr>
                <w:rFonts w:ascii="微軟正黑體" w:eastAsia="微軟正黑體" w:hAnsi="微軟正黑體" w:hint="eastAsia"/>
                <w:sz w:val="22"/>
              </w:rPr>
              <w:t>94.5%</w:t>
            </w:r>
          </w:p>
        </w:tc>
        <w:tc>
          <w:tcPr>
            <w:tcW w:w="2268" w:type="dxa"/>
            <w:tcBorders>
              <w:top w:val="nil"/>
              <w:left w:val="nil"/>
              <w:bottom w:val="nil"/>
              <w:right w:val="single" w:sz="8" w:space="0" w:color="4BACC6" w:themeColor="accent5"/>
            </w:tcBorders>
            <w:hideMark/>
          </w:tcPr>
          <w:p w:rsidR="003C2AC2" w:rsidRPr="00E91417" w:rsidRDefault="003C2AC2" w:rsidP="008F1977">
            <w:pPr>
              <w:widowControl/>
              <w:spacing w:line="400" w:lineRule="exac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 w:val="22"/>
              </w:rPr>
            </w:pPr>
            <w:r w:rsidRPr="00E91417">
              <w:rPr>
                <w:rFonts w:ascii="微軟正黑體" w:eastAsia="微軟正黑體" w:hAnsi="微軟正黑體" w:hint="eastAsia"/>
                <w:sz w:val="22"/>
              </w:rPr>
              <w:t>5.5%</w:t>
            </w:r>
          </w:p>
        </w:tc>
      </w:tr>
      <w:tr w:rsidR="003C2AC2" w:rsidRPr="00B700E0" w:rsidTr="008F1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il"/>
              <w:right w:val="nil"/>
            </w:tcBorders>
            <w:vAlign w:val="center"/>
            <w:hideMark/>
          </w:tcPr>
          <w:p w:rsidR="003C2AC2" w:rsidRPr="00B700E0" w:rsidRDefault="003C2AC2" w:rsidP="008F1977">
            <w:pPr>
              <w:widowControl/>
              <w:rPr>
                <w:rFonts w:ascii="微軟正黑體" w:eastAsia="微軟正黑體" w:hAnsi="微軟正黑體"/>
                <w:sz w:val="22"/>
              </w:rPr>
            </w:pPr>
          </w:p>
        </w:tc>
        <w:tc>
          <w:tcPr>
            <w:tcW w:w="2551" w:type="dxa"/>
            <w:tcBorders>
              <w:left w:val="nil"/>
              <w:right w:val="nil"/>
            </w:tcBorders>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sidRPr="00B700E0">
              <w:rPr>
                <w:rFonts w:ascii="微軟正黑體" w:eastAsia="微軟正黑體" w:hAnsi="微軟正黑體" w:hint="eastAsia"/>
                <w:sz w:val="22"/>
              </w:rPr>
              <w:t>勞保一次請領老年給付</w:t>
            </w:r>
          </w:p>
        </w:tc>
        <w:tc>
          <w:tcPr>
            <w:tcW w:w="2835" w:type="dxa"/>
            <w:tcBorders>
              <w:left w:val="nil"/>
              <w:right w:val="nil"/>
            </w:tcBorders>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98.1</w:t>
            </w:r>
            <w:r w:rsidRPr="00B700E0">
              <w:rPr>
                <w:rFonts w:ascii="微軟正黑體" w:eastAsia="微軟正黑體" w:hAnsi="微軟正黑體" w:hint="eastAsia"/>
                <w:sz w:val="22"/>
              </w:rPr>
              <w:t>%</w:t>
            </w:r>
          </w:p>
        </w:tc>
        <w:tc>
          <w:tcPr>
            <w:tcW w:w="2268" w:type="dxa"/>
            <w:tcBorders>
              <w:left w:val="nil"/>
            </w:tcBorders>
            <w:hideMark/>
          </w:tcPr>
          <w:p w:rsidR="003C2AC2" w:rsidRPr="00B700E0" w:rsidRDefault="003C2AC2" w:rsidP="008F1977">
            <w:pPr>
              <w:widowControl/>
              <w:spacing w:line="400" w:lineRule="exac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 w:val="22"/>
              </w:rPr>
            </w:pPr>
            <w:r>
              <w:rPr>
                <w:rFonts w:ascii="微軟正黑體" w:eastAsia="微軟正黑體" w:hAnsi="微軟正黑體" w:hint="eastAsia"/>
                <w:sz w:val="22"/>
              </w:rPr>
              <w:t>1.9</w:t>
            </w:r>
            <w:r w:rsidRPr="00B700E0">
              <w:rPr>
                <w:rFonts w:ascii="微軟正黑體" w:eastAsia="微軟正黑體" w:hAnsi="微軟正黑體" w:hint="eastAsia"/>
                <w:sz w:val="22"/>
              </w:rPr>
              <w:t>%</w:t>
            </w:r>
          </w:p>
        </w:tc>
      </w:tr>
    </w:tbl>
    <w:p w:rsidR="003C2AC2" w:rsidRDefault="003C2AC2" w:rsidP="003C2AC2">
      <w:pPr>
        <w:widowControl/>
        <w:spacing w:afterLines="50" w:after="180" w:line="400" w:lineRule="exact"/>
        <w:rPr>
          <w:rFonts w:ascii="微軟正黑體" w:eastAsia="微軟正黑體" w:hAnsi="微軟正黑體"/>
          <w:b/>
        </w:rPr>
      </w:pPr>
    </w:p>
    <w:p w:rsidR="003C2AC2" w:rsidRDefault="003C2AC2" w:rsidP="003C2AC2">
      <w:pPr>
        <w:widowControl/>
        <w:spacing w:afterLines="50" w:after="180" w:line="400" w:lineRule="exact"/>
        <w:rPr>
          <w:rFonts w:ascii="微軟正黑體" w:eastAsia="微軟正黑體" w:hAnsi="微軟正黑體"/>
        </w:rPr>
      </w:pPr>
      <w:r>
        <w:rPr>
          <w:rFonts w:ascii="微軟正黑體" w:eastAsia="微軟正黑體" w:hAnsi="微軟正黑體" w:hint="eastAsia"/>
        </w:rPr>
        <w:t>(二) 職業退休金</w:t>
      </w:r>
    </w:p>
    <w:p w:rsidR="003C2AC2" w:rsidRPr="00395CBA" w:rsidRDefault="003C2AC2" w:rsidP="003C2AC2">
      <w:pPr>
        <w:widowControl/>
        <w:spacing w:afterLines="50" w:after="180" w:line="400" w:lineRule="exact"/>
        <w:ind w:firstLineChars="100" w:firstLine="240"/>
        <w:rPr>
          <w:rFonts w:ascii="微軟正黑體" w:eastAsia="微軟正黑體" w:hAnsi="微軟正黑體"/>
        </w:rPr>
      </w:pPr>
      <w:r>
        <w:rPr>
          <w:rFonts w:ascii="微軟正黑體" w:eastAsia="微軟正黑體" w:hAnsi="微軟正黑體" w:hint="eastAsia"/>
        </w:rPr>
        <w:t xml:space="preserve">1. </w:t>
      </w:r>
      <w:r w:rsidRPr="00395CBA">
        <w:rPr>
          <w:rFonts w:ascii="微軟正黑體" w:eastAsia="微軟正黑體" w:hAnsi="微軟正黑體" w:hint="eastAsia"/>
        </w:rPr>
        <w:t>參加人數性別落差</w:t>
      </w:r>
    </w:p>
    <w:p w:rsidR="003C2AC2" w:rsidRPr="00B700E0" w:rsidRDefault="003C2AC2" w:rsidP="003C2AC2">
      <w:pPr>
        <w:widowControl/>
        <w:spacing w:afterLines="25" w:after="90" w:line="400" w:lineRule="exact"/>
        <w:ind w:leftChars="177" w:left="567" w:hangingChars="59" w:hanging="142"/>
        <w:jc w:val="both"/>
        <w:rPr>
          <w:rFonts w:ascii="微軟正黑體" w:eastAsia="微軟正黑體" w:hAnsi="微軟正黑體"/>
        </w:rPr>
      </w:pPr>
      <w:r>
        <w:rPr>
          <w:rFonts w:ascii="微軟正黑體" w:eastAsia="微軟正黑體" w:hAnsi="微軟正黑體" w:hint="eastAsia"/>
        </w:rPr>
        <w:t xml:space="preserve">     職業退休金參加者之性別分布情形，主要與職業特性相關。軍職人員退撫制度以男性為多數，占比高達84.4%，(公立學校)教育人員退撫制度女性多於男性，占比為65.0%，公務人員退撫制度則男性略多於女性，占比為57.1%；另私校教職</w:t>
      </w:r>
      <w:r w:rsidRPr="00B700E0">
        <w:rPr>
          <w:rFonts w:ascii="微軟正黑體" w:eastAsia="微軟正黑體" w:hAnsi="微軟正黑體" w:hint="eastAsia"/>
        </w:rPr>
        <w:t>員退撫制度及勞工退休金(新制)兩性差距分別為</w:t>
      </w:r>
      <w:r>
        <w:rPr>
          <w:rFonts w:ascii="微軟正黑體" w:eastAsia="微軟正黑體" w:hAnsi="微軟正黑體" w:hint="eastAsia"/>
        </w:rPr>
        <w:t>8.0</w:t>
      </w:r>
      <w:r w:rsidRPr="00B700E0">
        <w:rPr>
          <w:rFonts w:ascii="微軟正黑體" w:eastAsia="微軟正黑體" w:hAnsi="微軟正黑體" w:hint="eastAsia"/>
        </w:rPr>
        <w:t>%及</w:t>
      </w:r>
      <w:r>
        <w:rPr>
          <w:rFonts w:ascii="微軟正黑體" w:eastAsia="微軟正黑體" w:hAnsi="微軟正黑體" w:hint="eastAsia"/>
        </w:rPr>
        <w:t>0.6</w:t>
      </w:r>
      <w:r w:rsidRPr="00B700E0">
        <w:rPr>
          <w:rFonts w:ascii="微軟正黑體" w:eastAsia="微軟正黑體" w:hAnsi="微軟正黑體" w:hint="eastAsia"/>
        </w:rPr>
        <w:t>%，性別差距</w:t>
      </w:r>
      <w:r w:rsidRPr="0038767E">
        <w:rPr>
          <w:rFonts w:ascii="微軟正黑體" w:eastAsia="微軟正黑體" w:hAnsi="微軟正黑體" w:hint="eastAsia"/>
        </w:rPr>
        <w:t>較小</w:t>
      </w:r>
      <w:r w:rsidRPr="00B700E0">
        <w:rPr>
          <w:rFonts w:ascii="微軟正黑體" w:eastAsia="微軟正黑體" w:hAnsi="微軟正黑體" w:hint="eastAsia"/>
        </w:rPr>
        <w:t>。</w:t>
      </w:r>
    </w:p>
    <w:p w:rsidR="003C2AC2" w:rsidRDefault="003C2AC2" w:rsidP="003C2AC2">
      <w:pPr>
        <w:widowControl/>
        <w:spacing w:afterLines="25" w:after="90" w:line="400" w:lineRule="exact"/>
        <w:ind w:leftChars="177" w:left="425"/>
        <w:jc w:val="both"/>
        <w:rPr>
          <w:rFonts w:ascii="微軟正黑體" w:eastAsia="微軟正黑體" w:hAnsi="微軟正黑體"/>
        </w:rPr>
      </w:pPr>
      <w:r>
        <w:rPr>
          <w:rFonts w:hint="eastAsia"/>
          <w:noProof/>
        </w:rPr>
        <w:drawing>
          <wp:anchor distT="0" distB="0" distL="114300" distR="114300" simplePos="0" relativeHeight="252521472" behindDoc="0" locked="0" layoutInCell="1" allowOverlap="1" wp14:anchorId="258B9A49" wp14:editId="77AAAB46">
            <wp:simplePos x="0" y="0"/>
            <wp:positionH relativeFrom="column">
              <wp:posOffset>243840</wp:posOffset>
            </wp:positionH>
            <wp:positionV relativeFrom="paragraph">
              <wp:posOffset>44450</wp:posOffset>
            </wp:positionV>
            <wp:extent cx="5498465" cy="3066415"/>
            <wp:effectExtent l="0" t="0" r="26035" b="19685"/>
            <wp:wrapNone/>
            <wp:docPr id="21565" name="圖表 21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3C2AC2" w:rsidRDefault="003C2AC2" w:rsidP="003C2AC2">
      <w:pPr>
        <w:widowControl/>
        <w:spacing w:afterLines="25" w:after="90" w:line="400" w:lineRule="exact"/>
        <w:ind w:leftChars="177" w:left="425"/>
        <w:jc w:val="both"/>
        <w:rPr>
          <w:rFonts w:ascii="微軟正黑體" w:eastAsia="微軟正黑體" w:hAnsi="微軟正黑體"/>
        </w:rPr>
      </w:pPr>
    </w:p>
    <w:p w:rsidR="003C2AC2" w:rsidRDefault="003C2AC2" w:rsidP="003C2AC2">
      <w:pPr>
        <w:widowControl/>
        <w:spacing w:afterLines="25" w:after="90" w:line="400" w:lineRule="exact"/>
        <w:ind w:leftChars="177" w:left="425"/>
        <w:jc w:val="both"/>
        <w:rPr>
          <w:rFonts w:ascii="微軟正黑體" w:eastAsia="微軟正黑體" w:hAnsi="微軟正黑體"/>
        </w:rPr>
      </w:pPr>
    </w:p>
    <w:p w:rsidR="003C2AC2" w:rsidRDefault="003C2AC2" w:rsidP="003C2AC2">
      <w:pPr>
        <w:widowControl/>
        <w:spacing w:afterLines="25" w:after="90" w:line="400" w:lineRule="exact"/>
        <w:ind w:leftChars="177" w:left="425"/>
        <w:jc w:val="both"/>
        <w:rPr>
          <w:rFonts w:ascii="微軟正黑體" w:eastAsia="微軟正黑體" w:hAnsi="微軟正黑體"/>
        </w:rPr>
      </w:pPr>
    </w:p>
    <w:p w:rsidR="003C2AC2" w:rsidRDefault="003C2AC2" w:rsidP="003C2AC2">
      <w:pPr>
        <w:widowControl/>
        <w:spacing w:afterLines="25" w:after="90" w:line="400" w:lineRule="exact"/>
        <w:ind w:leftChars="177" w:left="425"/>
        <w:jc w:val="both"/>
        <w:rPr>
          <w:rFonts w:ascii="微軟正黑體" w:eastAsia="微軟正黑體" w:hAnsi="微軟正黑體"/>
        </w:rPr>
      </w:pPr>
    </w:p>
    <w:p w:rsidR="003C2AC2" w:rsidRDefault="003C2AC2" w:rsidP="003C2AC2">
      <w:pPr>
        <w:widowControl/>
        <w:spacing w:afterLines="25" w:after="90" w:line="400" w:lineRule="exact"/>
        <w:ind w:leftChars="177" w:left="425"/>
        <w:jc w:val="both"/>
        <w:rPr>
          <w:rFonts w:ascii="微軟正黑體" w:eastAsia="微軟正黑體" w:hAnsi="微軟正黑體"/>
        </w:rPr>
      </w:pPr>
    </w:p>
    <w:p w:rsidR="003C2AC2" w:rsidRDefault="003C2AC2" w:rsidP="003C2AC2">
      <w:pPr>
        <w:widowControl/>
        <w:spacing w:afterLines="25" w:after="90" w:line="400" w:lineRule="exact"/>
        <w:ind w:leftChars="177" w:left="425"/>
        <w:jc w:val="both"/>
        <w:rPr>
          <w:rFonts w:ascii="微軟正黑體" w:eastAsia="微軟正黑體" w:hAnsi="微軟正黑體"/>
        </w:rPr>
      </w:pPr>
    </w:p>
    <w:p w:rsidR="003C2AC2" w:rsidRDefault="003C2AC2" w:rsidP="003C2AC2">
      <w:pPr>
        <w:widowControl/>
        <w:spacing w:afterLines="25" w:after="90" w:line="400" w:lineRule="exact"/>
        <w:ind w:leftChars="177" w:left="425"/>
        <w:jc w:val="both"/>
        <w:rPr>
          <w:rFonts w:ascii="微軟正黑體" w:eastAsia="微軟正黑體" w:hAnsi="微軟正黑體"/>
        </w:rPr>
      </w:pPr>
    </w:p>
    <w:p w:rsidR="003C2AC2" w:rsidRDefault="003C2AC2" w:rsidP="003C2AC2">
      <w:pPr>
        <w:widowControl/>
        <w:spacing w:afterLines="25" w:after="90" w:line="400" w:lineRule="exact"/>
        <w:ind w:leftChars="177" w:left="425"/>
        <w:jc w:val="both"/>
        <w:rPr>
          <w:rFonts w:ascii="微軟正黑體" w:eastAsia="微軟正黑體" w:hAnsi="微軟正黑體"/>
        </w:rPr>
      </w:pPr>
    </w:p>
    <w:p w:rsidR="003C2AC2" w:rsidRDefault="003C2AC2" w:rsidP="003C2AC2">
      <w:pPr>
        <w:widowControl/>
        <w:spacing w:afterLines="25" w:after="90" w:line="400" w:lineRule="exact"/>
        <w:ind w:leftChars="177" w:left="425"/>
        <w:jc w:val="both"/>
        <w:rPr>
          <w:rFonts w:ascii="微軟正黑體" w:eastAsia="微軟正黑體" w:hAnsi="微軟正黑體"/>
        </w:rPr>
      </w:pPr>
    </w:p>
    <w:p w:rsidR="003C2AC2" w:rsidRPr="00B700E0" w:rsidRDefault="003C2AC2" w:rsidP="003C2AC2">
      <w:pPr>
        <w:widowControl/>
        <w:spacing w:beforeLines="50" w:before="180" w:afterLines="25" w:after="90" w:line="400" w:lineRule="exact"/>
        <w:jc w:val="center"/>
        <w:rPr>
          <w:rFonts w:ascii="微軟正黑體" w:eastAsia="微軟正黑體" w:hAnsi="微軟正黑體"/>
        </w:rPr>
      </w:pPr>
      <w:r w:rsidRPr="00B700E0">
        <w:rPr>
          <w:rFonts w:ascii="微軟正黑體" w:eastAsia="微軟正黑體" w:hAnsi="微軟正黑體" w:hint="eastAsia"/>
        </w:rPr>
        <w:t>圖1.23  10</w:t>
      </w:r>
      <w:r>
        <w:rPr>
          <w:rFonts w:ascii="微軟正黑體" w:eastAsia="微軟正黑體" w:hAnsi="微軟正黑體" w:hint="eastAsia"/>
        </w:rPr>
        <w:t>9</w:t>
      </w:r>
      <w:r w:rsidRPr="00B700E0">
        <w:rPr>
          <w:rFonts w:ascii="微軟正黑體" w:eastAsia="微軟正黑體" w:hAnsi="微軟正黑體" w:hint="eastAsia"/>
        </w:rPr>
        <w:t>年各職業退休金參加人數性別落差</w:t>
      </w:r>
    </w:p>
    <w:p w:rsidR="003C2AC2" w:rsidRDefault="003C2AC2" w:rsidP="003C2AC2">
      <w:pPr>
        <w:widowControl/>
        <w:spacing w:afterLines="25" w:after="90" w:line="400" w:lineRule="exact"/>
        <w:jc w:val="center"/>
        <w:rPr>
          <w:rFonts w:ascii="微軟正黑體" w:eastAsia="微軟正黑體" w:hAnsi="微軟正黑體"/>
        </w:rPr>
      </w:pPr>
    </w:p>
    <w:p w:rsidR="003C2AC2" w:rsidRPr="00395CBA" w:rsidRDefault="003C2AC2" w:rsidP="003C2AC2">
      <w:pPr>
        <w:pStyle w:val="af0"/>
        <w:widowControl/>
        <w:numPr>
          <w:ilvl w:val="0"/>
          <w:numId w:val="12"/>
        </w:numPr>
        <w:spacing w:afterLines="50" w:after="180" w:line="400" w:lineRule="exact"/>
        <w:ind w:leftChars="0"/>
        <w:rPr>
          <w:rFonts w:ascii="微軟正黑體" w:eastAsia="微軟正黑體" w:hAnsi="微軟正黑體"/>
        </w:rPr>
      </w:pPr>
      <w:r w:rsidRPr="00395CBA">
        <w:rPr>
          <w:rFonts w:ascii="微軟正黑體" w:eastAsia="微軟正黑體" w:hAnsi="微軟正黑體" w:hint="eastAsia"/>
        </w:rPr>
        <w:t>提繳薪資及性別分布</w:t>
      </w:r>
    </w:p>
    <w:p w:rsidR="003C2AC2" w:rsidRDefault="003C2AC2" w:rsidP="003C2AC2">
      <w:pPr>
        <w:widowControl/>
        <w:spacing w:afterLines="25" w:after="90" w:line="400" w:lineRule="exact"/>
        <w:ind w:leftChars="177" w:left="567" w:hangingChars="59" w:hanging="142"/>
        <w:jc w:val="both"/>
        <w:rPr>
          <w:rFonts w:ascii="微軟正黑體" w:eastAsia="微軟正黑體" w:hAnsi="微軟正黑體"/>
        </w:rPr>
      </w:pPr>
      <w:r>
        <w:rPr>
          <w:rFonts w:ascii="微軟正黑體" w:eastAsia="微軟正黑體" w:hAnsi="微軟正黑體" w:hint="eastAsia"/>
        </w:rPr>
        <w:t xml:space="preserve">     除軍職人員退撫制度因職業特殊性，各</w:t>
      </w:r>
      <w:r w:rsidR="009819D5" w:rsidRPr="00AD17D2">
        <w:rPr>
          <w:rFonts w:ascii="微軟正黑體" w:eastAsia="微軟正黑體" w:hAnsi="微軟正黑體" w:hint="eastAsia"/>
        </w:rPr>
        <w:t>退休金</w:t>
      </w:r>
      <w:r w:rsidR="00A33352" w:rsidRPr="00AD17D2">
        <w:rPr>
          <w:rFonts w:ascii="微軟正黑體" w:eastAsia="微軟正黑體" w:hAnsi="微軟正黑體" w:hint="eastAsia"/>
        </w:rPr>
        <w:t>制度</w:t>
      </w:r>
      <w:r>
        <w:rPr>
          <w:rFonts w:ascii="微軟正黑體" w:eastAsia="微軟正黑體" w:hAnsi="微軟正黑體" w:hint="eastAsia"/>
        </w:rPr>
        <w:t>提繳薪資級距均以男性人數多於女性，其餘制度在</w:t>
      </w:r>
      <w:r w:rsidRPr="0038767E">
        <w:rPr>
          <w:rFonts w:ascii="微軟正黑體" w:eastAsia="微軟正黑體" w:hAnsi="微軟正黑體" w:hint="eastAsia"/>
        </w:rPr>
        <w:t>最高</w:t>
      </w:r>
      <w:r>
        <w:rPr>
          <w:rFonts w:ascii="微軟正黑體" w:eastAsia="微軟正黑體" w:hAnsi="微軟正黑體" w:hint="eastAsia"/>
        </w:rPr>
        <w:t>提繳薪資級距部分，男性人數多於女性；較低提繳薪資部分，則為女性人數多於男性。</w:t>
      </w:r>
    </w:p>
    <w:p w:rsidR="003C2AC2" w:rsidRDefault="003C2AC2" w:rsidP="003C2AC2">
      <w:pPr>
        <w:widowControl/>
        <w:spacing w:afterLines="25" w:after="90" w:line="400" w:lineRule="exact"/>
        <w:jc w:val="center"/>
        <w:rPr>
          <w:rFonts w:ascii="微軟正黑體" w:eastAsia="微軟正黑體" w:hAnsi="微軟正黑體"/>
        </w:rPr>
      </w:pPr>
      <w:r>
        <w:rPr>
          <w:noProof/>
        </w:rPr>
        <w:lastRenderedPageBreak/>
        <w:drawing>
          <wp:anchor distT="0" distB="0" distL="114300" distR="114300" simplePos="0" relativeHeight="252544000" behindDoc="0" locked="0" layoutInCell="1" allowOverlap="1" wp14:anchorId="69798494" wp14:editId="75E00E2F">
            <wp:simplePos x="0" y="0"/>
            <wp:positionH relativeFrom="column">
              <wp:posOffset>-368802</wp:posOffset>
            </wp:positionH>
            <wp:positionV relativeFrom="paragraph">
              <wp:posOffset>194310</wp:posOffset>
            </wp:positionV>
            <wp:extent cx="3189767" cy="2094614"/>
            <wp:effectExtent l="0" t="0" r="10795" b="20320"/>
            <wp:wrapNone/>
            <wp:docPr id="21566" name="圖表 21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37856" behindDoc="0" locked="0" layoutInCell="1" allowOverlap="1" wp14:anchorId="2F8D1AE9" wp14:editId="534E1D9B">
            <wp:simplePos x="0" y="0"/>
            <wp:positionH relativeFrom="column">
              <wp:posOffset>2987758</wp:posOffset>
            </wp:positionH>
            <wp:positionV relativeFrom="paragraph">
              <wp:posOffset>190555</wp:posOffset>
            </wp:positionV>
            <wp:extent cx="3013544" cy="2091193"/>
            <wp:effectExtent l="0" t="0" r="15875" b="23495"/>
            <wp:wrapNone/>
            <wp:docPr id="21567" name="圖表 21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Pr="006F586C">
        <w:rPr>
          <w:noProof/>
        </w:rPr>
        <w:t xml:space="preserve"> </w:t>
      </w: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p>
    <w:p w:rsidR="003C2AC2" w:rsidRDefault="003C2AC2" w:rsidP="003C2AC2">
      <w:pPr>
        <w:widowControl/>
        <w:spacing w:line="400" w:lineRule="exact"/>
        <w:jc w:val="center"/>
        <w:rPr>
          <w:rFonts w:ascii="微軟正黑體" w:eastAsia="微軟正黑體" w:hAnsi="微軟正黑體"/>
        </w:rPr>
      </w:pPr>
      <w:r>
        <w:rPr>
          <w:noProof/>
        </w:rPr>
        <w:drawing>
          <wp:anchor distT="0" distB="0" distL="114300" distR="114300" simplePos="0" relativeHeight="252539904" behindDoc="0" locked="0" layoutInCell="1" allowOverlap="1" wp14:anchorId="76D2AFA7" wp14:editId="0BA98C89">
            <wp:simplePos x="0" y="0"/>
            <wp:positionH relativeFrom="column">
              <wp:posOffset>2987757</wp:posOffset>
            </wp:positionH>
            <wp:positionV relativeFrom="paragraph">
              <wp:posOffset>278627</wp:posOffset>
            </wp:positionV>
            <wp:extent cx="3045349" cy="2130950"/>
            <wp:effectExtent l="0" t="0" r="22225" b="22225"/>
            <wp:wrapNone/>
            <wp:docPr id="76" name="圖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38880" behindDoc="0" locked="0" layoutInCell="1" allowOverlap="1" wp14:anchorId="028128C8" wp14:editId="30063F4C">
            <wp:simplePos x="0" y="0"/>
            <wp:positionH relativeFrom="column">
              <wp:posOffset>-319985</wp:posOffset>
            </wp:positionH>
            <wp:positionV relativeFrom="paragraph">
              <wp:posOffset>278627</wp:posOffset>
            </wp:positionV>
            <wp:extent cx="3252084" cy="2130950"/>
            <wp:effectExtent l="0" t="0" r="24765" b="22225"/>
            <wp:wrapNone/>
            <wp:docPr id="85" name="圖表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beforeLines="50" w:before="180"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r>
        <w:rPr>
          <w:noProof/>
        </w:rPr>
        <w:drawing>
          <wp:anchor distT="0" distB="0" distL="114300" distR="114300" simplePos="0" relativeHeight="252540928" behindDoc="0" locked="0" layoutInCell="1" allowOverlap="1" wp14:anchorId="7AB71AC1" wp14:editId="5D8A4E48">
            <wp:simplePos x="0" y="0"/>
            <wp:positionH relativeFrom="column">
              <wp:posOffset>506509</wp:posOffset>
            </wp:positionH>
            <wp:positionV relativeFrom="paragraph">
              <wp:posOffset>7233</wp:posOffset>
            </wp:positionV>
            <wp:extent cx="4572000" cy="2448560"/>
            <wp:effectExtent l="0" t="0" r="19050" b="27940"/>
            <wp:wrapNone/>
            <wp:docPr id="86" name="圖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afterLines="25" w:after="90" w:line="400" w:lineRule="exact"/>
        <w:jc w:val="center"/>
        <w:rPr>
          <w:rFonts w:ascii="微軟正黑體" w:eastAsia="微軟正黑體" w:hAnsi="微軟正黑體"/>
        </w:rPr>
      </w:pPr>
    </w:p>
    <w:p w:rsidR="003C2AC2" w:rsidRDefault="003C2AC2" w:rsidP="003C2AC2">
      <w:pPr>
        <w:widowControl/>
        <w:spacing w:beforeLines="80" w:before="288" w:afterLines="25" w:after="90" w:line="400" w:lineRule="exact"/>
        <w:jc w:val="center"/>
        <w:rPr>
          <w:rFonts w:ascii="微軟正黑體" w:eastAsia="微軟正黑體" w:hAnsi="微軟正黑體"/>
        </w:rPr>
      </w:pPr>
      <w:r>
        <w:rPr>
          <w:rFonts w:ascii="微軟正黑體" w:eastAsia="微軟正黑體" w:hAnsi="微軟正黑體" w:hint="eastAsia"/>
        </w:rPr>
        <w:t>圖1.24  109年各退休金</w:t>
      </w:r>
      <w:r w:rsidR="00A33352" w:rsidRPr="00AD17D2">
        <w:rPr>
          <w:rFonts w:ascii="微軟正黑體" w:eastAsia="微軟正黑體" w:hAnsi="微軟正黑體" w:hint="eastAsia"/>
        </w:rPr>
        <w:t>制度</w:t>
      </w:r>
      <w:r>
        <w:rPr>
          <w:rFonts w:ascii="微軟正黑體" w:eastAsia="微軟正黑體" w:hAnsi="微軟正黑體" w:hint="eastAsia"/>
        </w:rPr>
        <w:t>提繳薪資性別分布</w:t>
      </w:r>
    </w:p>
    <w:p w:rsidR="003C2AC2" w:rsidRDefault="003C2AC2" w:rsidP="003C2AC2">
      <w:pPr>
        <w:widowControl/>
        <w:spacing w:afterLines="25" w:after="90" w:line="400" w:lineRule="exact"/>
        <w:rPr>
          <w:rFonts w:ascii="微軟正黑體" w:eastAsia="微軟正黑體" w:hAnsi="微軟正黑體"/>
        </w:rPr>
      </w:pPr>
    </w:p>
    <w:p w:rsidR="003C2AC2" w:rsidRDefault="003C2AC2" w:rsidP="003C2AC2">
      <w:pPr>
        <w:widowControl/>
        <w:spacing w:afterLines="50" w:after="180" w:line="400" w:lineRule="exact"/>
        <w:rPr>
          <w:rFonts w:ascii="微軟正黑體" w:eastAsia="微軟正黑體" w:hAnsi="微軟正黑體"/>
        </w:rPr>
      </w:pPr>
    </w:p>
    <w:p w:rsidR="003C2AC2" w:rsidRDefault="003C2AC2" w:rsidP="003C2AC2">
      <w:pPr>
        <w:widowControl/>
        <w:spacing w:afterLines="50" w:after="180" w:line="400" w:lineRule="exact"/>
        <w:rPr>
          <w:rFonts w:ascii="微軟正黑體" w:eastAsia="微軟正黑體" w:hAnsi="微軟正黑體"/>
        </w:rPr>
      </w:pPr>
    </w:p>
    <w:p w:rsidR="003C2AC2" w:rsidRDefault="003C2AC2" w:rsidP="003C2AC2">
      <w:pPr>
        <w:widowControl/>
        <w:spacing w:afterLines="50" w:after="180" w:line="400" w:lineRule="exact"/>
        <w:rPr>
          <w:rFonts w:ascii="微軟正黑體" w:eastAsia="微軟正黑體" w:hAnsi="微軟正黑體"/>
        </w:rPr>
      </w:pPr>
      <w:r>
        <w:rPr>
          <w:rFonts w:ascii="微軟正黑體" w:eastAsia="微軟正黑體" w:hAnsi="微軟正黑體" w:hint="eastAsia"/>
        </w:rPr>
        <w:lastRenderedPageBreak/>
        <w:t>(三) 老年福利津貼</w:t>
      </w:r>
    </w:p>
    <w:p w:rsidR="003C2AC2" w:rsidRDefault="003C2AC2" w:rsidP="003C2AC2">
      <w:pPr>
        <w:widowControl/>
        <w:spacing w:afterLines="50" w:after="180" w:line="400" w:lineRule="exact"/>
        <w:rPr>
          <w:rFonts w:ascii="微軟正黑體" w:eastAsia="微軟正黑體" w:hAnsi="微軟正黑體"/>
        </w:rPr>
      </w:pPr>
      <w:r>
        <w:rPr>
          <w:rFonts w:ascii="微軟正黑體" w:eastAsia="微軟正黑體" w:hAnsi="微軟正黑體" w:hint="eastAsia"/>
        </w:rPr>
        <w:t xml:space="preserve">    各老年福利津貼中，除榮民就養給付受益人主要為男性，其餘各項津貼受益人均以女性多於男性，其中老年基本保證年金、原住民給付及老年農民福利津貼之女性受益人約占6成，男性占4成。另兩性領取金額相同無差異。</w:t>
      </w:r>
    </w:p>
    <w:p w:rsidR="003C2AC2" w:rsidRDefault="003C2AC2" w:rsidP="003C2AC2">
      <w:pPr>
        <w:widowControl/>
        <w:spacing w:afterLines="50" w:after="180" w:line="400" w:lineRule="exact"/>
        <w:jc w:val="center"/>
        <w:rPr>
          <w:rFonts w:ascii="微軟正黑體" w:eastAsia="微軟正黑體" w:hAnsi="微軟正黑體"/>
        </w:rPr>
      </w:pPr>
      <w:r>
        <w:rPr>
          <w:rFonts w:hint="eastAsia"/>
          <w:noProof/>
        </w:rPr>
        <w:drawing>
          <wp:anchor distT="0" distB="0" distL="114300" distR="114300" simplePos="0" relativeHeight="252517376" behindDoc="0" locked="0" layoutInCell="1" allowOverlap="1" wp14:anchorId="1DE9F6DA" wp14:editId="33AFC2BE">
            <wp:simplePos x="0" y="0"/>
            <wp:positionH relativeFrom="column">
              <wp:posOffset>-10160</wp:posOffset>
            </wp:positionH>
            <wp:positionV relativeFrom="paragraph">
              <wp:posOffset>-7620</wp:posOffset>
            </wp:positionV>
            <wp:extent cx="5675630" cy="2517775"/>
            <wp:effectExtent l="0" t="0" r="20320" b="15875"/>
            <wp:wrapTight wrapText="bothSides">
              <wp:wrapPolygon edited="0">
                <wp:start x="0" y="0"/>
                <wp:lineTo x="0" y="21573"/>
                <wp:lineTo x="21605" y="21573"/>
                <wp:lineTo x="21605" y="0"/>
                <wp:lineTo x="0" y="0"/>
              </wp:wrapPolygon>
            </wp:wrapTight>
            <wp:docPr id="108" name="圖表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rPr>
        <w:t>圖1.25  109年各老年福利津貼受益人數性別落差</w:t>
      </w:r>
    </w:p>
    <w:p w:rsidR="003C2AC2" w:rsidRDefault="003C2AC2" w:rsidP="003C2AC2"/>
    <w:p w:rsidR="003C2AC2" w:rsidRPr="00CC553A" w:rsidRDefault="003C2AC2" w:rsidP="003C2AC2">
      <w:pPr>
        <w:spacing w:beforeLines="30" w:before="108" w:line="400" w:lineRule="exact"/>
        <w:rPr>
          <w:rFonts w:ascii="微軟正黑體" w:eastAsia="微軟正黑體" w:hAnsi="微軟正黑體"/>
        </w:rPr>
      </w:pPr>
      <w:r w:rsidRPr="00CC553A">
        <w:rPr>
          <w:rFonts w:ascii="微軟正黑體" w:eastAsia="微軟正黑體" w:hAnsi="微軟正黑體" w:hint="eastAsia"/>
        </w:rPr>
        <w:t>＜資料來源＞</w:t>
      </w:r>
    </w:p>
    <w:p w:rsidR="003C2AC2" w:rsidRPr="00CC553A" w:rsidRDefault="003C2AC2" w:rsidP="003C2AC2">
      <w:pPr>
        <w:pStyle w:val="af0"/>
        <w:numPr>
          <w:ilvl w:val="0"/>
          <w:numId w:val="17"/>
        </w:numPr>
        <w:adjustRightInd w:val="0"/>
        <w:spacing w:beforeLines="30" w:before="108" w:line="400" w:lineRule="exact"/>
        <w:ind w:leftChars="0"/>
        <w:textAlignment w:val="baseline"/>
        <w:rPr>
          <w:rFonts w:ascii="微軟正黑體" w:eastAsia="微軟正黑體" w:hAnsi="微軟正黑體"/>
        </w:rPr>
      </w:pPr>
      <w:r w:rsidRPr="00CC553A">
        <w:rPr>
          <w:rFonts w:ascii="微軟正黑體" w:eastAsia="微軟正黑體" w:hAnsi="微軟正黑體" w:hint="eastAsia"/>
        </w:rPr>
        <w:t>勞動部勞工保險局網站統計資料。</w:t>
      </w:r>
    </w:p>
    <w:p w:rsidR="003C2AC2" w:rsidRPr="00CC553A" w:rsidRDefault="003C2AC2" w:rsidP="003C2AC2">
      <w:pPr>
        <w:pStyle w:val="af0"/>
        <w:numPr>
          <w:ilvl w:val="0"/>
          <w:numId w:val="17"/>
        </w:numPr>
        <w:adjustRightInd w:val="0"/>
        <w:spacing w:line="400" w:lineRule="exact"/>
        <w:ind w:leftChars="0"/>
        <w:textAlignment w:val="baseline"/>
        <w:rPr>
          <w:rFonts w:ascii="微軟正黑體" w:eastAsia="微軟正黑體" w:hAnsi="微軟正黑體"/>
        </w:rPr>
      </w:pPr>
      <w:r w:rsidRPr="00CC553A">
        <w:rPr>
          <w:rFonts w:ascii="微軟正黑體" w:eastAsia="微軟正黑體" w:hAnsi="微軟正黑體" w:hint="eastAsia"/>
        </w:rPr>
        <w:t>勞動部勞動基金運用局網站統計資料。</w:t>
      </w:r>
    </w:p>
    <w:p w:rsidR="003C2AC2" w:rsidRPr="00CC553A" w:rsidRDefault="003C2AC2" w:rsidP="003C2AC2">
      <w:pPr>
        <w:pStyle w:val="af0"/>
        <w:numPr>
          <w:ilvl w:val="0"/>
          <w:numId w:val="17"/>
        </w:numPr>
        <w:adjustRightInd w:val="0"/>
        <w:spacing w:line="400" w:lineRule="exact"/>
        <w:ind w:leftChars="0"/>
        <w:textAlignment w:val="baseline"/>
        <w:rPr>
          <w:rFonts w:ascii="微軟正黑體" w:eastAsia="微軟正黑體" w:hAnsi="微軟正黑體"/>
        </w:rPr>
      </w:pPr>
      <w:r w:rsidRPr="00CC553A">
        <w:rPr>
          <w:rFonts w:ascii="微軟正黑體" w:eastAsia="微軟正黑體" w:hAnsi="微軟正黑體" w:hint="eastAsia"/>
        </w:rPr>
        <w:t>衛生福利部網站統計資料-社會福利統計。</w:t>
      </w:r>
    </w:p>
    <w:p w:rsidR="003C2AC2" w:rsidRPr="00CC553A" w:rsidRDefault="003C2AC2" w:rsidP="003C2AC2">
      <w:pPr>
        <w:pStyle w:val="af0"/>
        <w:numPr>
          <w:ilvl w:val="0"/>
          <w:numId w:val="17"/>
        </w:numPr>
        <w:adjustRightInd w:val="0"/>
        <w:spacing w:line="400" w:lineRule="exact"/>
        <w:ind w:leftChars="0"/>
        <w:textAlignment w:val="baseline"/>
        <w:rPr>
          <w:rFonts w:ascii="微軟正黑體" w:eastAsia="微軟正黑體" w:hAnsi="微軟正黑體"/>
        </w:rPr>
      </w:pPr>
      <w:r w:rsidRPr="00CC553A">
        <w:rPr>
          <w:rFonts w:ascii="微軟正黑體" w:eastAsia="微軟正黑體" w:hAnsi="微軟正黑體"/>
        </w:rPr>
        <w:t>公務人員退休撫卹基金管理委員會統計資料。</w:t>
      </w:r>
    </w:p>
    <w:p w:rsidR="003C2AC2" w:rsidRPr="00CC553A" w:rsidRDefault="003C2AC2" w:rsidP="003C2AC2">
      <w:pPr>
        <w:pStyle w:val="af0"/>
        <w:numPr>
          <w:ilvl w:val="0"/>
          <w:numId w:val="17"/>
        </w:numPr>
        <w:adjustRightInd w:val="0"/>
        <w:spacing w:line="400" w:lineRule="exact"/>
        <w:ind w:leftChars="0"/>
        <w:textAlignment w:val="baseline"/>
        <w:rPr>
          <w:rFonts w:ascii="微軟正黑體" w:eastAsia="微軟正黑體" w:hAnsi="微軟正黑體"/>
        </w:rPr>
      </w:pPr>
      <w:r w:rsidRPr="00CC553A">
        <w:rPr>
          <w:rFonts w:ascii="微軟正黑體" w:eastAsia="微軟正黑體" w:hAnsi="微軟正黑體" w:hint="eastAsia"/>
        </w:rPr>
        <w:t>財團法人私校退撫儲金管理會網站統計資料。</w:t>
      </w:r>
    </w:p>
    <w:p w:rsidR="003C2AC2" w:rsidRPr="00CC553A" w:rsidRDefault="003C2AC2" w:rsidP="003C2AC2">
      <w:pPr>
        <w:pStyle w:val="af0"/>
        <w:numPr>
          <w:ilvl w:val="0"/>
          <w:numId w:val="17"/>
        </w:numPr>
        <w:adjustRightInd w:val="0"/>
        <w:spacing w:line="400" w:lineRule="exact"/>
        <w:ind w:leftChars="0"/>
        <w:textAlignment w:val="baseline"/>
        <w:rPr>
          <w:rFonts w:ascii="微軟正黑體" w:eastAsia="微軟正黑體" w:hAnsi="微軟正黑體"/>
        </w:rPr>
      </w:pPr>
      <w:r w:rsidRPr="00CC553A">
        <w:rPr>
          <w:rFonts w:ascii="微軟正黑體" w:eastAsia="微軟正黑體" w:hAnsi="微軟正黑體"/>
        </w:rPr>
        <w:t>臺灣銀行網站統計資料-公教人員保險統計</w:t>
      </w:r>
      <w:r w:rsidRPr="00CC553A">
        <w:rPr>
          <w:rFonts w:ascii="微軟正黑體" w:eastAsia="微軟正黑體" w:hAnsi="微軟正黑體" w:hint="eastAsia"/>
        </w:rPr>
        <w:t>年刊</w:t>
      </w:r>
      <w:r w:rsidRPr="00CC553A">
        <w:rPr>
          <w:rFonts w:ascii="微軟正黑體" w:eastAsia="微軟正黑體" w:hAnsi="微軟正黑體"/>
        </w:rPr>
        <w:t>(資料期間：109年1月至12月)。</w:t>
      </w:r>
    </w:p>
    <w:p w:rsidR="003C2AC2" w:rsidRPr="00CC553A" w:rsidRDefault="003C2AC2" w:rsidP="003C2AC2">
      <w:pPr>
        <w:pStyle w:val="af0"/>
        <w:numPr>
          <w:ilvl w:val="0"/>
          <w:numId w:val="17"/>
        </w:numPr>
        <w:adjustRightInd w:val="0"/>
        <w:spacing w:line="400" w:lineRule="exact"/>
        <w:ind w:leftChars="0"/>
        <w:textAlignment w:val="baseline"/>
        <w:rPr>
          <w:rFonts w:ascii="微軟正黑體" w:eastAsia="微軟正黑體" w:hAnsi="微軟正黑體"/>
        </w:rPr>
      </w:pPr>
      <w:r w:rsidRPr="00CC553A">
        <w:rPr>
          <w:rFonts w:ascii="微軟正黑體" w:eastAsia="微軟正黑體" w:hAnsi="微軟正黑體" w:hint="eastAsia"/>
        </w:rPr>
        <w:t>銓敘部、勞動部、教育部、行政院國軍退除役官兵輔導委員會提供資料。</w:t>
      </w:r>
    </w:p>
    <w:p w:rsidR="003C2AC2" w:rsidRDefault="003C2AC2" w:rsidP="003C2AC2">
      <w:pPr>
        <w:snapToGrid w:val="0"/>
        <w:spacing w:line="400" w:lineRule="exact"/>
        <w:rPr>
          <w:rFonts w:ascii="微軟正黑體" w:eastAsia="微軟正黑體" w:hAnsi="微軟正黑體"/>
        </w:rPr>
      </w:pPr>
    </w:p>
    <w:p w:rsidR="003C2AC2" w:rsidRDefault="003C2AC2" w:rsidP="003C2AC2">
      <w:pPr>
        <w:snapToGrid w:val="0"/>
        <w:spacing w:line="400" w:lineRule="exact"/>
        <w:rPr>
          <w:rFonts w:ascii="微軟正黑體" w:eastAsia="微軟正黑體" w:hAnsi="微軟正黑體"/>
        </w:rPr>
      </w:pPr>
      <w:r w:rsidRPr="00F0717A">
        <w:rPr>
          <w:rFonts w:ascii="微軟正黑體" w:eastAsia="微軟正黑體" w:hAnsi="微軟正黑體" w:hint="eastAsia"/>
        </w:rPr>
        <w:t>(圖表均由本文自行繪製)</w:t>
      </w:r>
    </w:p>
    <w:p w:rsidR="003C2AC2" w:rsidRDefault="003C2AC2" w:rsidP="003C2AC2">
      <w:pPr>
        <w:snapToGrid w:val="0"/>
        <w:spacing w:line="400" w:lineRule="exact"/>
        <w:jc w:val="center"/>
        <w:rPr>
          <w:rFonts w:ascii="微軟正黑體" w:eastAsia="微軟正黑體" w:hAnsi="微軟正黑體"/>
        </w:rPr>
      </w:pPr>
    </w:p>
    <w:bookmarkEnd w:id="0"/>
    <w:p w:rsidR="00DD62AF" w:rsidRDefault="00DD62AF" w:rsidP="00DD62AF">
      <w:pPr>
        <w:widowControl/>
        <w:rPr>
          <w:rFonts w:ascii="微軟正黑體" w:eastAsia="微軟正黑體" w:hAnsi="微軟正黑體"/>
        </w:rPr>
      </w:pPr>
    </w:p>
    <w:p w:rsidR="00275B2D" w:rsidRDefault="00275B2D" w:rsidP="007A2CE3">
      <w:pPr>
        <w:spacing w:line="400" w:lineRule="exact"/>
        <w:jc w:val="center"/>
        <w:rPr>
          <w:rFonts w:ascii="微軟正黑體" w:eastAsia="微軟正黑體" w:hAnsi="微軟正黑體"/>
          <w:b/>
          <w:sz w:val="32"/>
          <w:szCs w:val="32"/>
        </w:rPr>
      </w:pPr>
      <w:bookmarkStart w:id="2" w:name="第一章第三節"/>
      <w:bookmarkEnd w:id="1"/>
      <w:r>
        <w:rPr>
          <w:rFonts w:ascii="微軟正黑體" w:eastAsia="微軟正黑體" w:hAnsi="微軟正黑體"/>
          <w:b/>
          <w:sz w:val="32"/>
          <w:szCs w:val="32"/>
        </w:rPr>
        <w:br w:type="page"/>
      </w:r>
    </w:p>
    <w:p w:rsidR="00FB2640" w:rsidRPr="00F0717A" w:rsidRDefault="00FB2640" w:rsidP="00FB2640">
      <w:pPr>
        <w:spacing w:line="400" w:lineRule="exact"/>
        <w:jc w:val="center"/>
        <w:rPr>
          <w:rFonts w:ascii="微軟正黑體" w:eastAsia="微軟正黑體" w:hAnsi="微軟正黑體"/>
          <w:b/>
          <w:sz w:val="32"/>
          <w:szCs w:val="32"/>
        </w:rPr>
      </w:pPr>
      <w:r>
        <w:rPr>
          <w:rFonts w:ascii="微軟正黑體" w:eastAsia="微軟正黑體" w:hAnsi="微軟正黑體" w:hint="eastAsia"/>
          <w:b/>
          <w:sz w:val="32"/>
          <w:szCs w:val="32"/>
        </w:rPr>
        <w:lastRenderedPageBreak/>
        <w:t>貳、</w:t>
      </w:r>
      <w:r w:rsidRPr="00F0717A">
        <w:rPr>
          <w:rFonts w:ascii="微軟正黑體" w:eastAsia="微軟正黑體" w:hAnsi="微軟正黑體"/>
          <w:b/>
          <w:sz w:val="32"/>
          <w:szCs w:val="32"/>
        </w:rPr>
        <w:t>社會保險</w:t>
      </w:r>
    </w:p>
    <w:p w:rsidR="00FB2640" w:rsidRPr="00F0717A" w:rsidRDefault="00FB2640" w:rsidP="00FB2640">
      <w:pPr>
        <w:spacing w:beforeLines="50" w:before="180" w:line="400" w:lineRule="exact"/>
        <w:rPr>
          <w:rFonts w:ascii="微軟正黑體" w:eastAsia="微軟正黑體" w:hAnsi="微軟正黑體"/>
          <w:b/>
          <w:sz w:val="28"/>
          <w:szCs w:val="28"/>
        </w:rPr>
      </w:pPr>
      <w:bookmarkStart w:id="3" w:name="第一章第二節壹"/>
      <w:r>
        <w:rPr>
          <w:rFonts w:ascii="微軟正黑體" w:eastAsia="微軟正黑體" w:hAnsi="微軟正黑體" w:hint="eastAsia"/>
          <w:b/>
          <w:sz w:val="28"/>
          <w:szCs w:val="28"/>
        </w:rPr>
        <w:t>一</w:t>
      </w:r>
      <w:r w:rsidRPr="00F0717A">
        <w:rPr>
          <w:rFonts w:ascii="微軟正黑體" w:eastAsia="微軟正黑體" w:hAnsi="微軟正黑體"/>
          <w:b/>
          <w:sz w:val="28"/>
          <w:szCs w:val="28"/>
        </w:rPr>
        <w:t>、勞工保險</w:t>
      </w:r>
    </w:p>
    <w:bookmarkEnd w:id="3"/>
    <w:p w:rsidR="00FB2640" w:rsidRPr="00877FDF" w:rsidRDefault="00FB2640" w:rsidP="00FB2640">
      <w:pPr>
        <w:spacing w:beforeLines="50" w:before="180" w:line="400" w:lineRule="exact"/>
        <w:rPr>
          <w:rFonts w:ascii="微軟正黑體" w:eastAsia="微軟正黑體" w:hAnsi="微軟正黑體"/>
        </w:rPr>
      </w:pPr>
      <w:r w:rsidRPr="00877FDF">
        <w:rPr>
          <w:rFonts w:ascii="微軟正黑體" w:eastAsia="微軟正黑體" w:hAnsi="微軟正黑體" w:hint="eastAsia"/>
        </w:rPr>
        <w:t>(一)</w:t>
      </w:r>
      <w:r>
        <w:rPr>
          <w:rFonts w:ascii="微軟正黑體" w:eastAsia="微軟正黑體" w:hAnsi="微軟正黑體" w:hint="eastAsia"/>
        </w:rPr>
        <w:t xml:space="preserve"> </w:t>
      </w:r>
      <w:r w:rsidRPr="00877FDF">
        <w:rPr>
          <w:rFonts w:ascii="微軟正黑體" w:eastAsia="微軟正黑體" w:hAnsi="微軟正黑體"/>
        </w:rPr>
        <w:t>納保概況</w:t>
      </w:r>
    </w:p>
    <w:p w:rsidR="00FB2640" w:rsidRPr="00877FDF" w:rsidRDefault="00FB2640" w:rsidP="00FB2640">
      <w:pPr>
        <w:pStyle w:val="af0"/>
        <w:numPr>
          <w:ilvl w:val="0"/>
          <w:numId w:val="18"/>
        </w:numPr>
        <w:adjustRightInd w:val="0"/>
        <w:spacing w:beforeLines="30" w:before="108" w:line="400" w:lineRule="exact"/>
        <w:ind w:leftChars="0"/>
        <w:textAlignment w:val="baseline"/>
        <w:rPr>
          <w:rFonts w:ascii="微軟正黑體" w:eastAsia="微軟正黑體" w:hAnsi="微軟正黑體"/>
        </w:rPr>
      </w:pPr>
      <w:r w:rsidRPr="00877FDF">
        <w:rPr>
          <w:rFonts w:ascii="微軟正黑體" w:eastAsia="微軟正黑體" w:hAnsi="微軟正黑體" w:hint="eastAsia"/>
        </w:rPr>
        <w:t>投保單位</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sidRPr="00B700E0">
        <w:rPr>
          <w:rFonts w:ascii="微軟正黑體" w:eastAsia="微軟正黑體" w:hAnsi="微軟正黑體" w:hint="eastAsia"/>
        </w:rPr>
        <w:t xml:space="preserve">    </w:t>
      </w:r>
      <w:r w:rsidRPr="00083B83">
        <w:rPr>
          <w:rFonts w:ascii="微軟正黑體" w:eastAsia="微軟正黑體" w:hAnsi="微軟正黑體"/>
          <w:bCs/>
        </w:rPr>
        <w:t>勞保投保單</w:t>
      </w:r>
      <w:r w:rsidRPr="00083B83">
        <w:rPr>
          <w:rFonts w:ascii="微軟正黑體" w:eastAsia="微軟正黑體" w:hAnsi="微軟正黑體" w:hint="eastAsia"/>
          <w:bCs/>
        </w:rPr>
        <w:t>位逐年增加，</w:t>
      </w:r>
      <w:r w:rsidRPr="00083B83">
        <w:rPr>
          <w:rFonts w:ascii="微軟正黑體" w:eastAsia="微軟正黑體" w:hAnsi="微軟正黑體"/>
          <w:bCs/>
        </w:rPr>
        <w:t>10</w:t>
      </w:r>
      <w:r w:rsidRPr="00083B83">
        <w:rPr>
          <w:rFonts w:ascii="微軟正黑體" w:eastAsia="微軟正黑體" w:hAnsi="微軟正黑體" w:hint="eastAsia"/>
          <w:bCs/>
        </w:rPr>
        <w:t>9</w:t>
      </w:r>
      <w:r w:rsidRPr="00B700E0">
        <w:rPr>
          <w:rFonts w:ascii="微軟正黑體" w:eastAsia="微軟正黑體" w:hAnsi="微軟正黑體"/>
          <w:bCs/>
        </w:rPr>
        <w:t>年底</w:t>
      </w:r>
      <w:r>
        <w:rPr>
          <w:rFonts w:ascii="微軟正黑體" w:eastAsia="微軟正黑體" w:hAnsi="微軟正黑體" w:hint="eastAsia"/>
          <w:bCs/>
        </w:rPr>
        <w:t>達57</w:t>
      </w:r>
      <w:r w:rsidRPr="00B700E0">
        <w:rPr>
          <w:rFonts w:ascii="微軟正黑體" w:eastAsia="微軟正黑體" w:hAnsi="微軟正黑體"/>
          <w:bCs/>
        </w:rPr>
        <w:t>萬</w:t>
      </w:r>
      <w:r>
        <w:rPr>
          <w:rFonts w:ascii="微軟正黑體" w:eastAsia="微軟正黑體" w:hAnsi="微軟正黑體" w:hint="eastAsia"/>
          <w:bCs/>
        </w:rPr>
        <w:t>8</w:t>
      </w:r>
      <w:r w:rsidRPr="00B700E0">
        <w:rPr>
          <w:rFonts w:ascii="微軟正黑體" w:eastAsia="微軟正黑體" w:hAnsi="微軟正黑體"/>
          <w:bCs/>
        </w:rPr>
        <w:t>,</w:t>
      </w:r>
      <w:r>
        <w:rPr>
          <w:rFonts w:ascii="微軟正黑體" w:eastAsia="微軟正黑體" w:hAnsi="微軟正黑體" w:hint="eastAsia"/>
          <w:bCs/>
        </w:rPr>
        <w:t>445</w:t>
      </w:r>
      <w:r w:rsidRPr="00B700E0">
        <w:rPr>
          <w:rFonts w:ascii="微軟正黑體" w:eastAsia="微軟正黑體" w:hAnsi="微軟正黑體"/>
          <w:bCs/>
        </w:rPr>
        <w:t>個，較10</w:t>
      </w:r>
      <w:r>
        <w:rPr>
          <w:rFonts w:ascii="微軟正黑體" w:eastAsia="微軟正黑體" w:hAnsi="微軟正黑體" w:hint="eastAsia"/>
          <w:bCs/>
        </w:rPr>
        <w:t>8</w:t>
      </w:r>
      <w:r w:rsidRPr="00B700E0">
        <w:rPr>
          <w:rFonts w:ascii="微軟正黑體" w:eastAsia="微軟正黑體" w:hAnsi="微軟正黑體"/>
          <w:bCs/>
        </w:rPr>
        <w:t>年增加</w:t>
      </w:r>
      <w:r w:rsidRPr="00B700E0">
        <w:rPr>
          <w:rFonts w:ascii="微軟正黑體" w:eastAsia="微軟正黑體" w:hAnsi="微軟正黑體" w:hint="eastAsia"/>
          <w:bCs/>
        </w:rPr>
        <w:t>8</w:t>
      </w:r>
      <w:r w:rsidRPr="00B700E0">
        <w:rPr>
          <w:rFonts w:ascii="微軟正黑體" w:eastAsia="微軟正黑體" w:hAnsi="微軟正黑體"/>
          <w:bCs/>
        </w:rPr>
        <w:t>,</w:t>
      </w:r>
      <w:r>
        <w:rPr>
          <w:rFonts w:ascii="微軟正黑體" w:eastAsia="微軟正黑體" w:hAnsi="微軟正黑體" w:hint="eastAsia"/>
          <w:bCs/>
        </w:rPr>
        <w:t>774</w:t>
      </w:r>
      <w:r w:rsidRPr="00B700E0">
        <w:rPr>
          <w:rFonts w:ascii="微軟正黑體" w:eastAsia="微軟正黑體" w:hAnsi="微軟正黑體"/>
          <w:bCs/>
        </w:rPr>
        <w:t>個(+1.</w:t>
      </w:r>
      <w:r>
        <w:rPr>
          <w:rFonts w:ascii="微軟正黑體" w:eastAsia="微軟正黑體" w:hAnsi="微軟正黑體" w:hint="eastAsia"/>
          <w:bCs/>
        </w:rPr>
        <w:t>5</w:t>
      </w:r>
      <w:r w:rsidRPr="00B700E0">
        <w:rPr>
          <w:rFonts w:ascii="微軟正黑體" w:eastAsia="微軟正黑體" w:hAnsi="微軟正黑體"/>
          <w:bCs/>
        </w:rPr>
        <w:t>%)。</w:t>
      </w:r>
      <w:r w:rsidRPr="00F0717A">
        <w:rPr>
          <w:rFonts w:ascii="微軟正黑體" w:eastAsia="微軟正黑體" w:hAnsi="微軟正黑體"/>
          <w:bCs/>
        </w:rPr>
        <w:t>依9大類別觀之，「公司、行號之員工」之投保單位最多，占5</w:t>
      </w:r>
      <w:r>
        <w:rPr>
          <w:rFonts w:ascii="微軟正黑體" w:eastAsia="微軟正黑體" w:hAnsi="微軟正黑體" w:hint="eastAsia"/>
          <w:bCs/>
        </w:rPr>
        <w:t>6.6</w:t>
      </w:r>
      <w:r w:rsidRPr="00F0717A">
        <w:rPr>
          <w:rFonts w:ascii="微軟正黑體" w:eastAsia="微軟正黑體" w:hAnsi="微軟正黑體"/>
          <w:bCs/>
        </w:rPr>
        <w:t>%，「產業勞工及交通公用事業之員工」次之，占2</w:t>
      </w:r>
      <w:r>
        <w:rPr>
          <w:rFonts w:ascii="微軟正黑體" w:eastAsia="微軟正黑體" w:hAnsi="微軟正黑體" w:hint="eastAsia"/>
          <w:bCs/>
        </w:rPr>
        <w:t>9.0</w:t>
      </w:r>
      <w:r w:rsidRPr="00F0717A">
        <w:rPr>
          <w:rFonts w:ascii="微軟正黑體" w:eastAsia="微軟正黑體" w:hAnsi="微軟正黑體"/>
          <w:bCs/>
        </w:rPr>
        <w:t>%。</w:t>
      </w:r>
    </w:p>
    <w:p w:rsidR="00FB2640" w:rsidRPr="00F0717A" w:rsidRDefault="00FB2640" w:rsidP="00FB2640">
      <w:pPr>
        <w:snapToGrid w:val="0"/>
        <w:spacing w:beforeLines="50" w:before="180" w:afterLines="30" w:after="108" w:line="400" w:lineRule="exact"/>
        <w:jc w:val="center"/>
        <w:rPr>
          <w:rFonts w:ascii="微軟正黑體" w:eastAsia="微軟正黑體" w:hAnsi="微軟正黑體"/>
          <w:bCs/>
        </w:rPr>
      </w:pPr>
      <w:r w:rsidRPr="00F0717A">
        <w:rPr>
          <w:rFonts w:ascii="微軟正黑體" w:eastAsia="微軟正黑體" w:hAnsi="微軟正黑體"/>
          <w:bCs/>
        </w:rPr>
        <w:t>表2.1  10</w:t>
      </w:r>
      <w:r w:rsidRPr="00AB127F">
        <w:rPr>
          <w:rFonts w:ascii="微軟正黑體" w:eastAsia="微軟正黑體" w:hAnsi="微軟正黑體" w:hint="eastAsia"/>
          <w:bCs/>
        </w:rPr>
        <w:t>9</w:t>
      </w:r>
      <w:r w:rsidRPr="00F0717A">
        <w:rPr>
          <w:rFonts w:ascii="微軟正黑體" w:eastAsia="微軟正黑體" w:hAnsi="微軟正黑體"/>
          <w:bCs/>
        </w:rPr>
        <w:t>年勞</w:t>
      </w:r>
      <w:r w:rsidR="001E3166">
        <w:rPr>
          <w:rFonts w:ascii="微軟正黑體" w:eastAsia="微軟正黑體" w:hAnsi="微軟正黑體"/>
          <w:bCs/>
        </w:rPr>
        <w:t>保</w:t>
      </w:r>
      <w:r w:rsidRPr="00F0717A">
        <w:rPr>
          <w:rFonts w:ascii="微軟正黑體" w:eastAsia="微軟正黑體" w:hAnsi="微軟正黑體"/>
          <w:bCs/>
        </w:rPr>
        <w:t>投保單位數(按類別分)</w:t>
      </w:r>
    </w:p>
    <w:tbl>
      <w:tblPr>
        <w:tblW w:w="8930" w:type="dxa"/>
        <w:jc w:val="right"/>
        <w:tblLayout w:type="fixed"/>
        <w:tblCellMar>
          <w:left w:w="28" w:type="dxa"/>
          <w:right w:w="28" w:type="dxa"/>
        </w:tblCellMar>
        <w:tblLook w:val="04A0" w:firstRow="1" w:lastRow="0" w:firstColumn="1" w:lastColumn="0" w:noHBand="0" w:noVBand="1"/>
      </w:tblPr>
      <w:tblGrid>
        <w:gridCol w:w="992"/>
        <w:gridCol w:w="851"/>
        <w:gridCol w:w="850"/>
        <w:gridCol w:w="851"/>
        <w:gridCol w:w="709"/>
        <w:gridCol w:w="708"/>
        <w:gridCol w:w="709"/>
        <w:gridCol w:w="824"/>
        <w:gridCol w:w="708"/>
        <w:gridCol w:w="851"/>
        <w:gridCol w:w="877"/>
      </w:tblGrid>
      <w:tr w:rsidR="00FB2640" w:rsidRPr="00F0717A" w:rsidTr="008F1977">
        <w:trPr>
          <w:trHeight w:val="2269"/>
          <w:jc w:val="right"/>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2"/>
                <w:szCs w:val="22"/>
              </w:rPr>
            </w:pPr>
            <w:r w:rsidRPr="00B61562">
              <w:rPr>
                <w:rFonts w:ascii="微軟正黑體" w:eastAsia="微軟正黑體" w:hAnsi="微軟正黑體" w:hint="eastAsia"/>
                <w:sz w:val="22"/>
                <w:szCs w:val="22"/>
              </w:rPr>
              <w:t>投保單位類別</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2640" w:rsidRPr="00132DF4" w:rsidRDefault="00FB2640" w:rsidP="008F1977">
            <w:pPr>
              <w:widowControl/>
              <w:spacing w:line="300" w:lineRule="exact"/>
              <w:jc w:val="center"/>
              <w:rPr>
                <w:rFonts w:ascii="微軟正黑體" w:eastAsia="微軟正黑體" w:hAnsi="微軟正黑體"/>
                <w:sz w:val="22"/>
                <w:szCs w:val="22"/>
              </w:rPr>
            </w:pPr>
            <w:r w:rsidRPr="00132DF4">
              <w:rPr>
                <w:rFonts w:ascii="微軟正黑體" w:eastAsia="微軟正黑體" w:hAnsi="微軟正黑體"/>
                <w:sz w:val="22"/>
                <w:szCs w:val="22"/>
              </w:rPr>
              <w:t>產業勞工及交通公用事業之員工</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B2640" w:rsidRPr="00132DF4" w:rsidRDefault="00FB2640" w:rsidP="008F1977">
            <w:pPr>
              <w:widowControl/>
              <w:spacing w:line="300" w:lineRule="exact"/>
              <w:jc w:val="center"/>
              <w:rPr>
                <w:rFonts w:ascii="微軟正黑體" w:eastAsia="微軟正黑體" w:hAnsi="微軟正黑體"/>
                <w:sz w:val="22"/>
                <w:szCs w:val="22"/>
              </w:rPr>
            </w:pPr>
            <w:r w:rsidRPr="00132DF4">
              <w:rPr>
                <w:rFonts w:ascii="微軟正黑體" w:eastAsia="微軟正黑體" w:hAnsi="微軟正黑體"/>
                <w:sz w:val="22"/>
                <w:szCs w:val="22"/>
              </w:rPr>
              <w:t>公司、</w:t>
            </w:r>
            <w:r w:rsidRPr="00132DF4">
              <w:rPr>
                <w:rFonts w:ascii="微軟正黑體" w:eastAsia="微軟正黑體" w:hAnsi="微軟正黑體" w:hint="eastAsia"/>
                <w:sz w:val="22"/>
                <w:szCs w:val="22"/>
              </w:rPr>
              <w:t xml:space="preserve"> </w:t>
            </w:r>
            <w:r w:rsidRPr="00132DF4">
              <w:rPr>
                <w:rFonts w:ascii="微軟正黑體" w:eastAsia="微軟正黑體" w:hAnsi="微軟正黑體"/>
                <w:sz w:val="22"/>
                <w:szCs w:val="22"/>
              </w:rPr>
              <w:t>行號之員工</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新聞、文化、公益及合作事業之員工</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政府機關及公、私立學校之員工</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受僱從事漁業生產之勞動者</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職業訓練機構接受訓練者</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FB2640"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職業</w:t>
            </w:r>
          </w:p>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勞工</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漁會之        甲類</w:t>
            </w:r>
          </w:p>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會員</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B2640"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自願</w:t>
            </w:r>
          </w:p>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投保者</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總計</w:t>
            </w:r>
          </w:p>
        </w:tc>
      </w:tr>
      <w:tr w:rsidR="00FB2640" w:rsidRPr="00F0717A" w:rsidTr="008F1977">
        <w:trPr>
          <w:trHeight w:val="635"/>
          <w:jc w:val="right"/>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32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單位數</w:t>
            </w:r>
          </w:p>
          <w:p w:rsidR="00FB2640" w:rsidRPr="00F0717A" w:rsidRDefault="00FB2640" w:rsidP="008F1977">
            <w:pPr>
              <w:widowControl/>
              <w:spacing w:line="32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(個)</w:t>
            </w:r>
          </w:p>
        </w:tc>
        <w:tc>
          <w:tcPr>
            <w:tcW w:w="851" w:type="dxa"/>
            <w:tcBorders>
              <w:top w:val="nil"/>
              <w:left w:val="nil"/>
              <w:bottom w:val="single" w:sz="4" w:space="0" w:color="auto"/>
              <w:right w:val="single" w:sz="4" w:space="0" w:color="auto"/>
            </w:tcBorders>
            <w:shd w:val="clear" w:color="auto" w:fill="auto"/>
            <w:noWrap/>
            <w:vAlign w:val="center"/>
          </w:tcPr>
          <w:p w:rsidR="00FB2640" w:rsidRPr="00E47787" w:rsidRDefault="00FB2640" w:rsidP="008F1977">
            <w:pPr>
              <w:jc w:val="center"/>
              <w:rPr>
                <w:rFonts w:ascii="微軟正黑體" w:eastAsia="微軟正黑體" w:hAnsi="微軟正黑體" w:cs="新細明體"/>
                <w:b/>
                <w:color w:val="000000"/>
                <w:sz w:val="20"/>
                <w:szCs w:val="20"/>
              </w:rPr>
            </w:pPr>
            <w:r w:rsidRPr="00E47787">
              <w:rPr>
                <w:rFonts w:ascii="微軟正黑體" w:eastAsia="微軟正黑體" w:hAnsi="微軟正黑體" w:hint="eastAsia"/>
                <w:b/>
                <w:color w:val="000000"/>
                <w:sz w:val="20"/>
                <w:szCs w:val="20"/>
              </w:rPr>
              <w:t>167,549</w:t>
            </w:r>
          </w:p>
        </w:tc>
        <w:tc>
          <w:tcPr>
            <w:tcW w:w="850" w:type="dxa"/>
            <w:tcBorders>
              <w:top w:val="nil"/>
              <w:left w:val="nil"/>
              <w:bottom w:val="single" w:sz="4" w:space="0" w:color="auto"/>
              <w:right w:val="single" w:sz="4" w:space="0" w:color="auto"/>
            </w:tcBorders>
            <w:shd w:val="clear" w:color="auto" w:fill="auto"/>
            <w:noWrap/>
            <w:vAlign w:val="center"/>
          </w:tcPr>
          <w:p w:rsidR="00FB2640" w:rsidRPr="00E47787" w:rsidRDefault="00FB2640" w:rsidP="008F1977">
            <w:pPr>
              <w:jc w:val="center"/>
              <w:rPr>
                <w:rFonts w:ascii="微軟正黑體" w:eastAsia="微軟正黑體" w:hAnsi="微軟正黑體" w:cs="新細明體"/>
                <w:b/>
                <w:color w:val="000000"/>
                <w:sz w:val="20"/>
                <w:szCs w:val="20"/>
              </w:rPr>
            </w:pPr>
            <w:r w:rsidRPr="00E47787">
              <w:rPr>
                <w:rFonts w:ascii="微軟正黑體" w:eastAsia="微軟正黑體" w:hAnsi="微軟正黑體" w:hint="eastAsia"/>
                <w:b/>
                <w:color w:val="000000"/>
                <w:sz w:val="20"/>
                <w:szCs w:val="20"/>
              </w:rPr>
              <w:t>327,364</w:t>
            </w:r>
          </w:p>
        </w:tc>
        <w:tc>
          <w:tcPr>
            <w:tcW w:w="851" w:type="dxa"/>
            <w:tcBorders>
              <w:top w:val="nil"/>
              <w:left w:val="nil"/>
              <w:bottom w:val="single" w:sz="4" w:space="0" w:color="auto"/>
              <w:right w:val="single" w:sz="4" w:space="0" w:color="auto"/>
            </w:tcBorders>
            <w:shd w:val="clear" w:color="auto" w:fill="auto"/>
            <w:noWrap/>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14,559</w:t>
            </w:r>
          </w:p>
        </w:tc>
        <w:tc>
          <w:tcPr>
            <w:tcW w:w="709" w:type="dxa"/>
            <w:tcBorders>
              <w:top w:val="nil"/>
              <w:left w:val="nil"/>
              <w:bottom w:val="single" w:sz="4" w:space="0" w:color="auto"/>
              <w:right w:val="single" w:sz="4" w:space="0" w:color="auto"/>
            </w:tcBorders>
            <w:shd w:val="clear" w:color="auto" w:fill="auto"/>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8,357</w:t>
            </w:r>
          </w:p>
        </w:tc>
        <w:tc>
          <w:tcPr>
            <w:tcW w:w="708" w:type="dxa"/>
            <w:tcBorders>
              <w:top w:val="nil"/>
              <w:left w:val="nil"/>
              <w:bottom w:val="single" w:sz="4" w:space="0" w:color="auto"/>
              <w:right w:val="single" w:sz="4" w:space="0" w:color="auto"/>
            </w:tcBorders>
            <w:shd w:val="clear" w:color="auto" w:fill="auto"/>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2,110</w:t>
            </w:r>
          </w:p>
        </w:tc>
        <w:tc>
          <w:tcPr>
            <w:tcW w:w="709" w:type="dxa"/>
            <w:tcBorders>
              <w:top w:val="nil"/>
              <w:left w:val="nil"/>
              <w:bottom w:val="single" w:sz="4" w:space="0" w:color="auto"/>
              <w:right w:val="single" w:sz="4" w:space="0" w:color="auto"/>
            </w:tcBorders>
            <w:shd w:val="clear" w:color="auto" w:fill="auto"/>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199</w:t>
            </w:r>
          </w:p>
        </w:tc>
        <w:tc>
          <w:tcPr>
            <w:tcW w:w="824" w:type="dxa"/>
            <w:tcBorders>
              <w:top w:val="nil"/>
              <w:left w:val="nil"/>
              <w:bottom w:val="single" w:sz="4" w:space="0" w:color="auto"/>
              <w:right w:val="single" w:sz="4" w:space="0" w:color="auto"/>
            </w:tcBorders>
            <w:shd w:val="clear" w:color="auto" w:fill="auto"/>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3,953</w:t>
            </w:r>
          </w:p>
        </w:tc>
        <w:tc>
          <w:tcPr>
            <w:tcW w:w="708" w:type="dxa"/>
            <w:tcBorders>
              <w:top w:val="nil"/>
              <w:left w:val="nil"/>
              <w:bottom w:val="single" w:sz="4" w:space="0" w:color="auto"/>
              <w:right w:val="single" w:sz="4" w:space="0" w:color="auto"/>
            </w:tcBorders>
            <w:shd w:val="clear" w:color="auto" w:fill="auto"/>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39</w:t>
            </w:r>
          </w:p>
        </w:tc>
        <w:tc>
          <w:tcPr>
            <w:tcW w:w="851" w:type="dxa"/>
            <w:tcBorders>
              <w:top w:val="nil"/>
              <w:left w:val="nil"/>
              <w:bottom w:val="single" w:sz="4" w:space="0" w:color="auto"/>
              <w:right w:val="single" w:sz="4" w:space="0" w:color="auto"/>
            </w:tcBorders>
            <w:shd w:val="clear" w:color="auto" w:fill="auto"/>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54,315</w:t>
            </w:r>
          </w:p>
        </w:tc>
        <w:tc>
          <w:tcPr>
            <w:tcW w:w="877" w:type="dxa"/>
            <w:tcBorders>
              <w:top w:val="nil"/>
              <w:left w:val="nil"/>
              <w:bottom w:val="single" w:sz="4" w:space="0" w:color="auto"/>
              <w:right w:val="single" w:sz="4" w:space="0" w:color="auto"/>
            </w:tcBorders>
            <w:shd w:val="clear" w:color="auto" w:fill="auto"/>
            <w:vAlign w:val="center"/>
            <w:hideMark/>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578,445</w:t>
            </w:r>
          </w:p>
        </w:tc>
      </w:tr>
      <w:tr w:rsidR="00FB2640" w:rsidRPr="00F0717A" w:rsidTr="008F1977">
        <w:trPr>
          <w:trHeight w:val="403"/>
          <w:jc w:val="right"/>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32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占</w:t>
            </w:r>
            <w:r w:rsidRPr="00F0717A">
              <w:rPr>
                <w:rFonts w:ascii="微軟正黑體" w:eastAsia="微軟正黑體" w:hAnsi="微軟正黑體"/>
                <w:sz w:val="22"/>
                <w:szCs w:val="22"/>
              </w:rPr>
              <w:t>比</w:t>
            </w:r>
          </w:p>
          <w:p w:rsidR="00FB2640" w:rsidRPr="00F0717A" w:rsidRDefault="00FB2640" w:rsidP="008F1977">
            <w:pPr>
              <w:widowControl/>
              <w:spacing w:line="32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w:t>
            </w:r>
          </w:p>
        </w:tc>
        <w:tc>
          <w:tcPr>
            <w:tcW w:w="851" w:type="dxa"/>
            <w:tcBorders>
              <w:top w:val="nil"/>
              <w:left w:val="nil"/>
              <w:bottom w:val="single" w:sz="4" w:space="0" w:color="auto"/>
              <w:right w:val="single" w:sz="4" w:space="0" w:color="auto"/>
            </w:tcBorders>
            <w:shd w:val="clear" w:color="auto" w:fill="auto"/>
            <w:noWrap/>
            <w:vAlign w:val="center"/>
          </w:tcPr>
          <w:p w:rsidR="00FB2640" w:rsidRPr="00E47787" w:rsidRDefault="00FB2640" w:rsidP="008F1977">
            <w:pPr>
              <w:jc w:val="center"/>
              <w:rPr>
                <w:rFonts w:ascii="微軟正黑體" w:eastAsia="微軟正黑體" w:hAnsi="微軟正黑體" w:cs="新細明體"/>
                <w:b/>
                <w:color w:val="000000"/>
                <w:sz w:val="20"/>
                <w:szCs w:val="20"/>
              </w:rPr>
            </w:pPr>
            <w:r w:rsidRPr="00E47787">
              <w:rPr>
                <w:rFonts w:ascii="微軟正黑體" w:eastAsia="微軟正黑體" w:hAnsi="微軟正黑體" w:hint="eastAsia"/>
                <w:b/>
                <w:color w:val="000000"/>
                <w:sz w:val="20"/>
                <w:szCs w:val="20"/>
              </w:rPr>
              <w:t xml:space="preserve">29.0 </w:t>
            </w:r>
          </w:p>
        </w:tc>
        <w:tc>
          <w:tcPr>
            <w:tcW w:w="850" w:type="dxa"/>
            <w:tcBorders>
              <w:top w:val="nil"/>
              <w:left w:val="nil"/>
              <w:bottom w:val="single" w:sz="4" w:space="0" w:color="auto"/>
              <w:right w:val="single" w:sz="4" w:space="0" w:color="auto"/>
            </w:tcBorders>
            <w:shd w:val="clear" w:color="auto" w:fill="auto"/>
            <w:noWrap/>
            <w:vAlign w:val="center"/>
          </w:tcPr>
          <w:p w:rsidR="00FB2640" w:rsidRPr="00E47787" w:rsidRDefault="00FB2640" w:rsidP="008F1977">
            <w:pPr>
              <w:jc w:val="center"/>
              <w:rPr>
                <w:rFonts w:ascii="微軟正黑體" w:eastAsia="微軟正黑體" w:hAnsi="微軟正黑體" w:cs="新細明體"/>
                <w:b/>
                <w:color w:val="000000"/>
                <w:sz w:val="20"/>
                <w:szCs w:val="20"/>
              </w:rPr>
            </w:pPr>
            <w:r w:rsidRPr="00E47787">
              <w:rPr>
                <w:rFonts w:ascii="微軟正黑體" w:eastAsia="微軟正黑體" w:hAnsi="微軟正黑體" w:hint="eastAsia"/>
                <w:b/>
                <w:color w:val="000000"/>
                <w:sz w:val="20"/>
                <w:szCs w:val="20"/>
              </w:rPr>
              <w:t xml:space="preserve">56.6 </w:t>
            </w:r>
          </w:p>
        </w:tc>
        <w:tc>
          <w:tcPr>
            <w:tcW w:w="851" w:type="dxa"/>
            <w:tcBorders>
              <w:top w:val="nil"/>
              <w:left w:val="nil"/>
              <w:bottom w:val="single" w:sz="4" w:space="0" w:color="auto"/>
              <w:right w:val="single" w:sz="4" w:space="0" w:color="auto"/>
            </w:tcBorders>
            <w:shd w:val="clear" w:color="auto" w:fill="auto"/>
            <w:noWrap/>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 xml:space="preserve">2.5 </w:t>
            </w:r>
          </w:p>
        </w:tc>
        <w:tc>
          <w:tcPr>
            <w:tcW w:w="709" w:type="dxa"/>
            <w:tcBorders>
              <w:top w:val="nil"/>
              <w:left w:val="nil"/>
              <w:bottom w:val="single" w:sz="4" w:space="0" w:color="auto"/>
              <w:right w:val="single" w:sz="4" w:space="0" w:color="auto"/>
            </w:tcBorders>
            <w:shd w:val="clear" w:color="auto" w:fill="auto"/>
            <w:noWrap/>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 xml:space="preserve">1.4 </w:t>
            </w:r>
          </w:p>
        </w:tc>
        <w:tc>
          <w:tcPr>
            <w:tcW w:w="708" w:type="dxa"/>
            <w:tcBorders>
              <w:top w:val="nil"/>
              <w:left w:val="nil"/>
              <w:bottom w:val="single" w:sz="4" w:space="0" w:color="auto"/>
              <w:right w:val="single" w:sz="4" w:space="0" w:color="auto"/>
            </w:tcBorders>
            <w:shd w:val="clear" w:color="auto" w:fill="auto"/>
            <w:noWrap/>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 xml:space="preserve">0.4 </w:t>
            </w:r>
          </w:p>
        </w:tc>
        <w:tc>
          <w:tcPr>
            <w:tcW w:w="709" w:type="dxa"/>
            <w:tcBorders>
              <w:top w:val="nil"/>
              <w:left w:val="nil"/>
              <w:bottom w:val="single" w:sz="4" w:space="0" w:color="auto"/>
              <w:right w:val="single" w:sz="4" w:space="0" w:color="auto"/>
            </w:tcBorders>
            <w:shd w:val="clear" w:color="auto" w:fill="auto"/>
            <w:noWrap/>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 xml:space="preserve">0.03 </w:t>
            </w:r>
          </w:p>
        </w:tc>
        <w:tc>
          <w:tcPr>
            <w:tcW w:w="824" w:type="dxa"/>
            <w:tcBorders>
              <w:top w:val="nil"/>
              <w:left w:val="nil"/>
              <w:bottom w:val="single" w:sz="4" w:space="0" w:color="auto"/>
              <w:right w:val="single" w:sz="4" w:space="0" w:color="auto"/>
            </w:tcBorders>
            <w:shd w:val="clear" w:color="auto" w:fill="auto"/>
            <w:noWrap/>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 xml:space="preserve">0.7 </w:t>
            </w:r>
          </w:p>
        </w:tc>
        <w:tc>
          <w:tcPr>
            <w:tcW w:w="708" w:type="dxa"/>
            <w:tcBorders>
              <w:top w:val="nil"/>
              <w:left w:val="nil"/>
              <w:bottom w:val="single" w:sz="4" w:space="0" w:color="auto"/>
              <w:right w:val="single" w:sz="4" w:space="0" w:color="auto"/>
            </w:tcBorders>
            <w:shd w:val="clear" w:color="auto" w:fill="auto"/>
            <w:noWrap/>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 xml:space="preserve">0.01 </w:t>
            </w:r>
          </w:p>
        </w:tc>
        <w:tc>
          <w:tcPr>
            <w:tcW w:w="851" w:type="dxa"/>
            <w:tcBorders>
              <w:top w:val="nil"/>
              <w:left w:val="nil"/>
              <w:bottom w:val="single" w:sz="4" w:space="0" w:color="auto"/>
              <w:right w:val="single" w:sz="4" w:space="0" w:color="auto"/>
            </w:tcBorders>
            <w:shd w:val="clear" w:color="auto" w:fill="auto"/>
            <w:noWrap/>
            <w:vAlign w:val="center"/>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 xml:space="preserve">9.4 </w:t>
            </w:r>
          </w:p>
        </w:tc>
        <w:tc>
          <w:tcPr>
            <w:tcW w:w="877" w:type="dxa"/>
            <w:tcBorders>
              <w:top w:val="nil"/>
              <w:left w:val="nil"/>
              <w:bottom w:val="single" w:sz="4" w:space="0" w:color="auto"/>
              <w:right w:val="single" w:sz="4" w:space="0" w:color="auto"/>
            </w:tcBorders>
            <w:shd w:val="clear" w:color="auto" w:fill="auto"/>
            <w:noWrap/>
            <w:vAlign w:val="center"/>
            <w:hideMark/>
          </w:tcPr>
          <w:p w:rsidR="00FB2640" w:rsidRDefault="00FB2640" w:rsidP="008F1977">
            <w:pPr>
              <w:jc w:val="center"/>
              <w:rPr>
                <w:rFonts w:ascii="微軟正黑體" w:eastAsia="微軟正黑體" w:hAnsi="微軟正黑體" w:cs="新細明體"/>
                <w:color w:val="000000"/>
                <w:sz w:val="20"/>
                <w:szCs w:val="20"/>
              </w:rPr>
            </w:pPr>
            <w:r>
              <w:rPr>
                <w:rFonts w:ascii="微軟正黑體" w:eastAsia="微軟正黑體" w:hAnsi="微軟正黑體" w:hint="eastAsia"/>
                <w:color w:val="000000"/>
                <w:sz w:val="20"/>
                <w:szCs w:val="20"/>
              </w:rPr>
              <w:t>100.0</w:t>
            </w:r>
          </w:p>
        </w:tc>
      </w:tr>
    </w:tbl>
    <w:p w:rsidR="00FB2640" w:rsidRPr="00F0717A" w:rsidRDefault="00FB2640" w:rsidP="00FB2640">
      <w:pPr>
        <w:snapToGrid w:val="0"/>
        <w:spacing w:line="400" w:lineRule="exact"/>
        <w:rPr>
          <w:rFonts w:ascii="微軟正黑體" w:eastAsia="微軟正黑體" w:hAnsi="微軟正黑體"/>
          <w:bCs/>
        </w:rPr>
      </w:pPr>
    </w:p>
    <w:p w:rsidR="00FB2640" w:rsidRDefault="00FB2640" w:rsidP="00FB2640">
      <w:pPr>
        <w:pStyle w:val="af0"/>
        <w:numPr>
          <w:ilvl w:val="0"/>
          <w:numId w:val="18"/>
        </w:numPr>
        <w:adjustRightInd w:val="0"/>
        <w:spacing w:line="400" w:lineRule="exact"/>
        <w:ind w:leftChars="0"/>
        <w:textAlignment w:val="baseline"/>
        <w:rPr>
          <w:rFonts w:ascii="微軟正黑體" w:eastAsia="微軟正黑體" w:hAnsi="微軟正黑體"/>
        </w:rPr>
      </w:pPr>
      <w:r w:rsidRPr="00CE41DE">
        <w:rPr>
          <w:rFonts w:ascii="微軟正黑體" w:eastAsia="微軟正黑體" w:hAnsi="微軟正黑體"/>
        </w:rPr>
        <w:t>被保險人</w:t>
      </w:r>
    </w:p>
    <w:p w:rsidR="00FB2640" w:rsidRPr="00920124" w:rsidRDefault="00FB2640" w:rsidP="00FB2640">
      <w:pPr>
        <w:pStyle w:val="af0"/>
        <w:numPr>
          <w:ilvl w:val="1"/>
          <w:numId w:val="18"/>
        </w:numPr>
        <w:adjustRightInd w:val="0"/>
        <w:spacing w:beforeLines="30" w:before="108" w:line="400" w:lineRule="exact"/>
        <w:ind w:leftChars="0" w:left="782" w:hanging="357"/>
        <w:textAlignment w:val="baseline"/>
        <w:rPr>
          <w:rFonts w:ascii="微軟正黑體" w:eastAsia="微軟正黑體" w:hAnsi="微軟正黑體"/>
        </w:rPr>
      </w:pPr>
      <w:r w:rsidRPr="00920124">
        <w:rPr>
          <w:rFonts w:ascii="微軟正黑體" w:eastAsia="微軟正黑體" w:hAnsi="微軟正黑體" w:hint="eastAsia"/>
        </w:rPr>
        <w:t>被保險人</w:t>
      </w:r>
      <w:r w:rsidRPr="00920124">
        <w:rPr>
          <w:rFonts w:ascii="微軟正黑體" w:eastAsia="微軟正黑體" w:hAnsi="微軟正黑體"/>
        </w:rPr>
        <w:t>人數(按投保單位類別分)</w:t>
      </w:r>
    </w:p>
    <w:p w:rsidR="00FB2640" w:rsidRPr="00F0717A" w:rsidRDefault="00FB2640" w:rsidP="00FB2640">
      <w:pPr>
        <w:pStyle w:val="af0"/>
        <w:spacing w:beforeLines="30" w:before="108"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w:t>
      </w:r>
      <w:r w:rsidRPr="004D4FB1">
        <w:rPr>
          <w:rFonts w:ascii="微軟正黑體" w:eastAsia="微軟正黑體" w:hAnsi="微軟正黑體" w:hint="eastAsia"/>
        </w:rPr>
        <w:t xml:space="preserve"> 10</w:t>
      </w:r>
      <w:r w:rsidRPr="004D4FB1">
        <w:rPr>
          <w:rFonts w:ascii="微軟正黑體" w:eastAsia="微軟正黑體" w:hAnsi="微軟正黑體" w:hint="eastAsia"/>
          <w:bCs/>
        </w:rPr>
        <w:t>9</w:t>
      </w:r>
      <w:r w:rsidRPr="004D4FB1">
        <w:rPr>
          <w:rFonts w:ascii="微軟正黑體" w:eastAsia="微軟正黑體" w:hAnsi="微軟正黑體" w:hint="eastAsia"/>
        </w:rPr>
        <w:t>年</w:t>
      </w:r>
      <w:r w:rsidRPr="00F0717A">
        <w:rPr>
          <w:rFonts w:ascii="微軟正黑體" w:eastAsia="微軟正黑體" w:hAnsi="微軟正黑體" w:hint="eastAsia"/>
        </w:rPr>
        <w:t>底勞保被保險人人數總計</w:t>
      </w:r>
      <w:r>
        <w:rPr>
          <w:rFonts w:ascii="微軟正黑體" w:eastAsia="微軟正黑體" w:hAnsi="微軟正黑體" w:hint="eastAsia"/>
        </w:rPr>
        <w:t>1,055.5</w:t>
      </w:r>
      <w:r w:rsidRPr="00F0717A">
        <w:rPr>
          <w:rFonts w:ascii="微軟正黑體" w:eastAsia="微軟正黑體" w:hAnsi="微軟正黑體" w:hint="eastAsia"/>
        </w:rPr>
        <w:t>萬人，依9大類別觀之，</w:t>
      </w:r>
      <w:r>
        <w:rPr>
          <w:rFonts w:ascii="微軟正黑體" w:eastAsia="微軟正黑體" w:hAnsi="微軟正黑體" w:hint="eastAsia"/>
        </w:rPr>
        <w:t>以「公司、行號之員工」</w:t>
      </w:r>
      <w:r w:rsidRPr="00F0717A">
        <w:rPr>
          <w:rFonts w:ascii="微軟正黑體" w:eastAsia="微軟正黑體" w:hAnsi="微軟正黑體" w:hint="eastAsia"/>
        </w:rPr>
        <w:t>最多，達3</w:t>
      </w:r>
      <w:r>
        <w:rPr>
          <w:rFonts w:ascii="微軟正黑體" w:eastAsia="微軟正黑體" w:hAnsi="微軟正黑體" w:hint="eastAsia"/>
        </w:rPr>
        <w:t>59.0</w:t>
      </w:r>
      <w:r w:rsidRPr="00F0717A">
        <w:rPr>
          <w:rFonts w:ascii="微軟正黑體" w:eastAsia="微軟正黑體" w:hAnsi="微軟正黑體" w:hint="eastAsia"/>
        </w:rPr>
        <w:t>萬人，</w:t>
      </w:r>
      <w:r>
        <w:rPr>
          <w:rFonts w:ascii="微軟正黑體" w:eastAsia="微軟正黑體" w:hAnsi="微軟正黑體" w:hint="eastAsia"/>
        </w:rPr>
        <w:t>其次為「產業勞工及交通公用事業之員工」</w:t>
      </w:r>
      <w:r w:rsidRPr="00F0717A">
        <w:rPr>
          <w:rFonts w:ascii="微軟正黑體" w:eastAsia="微軟正黑體" w:hAnsi="微軟正黑體" w:hint="eastAsia"/>
        </w:rPr>
        <w:t>3</w:t>
      </w:r>
      <w:r>
        <w:rPr>
          <w:rFonts w:ascii="微軟正黑體" w:eastAsia="微軟正黑體" w:hAnsi="微軟正黑體" w:hint="eastAsia"/>
        </w:rPr>
        <w:t>34.0萬人，再</w:t>
      </w:r>
      <w:r w:rsidRPr="00F0717A">
        <w:rPr>
          <w:rFonts w:ascii="微軟正黑體" w:eastAsia="微軟正黑體" w:hAnsi="微軟正黑體" w:hint="eastAsia"/>
        </w:rPr>
        <w:t>次為「職業勞工」2</w:t>
      </w:r>
      <w:r>
        <w:rPr>
          <w:rFonts w:ascii="微軟正黑體" w:eastAsia="微軟正黑體" w:hAnsi="微軟正黑體" w:hint="eastAsia"/>
        </w:rPr>
        <w:t>06.9</w:t>
      </w:r>
      <w:r w:rsidRPr="00F0717A">
        <w:rPr>
          <w:rFonts w:ascii="微軟正黑體" w:eastAsia="微軟正黑體" w:hAnsi="微軟正黑體" w:hint="eastAsia"/>
        </w:rPr>
        <w:t>萬人，3項類別合計已占被保險人人數</w:t>
      </w:r>
      <w:r w:rsidRPr="00C96E94">
        <w:rPr>
          <w:rFonts w:ascii="微軟正黑體" w:eastAsia="微軟正黑體" w:hAnsi="微軟正黑體" w:hint="eastAsia"/>
        </w:rPr>
        <w:t>85.3%</w:t>
      </w:r>
      <w:r w:rsidRPr="00F0717A">
        <w:rPr>
          <w:rFonts w:ascii="微軟正黑體" w:eastAsia="微軟正黑體" w:hAnsi="微軟正黑體" w:hint="eastAsia"/>
        </w:rPr>
        <w:t>。</w:t>
      </w:r>
    </w:p>
    <w:p w:rsidR="00FB2640" w:rsidRPr="00F0717A" w:rsidRDefault="00FB2640" w:rsidP="00FB2640">
      <w:pPr>
        <w:pStyle w:val="af0"/>
        <w:spacing w:beforeLines="30" w:before="108"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觀察近10年勞保被保險人人數之變動情形，由</w:t>
      </w:r>
      <w:r>
        <w:rPr>
          <w:rFonts w:ascii="微軟正黑體" w:eastAsia="微軟正黑體" w:hAnsi="微軟正黑體" w:hint="eastAsia"/>
        </w:rPr>
        <w:t>100</w:t>
      </w:r>
      <w:r w:rsidRPr="00F0717A">
        <w:rPr>
          <w:rFonts w:ascii="微軟正黑體" w:eastAsia="微軟正黑體" w:hAnsi="微軟正黑體" w:hint="eastAsia"/>
        </w:rPr>
        <w:t>年</w:t>
      </w:r>
      <w:r>
        <w:rPr>
          <w:rFonts w:ascii="微軟正黑體" w:eastAsia="微軟正黑體" w:hAnsi="微軟正黑體" w:hint="eastAsia"/>
        </w:rPr>
        <w:t>972.6</w:t>
      </w:r>
      <w:r w:rsidRPr="00F0717A">
        <w:rPr>
          <w:rFonts w:ascii="微軟正黑體" w:eastAsia="微軟正黑體" w:hAnsi="微軟正黑體" w:hint="eastAsia"/>
        </w:rPr>
        <w:t>萬人成長至10</w:t>
      </w:r>
      <w:r>
        <w:rPr>
          <w:rFonts w:ascii="微軟正黑體" w:eastAsia="微軟正黑體" w:hAnsi="微軟正黑體" w:hint="eastAsia"/>
        </w:rPr>
        <w:t>9</w:t>
      </w:r>
      <w:r w:rsidRPr="00F0717A">
        <w:rPr>
          <w:rFonts w:ascii="微軟正黑體" w:eastAsia="微軟正黑體" w:hAnsi="微軟正黑體" w:hint="eastAsia"/>
        </w:rPr>
        <w:t>年1,0</w:t>
      </w:r>
      <w:r>
        <w:rPr>
          <w:rFonts w:ascii="微軟正黑體" w:eastAsia="微軟正黑體" w:hAnsi="微軟正黑體" w:hint="eastAsia"/>
        </w:rPr>
        <w:t>55.5</w:t>
      </w:r>
      <w:r w:rsidRPr="00F0717A">
        <w:rPr>
          <w:rFonts w:ascii="微軟正黑體" w:eastAsia="微軟正黑體" w:hAnsi="微軟正黑體" w:hint="eastAsia"/>
        </w:rPr>
        <w:t>萬人，10年間增加了</w:t>
      </w:r>
      <w:r>
        <w:rPr>
          <w:rFonts w:ascii="微軟正黑體" w:eastAsia="微軟正黑體" w:hAnsi="微軟正黑體" w:hint="eastAsia"/>
        </w:rPr>
        <w:t>82.9</w:t>
      </w:r>
      <w:r w:rsidRPr="00F0717A">
        <w:rPr>
          <w:rFonts w:ascii="微軟正黑體" w:eastAsia="微軟正黑體" w:hAnsi="微軟正黑體" w:hint="eastAsia"/>
        </w:rPr>
        <w:t>萬人</w:t>
      </w:r>
      <w:r w:rsidRPr="00AE7B21">
        <w:rPr>
          <w:rFonts w:ascii="微軟正黑體" w:eastAsia="微軟正黑體" w:hAnsi="微軟正黑體" w:hint="eastAsia"/>
        </w:rPr>
        <w:t>。其中，</w:t>
      </w:r>
      <w:r>
        <w:rPr>
          <w:rFonts w:ascii="微軟正黑體" w:eastAsia="微軟正黑體" w:hAnsi="微軟正黑體" w:hint="eastAsia"/>
        </w:rPr>
        <w:t>以</w:t>
      </w:r>
      <w:r w:rsidRPr="00AE7B21">
        <w:rPr>
          <w:rFonts w:ascii="微軟正黑體" w:eastAsia="微軟正黑體" w:hAnsi="微軟正黑體" w:hint="eastAsia"/>
        </w:rPr>
        <w:t>「產業勞工</w:t>
      </w:r>
      <w:r w:rsidRPr="00F0717A">
        <w:rPr>
          <w:rFonts w:ascii="微軟正黑體" w:eastAsia="微軟正黑體" w:hAnsi="微軟正黑體" w:hint="eastAsia"/>
        </w:rPr>
        <w:t>及交通公用事業之員工」</w:t>
      </w:r>
      <w:r>
        <w:rPr>
          <w:rFonts w:ascii="微軟正黑體" w:eastAsia="微軟正黑體" w:hAnsi="微軟正黑體" w:hint="eastAsia"/>
        </w:rPr>
        <w:t>及「公司、行號之員工」</w:t>
      </w:r>
      <w:r w:rsidRPr="00F0717A">
        <w:rPr>
          <w:rFonts w:ascii="微軟正黑體" w:eastAsia="微軟正黑體" w:hAnsi="微軟正黑體" w:hint="eastAsia"/>
        </w:rPr>
        <w:t>兩類成長趨勢最明顯，10年間各增加</w:t>
      </w:r>
      <w:r>
        <w:rPr>
          <w:rFonts w:ascii="微軟正黑體" w:eastAsia="微軟正黑體" w:hAnsi="微軟正黑體" w:hint="eastAsia"/>
        </w:rPr>
        <w:t>56.6</w:t>
      </w:r>
      <w:r w:rsidRPr="00F0717A">
        <w:rPr>
          <w:rFonts w:ascii="微軟正黑體" w:eastAsia="微軟正黑體" w:hAnsi="微軟正黑體" w:hint="eastAsia"/>
        </w:rPr>
        <w:t>萬人及</w:t>
      </w:r>
      <w:r>
        <w:rPr>
          <w:rFonts w:ascii="微軟正黑體" w:eastAsia="微軟正黑體" w:hAnsi="微軟正黑體" w:hint="eastAsia"/>
        </w:rPr>
        <w:t>51.4</w:t>
      </w:r>
      <w:r w:rsidRPr="00F0717A">
        <w:rPr>
          <w:rFonts w:ascii="微軟正黑體" w:eastAsia="微軟正黑體" w:hAnsi="微軟正黑體" w:hint="eastAsia"/>
        </w:rPr>
        <w:t>萬人。</w:t>
      </w:r>
    </w:p>
    <w:p w:rsidR="00FB2640" w:rsidRPr="00F0717A" w:rsidRDefault="00FB2640" w:rsidP="00FB2640">
      <w:pPr>
        <w:pStyle w:val="af0"/>
        <w:spacing w:beforeLines="30" w:before="108" w:line="400" w:lineRule="exact"/>
        <w:ind w:leftChars="0" w:left="743"/>
        <w:jc w:val="both"/>
        <w:rPr>
          <w:rFonts w:ascii="微軟正黑體" w:eastAsia="微軟正黑體" w:hAnsi="微軟正黑體"/>
        </w:rPr>
      </w:pPr>
    </w:p>
    <w:p w:rsidR="00FB2640" w:rsidRPr="00F0717A" w:rsidRDefault="00FB2640" w:rsidP="00FB2640">
      <w:pPr>
        <w:pStyle w:val="af0"/>
        <w:spacing w:beforeLines="30" w:before="108" w:line="400" w:lineRule="exact"/>
        <w:ind w:leftChars="0" w:left="743"/>
        <w:jc w:val="both"/>
        <w:rPr>
          <w:rFonts w:ascii="微軟正黑體" w:eastAsia="微軟正黑體" w:hAnsi="微軟正黑體"/>
        </w:rPr>
      </w:pPr>
    </w:p>
    <w:p w:rsidR="00FB2640" w:rsidRPr="00F0717A" w:rsidRDefault="00FB2640" w:rsidP="00FB2640">
      <w:pPr>
        <w:pStyle w:val="af0"/>
        <w:spacing w:line="400" w:lineRule="exact"/>
        <w:rPr>
          <w:rFonts w:ascii="微軟正黑體" w:eastAsia="微軟正黑體" w:hAnsi="微軟正黑體"/>
        </w:rPr>
      </w:pPr>
    </w:p>
    <w:p w:rsidR="00FB2640" w:rsidRPr="00AE7B21" w:rsidRDefault="00FB2640" w:rsidP="00FB2640">
      <w:pPr>
        <w:pStyle w:val="af0"/>
        <w:spacing w:line="300" w:lineRule="exact"/>
        <w:rPr>
          <w:rFonts w:ascii="微軟正黑體" w:eastAsia="微軟正黑體" w:hAnsi="微軟正黑體"/>
          <w:sz w:val="20"/>
          <w:szCs w:val="20"/>
        </w:rPr>
      </w:pPr>
    </w:p>
    <w:p w:rsidR="00FB2640" w:rsidRPr="00F0717A" w:rsidRDefault="00FB2640" w:rsidP="00FB2640">
      <w:pPr>
        <w:pStyle w:val="af0"/>
        <w:spacing w:line="300" w:lineRule="exact"/>
        <w:rPr>
          <w:rFonts w:ascii="微軟正黑體" w:eastAsia="微軟正黑體" w:hAnsi="微軟正黑體"/>
          <w:sz w:val="20"/>
          <w:szCs w:val="20"/>
        </w:rPr>
      </w:pPr>
    </w:p>
    <w:p w:rsidR="00FB2640" w:rsidRPr="00F0717A" w:rsidRDefault="00FB2640" w:rsidP="00FB2640">
      <w:pPr>
        <w:spacing w:line="400" w:lineRule="exact"/>
        <w:rPr>
          <w:rFonts w:ascii="微軟正黑體" w:eastAsia="微軟正黑體" w:hAnsi="微軟正黑體"/>
        </w:rPr>
      </w:pPr>
      <w:r>
        <w:rPr>
          <w:noProof/>
        </w:rPr>
        <w:lastRenderedPageBreak/>
        <w:drawing>
          <wp:anchor distT="0" distB="0" distL="114300" distR="114300" simplePos="0" relativeHeight="252562432" behindDoc="0" locked="0" layoutInCell="1" allowOverlap="1" wp14:anchorId="78CEB9AD" wp14:editId="2DB62D11">
            <wp:simplePos x="0" y="0"/>
            <wp:positionH relativeFrom="column">
              <wp:posOffset>65194</wp:posOffset>
            </wp:positionH>
            <wp:positionV relativeFrom="paragraph">
              <wp:posOffset>8043</wp:posOffset>
            </wp:positionV>
            <wp:extent cx="5672666" cy="3242733"/>
            <wp:effectExtent l="0" t="0" r="23495" b="15240"/>
            <wp:wrapNone/>
            <wp:docPr id="122" name="圖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jc w:val="center"/>
        <w:rPr>
          <w:rFonts w:ascii="微軟正黑體" w:eastAsia="微軟正黑體" w:hAnsi="微軟正黑體"/>
        </w:rPr>
      </w:pPr>
      <w:r w:rsidRPr="00F0717A">
        <w:rPr>
          <w:rFonts w:ascii="微軟正黑體" w:eastAsia="微軟正黑體" w:hAnsi="微軟正黑體" w:hint="eastAsia"/>
        </w:rPr>
        <w:t>圖2.1  近10年勞保被保險人人數變動情形(按投保單位類別分)</w:t>
      </w:r>
      <w:r w:rsidRPr="00225372">
        <w:rPr>
          <w:noProof/>
        </w:rPr>
        <w:t xml:space="preserve"> </w:t>
      </w:r>
    </w:p>
    <w:p w:rsidR="00FB2640" w:rsidRPr="00F0717A" w:rsidRDefault="00FB2640" w:rsidP="00FB2640">
      <w:pPr>
        <w:spacing w:line="400" w:lineRule="exact"/>
        <w:jc w:val="center"/>
        <w:rPr>
          <w:rFonts w:ascii="微軟正黑體" w:eastAsia="微軟正黑體" w:hAnsi="微軟正黑體"/>
          <w:b/>
        </w:rPr>
      </w:pPr>
    </w:p>
    <w:p w:rsidR="00FB2640" w:rsidRPr="00F0717A" w:rsidRDefault="00FB2640" w:rsidP="00FB2640">
      <w:pPr>
        <w:snapToGrid w:val="0"/>
        <w:spacing w:beforeLines="50" w:before="180" w:afterLines="30" w:after="108" w:line="400" w:lineRule="exact"/>
        <w:jc w:val="center"/>
        <w:rPr>
          <w:rFonts w:ascii="微軟正黑體" w:eastAsia="微軟正黑體" w:hAnsi="微軟正黑體"/>
          <w:bCs/>
        </w:rPr>
      </w:pPr>
      <w:r>
        <w:rPr>
          <w:rFonts w:ascii="微軟正黑體" w:eastAsia="微軟正黑體" w:hAnsi="微軟正黑體" w:hint="eastAsia"/>
          <w:bCs/>
        </w:rPr>
        <w:t xml:space="preserve">  </w:t>
      </w:r>
      <w:r w:rsidRPr="00F0717A">
        <w:rPr>
          <w:rFonts w:ascii="微軟正黑體" w:eastAsia="微軟正黑體" w:hAnsi="微軟正黑體" w:hint="eastAsia"/>
          <w:bCs/>
        </w:rPr>
        <w:t xml:space="preserve">           表</w:t>
      </w:r>
      <w:r w:rsidRPr="00F0717A">
        <w:rPr>
          <w:rFonts w:ascii="微軟正黑體" w:eastAsia="微軟正黑體" w:hAnsi="微軟正黑體"/>
          <w:bCs/>
        </w:rPr>
        <w:t>2.2  10</w:t>
      </w:r>
      <w:r w:rsidRPr="004D4FB1">
        <w:rPr>
          <w:rFonts w:ascii="微軟正黑體" w:eastAsia="微軟正黑體" w:hAnsi="微軟正黑體" w:hint="eastAsia"/>
          <w:bCs/>
        </w:rPr>
        <w:t>9</w:t>
      </w:r>
      <w:r w:rsidRPr="00F0717A">
        <w:rPr>
          <w:rFonts w:ascii="微軟正黑體" w:eastAsia="微軟正黑體" w:hAnsi="微軟正黑體" w:hint="eastAsia"/>
          <w:bCs/>
        </w:rPr>
        <w:t>年勞保被保險人人數</w:t>
      </w:r>
      <w:r w:rsidRPr="00F0717A">
        <w:rPr>
          <w:rFonts w:ascii="微軟正黑體" w:eastAsia="微軟正黑體" w:hAnsi="微軟正黑體"/>
          <w:bCs/>
        </w:rPr>
        <w:t>(</w:t>
      </w:r>
      <w:r w:rsidRPr="00F0717A">
        <w:rPr>
          <w:rFonts w:ascii="微軟正黑體" w:eastAsia="微軟正黑體" w:hAnsi="微軟正黑體" w:hint="eastAsia"/>
          <w:bCs/>
        </w:rPr>
        <w:t>按投保單位類別分</w:t>
      </w:r>
      <w:r w:rsidRPr="00F0717A">
        <w:rPr>
          <w:rFonts w:ascii="微軟正黑體" w:eastAsia="微軟正黑體" w:hAnsi="微軟正黑體"/>
          <w:bCs/>
        </w:rPr>
        <w:t>)</w:t>
      </w:r>
      <w:r w:rsidRPr="00F0717A">
        <w:rPr>
          <w:rFonts w:ascii="微軟正黑體" w:eastAsia="微軟正黑體" w:hAnsi="微軟正黑體" w:hint="eastAsia"/>
          <w:bCs/>
        </w:rPr>
        <w:t xml:space="preserve">   </w:t>
      </w:r>
      <w:r>
        <w:rPr>
          <w:rFonts w:ascii="微軟正黑體" w:eastAsia="微軟正黑體" w:hAnsi="微軟正黑體" w:hint="eastAsia"/>
          <w:bCs/>
        </w:rPr>
        <w:t xml:space="preserve"> </w:t>
      </w:r>
      <w:r w:rsidRPr="00F0717A">
        <w:rPr>
          <w:rFonts w:ascii="微軟正黑體" w:eastAsia="微軟正黑體" w:hAnsi="微軟正黑體" w:hint="eastAsia"/>
          <w:bCs/>
          <w:sz w:val="20"/>
          <w:szCs w:val="20"/>
        </w:rPr>
        <w:t>單位：萬人</w:t>
      </w:r>
    </w:p>
    <w:tbl>
      <w:tblPr>
        <w:tblW w:w="908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8"/>
        <w:gridCol w:w="850"/>
        <w:gridCol w:w="851"/>
        <w:gridCol w:w="850"/>
        <w:gridCol w:w="851"/>
        <w:gridCol w:w="850"/>
        <w:gridCol w:w="822"/>
        <w:gridCol w:w="737"/>
        <w:gridCol w:w="709"/>
        <w:gridCol w:w="709"/>
        <w:gridCol w:w="850"/>
      </w:tblGrid>
      <w:tr w:rsidR="00FB2640" w:rsidRPr="00F0717A" w:rsidTr="008F1977">
        <w:trPr>
          <w:trHeight w:val="1809"/>
        </w:trPr>
        <w:tc>
          <w:tcPr>
            <w:tcW w:w="1008" w:type="dxa"/>
            <w:noWrap/>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B61562">
              <w:rPr>
                <w:rFonts w:ascii="微軟正黑體" w:eastAsia="微軟正黑體" w:hAnsi="微軟正黑體" w:hint="eastAsia"/>
                <w:sz w:val="22"/>
                <w:szCs w:val="22"/>
              </w:rPr>
              <w:t>投保單位類別</w:t>
            </w:r>
          </w:p>
        </w:tc>
        <w:tc>
          <w:tcPr>
            <w:tcW w:w="850" w:type="dxa"/>
            <w:shd w:val="clear" w:color="auto" w:fill="auto"/>
            <w:vAlign w:val="center"/>
            <w:hideMark/>
          </w:tcPr>
          <w:p w:rsidR="00FB2640" w:rsidRPr="00132DF4" w:rsidRDefault="00FB2640" w:rsidP="008F1977">
            <w:pPr>
              <w:widowControl/>
              <w:spacing w:line="300" w:lineRule="exact"/>
              <w:jc w:val="center"/>
              <w:rPr>
                <w:rFonts w:ascii="微軟正黑體" w:eastAsia="微軟正黑體" w:hAnsi="微軟正黑體"/>
                <w:sz w:val="22"/>
                <w:szCs w:val="22"/>
              </w:rPr>
            </w:pPr>
            <w:r w:rsidRPr="00132DF4">
              <w:rPr>
                <w:rFonts w:ascii="微軟正黑體" w:eastAsia="微軟正黑體" w:hAnsi="微軟正黑體" w:hint="eastAsia"/>
                <w:sz w:val="22"/>
                <w:szCs w:val="22"/>
              </w:rPr>
              <w:t>產業勞工及交通公用事業之員工</w:t>
            </w:r>
          </w:p>
        </w:tc>
        <w:tc>
          <w:tcPr>
            <w:tcW w:w="851" w:type="dxa"/>
            <w:shd w:val="clear" w:color="auto" w:fill="auto"/>
            <w:vAlign w:val="center"/>
            <w:hideMark/>
          </w:tcPr>
          <w:p w:rsidR="00FB2640" w:rsidRPr="00132DF4" w:rsidRDefault="00FB2640" w:rsidP="008F1977">
            <w:pPr>
              <w:widowControl/>
              <w:spacing w:line="300" w:lineRule="exact"/>
              <w:jc w:val="center"/>
              <w:rPr>
                <w:rFonts w:ascii="微軟正黑體" w:eastAsia="微軟正黑體" w:hAnsi="微軟正黑體"/>
                <w:sz w:val="22"/>
                <w:szCs w:val="22"/>
              </w:rPr>
            </w:pPr>
            <w:r w:rsidRPr="00132DF4">
              <w:rPr>
                <w:rFonts w:ascii="微軟正黑體" w:eastAsia="微軟正黑體" w:hAnsi="微軟正黑體" w:hint="eastAsia"/>
                <w:sz w:val="22"/>
                <w:szCs w:val="22"/>
              </w:rPr>
              <w:t>公司、 行號之  員工</w:t>
            </w:r>
          </w:p>
        </w:tc>
        <w:tc>
          <w:tcPr>
            <w:tcW w:w="850" w:type="dxa"/>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新聞、文化、公益及合作事業之員工</w:t>
            </w:r>
          </w:p>
        </w:tc>
        <w:tc>
          <w:tcPr>
            <w:tcW w:w="851" w:type="dxa"/>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政府機關及公、私立學校之員工</w:t>
            </w:r>
          </w:p>
        </w:tc>
        <w:tc>
          <w:tcPr>
            <w:tcW w:w="850" w:type="dxa"/>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受僱從事漁業生產之勞動者</w:t>
            </w:r>
          </w:p>
        </w:tc>
        <w:tc>
          <w:tcPr>
            <w:tcW w:w="822" w:type="dxa"/>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職業訓練機構接受訓練者</w:t>
            </w:r>
          </w:p>
        </w:tc>
        <w:tc>
          <w:tcPr>
            <w:tcW w:w="737" w:type="dxa"/>
            <w:shd w:val="clear" w:color="auto" w:fill="auto"/>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職業</w:t>
            </w:r>
          </w:p>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勞工</w:t>
            </w:r>
          </w:p>
        </w:tc>
        <w:tc>
          <w:tcPr>
            <w:tcW w:w="709" w:type="dxa"/>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漁會之甲類會員</w:t>
            </w:r>
          </w:p>
        </w:tc>
        <w:tc>
          <w:tcPr>
            <w:tcW w:w="709" w:type="dxa"/>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自願投保者</w:t>
            </w:r>
          </w:p>
        </w:tc>
        <w:tc>
          <w:tcPr>
            <w:tcW w:w="850" w:type="dxa"/>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總計</w:t>
            </w:r>
          </w:p>
        </w:tc>
      </w:tr>
      <w:tr w:rsidR="00FB2640" w:rsidRPr="00F0717A" w:rsidTr="008F1977">
        <w:trPr>
          <w:trHeight w:val="559"/>
        </w:trPr>
        <w:tc>
          <w:tcPr>
            <w:tcW w:w="1008" w:type="dxa"/>
            <w:vAlign w:val="center"/>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人數</w:t>
            </w:r>
          </w:p>
        </w:tc>
        <w:tc>
          <w:tcPr>
            <w:tcW w:w="850" w:type="dxa"/>
            <w:shd w:val="clear" w:color="auto" w:fill="auto"/>
            <w:noWrap/>
            <w:vAlign w:val="center"/>
          </w:tcPr>
          <w:p w:rsidR="00FB2640" w:rsidRPr="00E47787" w:rsidRDefault="00FB2640" w:rsidP="008F1977">
            <w:pPr>
              <w:jc w:val="right"/>
              <w:rPr>
                <w:rFonts w:ascii="微軟正黑體" w:eastAsia="微軟正黑體" w:hAnsi="微軟正黑體" w:cs="新細明體"/>
                <w:b/>
                <w:sz w:val="22"/>
                <w:szCs w:val="22"/>
              </w:rPr>
            </w:pPr>
            <w:r w:rsidRPr="00E47787">
              <w:rPr>
                <w:rFonts w:ascii="微軟正黑體" w:eastAsia="微軟正黑體" w:hAnsi="微軟正黑體" w:hint="eastAsia"/>
                <w:b/>
                <w:sz w:val="22"/>
                <w:szCs w:val="22"/>
              </w:rPr>
              <w:t xml:space="preserve">334.0 </w:t>
            </w:r>
          </w:p>
        </w:tc>
        <w:tc>
          <w:tcPr>
            <w:tcW w:w="851" w:type="dxa"/>
            <w:shd w:val="clear" w:color="auto" w:fill="auto"/>
            <w:vAlign w:val="center"/>
          </w:tcPr>
          <w:p w:rsidR="00FB2640" w:rsidRPr="00E47787" w:rsidRDefault="00FB2640" w:rsidP="008F1977">
            <w:pPr>
              <w:jc w:val="right"/>
              <w:rPr>
                <w:rFonts w:ascii="微軟正黑體" w:eastAsia="微軟正黑體" w:hAnsi="微軟正黑體" w:cs="新細明體"/>
                <w:b/>
                <w:sz w:val="22"/>
                <w:szCs w:val="22"/>
              </w:rPr>
            </w:pPr>
            <w:r w:rsidRPr="00E47787">
              <w:rPr>
                <w:rFonts w:ascii="微軟正黑體" w:eastAsia="微軟正黑體" w:hAnsi="微軟正黑體" w:hint="eastAsia"/>
                <w:b/>
                <w:sz w:val="22"/>
                <w:szCs w:val="22"/>
              </w:rPr>
              <w:t xml:space="preserve">359.0 </w:t>
            </w:r>
          </w:p>
        </w:tc>
        <w:tc>
          <w:tcPr>
            <w:tcW w:w="850" w:type="dxa"/>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36.3 </w:t>
            </w:r>
          </w:p>
        </w:tc>
        <w:tc>
          <w:tcPr>
            <w:tcW w:w="851" w:type="dxa"/>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46.3 </w:t>
            </w:r>
          </w:p>
        </w:tc>
        <w:tc>
          <w:tcPr>
            <w:tcW w:w="850" w:type="dxa"/>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0.6 </w:t>
            </w:r>
          </w:p>
        </w:tc>
        <w:tc>
          <w:tcPr>
            <w:tcW w:w="822" w:type="dxa"/>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0.9 </w:t>
            </w:r>
          </w:p>
        </w:tc>
        <w:tc>
          <w:tcPr>
            <w:tcW w:w="737" w:type="dxa"/>
            <w:shd w:val="clear" w:color="auto" w:fill="auto"/>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206.9 </w:t>
            </w:r>
          </w:p>
        </w:tc>
        <w:tc>
          <w:tcPr>
            <w:tcW w:w="709" w:type="dxa"/>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26.0 </w:t>
            </w:r>
          </w:p>
        </w:tc>
        <w:tc>
          <w:tcPr>
            <w:tcW w:w="709" w:type="dxa"/>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45.4 </w:t>
            </w:r>
          </w:p>
        </w:tc>
        <w:tc>
          <w:tcPr>
            <w:tcW w:w="850" w:type="dxa"/>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1,055.5 </w:t>
            </w:r>
          </w:p>
        </w:tc>
      </w:tr>
      <w:tr w:rsidR="00FB2640" w:rsidRPr="00F0717A" w:rsidTr="008F1977">
        <w:trPr>
          <w:trHeight w:val="525"/>
        </w:trPr>
        <w:tc>
          <w:tcPr>
            <w:tcW w:w="1008" w:type="dxa"/>
            <w:tcBorders>
              <w:bottom w:val="double" w:sz="2" w:space="0" w:color="auto"/>
            </w:tcBorders>
            <w:noWrap/>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占比</w:t>
            </w:r>
          </w:p>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w:t>
            </w:r>
          </w:p>
        </w:tc>
        <w:tc>
          <w:tcPr>
            <w:tcW w:w="850" w:type="dxa"/>
            <w:tcBorders>
              <w:bottom w:val="double" w:sz="2" w:space="0" w:color="auto"/>
            </w:tcBorders>
            <w:shd w:val="clear" w:color="auto" w:fill="auto"/>
            <w:noWrap/>
            <w:vAlign w:val="center"/>
          </w:tcPr>
          <w:p w:rsidR="00FB2640" w:rsidRPr="00E47787" w:rsidRDefault="00FB2640" w:rsidP="008F1977">
            <w:pPr>
              <w:jc w:val="right"/>
              <w:rPr>
                <w:rFonts w:ascii="微軟正黑體" w:eastAsia="微軟正黑體" w:hAnsi="微軟正黑體" w:cs="新細明體"/>
                <w:b/>
                <w:sz w:val="22"/>
                <w:szCs w:val="22"/>
              </w:rPr>
            </w:pPr>
            <w:r w:rsidRPr="00E47787">
              <w:rPr>
                <w:rFonts w:ascii="微軟正黑體" w:eastAsia="微軟正黑體" w:hAnsi="微軟正黑體" w:hint="eastAsia"/>
                <w:b/>
                <w:sz w:val="22"/>
                <w:szCs w:val="22"/>
              </w:rPr>
              <w:t xml:space="preserve">31.6 </w:t>
            </w:r>
          </w:p>
        </w:tc>
        <w:tc>
          <w:tcPr>
            <w:tcW w:w="851" w:type="dxa"/>
            <w:tcBorders>
              <w:bottom w:val="double" w:sz="2" w:space="0" w:color="auto"/>
            </w:tcBorders>
            <w:shd w:val="clear" w:color="auto" w:fill="auto"/>
            <w:noWrap/>
            <w:vAlign w:val="center"/>
          </w:tcPr>
          <w:p w:rsidR="00FB2640" w:rsidRPr="00E47787" w:rsidRDefault="00FB2640" w:rsidP="008F1977">
            <w:pPr>
              <w:jc w:val="right"/>
              <w:rPr>
                <w:rFonts w:ascii="微軟正黑體" w:eastAsia="微軟正黑體" w:hAnsi="微軟正黑體" w:cs="新細明體"/>
                <w:b/>
                <w:sz w:val="22"/>
                <w:szCs w:val="22"/>
              </w:rPr>
            </w:pPr>
            <w:r w:rsidRPr="00E47787">
              <w:rPr>
                <w:rFonts w:ascii="微軟正黑體" w:eastAsia="微軟正黑體" w:hAnsi="微軟正黑體" w:hint="eastAsia"/>
                <w:b/>
                <w:sz w:val="22"/>
                <w:szCs w:val="22"/>
              </w:rPr>
              <w:t xml:space="preserve">34.0 </w:t>
            </w:r>
          </w:p>
        </w:tc>
        <w:tc>
          <w:tcPr>
            <w:tcW w:w="850" w:type="dxa"/>
            <w:tcBorders>
              <w:bottom w:val="double" w:sz="2" w:space="0" w:color="auto"/>
            </w:tcBorders>
            <w:noWrap/>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3.4 </w:t>
            </w:r>
          </w:p>
        </w:tc>
        <w:tc>
          <w:tcPr>
            <w:tcW w:w="851" w:type="dxa"/>
            <w:tcBorders>
              <w:bottom w:val="double" w:sz="2" w:space="0" w:color="auto"/>
            </w:tcBorders>
            <w:noWrap/>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4.4 </w:t>
            </w:r>
          </w:p>
        </w:tc>
        <w:tc>
          <w:tcPr>
            <w:tcW w:w="850" w:type="dxa"/>
            <w:tcBorders>
              <w:bottom w:val="double" w:sz="2" w:space="0" w:color="auto"/>
            </w:tcBorders>
            <w:noWrap/>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0.1 </w:t>
            </w:r>
          </w:p>
        </w:tc>
        <w:tc>
          <w:tcPr>
            <w:tcW w:w="822" w:type="dxa"/>
            <w:tcBorders>
              <w:bottom w:val="double" w:sz="2" w:space="0" w:color="auto"/>
            </w:tcBorders>
            <w:noWrap/>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0.1 </w:t>
            </w:r>
          </w:p>
        </w:tc>
        <w:tc>
          <w:tcPr>
            <w:tcW w:w="737" w:type="dxa"/>
            <w:tcBorders>
              <w:bottom w:val="double" w:sz="2" w:space="0" w:color="auto"/>
            </w:tcBorders>
            <w:shd w:val="clear" w:color="auto" w:fill="auto"/>
            <w:noWrap/>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19.6 </w:t>
            </w:r>
          </w:p>
        </w:tc>
        <w:tc>
          <w:tcPr>
            <w:tcW w:w="709" w:type="dxa"/>
            <w:tcBorders>
              <w:bottom w:val="double" w:sz="2" w:space="0" w:color="auto"/>
            </w:tcBorders>
            <w:noWrap/>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2.5 </w:t>
            </w:r>
          </w:p>
        </w:tc>
        <w:tc>
          <w:tcPr>
            <w:tcW w:w="709" w:type="dxa"/>
            <w:tcBorders>
              <w:bottom w:val="double" w:sz="2" w:space="0" w:color="auto"/>
            </w:tcBorders>
            <w:noWrap/>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4.3 </w:t>
            </w:r>
          </w:p>
        </w:tc>
        <w:tc>
          <w:tcPr>
            <w:tcW w:w="850" w:type="dxa"/>
            <w:tcBorders>
              <w:bottom w:val="double" w:sz="2" w:space="0" w:color="auto"/>
            </w:tcBorders>
            <w:noWrap/>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100.0 </w:t>
            </w:r>
          </w:p>
        </w:tc>
      </w:tr>
      <w:tr w:rsidR="00FB2640" w:rsidRPr="00F0717A" w:rsidTr="008F1977">
        <w:trPr>
          <w:trHeight w:val="690"/>
        </w:trPr>
        <w:tc>
          <w:tcPr>
            <w:tcW w:w="1008" w:type="dxa"/>
            <w:tcBorders>
              <w:top w:val="double" w:sz="2" w:space="0" w:color="auto"/>
            </w:tcBorders>
            <w:vAlign w:val="center"/>
            <w:hideMark/>
          </w:tcPr>
          <w:p w:rsidR="00FB2640" w:rsidRPr="00F0717A" w:rsidRDefault="00FB2640" w:rsidP="008F1977">
            <w:pPr>
              <w:widowControl/>
              <w:spacing w:line="300" w:lineRule="exact"/>
              <w:jc w:val="both"/>
              <w:rPr>
                <w:rFonts w:ascii="微軟正黑體" w:eastAsia="微軟正黑體" w:hAnsi="微軟正黑體"/>
                <w:sz w:val="22"/>
                <w:szCs w:val="22"/>
              </w:rPr>
            </w:pPr>
            <w:r w:rsidRPr="00F0717A">
              <w:rPr>
                <w:rFonts w:ascii="微軟正黑體" w:eastAsia="微軟正黑體" w:hAnsi="微軟正黑體" w:hint="eastAsia"/>
                <w:sz w:val="22"/>
                <w:szCs w:val="22"/>
              </w:rPr>
              <w:t>較</w:t>
            </w:r>
            <w:r>
              <w:rPr>
                <w:rFonts w:ascii="微軟正黑體" w:eastAsia="微軟正黑體" w:hAnsi="微軟正黑體" w:hint="eastAsia"/>
                <w:sz w:val="22"/>
                <w:szCs w:val="22"/>
              </w:rPr>
              <w:t>100</w:t>
            </w:r>
            <w:r w:rsidRPr="00F0717A">
              <w:rPr>
                <w:rFonts w:ascii="微軟正黑體" w:eastAsia="微軟正黑體" w:hAnsi="微軟正黑體" w:hint="eastAsia"/>
                <w:sz w:val="22"/>
                <w:szCs w:val="22"/>
              </w:rPr>
              <w:t>年增減人數</w:t>
            </w:r>
          </w:p>
        </w:tc>
        <w:tc>
          <w:tcPr>
            <w:tcW w:w="850" w:type="dxa"/>
            <w:tcBorders>
              <w:top w:val="double" w:sz="2" w:space="0" w:color="auto"/>
            </w:tcBorders>
            <w:noWrap/>
            <w:vAlign w:val="center"/>
          </w:tcPr>
          <w:p w:rsidR="00FB2640" w:rsidRPr="004D4FB1" w:rsidRDefault="00FB2640" w:rsidP="008F1977">
            <w:pPr>
              <w:jc w:val="right"/>
              <w:rPr>
                <w:rFonts w:ascii="微軟正黑體" w:eastAsia="微軟正黑體" w:hAnsi="微軟正黑體" w:cs="新細明體"/>
                <w:sz w:val="22"/>
                <w:szCs w:val="22"/>
              </w:rPr>
            </w:pPr>
            <w:r w:rsidRPr="004D4FB1">
              <w:rPr>
                <w:rFonts w:ascii="微軟正黑體" w:eastAsia="微軟正黑體" w:hAnsi="微軟正黑體" w:hint="eastAsia"/>
                <w:sz w:val="22"/>
                <w:szCs w:val="22"/>
              </w:rPr>
              <w:t xml:space="preserve">56.6 </w:t>
            </w:r>
          </w:p>
        </w:tc>
        <w:tc>
          <w:tcPr>
            <w:tcW w:w="851" w:type="dxa"/>
            <w:tcBorders>
              <w:top w:val="double" w:sz="2" w:space="0" w:color="auto"/>
            </w:tcBorders>
            <w:vAlign w:val="center"/>
          </w:tcPr>
          <w:p w:rsidR="00FB2640" w:rsidRPr="004D4FB1" w:rsidRDefault="00FB2640" w:rsidP="008F1977">
            <w:pPr>
              <w:jc w:val="right"/>
              <w:rPr>
                <w:rFonts w:ascii="微軟正黑體" w:eastAsia="微軟正黑體" w:hAnsi="微軟正黑體" w:cs="新細明體"/>
                <w:sz w:val="22"/>
                <w:szCs w:val="22"/>
              </w:rPr>
            </w:pPr>
            <w:r w:rsidRPr="004D4FB1">
              <w:rPr>
                <w:rFonts w:ascii="微軟正黑體" w:eastAsia="微軟正黑體" w:hAnsi="微軟正黑體" w:hint="eastAsia"/>
                <w:sz w:val="22"/>
                <w:szCs w:val="22"/>
              </w:rPr>
              <w:t xml:space="preserve">51.4 </w:t>
            </w:r>
          </w:p>
        </w:tc>
        <w:tc>
          <w:tcPr>
            <w:tcW w:w="850" w:type="dxa"/>
            <w:tcBorders>
              <w:top w:val="double" w:sz="2" w:space="0" w:color="auto"/>
            </w:tcBorders>
            <w:vAlign w:val="center"/>
          </w:tcPr>
          <w:p w:rsidR="00FB2640" w:rsidRPr="004D4FB1" w:rsidRDefault="00FB2640" w:rsidP="008F1977">
            <w:pPr>
              <w:jc w:val="right"/>
              <w:rPr>
                <w:rFonts w:ascii="微軟正黑體" w:eastAsia="微軟正黑體" w:hAnsi="微軟正黑體" w:cs="新細明體"/>
                <w:sz w:val="22"/>
                <w:szCs w:val="22"/>
              </w:rPr>
            </w:pPr>
            <w:r w:rsidRPr="004D4FB1">
              <w:rPr>
                <w:rFonts w:ascii="微軟正黑體" w:eastAsia="微軟正黑體" w:hAnsi="微軟正黑體" w:hint="eastAsia"/>
                <w:sz w:val="22"/>
                <w:szCs w:val="22"/>
              </w:rPr>
              <w:t xml:space="preserve">9.7 </w:t>
            </w:r>
          </w:p>
        </w:tc>
        <w:tc>
          <w:tcPr>
            <w:tcW w:w="851" w:type="dxa"/>
            <w:tcBorders>
              <w:top w:val="double" w:sz="2" w:space="0" w:color="auto"/>
            </w:tcBorders>
            <w:vAlign w:val="center"/>
          </w:tcPr>
          <w:p w:rsidR="00FB2640" w:rsidRPr="004D4FB1" w:rsidRDefault="00FB2640" w:rsidP="008F1977">
            <w:pPr>
              <w:jc w:val="right"/>
              <w:rPr>
                <w:rFonts w:ascii="微軟正黑體" w:eastAsia="微軟正黑體" w:hAnsi="微軟正黑體" w:cs="新細明體"/>
                <w:sz w:val="22"/>
                <w:szCs w:val="22"/>
              </w:rPr>
            </w:pPr>
            <w:r w:rsidRPr="004D4FB1">
              <w:rPr>
                <w:rFonts w:ascii="微軟正黑體" w:eastAsia="微軟正黑體" w:hAnsi="微軟正黑體" w:hint="eastAsia"/>
                <w:sz w:val="22"/>
                <w:szCs w:val="22"/>
              </w:rPr>
              <w:t xml:space="preserve">7.9 </w:t>
            </w:r>
          </w:p>
        </w:tc>
        <w:tc>
          <w:tcPr>
            <w:tcW w:w="850" w:type="dxa"/>
            <w:tcBorders>
              <w:top w:val="double" w:sz="2" w:space="0" w:color="auto"/>
            </w:tcBorders>
            <w:vAlign w:val="center"/>
          </w:tcPr>
          <w:p w:rsidR="00FB2640" w:rsidRPr="004D4FB1" w:rsidRDefault="00FB2640" w:rsidP="008F1977">
            <w:pPr>
              <w:jc w:val="right"/>
              <w:rPr>
                <w:rFonts w:ascii="微軟正黑體" w:eastAsia="微軟正黑體" w:hAnsi="微軟正黑體" w:cs="新細明體"/>
                <w:sz w:val="22"/>
                <w:szCs w:val="22"/>
              </w:rPr>
            </w:pPr>
            <w:r w:rsidRPr="004D4FB1">
              <w:rPr>
                <w:rFonts w:ascii="微軟正黑體" w:eastAsia="微軟正黑體" w:hAnsi="微軟正黑體" w:hint="eastAsia"/>
                <w:sz w:val="22"/>
                <w:szCs w:val="22"/>
              </w:rPr>
              <w:t xml:space="preserve">0.4 </w:t>
            </w:r>
          </w:p>
        </w:tc>
        <w:tc>
          <w:tcPr>
            <w:tcW w:w="822" w:type="dxa"/>
            <w:tcBorders>
              <w:top w:val="double" w:sz="2" w:space="0" w:color="auto"/>
            </w:tcBorders>
            <w:vAlign w:val="center"/>
          </w:tcPr>
          <w:p w:rsidR="00FB2640" w:rsidRPr="004D4FB1" w:rsidRDefault="00FB2640" w:rsidP="008F1977">
            <w:pPr>
              <w:jc w:val="right"/>
              <w:rPr>
                <w:rFonts w:ascii="微軟正黑體" w:eastAsia="微軟正黑體" w:hAnsi="微軟正黑體" w:cs="新細明體"/>
                <w:sz w:val="22"/>
                <w:szCs w:val="22"/>
              </w:rPr>
            </w:pPr>
            <w:r w:rsidRPr="004D4FB1">
              <w:rPr>
                <w:rFonts w:ascii="微軟正黑體" w:eastAsia="微軟正黑體" w:hAnsi="微軟正黑體" w:hint="eastAsia"/>
                <w:sz w:val="22"/>
                <w:szCs w:val="22"/>
              </w:rPr>
              <w:t xml:space="preserve">0.2 </w:t>
            </w:r>
          </w:p>
        </w:tc>
        <w:tc>
          <w:tcPr>
            <w:tcW w:w="737" w:type="dxa"/>
            <w:tcBorders>
              <w:top w:val="double" w:sz="2" w:space="0" w:color="auto"/>
            </w:tcBorders>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-48.9 </w:t>
            </w:r>
          </w:p>
        </w:tc>
        <w:tc>
          <w:tcPr>
            <w:tcW w:w="709" w:type="dxa"/>
            <w:tcBorders>
              <w:top w:val="double" w:sz="2" w:space="0" w:color="auto"/>
            </w:tcBorders>
            <w:vAlign w:val="center"/>
          </w:tcPr>
          <w:p w:rsidR="00FB2640" w:rsidRPr="009B3C57" w:rsidRDefault="00FB2640" w:rsidP="008F1977">
            <w:pPr>
              <w:jc w:val="right"/>
              <w:rPr>
                <w:rFonts w:ascii="微軟正黑體" w:eastAsia="微軟正黑體" w:hAnsi="微軟正黑體" w:cs="新細明體"/>
                <w:sz w:val="22"/>
                <w:szCs w:val="22"/>
              </w:rPr>
            </w:pPr>
            <w:r w:rsidRPr="009B3C57">
              <w:rPr>
                <w:rFonts w:ascii="微軟正黑體" w:eastAsia="微軟正黑體" w:hAnsi="微軟正黑體" w:hint="eastAsia"/>
                <w:sz w:val="22"/>
                <w:szCs w:val="22"/>
              </w:rPr>
              <w:t xml:space="preserve">-3.7 </w:t>
            </w:r>
          </w:p>
        </w:tc>
        <w:tc>
          <w:tcPr>
            <w:tcW w:w="709" w:type="dxa"/>
            <w:tcBorders>
              <w:top w:val="double" w:sz="2" w:space="0" w:color="auto"/>
            </w:tcBorders>
            <w:vAlign w:val="center"/>
          </w:tcPr>
          <w:p w:rsidR="00FB2640" w:rsidRPr="004D4FB1" w:rsidRDefault="00FB2640" w:rsidP="008F1977">
            <w:pPr>
              <w:jc w:val="right"/>
              <w:rPr>
                <w:rFonts w:ascii="微軟正黑體" w:eastAsia="微軟正黑體" w:hAnsi="微軟正黑體" w:cs="新細明體"/>
                <w:sz w:val="22"/>
                <w:szCs w:val="22"/>
              </w:rPr>
            </w:pPr>
            <w:r w:rsidRPr="004D4FB1">
              <w:rPr>
                <w:rFonts w:ascii="微軟正黑體" w:eastAsia="微軟正黑體" w:hAnsi="微軟正黑體" w:hint="eastAsia"/>
                <w:sz w:val="22"/>
                <w:szCs w:val="22"/>
              </w:rPr>
              <w:t xml:space="preserve">9.2 </w:t>
            </w:r>
          </w:p>
        </w:tc>
        <w:tc>
          <w:tcPr>
            <w:tcW w:w="850" w:type="dxa"/>
            <w:tcBorders>
              <w:top w:val="double" w:sz="2" w:space="0" w:color="auto"/>
            </w:tcBorders>
            <w:vAlign w:val="center"/>
          </w:tcPr>
          <w:p w:rsidR="00FB2640" w:rsidRPr="004D4FB1" w:rsidRDefault="00FB2640" w:rsidP="008F1977">
            <w:pPr>
              <w:jc w:val="right"/>
              <w:rPr>
                <w:rFonts w:ascii="微軟正黑體" w:eastAsia="微軟正黑體" w:hAnsi="微軟正黑體" w:cs="新細明體"/>
                <w:sz w:val="22"/>
                <w:szCs w:val="22"/>
              </w:rPr>
            </w:pPr>
            <w:r w:rsidRPr="004D4FB1">
              <w:rPr>
                <w:rFonts w:ascii="微軟正黑體" w:eastAsia="微軟正黑體" w:hAnsi="微軟正黑體" w:hint="eastAsia"/>
                <w:sz w:val="22"/>
                <w:szCs w:val="22"/>
              </w:rPr>
              <w:t xml:space="preserve">82.9 </w:t>
            </w:r>
          </w:p>
        </w:tc>
      </w:tr>
    </w:tbl>
    <w:p w:rsidR="00FB2640" w:rsidRPr="00F0717A" w:rsidRDefault="00FB2640" w:rsidP="00FB2640">
      <w:pPr>
        <w:spacing w:line="400" w:lineRule="exact"/>
        <w:rPr>
          <w:rFonts w:ascii="微軟正黑體" w:eastAsia="微軟正黑體" w:hAnsi="微軟正黑體"/>
        </w:rPr>
      </w:pPr>
    </w:p>
    <w:p w:rsidR="00FB2640" w:rsidRPr="00DB0397" w:rsidRDefault="00FB2640" w:rsidP="00FB2640">
      <w:pPr>
        <w:pStyle w:val="af0"/>
        <w:numPr>
          <w:ilvl w:val="1"/>
          <w:numId w:val="18"/>
        </w:numPr>
        <w:adjustRightInd w:val="0"/>
        <w:spacing w:line="400" w:lineRule="exact"/>
        <w:ind w:leftChars="0" w:left="709"/>
        <w:textAlignment w:val="baseline"/>
        <w:rPr>
          <w:rFonts w:ascii="微軟正黑體" w:eastAsia="微軟正黑體" w:hAnsi="微軟正黑體"/>
        </w:rPr>
      </w:pPr>
      <w:r w:rsidRPr="00DB0397">
        <w:rPr>
          <w:rFonts w:ascii="微軟正黑體" w:eastAsia="微軟正黑體" w:hAnsi="微軟正黑體" w:hint="eastAsia"/>
        </w:rPr>
        <w:t>被保險人人數(按</w:t>
      </w:r>
      <w:r w:rsidRPr="000723C5">
        <w:rPr>
          <w:rFonts w:ascii="微軟正黑體" w:eastAsia="微軟正黑體" w:hAnsi="微軟正黑體"/>
        </w:rPr>
        <w:t>投保單位</w:t>
      </w:r>
      <w:r w:rsidRPr="00DB0397">
        <w:rPr>
          <w:rFonts w:ascii="微軟正黑體" w:eastAsia="微軟正黑體" w:hAnsi="微軟正黑體" w:hint="eastAsia"/>
        </w:rPr>
        <w:t>行業別分)</w:t>
      </w:r>
    </w:p>
    <w:p w:rsidR="00FB2640" w:rsidRPr="00F0717A" w:rsidRDefault="00FB2640" w:rsidP="00FB2640">
      <w:pPr>
        <w:pStyle w:val="af0"/>
        <w:spacing w:beforeLines="30" w:before="108" w:line="400" w:lineRule="exact"/>
        <w:ind w:leftChars="0" w:left="743"/>
        <w:rPr>
          <w:rFonts w:ascii="微軟正黑體" w:eastAsia="微軟正黑體" w:hAnsi="微軟正黑體"/>
        </w:rPr>
      </w:pPr>
      <w:r w:rsidRPr="00F0717A">
        <w:rPr>
          <w:rFonts w:ascii="微軟正黑體" w:eastAsia="微軟正黑體" w:hAnsi="微軟正黑體" w:hint="eastAsia"/>
        </w:rPr>
        <w:t xml:space="preserve">    依據行政院主計總</w:t>
      </w:r>
      <w:r w:rsidRPr="009B3C57">
        <w:rPr>
          <w:rFonts w:ascii="微軟正黑體" w:eastAsia="微軟正黑體" w:hAnsi="微軟正黑體" w:hint="eastAsia"/>
        </w:rPr>
        <w:t>處10</w:t>
      </w:r>
      <w:r>
        <w:rPr>
          <w:rFonts w:ascii="微軟正黑體" w:eastAsia="微軟正黑體" w:hAnsi="微軟正黑體" w:hint="eastAsia"/>
          <w:bCs/>
        </w:rPr>
        <w:t>5</w:t>
      </w:r>
      <w:r w:rsidRPr="00F0717A">
        <w:rPr>
          <w:rFonts w:ascii="微軟正黑體" w:eastAsia="微軟正黑體" w:hAnsi="微軟正黑體" w:hint="eastAsia"/>
        </w:rPr>
        <w:t>年修訂之19大行業別觀之，</w:t>
      </w:r>
      <w:r>
        <w:rPr>
          <w:rFonts w:ascii="微軟正黑體" w:eastAsia="微軟正黑體" w:hAnsi="微軟正黑體" w:hint="eastAsia"/>
        </w:rPr>
        <w:t>109年</w:t>
      </w:r>
      <w:r w:rsidRPr="00F0717A">
        <w:rPr>
          <w:rFonts w:ascii="微軟正黑體" w:eastAsia="微軟正黑體" w:hAnsi="微軟正黑體" w:hint="eastAsia"/>
        </w:rPr>
        <w:t>「製造業」被保險人最多，達31</w:t>
      </w:r>
      <w:r>
        <w:rPr>
          <w:rFonts w:ascii="微軟正黑體" w:eastAsia="微軟正黑體" w:hAnsi="微軟正黑體" w:hint="eastAsia"/>
        </w:rPr>
        <w:t>5.2</w:t>
      </w:r>
      <w:r w:rsidRPr="00F0717A">
        <w:rPr>
          <w:rFonts w:ascii="微軟正黑體" w:eastAsia="微軟正黑體" w:hAnsi="微軟正黑體" w:hint="eastAsia"/>
        </w:rPr>
        <w:t>萬人，「批發及零售業」1</w:t>
      </w:r>
      <w:r>
        <w:rPr>
          <w:rFonts w:ascii="微軟正黑體" w:eastAsia="微軟正黑體" w:hAnsi="微軟正黑體" w:hint="eastAsia"/>
        </w:rPr>
        <w:t>85.3</w:t>
      </w:r>
      <w:r w:rsidRPr="00F0717A">
        <w:rPr>
          <w:rFonts w:ascii="微軟正黑體" w:eastAsia="微軟正黑體" w:hAnsi="微軟正黑體" w:hint="eastAsia"/>
        </w:rPr>
        <w:t>萬人次之；而</w:t>
      </w:r>
      <w:r>
        <w:rPr>
          <w:rFonts w:ascii="微軟正黑體" w:eastAsia="微軟正黑體" w:hAnsi="微軟正黑體" w:hint="eastAsia"/>
        </w:rPr>
        <w:t>被保險人人數最少的係</w:t>
      </w:r>
      <w:r w:rsidRPr="00F0717A">
        <w:rPr>
          <w:rFonts w:ascii="微軟正黑體" w:eastAsia="微軟正黑體" w:hAnsi="微軟正黑體" w:hint="eastAsia"/>
        </w:rPr>
        <w:t>「礦業及土石採取業」</w:t>
      </w:r>
      <w:r>
        <w:rPr>
          <w:rFonts w:ascii="微軟正黑體" w:eastAsia="微軟正黑體" w:hAnsi="微軟正黑體" w:hint="eastAsia"/>
        </w:rPr>
        <w:t>及「電力及燃氣供應業」</w:t>
      </w:r>
      <w:r w:rsidRPr="00F0717A">
        <w:rPr>
          <w:rFonts w:ascii="微軟正黑體" w:eastAsia="微軟正黑體" w:hAnsi="微軟正黑體" w:hint="eastAsia"/>
        </w:rPr>
        <w:t>，均未</w:t>
      </w:r>
      <w:r>
        <w:rPr>
          <w:rFonts w:ascii="微軟正黑體" w:eastAsia="微軟正黑體" w:hAnsi="微軟正黑體" w:hint="eastAsia"/>
        </w:rPr>
        <w:t>超過3</w:t>
      </w:r>
      <w:r w:rsidRPr="00F0717A">
        <w:rPr>
          <w:rFonts w:ascii="微軟正黑體" w:eastAsia="微軟正黑體" w:hAnsi="微軟正黑體" w:hint="eastAsia"/>
        </w:rPr>
        <w:t>萬人。</w:t>
      </w: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napToGrid w:val="0"/>
        <w:spacing w:beforeLines="50" w:before="180" w:afterLines="30" w:after="108" w:line="400" w:lineRule="exact"/>
        <w:ind w:firstLineChars="177" w:firstLine="425"/>
        <w:jc w:val="center"/>
        <w:rPr>
          <w:rFonts w:ascii="微軟正黑體" w:eastAsia="微軟正黑體" w:hAnsi="微軟正黑體"/>
          <w:bCs/>
        </w:rPr>
      </w:pPr>
      <w:r w:rsidRPr="00F0717A">
        <w:rPr>
          <w:rFonts w:ascii="微軟正黑體" w:eastAsia="微軟正黑體" w:hAnsi="微軟正黑體" w:hint="eastAsia"/>
          <w:bCs/>
        </w:rPr>
        <w:lastRenderedPageBreak/>
        <w:t xml:space="preserve">     </w:t>
      </w:r>
      <w:r w:rsidRPr="00F0717A">
        <w:rPr>
          <w:rFonts w:ascii="微軟正黑體" w:eastAsia="微軟正黑體" w:hAnsi="微軟正黑體"/>
          <w:bCs/>
        </w:rPr>
        <w:t>表2.3  10</w:t>
      </w:r>
      <w:r>
        <w:rPr>
          <w:rFonts w:ascii="微軟正黑體" w:eastAsia="微軟正黑體" w:hAnsi="微軟正黑體" w:hint="eastAsia"/>
          <w:bCs/>
        </w:rPr>
        <w:t>9</w:t>
      </w:r>
      <w:r w:rsidRPr="00F0717A">
        <w:rPr>
          <w:rFonts w:ascii="微軟正黑體" w:eastAsia="微軟正黑體" w:hAnsi="微軟正黑體"/>
          <w:bCs/>
        </w:rPr>
        <w:t>年</w:t>
      </w:r>
      <w:r w:rsidRPr="00F0717A">
        <w:rPr>
          <w:rFonts w:ascii="微軟正黑體" w:eastAsia="微軟正黑體" w:hAnsi="微軟正黑體" w:hint="eastAsia"/>
          <w:bCs/>
        </w:rPr>
        <w:t>勞保被保險人人數</w:t>
      </w:r>
      <w:r w:rsidRPr="00F0717A">
        <w:rPr>
          <w:rFonts w:ascii="微軟正黑體" w:eastAsia="微軟正黑體" w:hAnsi="微軟正黑體"/>
          <w:bCs/>
        </w:rPr>
        <w:t>(按投保單位行業別分)</w:t>
      </w:r>
      <w:r w:rsidRPr="00F0717A">
        <w:rPr>
          <w:rFonts w:ascii="微軟正黑體" w:eastAsia="微軟正黑體" w:hAnsi="微軟正黑體" w:hint="eastAsia"/>
          <w:bCs/>
        </w:rPr>
        <w:t xml:space="preserve">    </w:t>
      </w:r>
      <w:r w:rsidRPr="00F0717A">
        <w:rPr>
          <w:rFonts w:ascii="微軟正黑體" w:eastAsia="微軟正黑體" w:hAnsi="微軟正黑體" w:hint="eastAsia"/>
          <w:bCs/>
          <w:sz w:val="20"/>
          <w:szCs w:val="20"/>
        </w:rPr>
        <w:t>單位：萬人</w:t>
      </w:r>
    </w:p>
    <w:tbl>
      <w:tblPr>
        <w:tblW w:w="908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0"/>
        <w:gridCol w:w="1040"/>
        <w:gridCol w:w="1060"/>
        <w:gridCol w:w="1100"/>
        <w:gridCol w:w="1100"/>
        <w:gridCol w:w="1100"/>
        <w:gridCol w:w="1100"/>
        <w:gridCol w:w="1727"/>
      </w:tblGrid>
      <w:tr w:rsidR="00FB2640" w:rsidRPr="00F0717A" w:rsidTr="008F1977">
        <w:trPr>
          <w:trHeight w:val="732"/>
        </w:trPr>
        <w:tc>
          <w:tcPr>
            <w:tcW w:w="860" w:type="dxa"/>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行業別</w:t>
            </w:r>
          </w:p>
        </w:tc>
        <w:tc>
          <w:tcPr>
            <w:tcW w:w="1040" w:type="dxa"/>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農、林、漁、牧業</w:t>
            </w:r>
          </w:p>
        </w:tc>
        <w:tc>
          <w:tcPr>
            <w:tcW w:w="1060" w:type="dxa"/>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礦業及土石採取業</w:t>
            </w:r>
          </w:p>
        </w:tc>
        <w:tc>
          <w:tcPr>
            <w:tcW w:w="1100" w:type="dxa"/>
            <w:shd w:val="clear" w:color="auto" w:fill="auto"/>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製造業</w:t>
            </w:r>
          </w:p>
        </w:tc>
        <w:tc>
          <w:tcPr>
            <w:tcW w:w="1100" w:type="dxa"/>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電力及燃氣供應業</w:t>
            </w:r>
          </w:p>
        </w:tc>
        <w:tc>
          <w:tcPr>
            <w:tcW w:w="1100" w:type="dxa"/>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用水供應及污染整治業</w:t>
            </w:r>
          </w:p>
        </w:tc>
        <w:tc>
          <w:tcPr>
            <w:tcW w:w="1100" w:type="dxa"/>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營建</w:t>
            </w:r>
          </w:p>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工程業</w:t>
            </w:r>
          </w:p>
        </w:tc>
        <w:tc>
          <w:tcPr>
            <w:tcW w:w="1727" w:type="dxa"/>
            <w:shd w:val="clear" w:color="auto" w:fill="auto"/>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批發及零售業</w:t>
            </w:r>
          </w:p>
        </w:tc>
      </w:tr>
      <w:tr w:rsidR="00FB2640" w:rsidRPr="00AE7B21" w:rsidTr="008F1977">
        <w:trPr>
          <w:trHeight w:val="557"/>
        </w:trPr>
        <w:tc>
          <w:tcPr>
            <w:tcW w:w="860" w:type="dxa"/>
            <w:tcBorders>
              <w:bottom w:val="double" w:sz="4"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人數</w:t>
            </w:r>
          </w:p>
        </w:tc>
        <w:tc>
          <w:tcPr>
            <w:tcW w:w="1040" w:type="dxa"/>
            <w:tcBorders>
              <w:bottom w:val="double" w:sz="4" w:space="0" w:color="auto"/>
            </w:tcBorders>
            <w:shd w:val="clear" w:color="auto" w:fill="FFFFFF" w:themeFill="background1"/>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33.3 </w:t>
            </w:r>
          </w:p>
        </w:tc>
        <w:tc>
          <w:tcPr>
            <w:tcW w:w="106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0.4 </w:t>
            </w:r>
          </w:p>
        </w:tc>
        <w:tc>
          <w:tcPr>
            <w:tcW w:w="1100" w:type="dxa"/>
            <w:tcBorders>
              <w:bottom w:val="double" w:sz="4" w:space="0" w:color="auto"/>
            </w:tcBorders>
            <w:shd w:val="clear" w:color="auto" w:fill="auto"/>
            <w:noWrap/>
            <w:vAlign w:val="center"/>
          </w:tcPr>
          <w:p w:rsidR="00FB2640" w:rsidRPr="00132DF4" w:rsidRDefault="00FB2640" w:rsidP="008F1977">
            <w:pPr>
              <w:spacing w:line="300" w:lineRule="exact"/>
              <w:jc w:val="right"/>
              <w:rPr>
                <w:rFonts w:ascii="微軟正黑體" w:eastAsia="微軟正黑體" w:hAnsi="微軟正黑體" w:cs="Times New Roman"/>
                <w:b/>
                <w:color w:val="000000"/>
                <w:sz w:val="22"/>
                <w:szCs w:val="22"/>
              </w:rPr>
            </w:pPr>
            <w:r w:rsidRPr="00132DF4">
              <w:rPr>
                <w:rFonts w:ascii="微軟正黑體" w:eastAsia="微軟正黑體" w:hAnsi="微軟正黑體" w:cs="Times New Roman"/>
                <w:b/>
                <w:color w:val="000000"/>
                <w:sz w:val="22"/>
                <w:szCs w:val="22"/>
              </w:rPr>
              <w:t xml:space="preserve">315.2 </w:t>
            </w:r>
          </w:p>
        </w:tc>
        <w:tc>
          <w:tcPr>
            <w:tcW w:w="110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2.6 </w:t>
            </w:r>
          </w:p>
        </w:tc>
        <w:tc>
          <w:tcPr>
            <w:tcW w:w="110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5.3 </w:t>
            </w:r>
          </w:p>
        </w:tc>
        <w:tc>
          <w:tcPr>
            <w:tcW w:w="110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67.7 </w:t>
            </w:r>
          </w:p>
        </w:tc>
        <w:tc>
          <w:tcPr>
            <w:tcW w:w="1727" w:type="dxa"/>
            <w:tcBorders>
              <w:bottom w:val="double" w:sz="4" w:space="0" w:color="auto"/>
            </w:tcBorders>
            <w:shd w:val="clear" w:color="auto" w:fill="auto"/>
            <w:noWrap/>
            <w:vAlign w:val="center"/>
          </w:tcPr>
          <w:p w:rsidR="00FB2640" w:rsidRPr="00132DF4" w:rsidRDefault="00FB2640" w:rsidP="008F1977">
            <w:pPr>
              <w:spacing w:line="300" w:lineRule="exact"/>
              <w:jc w:val="right"/>
              <w:rPr>
                <w:rFonts w:ascii="微軟正黑體" w:eastAsia="微軟正黑體" w:hAnsi="微軟正黑體" w:cs="Times New Roman"/>
                <w:b/>
                <w:color w:val="000000"/>
                <w:sz w:val="22"/>
                <w:szCs w:val="22"/>
              </w:rPr>
            </w:pPr>
            <w:r w:rsidRPr="00132DF4">
              <w:rPr>
                <w:rFonts w:ascii="微軟正黑體" w:eastAsia="微軟正黑體" w:hAnsi="微軟正黑體" w:cs="Times New Roman"/>
                <w:b/>
                <w:color w:val="000000"/>
                <w:sz w:val="22"/>
                <w:szCs w:val="22"/>
              </w:rPr>
              <w:t xml:space="preserve">185.3 </w:t>
            </w:r>
          </w:p>
        </w:tc>
      </w:tr>
      <w:tr w:rsidR="00FB2640" w:rsidRPr="00F0717A" w:rsidTr="008F1977">
        <w:trPr>
          <w:trHeight w:val="977"/>
        </w:trPr>
        <w:tc>
          <w:tcPr>
            <w:tcW w:w="86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行業別</w:t>
            </w:r>
          </w:p>
        </w:tc>
        <w:tc>
          <w:tcPr>
            <w:tcW w:w="104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運輸及 倉儲業</w:t>
            </w:r>
          </w:p>
        </w:tc>
        <w:tc>
          <w:tcPr>
            <w:tcW w:w="106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住宿及</w:t>
            </w:r>
            <w:r w:rsidRPr="00F0717A">
              <w:rPr>
                <w:rFonts w:ascii="微軟正黑體" w:eastAsia="微軟正黑體" w:hAnsi="微軟正黑體" w:hint="eastAsia"/>
                <w:sz w:val="22"/>
                <w:szCs w:val="22"/>
              </w:rPr>
              <w:t xml:space="preserve">  </w:t>
            </w:r>
            <w:r w:rsidRPr="00F0717A">
              <w:rPr>
                <w:rFonts w:ascii="微軟正黑體" w:eastAsia="微軟正黑體" w:hAnsi="微軟正黑體"/>
                <w:sz w:val="22"/>
                <w:szCs w:val="22"/>
              </w:rPr>
              <w:t>餐飲業</w:t>
            </w:r>
          </w:p>
        </w:tc>
        <w:tc>
          <w:tcPr>
            <w:tcW w:w="110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出版、影音製作、傳播及資通訊服務業</w:t>
            </w:r>
          </w:p>
        </w:tc>
        <w:tc>
          <w:tcPr>
            <w:tcW w:w="110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金融及</w:t>
            </w:r>
          </w:p>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保險業</w:t>
            </w:r>
          </w:p>
        </w:tc>
        <w:tc>
          <w:tcPr>
            <w:tcW w:w="110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不動產業</w:t>
            </w:r>
          </w:p>
        </w:tc>
        <w:tc>
          <w:tcPr>
            <w:tcW w:w="110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專業、科學及技術</w:t>
            </w:r>
            <w:r w:rsidRPr="00F0717A">
              <w:rPr>
                <w:rFonts w:ascii="微軟正黑體" w:eastAsia="微軟正黑體" w:hAnsi="微軟正黑體" w:hint="eastAsia"/>
                <w:sz w:val="22"/>
                <w:szCs w:val="22"/>
              </w:rPr>
              <w:t xml:space="preserve">  </w:t>
            </w:r>
            <w:r w:rsidRPr="00F0717A">
              <w:rPr>
                <w:rFonts w:ascii="微軟正黑體" w:eastAsia="微軟正黑體" w:hAnsi="微軟正黑體"/>
                <w:sz w:val="22"/>
                <w:szCs w:val="22"/>
              </w:rPr>
              <w:t>服務業</w:t>
            </w:r>
          </w:p>
        </w:tc>
        <w:tc>
          <w:tcPr>
            <w:tcW w:w="1727"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支援服務業</w:t>
            </w:r>
          </w:p>
        </w:tc>
      </w:tr>
      <w:tr w:rsidR="00FB2640" w:rsidRPr="00F0717A" w:rsidTr="008F1977">
        <w:trPr>
          <w:trHeight w:val="551"/>
        </w:trPr>
        <w:tc>
          <w:tcPr>
            <w:tcW w:w="860" w:type="dxa"/>
            <w:tcBorders>
              <w:bottom w:val="double" w:sz="4"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人數</w:t>
            </w:r>
          </w:p>
        </w:tc>
        <w:tc>
          <w:tcPr>
            <w:tcW w:w="104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42.9 </w:t>
            </w:r>
          </w:p>
        </w:tc>
        <w:tc>
          <w:tcPr>
            <w:tcW w:w="106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59.1 </w:t>
            </w:r>
          </w:p>
        </w:tc>
        <w:tc>
          <w:tcPr>
            <w:tcW w:w="110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32.8 </w:t>
            </w:r>
          </w:p>
        </w:tc>
        <w:tc>
          <w:tcPr>
            <w:tcW w:w="110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40.1 </w:t>
            </w:r>
          </w:p>
        </w:tc>
        <w:tc>
          <w:tcPr>
            <w:tcW w:w="110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15.6 </w:t>
            </w:r>
          </w:p>
        </w:tc>
        <w:tc>
          <w:tcPr>
            <w:tcW w:w="1100"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42.4 </w:t>
            </w:r>
          </w:p>
        </w:tc>
        <w:tc>
          <w:tcPr>
            <w:tcW w:w="1727" w:type="dxa"/>
            <w:tcBorders>
              <w:bottom w:val="double" w:sz="4" w:space="0" w:color="auto"/>
            </w:tcBorders>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41.</w:t>
            </w:r>
            <w:r>
              <w:rPr>
                <w:rFonts w:ascii="微軟正黑體" w:eastAsia="微軟正黑體" w:hAnsi="微軟正黑體" w:cs="Times New Roman" w:hint="eastAsia"/>
                <w:color w:val="000000"/>
                <w:sz w:val="22"/>
                <w:szCs w:val="22"/>
              </w:rPr>
              <w:t>5</w:t>
            </w:r>
            <w:r w:rsidRPr="00CF32C0">
              <w:rPr>
                <w:rFonts w:ascii="微軟正黑體" w:eastAsia="微軟正黑體" w:hAnsi="微軟正黑體" w:cs="Times New Roman"/>
                <w:color w:val="000000"/>
                <w:sz w:val="22"/>
                <w:szCs w:val="22"/>
              </w:rPr>
              <w:t xml:space="preserve"> </w:t>
            </w:r>
          </w:p>
        </w:tc>
      </w:tr>
      <w:tr w:rsidR="00FB2640" w:rsidRPr="00F0717A" w:rsidTr="008F1977">
        <w:trPr>
          <w:trHeight w:val="990"/>
        </w:trPr>
        <w:tc>
          <w:tcPr>
            <w:tcW w:w="86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行業別</w:t>
            </w:r>
          </w:p>
        </w:tc>
        <w:tc>
          <w:tcPr>
            <w:tcW w:w="104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公共行政及國防；強制性 社會安全</w:t>
            </w:r>
          </w:p>
        </w:tc>
        <w:tc>
          <w:tcPr>
            <w:tcW w:w="106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教育業</w:t>
            </w:r>
          </w:p>
        </w:tc>
        <w:tc>
          <w:tcPr>
            <w:tcW w:w="110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醫療保健及社會工作服務業</w:t>
            </w:r>
          </w:p>
        </w:tc>
        <w:tc>
          <w:tcPr>
            <w:tcW w:w="110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藝術、娛樂及休閒</w:t>
            </w:r>
          </w:p>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服務業</w:t>
            </w:r>
          </w:p>
        </w:tc>
        <w:tc>
          <w:tcPr>
            <w:tcW w:w="1100" w:type="dxa"/>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其他    服務業</w:t>
            </w:r>
          </w:p>
        </w:tc>
        <w:tc>
          <w:tcPr>
            <w:tcW w:w="2827" w:type="dxa"/>
            <w:gridSpan w:val="2"/>
            <w:tcBorders>
              <w:top w:val="double" w:sz="2" w:space="0" w:color="auto"/>
            </w:tcBorders>
            <w:shd w:val="clear" w:color="auto" w:fill="FFFFFF" w:themeFill="background1"/>
            <w:vAlign w:val="center"/>
            <w:hideMark/>
          </w:tcPr>
          <w:p w:rsidR="00FB2640" w:rsidRPr="00F0717A" w:rsidRDefault="00FB2640" w:rsidP="008F1977">
            <w:pPr>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合  計</w:t>
            </w:r>
          </w:p>
        </w:tc>
      </w:tr>
      <w:tr w:rsidR="00FB2640" w:rsidRPr="00F0717A" w:rsidTr="008F1977">
        <w:trPr>
          <w:trHeight w:val="569"/>
        </w:trPr>
        <w:tc>
          <w:tcPr>
            <w:tcW w:w="860" w:type="dxa"/>
            <w:shd w:val="clear" w:color="auto" w:fill="FFFFFF" w:themeFill="background1"/>
            <w:vAlign w:val="center"/>
            <w:hideMark/>
          </w:tcPr>
          <w:p w:rsidR="00FB2640" w:rsidRPr="00F0717A" w:rsidRDefault="00FB2640" w:rsidP="008F1977">
            <w:pPr>
              <w:widowControl/>
              <w:spacing w:line="3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人數</w:t>
            </w:r>
          </w:p>
        </w:tc>
        <w:tc>
          <w:tcPr>
            <w:tcW w:w="1040" w:type="dxa"/>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14.2 </w:t>
            </w:r>
          </w:p>
        </w:tc>
        <w:tc>
          <w:tcPr>
            <w:tcW w:w="1060" w:type="dxa"/>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35.8 </w:t>
            </w:r>
          </w:p>
        </w:tc>
        <w:tc>
          <w:tcPr>
            <w:tcW w:w="1100" w:type="dxa"/>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54.7 </w:t>
            </w:r>
          </w:p>
        </w:tc>
        <w:tc>
          <w:tcPr>
            <w:tcW w:w="1100" w:type="dxa"/>
            <w:shd w:val="clear" w:color="auto" w:fill="FFFFFF" w:themeFill="background1"/>
            <w:noWrap/>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11.1 </w:t>
            </w:r>
          </w:p>
        </w:tc>
        <w:tc>
          <w:tcPr>
            <w:tcW w:w="1100" w:type="dxa"/>
            <w:shd w:val="clear" w:color="auto" w:fill="FFFFFF" w:themeFill="background1"/>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55.5 </w:t>
            </w:r>
          </w:p>
        </w:tc>
        <w:tc>
          <w:tcPr>
            <w:tcW w:w="2827" w:type="dxa"/>
            <w:gridSpan w:val="2"/>
            <w:shd w:val="clear" w:color="auto" w:fill="FFFFFF" w:themeFill="background1"/>
            <w:vAlign w:val="center"/>
          </w:tcPr>
          <w:p w:rsidR="00FB2640" w:rsidRPr="00CF32C0" w:rsidRDefault="00FB2640" w:rsidP="008F1977">
            <w:pPr>
              <w:spacing w:line="300" w:lineRule="exact"/>
              <w:jc w:val="right"/>
              <w:rPr>
                <w:rFonts w:ascii="微軟正黑體" w:eastAsia="微軟正黑體" w:hAnsi="微軟正黑體" w:cs="Times New Roman"/>
                <w:color w:val="000000"/>
                <w:sz w:val="22"/>
                <w:szCs w:val="22"/>
              </w:rPr>
            </w:pPr>
            <w:r w:rsidRPr="00CF32C0">
              <w:rPr>
                <w:rFonts w:ascii="微軟正黑體" w:eastAsia="微軟正黑體" w:hAnsi="微軟正黑體" w:cs="Times New Roman"/>
                <w:color w:val="000000"/>
                <w:sz w:val="22"/>
                <w:szCs w:val="22"/>
              </w:rPr>
              <w:t xml:space="preserve">1,055.5 </w:t>
            </w:r>
          </w:p>
        </w:tc>
      </w:tr>
    </w:tbl>
    <w:p w:rsidR="00FB2640" w:rsidRPr="00F0717A" w:rsidRDefault="00FB2640" w:rsidP="00FB2640">
      <w:pPr>
        <w:spacing w:beforeLines="30" w:before="108" w:line="400" w:lineRule="exact"/>
        <w:rPr>
          <w:rFonts w:ascii="微軟正黑體" w:eastAsia="微軟正黑體" w:hAnsi="微軟正黑體"/>
        </w:rPr>
      </w:pPr>
    </w:p>
    <w:p w:rsidR="00FB2640" w:rsidRPr="00804D47" w:rsidRDefault="00FB2640" w:rsidP="00FB2640">
      <w:pPr>
        <w:pStyle w:val="af0"/>
        <w:numPr>
          <w:ilvl w:val="1"/>
          <w:numId w:val="18"/>
        </w:numPr>
        <w:adjustRightInd w:val="0"/>
        <w:spacing w:line="400" w:lineRule="exact"/>
        <w:ind w:leftChars="0" w:left="709"/>
        <w:textAlignment w:val="baseline"/>
        <w:rPr>
          <w:rFonts w:ascii="微軟正黑體" w:eastAsia="微軟正黑體" w:hAnsi="微軟正黑體"/>
        </w:rPr>
      </w:pPr>
      <w:r w:rsidRPr="00804D47">
        <w:rPr>
          <w:rFonts w:ascii="微軟正黑體" w:eastAsia="微軟正黑體" w:hAnsi="微軟正黑體"/>
        </w:rPr>
        <w:t>被保險人</w:t>
      </w:r>
      <w:r w:rsidRPr="00804D47">
        <w:rPr>
          <w:rFonts w:ascii="微軟正黑體" w:eastAsia="微軟正黑體" w:hAnsi="微軟正黑體" w:hint="eastAsia"/>
        </w:rPr>
        <w:t>年齡分布</w:t>
      </w:r>
    </w:p>
    <w:p w:rsidR="00FB2640" w:rsidRPr="00F0717A" w:rsidRDefault="00FB2640" w:rsidP="00FB2640">
      <w:pPr>
        <w:pStyle w:val="af0"/>
        <w:spacing w:beforeLines="30" w:before="108" w:afterLines="50" w:after="180"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年勞保被保險人平均年齡為4</w:t>
      </w:r>
      <w:r>
        <w:rPr>
          <w:rFonts w:ascii="微軟正黑體" w:eastAsia="微軟正黑體" w:hAnsi="微軟正黑體" w:hint="eastAsia"/>
        </w:rPr>
        <w:t>1.1</w:t>
      </w:r>
      <w:r w:rsidRPr="00F0717A">
        <w:rPr>
          <w:rFonts w:ascii="微軟正黑體" w:eastAsia="微軟正黑體" w:hAnsi="微軟正黑體" w:hint="eastAsia"/>
        </w:rPr>
        <w:t>歲；由年齡分布觀之，我國勞動人口年齡仍以</w:t>
      </w:r>
      <w:r>
        <w:rPr>
          <w:rFonts w:ascii="微軟正黑體" w:eastAsia="微軟正黑體" w:hAnsi="微軟正黑體" w:hint="eastAsia"/>
        </w:rPr>
        <w:t>「</w:t>
      </w:r>
      <w:r w:rsidRPr="00F0717A">
        <w:rPr>
          <w:rFonts w:ascii="微軟正黑體" w:eastAsia="微軟正黑體" w:hAnsi="微軟正黑體" w:hint="eastAsia"/>
        </w:rPr>
        <w:t>25-54歲</w:t>
      </w:r>
      <w:r>
        <w:rPr>
          <w:rFonts w:ascii="微軟正黑體" w:eastAsia="微軟正黑體" w:hAnsi="微軟正黑體" w:hint="eastAsia"/>
        </w:rPr>
        <w:t>」</w:t>
      </w:r>
      <w:r w:rsidRPr="00F0717A">
        <w:rPr>
          <w:rFonts w:ascii="微軟正黑體" w:eastAsia="微軟正黑體" w:hAnsi="微軟正黑體" w:hint="eastAsia"/>
        </w:rPr>
        <w:t>為主，占全體被保險人近8成，其中</w:t>
      </w:r>
      <w:r>
        <w:rPr>
          <w:rFonts w:ascii="微軟正黑體" w:eastAsia="微軟正黑體" w:hAnsi="微軟正黑體" w:hint="eastAsia"/>
        </w:rPr>
        <w:t>「</w:t>
      </w:r>
      <w:r w:rsidRPr="009C008D">
        <w:rPr>
          <w:rFonts w:ascii="微軟正黑體" w:eastAsia="微軟正黑體" w:hAnsi="微軟正黑體" w:hint="eastAsia"/>
        </w:rPr>
        <w:t>40-44歲</w:t>
      </w:r>
      <w:r>
        <w:rPr>
          <w:rFonts w:ascii="微軟正黑體" w:eastAsia="微軟正黑體" w:hAnsi="微軟正黑體" w:hint="eastAsia"/>
        </w:rPr>
        <w:t>」</w:t>
      </w:r>
      <w:r w:rsidRPr="009C008D">
        <w:rPr>
          <w:rFonts w:ascii="微軟正黑體" w:eastAsia="微軟正黑體" w:hAnsi="微軟正黑體" w:hint="eastAsia"/>
        </w:rPr>
        <w:t>被保險人占比最高，達14.5%。另以性別區分，男性被保險人平均年齡</w:t>
      </w:r>
      <w:r w:rsidRPr="00F0717A">
        <w:rPr>
          <w:rFonts w:ascii="微軟正黑體" w:eastAsia="微軟正黑體" w:hAnsi="微軟正黑體" w:hint="eastAsia"/>
        </w:rPr>
        <w:t>4</w:t>
      </w:r>
      <w:r>
        <w:rPr>
          <w:rFonts w:ascii="微軟正黑體" w:eastAsia="微軟正黑體" w:hAnsi="微軟正黑體" w:hint="eastAsia"/>
        </w:rPr>
        <w:t>1.0</w:t>
      </w:r>
      <w:r w:rsidRPr="00F0717A">
        <w:rPr>
          <w:rFonts w:ascii="微軟正黑體" w:eastAsia="微軟正黑體" w:hAnsi="微軟正黑體" w:hint="eastAsia"/>
        </w:rPr>
        <w:t>歲，女性被保險人平均年齡4</w:t>
      </w:r>
      <w:r>
        <w:rPr>
          <w:rFonts w:ascii="微軟正黑體" w:eastAsia="微軟正黑體" w:hAnsi="微軟正黑體" w:hint="eastAsia"/>
        </w:rPr>
        <w:t>1.1</w:t>
      </w:r>
      <w:r w:rsidRPr="00F0717A">
        <w:rPr>
          <w:rFonts w:ascii="微軟正黑體" w:eastAsia="微軟正黑體" w:hAnsi="微軟正黑體" w:hint="eastAsia"/>
        </w:rPr>
        <w:t>歲，年齡相近。</w:t>
      </w:r>
    </w:p>
    <w:p w:rsidR="00FB2640" w:rsidRPr="00F0717A" w:rsidRDefault="00FB2640" w:rsidP="00FB2640">
      <w:pPr>
        <w:pStyle w:val="af0"/>
        <w:spacing w:line="400" w:lineRule="exact"/>
        <w:ind w:leftChars="0" w:left="744"/>
        <w:rPr>
          <w:rFonts w:ascii="微軟正黑體" w:eastAsia="微軟正黑體" w:hAnsi="微軟正黑體"/>
        </w:rPr>
      </w:pPr>
      <w:r>
        <w:rPr>
          <w:noProof/>
        </w:rPr>
        <w:drawing>
          <wp:anchor distT="0" distB="0" distL="114300" distR="114300" simplePos="0" relativeHeight="252564480" behindDoc="0" locked="0" layoutInCell="1" allowOverlap="1" wp14:anchorId="40EBAB89" wp14:editId="2C206FC0">
            <wp:simplePos x="0" y="0"/>
            <wp:positionH relativeFrom="column">
              <wp:posOffset>242570</wp:posOffset>
            </wp:positionH>
            <wp:positionV relativeFrom="paragraph">
              <wp:posOffset>13758</wp:posOffset>
            </wp:positionV>
            <wp:extent cx="5494867" cy="2963334"/>
            <wp:effectExtent l="0" t="0" r="10795" b="27940"/>
            <wp:wrapNone/>
            <wp:docPr id="20" name="圖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Default="00FB2640" w:rsidP="00FB2640">
      <w:pPr>
        <w:spacing w:beforeLines="50" w:before="180" w:line="400" w:lineRule="exact"/>
        <w:jc w:val="center"/>
        <w:rPr>
          <w:rFonts w:ascii="微軟正黑體" w:eastAsia="微軟正黑體" w:hAnsi="微軟正黑體"/>
        </w:rPr>
      </w:pPr>
    </w:p>
    <w:p w:rsidR="00FB2640" w:rsidRPr="00F0717A" w:rsidRDefault="00FB2640" w:rsidP="00FB2640">
      <w:pPr>
        <w:spacing w:beforeLines="50" w:before="180" w:line="400" w:lineRule="exact"/>
        <w:jc w:val="center"/>
        <w:rPr>
          <w:rFonts w:ascii="微軟正黑體" w:eastAsia="微軟正黑體" w:hAnsi="微軟正黑體"/>
        </w:rPr>
      </w:pPr>
      <w:r w:rsidRPr="00F0717A">
        <w:rPr>
          <w:rFonts w:ascii="微軟正黑體" w:eastAsia="微軟正黑體" w:hAnsi="微軟正黑體" w:hint="eastAsia"/>
        </w:rPr>
        <w:t>圖2.2  10</w:t>
      </w:r>
      <w:r>
        <w:rPr>
          <w:rFonts w:ascii="微軟正黑體" w:eastAsia="微軟正黑體" w:hAnsi="微軟正黑體" w:hint="eastAsia"/>
        </w:rPr>
        <w:t>9</w:t>
      </w:r>
      <w:r w:rsidRPr="00F0717A">
        <w:rPr>
          <w:rFonts w:ascii="微軟正黑體" w:eastAsia="微軟正黑體" w:hAnsi="微軟正黑體" w:hint="eastAsia"/>
        </w:rPr>
        <w:t>年勞保被保險人年齡分布占比情形</w:t>
      </w:r>
    </w:p>
    <w:p w:rsidR="00FB2640" w:rsidRPr="00F0717A"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Pr="00CD19DB" w:rsidRDefault="00FB2640" w:rsidP="00FB2640">
      <w:pPr>
        <w:pStyle w:val="af0"/>
        <w:adjustRightInd w:val="0"/>
        <w:spacing w:line="400" w:lineRule="exact"/>
        <w:ind w:leftChars="0" w:left="709"/>
        <w:jc w:val="both"/>
        <w:textAlignment w:val="baseline"/>
        <w:rPr>
          <w:rFonts w:ascii="微軟正黑體" w:eastAsia="微軟正黑體" w:hAnsi="微軟正黑體"/>
        </w:rPr>
      </w:pPr>
      <w:r w:rsidRPr="00CD19DB">
        <w:rPr>
          <w:rFonts w:ascii="微軟正黑體" w:eastAsia="微軟正黑體" w:hAnsi="微軟正黑體" w:hint="eastAsia"/>
        </w:rPr>
        <w:lastRenderedPageBreak/>
        <w:t xml:space="preserve">    觀察近10年勞保被保險人全體平均年齡，102年起呈現逐年增長趨勢，自</w:t>
      </w:r>
      <w:r>
        <w:rPr>
          <w:rFonts w:ascii="微軟正黑體" w:eastAsia="微軟正黑體" w:hAnsi="微軟正黑體" w:hint="eastAsia"/>
        </w:rPr>
        <w:t>40.0</w:t>
      </w:r>
      <w:r w:rsidRPr="00CD19DB">
        <w:rPr>
          <w:rFonts w:ascii="微軟正黑體" w:eastAsia="微軟正黑體" w:hAnsi="微軟正黑體" w:hint="eastAsia"/>
        </w:rPr>
        <w:t>歲增長至109年41.</w:t>
      </w:r>
      <w:r>
        <w:rPr>
          <w:rFonts w:ascii="微軟正黑體" w:eastAsia="微軟正黑體" w:hAnsi="微軟正黑體" w:hint="eastAsia"/>
        </w:rPr>
        <w:t>1</w:t>
      </w:r>
      <w:r w:rsidRPr="00CD19DB">
        <w:rPr>
          <w:rFonts w:ascii="微軟正黑體" w:eastAsia="微軟正黑體" w:hAnsi="微軟正黑體" w:hint="eastAsia"/>
        </w:rPr>
        <w:t>歲，尤其以109年增長幅度最大。</w:t>
      </w:r>
    </w:p>
    <w:p w:rsidR="00FB2640" w:rsidRDefault="00FB2640" w:rsidP="00FB2640">
      <w:pPr>
        <w:pStyle w:val="af0"/>
        <w:tabs>
          <w:tab w:val="left" w:pos="3119"/>
          <w:tab w:val="left" w:pos="3686"/>
        </w:tabs>
        <w:adjustRightInd w:val="0"/>
        <w:spacing w:line="400" w:lineRule="exact"/>
        <w:ind w:leftChars="0" w:left="709"/>
        <w:textAlignment w:val="baseline"/>
        <w:rPr>
          <w:rFonts w:ascii="微軟正黑體" w:eastAsia="微軟正黑體" w:hAnsi="微軟正黑體"/>
        </w:rPr>
      </w:pPr>
      <w:r>
        <w:rPr>
          <w:noProof/>
        </w:rPr>
        <mc:AlternateContent>
          <mc:Choice Requires="wps">
            <w:drawing>
              <wp:anchor distT="0" distB="0" distL="114300" distR="114300" simplePos="0" relativeHeight="252565504" behindDoc="0" locked="0" layoutInCell="1" allowOverlap="1" wp14:anchorId="736BEF70" wp14:editId="0ECDA1F6">
                <wp:simplePos x="0" y="0"/>
                <wp:positionH relativeFrom="column">
                  <wp:posOffset>572135</wp:posOffset>
                </wp:positionH>
                <wp:positionV relativeFrom="paragraph">
                  <wp:posOffset>75353</wp:posOffset>
                </wp:positionV>
                <wp:extent cx="432435" cy="295910"/>
                <wp:effectExtent l="0" t="0" r="0" b="0"/>
                <wp:wrapNone/>
                <wp:docPr id="109" name="文字方塊 1"/>
                <wp:cNvGraphicFramePr/>
                <a:graphic xmlns:a="http://schemas.openxmlformats.org/drawingml/2006/main">
                  <a:graphicData uri="http://schemas.microsoft.com/office/word/2010/wordprocessingShape">
                    <wps:wsp>
                      <wps:cNvSpPr txBox="1"/>
                      <wps:spPr>
                        <a:xfrm>
                          <a:off x="0" y="0"/>
                          <a:ext cx="432435" cy="295910"/>
                        </a:xfrm>
                        <a:prstGeom prst="rect">
                          <a:avLst/>
                        </a:prstGeom>
                      </wps:spPr>
                      <wps:txbx>
                        <w:txbxContent>
                          <w:p w:rsidR="00745375" w:rsidRDefault="00745375" w:rsidP="00FB2640">
                            <w:pPr>
                              <w:pStyle w:val="Web"/>
                              <w:spacing w:before="0" w:beforeAutospacing="0" w:after="0" w:afterAutospacing="0"/>
                            </w:pPr>
                            <w:r>
                              <w:rPr>
                                <w:rFonts w:ascii="微軟正黑體" w:eastAsia="微軟正黑體" w:hAnsi="微軟正黑體" w:cstheme="minorBidi" w:hint="eastAsia"/>
                                <w:sz w:val="20"/>
                                <w:szCs w:val="20"/>
                              </w:rPr>
                              <w:t>(歲)</w:t>
                            </w:r>
                          </w:p>
                        </w:txbxContent>
                      </wps:txbx>
                      <wps:bodyPr vertOverflow="clip" wrap="square" rtlCol="0">
                        <a:noAutofit/>
                      </wps:bodyPr>
                    </wps:wsp>
                  </a:graphicData>
                </a:graphic>
                <wp14:sizeRelV relativeFrom="margin">
                  <wp14:pctHeight>0</wp14:pctHeight>
                </wp14:sizeRelV>
              </wp:anchor>
            </w:drawing>
          </mc:Choice>
          <mc:Fallback>
            <w:pict>
              <v:shape id="_x0000_s1031" type="#_x0000_t202" style="position:absolute;left:0;text-align:left;margin-left:45.05pt;margin-top:5.95pt;width:34.05pt;height:23.3pt;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" filled="f" stroked="f">
                <v:textbox>
                  <w:txbxContent>
                    <w:p w:rsidR="00745375" w:rsidRDefault="00745375" w:rsidP="00FB2640">
                      <w:pPr>
                        <w:pStyle w:val="Web"/>
                        <w:spacing w:before="0" w:beforeAutospacing="0" w:after="0" w:afterAutospacing="0"/>
                      </w:pPr>
                      <w:r>
                        <w:rPr>
                          <w:rFonts w:ascii="微軟正黑體" w:eastAsia="微軟正黑體" w:hAnsi="微軟正黑體" w:cstheme="minorBidi" w:hint="eastAsia"/>
                          <w:sz w:val="20"/>
                          <w:szCs w:val="20"/>
                        </w:rPr>
                        <w:t>(歲)</w:t>
                      </w:r>
                    </w:p>
                  </w:txbxContent>
                </v:textbox>
              </v:shape>
            </w:pict>
          </mc:Fallback>
        </mc:AlternateContent>
      </w:r>
      <w:r>
        <w:rPr>
          <w:noProof/>
        </w:rPr>
        <w:drawing>
          <wp:anchor distT="0" distB="0" distL="114300" distR="114300" simplePos="0" relativeHeight="252546048" behindDoc="0" locked="0" layoutInCell="1" allowOverlap="1" wp14:anchorId="01CB2107" wp14:editId="68BEC808">
            <wp:simplePos x="0" y="0"/>
            <wp:positionH relativeFrom="column">
              <wp:posOffset>191770</wp:posOffset>
            </wp:positionH>
            <wp:positionV relativeFrom="paragraph">
              <wp:posOffset>91863</wp:posOffset>
            </wp:positionV>
            <wp:extent cx="5629910" cy="2514600"/>
            <wp:effectExtent l="0" t="0" r="27940" b="19050"/>
            <wp:wrapNone/>
            <wp:docPr id="21" name="圖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FB2640"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Pr="002C789A"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Pr="00792B80"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Pr="00446EC3" w:rsidRDefault="00FB2640" w:rsidP="00FB2640">
      <w:pPr>
        <w:spacing w:beforeLines="50" w:before="180" w:line="400" w:lineRule="exact"/>
        <w:jc w:val="center"/>
        <w:rPr>
          <w:rFonts w:ascii="微軟正黑體" w:eastAsia="微軟正黑體" w:hAnsi="微軟正黑體"/>
        </w:rPr>
      </w:pPr>
      <w:r>
        <w:rPr>
          <w:rFonts w:ascii="微軟正黑體" w:eastAsia="微軟正黑體" w:hAnsi="微軟正黑體" w:hint="eastAsia"/>
        </w:rPr>
        <w:t xml:space="preserve">     </w:t>
      </w:r>
      <w:r w:rsidRPr="00F0717A">
        <w:rPr>
          <w:rFonts w:ascii="微軟正黑體" w:eastAsia="微軟正黑體" w:hAnsi="微軟正黑體" w:hint="eastAsia"/>
        </w:rPr>
        <w:t>圖2</w:t>
      </w:r>
      <w:r w:rsidRPr="00446EC3">
        <w:rPr>
          <w:rFonts w:ascii="微軟正黑體" w:eastAsia="微軟正黑體" w:hAnsi="微軟正黑體" w:hint="eastAsia"/>
        </w:rPr>
        <w:t>.3  近10年勞保被保險人全體平均年齡分布情形</w:t>
      </w:r>
    </w:p>
    <w:p w:rsidR="00FB2640" w:rsidRPr="00792B80" w:rsidRDefault="00FB2640" w:rsidP="00FB2640">
      <w:pPr>
        <w:pStyle w:val="af0"/>
        <w:adjustRightInd w:val="0"/>
        <w:spacing w:line="400" w:lineRule="exact"/>
        <w:ind w:leftChars="0" w:left="709"/>
        <w:textAlignment w:val="baseline"/>
        <w:rPr>
          <w:rFonts w:ascii="微軟正黑體" w:eastAsia="微軟正黑體" w:hAnsi="微軟正黑體"/>
        </w:rPr>
      </w:pPr>
    </w:p>
    <w:p w:rsidR="00FB2640" w:rsidRPr="00EA1CA3" w:rsidRDefault="00FB2640" w:rsidP="00FB2640">
      <w:pPr>
        <w:pStyle w:val="af0"/>
        <w:numPr>
          <w:ilvl w:val="1"/>
          <w:numId w:val="18"/>
        </w:numPr>
        <w:adjustRightInd w:val="0"/>
        <w:spacing w:line="400" w:lineRule="exact"/>
        <w:ind w:leftChars="0" w:left="709"/>
        <w:textAlignment w:val="baseline"/>
        <w:rPr>
          <w:rFonts w:ascii="微軟正黑體" w:eastAsia="微軟正黑體" w:hAnsi="微軟正黑體"/>
        </w:rPr>
      </w:pPr>
      <w:r w:rsidRPr="00EA1CA3">
        <w:rPr>
          <w:rFonts w:ascii="微軟正黑體" w:eastAsia="微軟正黑體" w:hAnsi="微軟正黑體"/>
        </w:rPr>
        <w:t>被保險人性別及月投保薪資分</w:t>
      </w:r>
      <w:r w:rsidRPr="00EA1CA3">
        <w:rPr>
          <w:rFonts w:ascii="微軟正黑體" w:eastAsia="微軟正黑體" w:hAnsi="微軟正黑體" w:hint="eastAsia"/>
        </w:rPr>
        <w:t>布</w:t>
      </w:r>
    </w:p>
    <w:p w:rsidR="00FB2640" w:rsidRPr="00B35723" w:rsidRDefault="00FB2640" w:rsidP="00FB2640">
      <w:pPr>
        <w:pStyle w:val="af0"/>
        <w:spacing w:beforeLines="30" w:before="108"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年勞保全體被保險人中，男性占50.</w:t>
      </w:r>
      <w:r>
        <w:rPr>
          <w:rFonts w:ascii="微軟正黑體" w:eastAsia="微軟正黑體" w:hAnsi="微軟正黑體" w:hint="eastAsia"/>
        </w:rPr>
        <w:t>6</w:t>
      </w:r>
      <w:r w:rsidRPr="00F0717A">
        <w:rPr>
          <w:rFonts w:ascii="微軟正黑體" w:eastAsia="微軟正黑體" w:hAnsi="微軟正黑體" w:hint="eastAsia"/>
        </w:rPr>
        <w:t>%，女性占</w:t>
      </w:r>
      <w:r>
        <w:rPr>
          <w:rFonts w:ascii="微軟正黑體" w:eastAsia="微軟正黑體" w:hAnsi="微軟正黑體" w:hint="eastAsia"/>
        </w:rPr>
        <w:t>49.4</w:t>
      </w:r>
      <w:r w:rsidRPr="00F0717A">
        <w:rPr>
          <w:rFonts w:ascii="微軟正黑體" w:eastAsia="微軟正黑體" w:hAnsi="微軟正黑體" w:hint="eastAsia"/>
        </w:rPr>
        <w:t>%，差異不大。以月投保薪資觀之，男性與女性被保險人分布趨勢相似，主要集中</w:t>
      </w:r>
      <w:r w:rsidRPr="00CB0F31">
        <w:rPr>
          <w:rFonts w:ascii="微軟正黑體" w:eastAsia="微軟正黑體" w:hAnsi="微軟正黑體" w:hint="eastAsia"/>
        </w:rPr>
        <w:t>在</w:t>
      </w:r>
      <w:r w:rsidR="00B32D89" w:rsidRPr="00CB0F31">
        <w:rPr>
          <w:rFonts w:ascii="微軟正黑體" w:eastAsia="微軟正黑體" w:hAnsi="微軟正黑體" w:hint="eastAsia"/>
        </w:rPr>
        <w:t>「</w:t>
      </w:r>
      <w:r w:rsidRPr="00CB0F31">
        <w:rPr>
          <w:rFonts w:ascii="微軟正黑體" w:eastAsia="微軟正黑體" w:hAnsi="微軟正黑體" w:hint="eastAsia"/>
        </w:rPr>
        <w:t>23,800元組別(109年度基本工資)</w:t>
      </w:r>
      <w:r w:rsidR="00B32D89" w:rsidRPr="00CB0F31">
        <w:rPr>
          <w:rFonts w:ascii="微軟正黑體" w:eastAsia="微軟正黑體" w:hAnsi="微軟正黑體" w:hint="eastAsia"/>
        </w:rPr>
        <w:t>」</w:t>
      </w:r>
      <w:r w:rsidRPr="00CB0F31">
        <w:rPr>
          <w:rFonts w:ascii="微軟正黑體" w:eastAsia="微軟正黑體" w:hAnsi="微軟正黑體" w:hint="eastAsia"/>
        </w:rPr>
        <w:t>及</w:t>
      </w:r>
      <w:r w:rsidR="00B32D89" w:rsidRPr="00CB0F31">
        <w:rPr>
          <w:rFonts w:ascii="微軟正黑體" w:eastAsia="微軟正黑體" w:hAnsi="微軟正黑體" w:hint="eastAsia"/>
        </w:rPr>
        <w:t>「</w:t>
      </w:r>
      <w:r w:rsidRPr="00CB0F31">
        <w:rPr>
          <w:rFonts w:ascii="微軟正黑體" w:eastAsia="微軟正黑體" w:hAnsi="微軟正黑體" w:hint="eastAsia"/>
        </w:rPr>
        <w:t>45,800元組別(投保薪資上限)</w:t>
      </w:r>
      <w:r w:rsidR="00B32D89" w:rsidRPr="00CB0F31">
        <w:rPr>
          <w:rFonts w:ascii="微軟正黑體" w:eastAsia="微軟正黑體" w:hAnsi="微軟正黑體" w:hint="eastAsia"/>
        </w:rPr>
        <w:t>」</w:t>
      </w:r>
      <w:r w:rsidRPr="00CB0F31">
        <w:rPr>
          <w:rFonts w:ascii="微軟正黑體" w:eastAsia="微軟正黑體" w:hAnsi="微軟正黑體" w:hint="eastAsia"/>
        </w:rPr>
        <w:t>，前者兩</w:t>
      </w:r>
      <w:r w:rsidRPr="00F0717A">
        <w:rPr>
          <w:rFonts w:ascii="微軟正黑體" w:eastAsia="微軟正黑體" w:hAnsi="微軟正黑體" w:hint="eastAsia"/>
        </w:rPr>
        <w:t>性人數差異不大；後者男性明顯多於女性，</w:t>
      </w:r>
      <w:r w:rsidRPr="007444F3">
        <w:rPr>
          <w:rFonts w:ascii="微軟正黑體" w:eastAsia="微軟正黑體" w:hAnsi="微軟正黑體" w:hint="eastAsia"/>
        </w:rPr>
        <w:t>而男</w:t>
      </w:r>
      <w:r w:rsidRPr="00F0717A">
        <w:rPr>
          <w:rFonts w:ascii="微軟正黑體" w:eastAsia="微軟正黑體" w:hAnsi="微軟正黑體" w:hint="eastAsia"/>
        </w:rPr>
        <w:t>性投保45,800元者占全體男性被保險人</w:t>
      </w:r>
      <w:r>
        <w:rPr>
          <w:rFonts w:ascii="微軟正黑體" w:eastAsia="微軟正黑體" w:hAnsi="微軟正黑體" w:hint="eastAsia"/>
        </w:rPr>
        <w:t>31.1</w:t>
      </w:r>
      <w:r w:rsidRPr="00B35723">
        <w:rPr>
          <w:rFonts w:ascii="微軟正黑體" w:eastAsia="微軟正黑體" w:hAnsi="微軟正黑體" w:hint="eastAsia"/>
        </w:rPr>
        <w:t>%，女性僅</w:t>
      </w:r>
      <w:r>
        <w:rPr>
          <w:rFonts w:ascii="微軟正黑體" w:eastAsia="微軟正黑體" w:hAnsi="微軟正黑體" w:hint="eastAsia"/>
        </w:rPr>
        <w:t>19.6</w:t>
      </w:r>
      <w:r w:rsidRPr="00B35723">
        <w:rPr>
          <w:rFonts w:ascii="微軟正黑體" w:eastAsia="微軟正黑體" w:hAnsi="微軟正黑體" w:hint="eastAsia"/>
        </w:rPr>
        <w:t>%。</w:t>
      </w:r>
    </w:p>
    <w:p w:rsidR="00FB2640" w:rsidRPr="00F0717A" w:rsidRDefault="00FB2640" w:rsidP="00FB2640">
      <w:pPr>
        <w:spacing w:beforeLines="30" w:before="108" w:line="400" w:lineRule="exact"/>
        <w:rPr>
          <w:rFonts w:ascii="微軟正黑體" w:eastAsia="微軟正黑體" w:hAnsi="微軟正黑體"/>
        </w:rPr>
      </w:pPr>
      <w:r>
        <w:rPr>
          <w:rFonts w:ascii="微軟正黑體" w:eastAsia="微軟正黑體" w:hAnsi="微軟正黑體"/>
          <w:noProof/>
        </w:rPr>
        <w:drawing>
          <wp:anchor distT="0" distB="0" distL="114300" distR="114300" simplePos="0" relativeHeight="252578816" behindDoc="0" locked="0" layoutInCell="1" allowOverlap="1" wp14:anchorId="7A0CC77A" wp14:editId="574D8BBB">
            <wp:simplePos x="0" y="0"/>
            <wp:positionH relativeFrom="column">
              <wp:posOffset>5503</wp:posOffset>
            </wp:positionH>
            <wp:positionV relativeFrom="paragraph">
              <wp:posOffset>62230</wp:posOffset>
            </wp:positionV>
            <wp:extent cx="5757334" cy="2928871"/>
            <wp:effectExtent l="0" t="0" r="0" b="5080"/>
            <wp:wrapNone/>
            <wp:docPr id="22" name="圖片 22" descr="N:\人力處\人力處資料限閱區\06_老年經濟安全科\11.老年經濟安全專刊\110年版(第5期)-規劃中\1.專刊各章內容(含原始統計資料)\1.制度概況(109年)\貳 社會保險\統計資料\勞保月投薪資性別分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人力處\人力處資料限閱區\06_老年經濟安全科\11.老年經濟安全專刊\110年版(第5期)-規劃中\1.專刊各章內容(含原始統計資料)\1.制度概況(109年)\貳 社會保險\統計資料\勞保月投薪資性別分布.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293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line="400" w:lineRule="exact"/>
        <w:jc w:val="center"/>
        <w:rPr>
          <w:rFonts w:ascii="微軟正黑體" w:eastAsia="微軟正黑體" w:hAnsi="微軟正黑體"/>
        </w:rPr>
      </w:pPr>
    </w:p>
    <w:p w:rsidR="00FB2640" w:rsidRPr="00F0717A" w:rsidRDefault="00FB2640" w:rsidP="00FB2640">
      <w:pPr>
        <w:spacing w:line="400" w:lineRule="exact"/>
        <w:jc w:val="center"/>
        <w:rPr>
          <w:rFonts w:ascii="微軟正黑體" w:eastAsia="微軟正黑體" w:hAnsi="微軟正黑體"/>
        </w:rPr>
      </w:pPr>
    </w:p>
    <w:p w:rsidR="00FB2640" w:rsidRPr="00F0717A" w:rsidRDefault="00FB2640" w:rsidP="00FB2640">
      <w:pPr>
        <w:spacing w:beforeLines="100" w:before="360" w:line="400" w:lineRule="exact"/>
        <w:jc w:val="center"/>
        <w:rPr>
          <w:rFonts w:ascii="微軟正黑體" w:eastAsia="微軟正黑體" w:hAnsi="微軟正黑體"/>
        </w:rPr>
      </w:pPr>
      <w:r w:rsidRPr="00F0717A">
        <w:rPr>
          <w:rFonts w:ascii="微軟正黑體" w:eastAsia="微軟正黑體" w:hAnsi="微軟正黑體" w:hint="eastAsia"/>
        </w:rPr>
        <w:t xml:space="preserve">    圖2.</w:t>
      </w:r>
      <w:r>
        <w:rPr>
          <w:rFonts w:ascii="微軟正黑體" w:eastAsia="微軟正黑體" w:hAnsi="微軟正黑體" w:hint="eastAsia"/>
        </w:rPr>
        <w:t>4</w:t>
      </w: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年勞保被保險人月投保薪資分布情形(按性別分)</w:t>
      </w:r>
    </w:p>
    <w:p w:rsidR="00FB2640" w:rsidRDefault="00FB2640" w:rsidP="00FB2640">
      <w:pPr>
        <w:pStyle w:val="af0"/>
        <w:spacing w:line="400" w:lineRule="exact"/>
        <w:ind w:leftChars="0" w:left="744"/>
        <w:rPr>
          <w:rFonts w:ascii="微軟正黑體" w:eastAsia="微軟正黑體" w:hAnsi="微軟正黑體"/>
        </w:rPr>
      </w:pPr>
    </w:p>
    <w:p w:rsidR="00FB2640" w:rsidRPr="00CA2E12" w:rsidRDefault="00FB2640" w:rsidP="00FB2640">
      <w:pPr>
        <w:pStyle w:val="af0"/>
        <w:spacing w:line="400" w:lineRule="exact"/>
        <w:ind w:leftChars="0" w:left="744"/>
        <w:rPr>
          <w:rFonts w:ascii="微軟正黑體" w:eastAsia="微軟正黑體" w:hAnsi="微軟正黑體"/>
        </w:rPr>
      </w:pPr>
    </w:p>
    <w:p w:rsidR="00FB2640" w:rsidRPr="000723C5" w:rsidRDefault="00FB2640" w:rsidP="00FB2640">
      <w:pPr>
        <w:pStyle w:val="af0"/>
        <w:numPr>
          <w:ilvl w:val="1"/>
          <w:numId w:val="18"/>
        </w:numPr>
        <w:adjustRightInd w:val="0"/>
        <w:spacing w:line="400" w:lineRule="exact"/>
        <w:ind w:leftChars="0" w:left="709"/>
        <w:jc w:val="both"/>
        <w:textAlignment w:val="baseline"/>
        <w:rPr>
          <w:rFonts w:ascii="微軟正黑體" w:eastAsia="微軟正黑體" w:hAnsi="微軟正黑體"/>
        </w:rPr>
      </w:pPr>
      <w:r w:rsidRPr="000723C5">
        <w:rPr>
          <w:rFonts w:ascii="微軟正黑體" w:eastAsia="微軟正黑體" w:hAnsi="微軟正黑體"/>
        </w:rPr>
        <w:lastRenderedPageBreak/>
        <w:t>被保險人平均投保薪資(按投保單位類別分)</w:t>
      </w:r>
    </w:p>
    <w:p w:rsidR="00FB2640" w:rsidRPr="00F0717A" w:rsidRDefault="00FB2640" w:rsidP="00FB2640">
      <w:pPr>
        <w:pStyle w:val="af0"/>
        <w:spacing w:beforeLines="30" w:before="108" w:afterLines="50" w:after="180" w:line="400" w:lineRule="exact"/>
        <w:ind w:leftChars="0" w:left="743"/>
        <w:jc w:val="both"/>
        <w:rPr>
          <w:rFonts w:ascii="微軟正黑體" w:eastAsia="微軟正黑體" w:hAnsi="微軟正黑體"/>
        </w:rPr>
      </w:pPr>
      <w:r>
        <w:rPr>
          <w:noProof/>
        </w:rPr>
        <w:drawing>
          <wp:anchor distT="0" distB="0" distL="114300" distR="114300" simplePos="0" relativeHeight="252598272" behindDoc="0" locked="0" layoutInCell="1" allowOverlap="1" wp14:anchorId="54F65AE0" wp14:editId="0A092A55">
            <wp:simplePos x="0" y="0"/>
            <wp:positionH relativeFrom="column">
              <wp:posOffset>265430</wp:posOffset>
            </wp:positionH>
            <wp:positionV relativeFrom="paragraph">
              <wp:posOffset>900430</wp:posOffset>
            </wp:positionV>
            <wp:extent cx="5486400" cy="2865120"/>
            <wp:effectExtent l="0" t="0" r="19050" b="11430"/>
            <wp:wrapNone/>
            <wp:docPr id="258" name="圖表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年勞保全體平均投保薪資為</w:t>
      </w:r>
      <w:r w:rsidRPr="00DC385D">
        <w:rPr>
          <w:rFonts w:ascii="微軟正黑體" w:eastAsia="微軟正黑體" w:hAnsi="微軟正黑體" w:hint="eastAsia"/>
        </w:rPr>
        <w:t>3</w:t>
      </w:r>
      <w:r>
        <w:rPr>
          <w:rFonts w:ascii="微軟正黑體" w:eastAsia="微軟正黑體" w:hAnsi="微軟正黑體" w:hint="eastAsia"/>
        </w:rPr>
        <w:t>2,5</w:t>
      </w:r>
      <w:r>
        <w:rPr>
          <w:rFonts w:ascii="微軟正黑體" w:eastAsia="微軟正黑體" w:hAnsi="微軟正黑體"/>
        </w:rPr>
        <w:t>26</w:t>
      </w:r>
      <w:r w:rsidRPr="00DC385D">
        <w:rPr>
          <w:rFonts w:ascii="微軟正黑體" w:eastAsia="微軟正黑體" w:hAnsi="微軟正黑體" w:hint="eastAsia"/>
        </w:rPr>
        <w:t>元，較10</w:t>
      </w:r>
      <w:r>
        <w:rPr>
          <w:rFonts w:ascii="微軟正黑體" w:eastAsia="微軟正黑體" w:hAnsi="微軟正黑體"/>
        </w:rPr>
        <w:t>8</w:t>
      </w:r>
      <w:r w:rsidRPr="00DC385D">
        <w:rPr>
          <w:rFonts w:ascii="微軟正黑體" w:eastAsia="微軟正黑體" w:hAnsi="微軟正黑體" w:hint="eastAsia"/>
        </w:rPr>
        <w:t>年增加</w:t>
      </w:r>
      <w:r>
        <w:rPr>
          <w:rFonts w:ascii="微軟正黑體" w:eastAsia="微軟正黑體" w:hAnsi="微軟正黑體"/>
        </w:rPr>
        <w:t>427</w:t>
      </w:r>
      <w:r w:rsidRPr="00DC385D">
        <w:rPr>
          <w:rFonts w:ascii="微軟正黑體" w:eastAsia="微軟正黑體" w:hAnsi="微軟正黑體" w:hint="eastAsia"/>
        </w:rPr>
        <w:t>元；</w:t>
      </w:r>
      <w:r w:rsidRPr="00F0717A">
        <w:rPr>
          <w:rFonts w:ascii="微軟正黑體" w:eastAsia="微軟正黑體" w:hAnsi="微軟正黑體" w:hint="eastAsia"/>
        </w:rPr>
        <w:t>以9大類別觀之，「新聞、文化、公益及合作事業之員工」平均投保薪資最高；「職業訓練機構接受訓練者」平均投保薪資最低，與其他類別平均落差較大。</w:t>
      </w:r>
    </w:p>
    <w:p w:rsidR="00FB2640" w:rsidRPr="00F0717A" w:rsidRDefault="00FB2640" w:rsidP="00FB2640">
      <w:pPr>
        <w:spacing w:line="400" w:lineRule="exact"/>
        <w:rPr>
          <w:rFonts w:ascii="微軟正黑體" w:eastAsia="微軟正黑體" w:hAnsi="微軟正黑體"/>
        </w:rPr>
      </w:pPr>
    </w:p>
    <w:p w:rsidR="00FB2640" w:rsidRPr="00DC385D"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012D1D"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Default="00FB2640" w:rsidP="00FB2640">
      <w:pPr>
        <w:spacing w:beforeLines="130" w:before="468" w:line="400" w:lineRule="exact"/>
        <w:jc w:val="center"/>
        <w:rPr>
          <w:rFonts w:ascii="微軟正黑體" w:eastAsia="微軟正黑體" w:hAnsi="微軟正黑體"/>
        </w:rPr>
      </w:pPr>
      <w:r>
        <w:rPr>
          <w:rFonts w:ascii="微軟正黑體" w:eastAsia="微軟正黑體" w:hAnsi="微軟正黑體" w:hint="eastAsia"/>
        </w:rPr>
        <w:t xml:space="preserve">   </w:t>
      </w:r>
      <w:r w:rsidRPr="00F0717A">
        <w:rPr>
          <w:rFonts w:ascii="微軟正黑體" w:eastAsia="微軟正黑體" w:hAnsi="微軟正黑體" w:hint="eastAsia"/>
        </w:rPr>
        <w:t>圖2.</w:t>
      </w:r>
      <w:r>
        <w:rPr>
          <w:rFonts w:ascii="微軟正黑體" w:eastAsia="微軟正黑體" w:hAnsi="微軟正黑體" w:hint="eastAsia"/>
        </w:rPr>
        <w:t>5</w:t>
      </w: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年勞保被保險人平均投保薪資(按投保單位類別分)</w:t>
      </w:r>
    </w:p>
    <w:p w:rsidR="00FB2640" w:rsidRPr="00B43EDF" w:rsidRDefault="00FB2640" w:rsidP="00FB2640">
      <w:pPr>
        <w:spacing w:line="400" w:lineRule="exact"/>
        <w:jc w:val="center"/>
        <w:rPr>
          <w:rFonts w:ascii="微軟正黑體" w:eastAsia="微軟正黑體" w:hAnsi="微軟正黑體"/>
        </w:rPr>
      </w:pPr>
    </w:p>
    <w:p w:rsidR="00FB2640" w:rsidRPr="002331EA" w:rsidRDefault="00FB2640" w:rsidP="00FB2640">
      <w:pPr>
        <w:spacing w:beforeLines="50" w:before="180" w:afterLines="50" w:after="180" w:line="400" w:lineRule="exact"/>
        <w:ind w:leftChars="295" w:left="708"/>
        <w:jc w:val="both"/>
        <w:rPr>
          <w:rFonts w:ascii="微軟正黑體" w:eastAsia="微軟正黑體" w:hAnsi="微軟正黑體"/>
        </w:rPr>
      </w:pPr>
      <w:r>
        <w:rPr>
          <w:noProof/>
        </w:rPr>
        <w:drawing>
          <wp:anchor distT="0" distB="0" distL="114300" distR="114300" simplePos="0" relativeHeight="252568576" behindDoc="0" locked="0" layoutInCell="1" allowOverlap="1" wp14:anchorId="1CA9A206" wp14:editId="32B97AED">
            <wp:simplePos x="0" y="0"/>
            <wp:positionH relativeFrom="column">
              <wp:posOffset>267543</wp:posOffset>
            </wp:positionH>
            <wp:positionV relativeFrom="paragraph">
              <wp:posOffset>702502</wp:posOffset>
            </wp:positionV>
            <wp:extent cx="5532120" cy="2793146"/>
            <wp:effectExtent l="0" t="0" r="11430" b="26670"/>
            <wp:wrapNone/>
            <wp:docPr id="23" name="圖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F0717A">
        <w:rPr>
          <w:rFonts w:ascii="微軟正黑體" w:eastAsia="微軟正黑體" w:hAnsi="微軟正黑體" w:hint="eastAsia"/>
        </w:rPr>
        <w:t xml:space="preserve">    近10年勞保被保險人之全體平均投保薪資呈現逐年成長趨勢，</w:t>
      </w:r>
      <w:r w:rsidRPr="002331EA">
        <w:rPr>
          <w:rFonts w:ascii="微軟正黑體" w:eastAsia="微軟正黑體" w:hAnsi="微軟正黑體" w:hint="eastAsia"/>
        </w:rPr>
        <w:t>平均年增率為1.</w:t>
      </w:r>
      <w:r w:rsidRPr="002331EA">
        <w:rPr>
          <w:rFonts w:ascii="微軟正黑體" w:eastAsia="微軟正黑體" w:hAnsi="微軟正黑體"/>
        </w:rPr>
        <w:t>47</w:t>
      </w:r>
      <w:r w:rsidRPr="002331EA">
        <w:rPr>
          <w:rFonts w:ascii="微軟正黑體" w:eastAsia="微軟正黑體" w:hAnsi="微軟正黑體" w:hint="eastAsia"/>
        </w:rPr>
        <w:t>%，尤其105</w:t>
      </w:r>
      <w:r>
        <w:rPr>
          <w:rFonts w:ascii="微軟正黑體" w:eastAsia="微軟正黑體" w:hAnsi="微軟正黑體" w:hint="eastAsia"/>
        </w:rPr>
        <w:t>年</w:t>
      </w:r>
      <w:r w:rsidRPr="002331EA">
        <w:rPr>
          <w:rFonts w:ascii="微軟正黑體" w:eastAsia="微軟正黑體" w:hAnsi="微軟正黑體" w:hint="eastAsia"/>
        </w:rPr>
        <w:t>至</w:t>
      </w:r>
      <w:r w:rsidRPr="002331EA">
        <w:rPr>
          <w:rFonts w:ascii="微軟正黑體" w:eastAsia="微軟正黑體" w:hAnsi="微軟正黑體"/>
        </w:rPr>
        <w:t>108</w:t>
      </w:r>
      <w:r w:rsidRPr="002331EA">
        <w:rPr>
          <w:rFonts w:ascii="微軟正黑體" w:eastAsia="微軟正黑體" w:hAnsi="微軟正黑體" w:hint="eastAsia"/>
        </w:rPr>
        <w:t>年期間，全體平均投保薪資每年成長超過500元。</w:t>
      </w: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Default="00FB2640" w:rsidP="00FB2640">
      <w:pPr>
        <w:pStyle w:val="af0"/>
        <w:spacing w:line="400" w:lineRule="exact"/>
        <w:ind w:leftChars="0" w:left="744"/>
        <w:rPr>
          <w:rFonts w:ascii="微軟正黑體" w:eastAsia="微軟正黑體" w:hAnsi="微軟正黑體"/>
        </w:rPr>
      </w:pPr>
    </w:p>
    <w:p w:rsidR="00FB2640" w:rsidRPr="00C85611" w:rsidRDefault="00FB2640" w:rsidP="00FB2640">
      <w:pPr>
        <w:spacing w:line="400" w:lineRule="exact"/>
        <w:jc w:val="center"/>
        <w:rPr>
          <w:rFonts w:ascii="微軟正黑體" w:eastAsia="微軟正黑體" w:hAnsi="微軟正黑體"/>
        </w:rPr>
      </w:pPr>
      <w:r w:rsidRPr="00C85611">
        <w:rPr>
          <w:rFonts w:ascii="微軟正黑體" w:eastAsia="微軟正黑體" w:hAnsi="微軟正黑體" w:hint="eastAsia"/>
        </w:rPr>
        <w:t>圖2.6  近10年勞保被保險人全體平均投保薪資變動情形</w:t>
      </w:r>
    </w:p>
    <w:p w:rsidR="00FB2640" w:rsidRPr="00F0717A" w:rsidRDefault="00FB2640" w:rsidP="00FB2640">
      <w:pPr>
        <w:spacing w:beforeLines="100" w:before="360" w:line="400" w:lineRule="exact"/>
        <w:jc w:val="center"/>
        <w:rPr>
          <w:rFonts w:ascii="微軟正黑體" w:eastAsia="微軟正黑體" w:hAnsi="微軟正黑體"/>
        </w:rPr>
      </w:pPr>
    </w:p>
    <w:p w:rsidR="00FB2640" w:rsidRDefault="00FB2640" w:rsidP="00FB2640">
      <w:pPr>
        <w:pStyle w:val="af0"/>
        <w:spacing w:line="400" w:lineRule="exact"/>
        <w:ind w:leftChars="0" w:left="744"/>
        <w:rPr>
          <w:rFonts w:ascii="微軟正黑體" w:eastAsia="微軟正黑體" w:hAnsi="微軟正黑體"/>
        </w:rPr>
      </w:pPr>
    </w:p>
    <w:p w:rsidR="00FB2640" w:rsidRPr="002331EA" w:rsidRDefault="00FB2640" w:rsidP="00FB2640">
      <w:pPr>
        <w:pStyle w:val="af0"/>
        <w:numPr>
          <w:ilvl w:val="0"/>
          <w:numId w:val="18"/>
        </w:numPr>
        <w:adjustRightInd w:val="0"/>
        <w:spacing w:line="400" w:lineRule="exact"/>
        <w:ind w:leftChars="0"/>
        <w:textAlignment w:val="baseline"/>
        <w:rPr>
          <w:rFonts w:ascii="微軟正黑體" w:eastAsia="微軟正黑體" w:hAnsi="微軟正黑體"/>
        </w:rPr>
      </w:pPr>
      <w:r w:rsidRPr="002331EA">
        <w:rPr>
          <w:rFonts w:ascii="微軟正黑體" w:eastAsia="微軟正黑體" w:hAnsi="微軟正黑體"/>
        </w:rPr>
        <w:lastRenderedPageBreak/>
        <w:t>普通事故保險應計保費負擔</w:t>
      </w:r>
      <w:r w:rsidRPr="002331EA">
        <w:rPr>
          <w:rFonts w:ascii="微軟正黑體" w:eastAsia="微軟正黑體" w:hAnsi="微軟正黑體" w:hint="eastAsia"/>
        </w:rPr>
        <w:t>情形</w:t>
      </w:r>
    </w:p>
    <w:p w:rsidR="00FB2640" w:rsidRPr="002074D6"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年勞保</w:t>
      </w:r>
      <w:r w:rsidRPr="00F0717A">
        <w:rPr>
          <w:rFonts w:ascii="微軟正黑體" w:eastAsia="微軟正黑體" w:hAnsi="微軟正黑體"/>
        </w:rPr>
        <w:t>普通事故保險應計</w:t>
      </w:r>
      <w:r w:rsidRPr="00F0717A">
        <w:rPr>
          <w:rFonts w:ascii="微軟正黑體" w:eastAsia="微軟正黑體" w:hAnsi="微軟正黑體" w:hint="eastAsia"/>
        </w:rPr>
        <w:t>保險費達</w:t>
      </w:r>
      <w:r>
        <w:rPr>
          <w:rFonts w:ascii="微軟正黑體" w:eastAsia="微軟正黑體" w:hAnsi="微軟正黑體" w:hint="eastAsia"/>
        </w:rPr>
        <w:t>4,001.6</w:t>
      </w:r>
      <w:r w:rsidRPr="001A6D68">
        <w:rPr>
          <w:rFonts w:ascii="微軟正黑體" w:eastAsia="微軟正黑體" w:hAnsi="微軟正黑體" w:hint="eastAsia"/>
        </w:rPr>
        <w:t>億元，其中資方負擔2,</w:t>
      </w:r>
      <w:r>
        <w:rPr>
          <w:rFonts w:ascii="微軟正黑體" w:eastAsia="微軟正黑體" w:hAnsi="微軟正黑體" w:hint="eastAsia"/>
        </w:rPr>
        <w:t>236.2</w:t>
      </w:r>
      <w:r w:rsidRPr="001A6D68">
        <w:rPr>
          <w:rFonts w:ascii="微軟正黑體" w:eastAsia="微軟正黑體" w:hAnsi="微軟正黑體" w:hint="eastAsia"/>
        </w:rPr>
        <w:t>億元(占5</w:t>
      </w:r>
      <w:r>
        <w:rPr>
          <w:rFonts w:ascii="微軟正黑體" w:eastAsia="微軟正黑體" w:hAnsi="微軟正黑體" w:hint="eastAsia"/>
        </w:rPr>
        <w:t>5.9</w:t>
      </w:r>
      <w:r w:rsidRPr="001A6D68">
        <w:rPr>
          <w:rFonts w:ascii="微軟正黑體" w:eastAsia="微軟正黑體" w:hAnsi="微軟正黑體" w:hint="eastAsia"/>
        </w:rPr>
        <w:t>%)</w:t>
      </w:r>
      <w:r>
        <w:rPr>
          <w:rFonts w:ascii="微軟正黑體" w:eastAsia="微軟正黑體" w:hAnsi="微軟正黑體" w:hint="eastAsia"/>
        </w:rPr>
        <w:t>、</w:t>
      </w:r>
      <w:r w:rsidRPr="001A6D68">
        <w:rPr>
          <w:rFonts w:ascii="微軟正黑體" w:eastAsia="微軟正黑體" w:hAnsi="微軟正黑體" w:hint="eastAsia"/>
        </w:rPr>
        <w:t>勞方負擔</w:t>
      </w:r>
      <w:r>
        <w:rPr>
          <w:rFonts w:ascii="微軟正黑體" w:eastAsia="微軟正黑體" w:hAnsi="微軟正黑體" w:hint="eastAsia"/>
        </w:rPr>
        <w:t>1,065.5</w:t>
      </w:r>
      <w:r w:rsidRPr="001A6D68">
        <w:rPr>
          <w:rFonts w:ascii="微軟正黑體" w:eastAsia="微軟正黑體" w:hAnsi="微軟正黑體" w:hint="eastAsia"/>
        </w:rPr>
        <w:t>億元(占2</w:t>
      </w:r>
      <w:r>
        <w:rPr>
          <w:rFonts w:ascii="微軟正黑體" w:eastAsia="微軟正黑體" w:hAnsi="微軟正黑體" w:hint="eastAsia"/>
        </w:rPr>
        <w:t>6.6</w:t>
      </w:r>
      <w:r w:rsidRPr="001A6D68">
        <w:rPr>
          <w:rFonts w:ascii="微軟正黑體" w:eastAsia="微軟正黑體" w:hAnsi="微軟正黑體" w:hint="eastAsia"/>
        </w:rPr>
        <w:t>%)及政府負擔</w:t>
      </w:r>
      <w:r>
        <w:rPr>
          <w:rFonts w:ascii="微軟正黑體" w:eastAsia="微軟正黑體" w:hAnsi="微軟正黑體" w:hint="eastAsia"/>
        </w:rPr>
        <w:t>700.0</w:t>
      </w:r>
      <w:r w:rsidRPr="001A6D68">
        <w:rPr>
          <w:rFonts w:ascii="微軟正黑體" w:eastAsia="微軟正黑體" w:hAnsi="微軟正黑體" w:hint="eastAsia"/>
        </w:rPr>
        <w:t>億元(占</w:t>
      </w:r>
      <w:r>
        <w:rPr>
          <w:rFonts w:ascii="微軟正黑體" w:eastAsia="微軟正黑體" w:hAnsi="微軟正黑體" w:hint="eastAsia"/>
        </w:rPr>
        <w:t>17.5</w:t>
      </w:r>
      <w:r w:rsidRPr="001A6D68">
        <w:rPr>
          <w:rFonts w:ascii="微軟正黑體" w:eastAsia="微軟正黑體" w:hAnsi="微軟正黑體" w:hint="eastAsia"/>
        </w:rPr>
        <w:t>%，</w:t>
      </w:r>
      <w:r w:rsidRPr="00F0717A">
        <w:rPr>
          <w:rFonts w:ascii="微軟正黑體" w:eastAsia="微軟正黑體" w:hAnsi="微軟正黑體" w:hint="eastAsia"/>
        </w:rPr>
        <w:t>含政府應負擔及補助保險費、育嬰留職停薪續保專款補助及職災續保補助等)。</w:t>
      </w:r>
      <w:r w:rsidRPr="002074D6">
        <w:rPr>
          <w:rFonts w:ascii="微軟正黑體" w:eastAsia="微軟正黑體" w:hAnsi="微軟正黑體" w:hint="eastAsia"/>
        </w:rPr>
        <w:t>另隨費率調高及納保人數上升，自100年至10</w:t>
      </w:r>
      <w:r>
        <w:rPr>
          <w:rFonts w:ascii="微軟正黑體" w:eastAsia="微軟正黑體" w:hAnsi="微軟正黑體" w:hint="eastAsia"/>
        </w:rPr>
        <w:t>9</w:t>
      </w:r>
      <w:r w:rsidRPr="002074D6">
        <w:rPr>
          <w:rFonts w:ascii="微軟正黑體" w:eastAsia="微軟正黑體" w:hAnsi="微軟正黑體" w:hint="eastAsia"/>
        </w:rPr>
        <w:t>年整體保險費呈逐年增加趨勢。</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94176" behindDoc="0" locked="0" layoutInCell="1" allowOverlap="1" wp14:anchorId="10AD9929" wp14:editId="6ED9832C">
            <wp:simplePos x="0" y="0"/>
            <wp:positionH relativeFrom="column">
              <wp:posOffset>-2963</wp:posOffset>
            </wp:positionH>
            <wp:positionV relativeFrom="paragraph">
              <wp:posOffset>31750</wp:posOffset>
            </wp:positionV>
            <wp:extent cx="5825066" cy="2921000"/>
            <wp:effectExtent l="0" t="0" r="23495" b="12700"/>
            <wp:wrapNone/>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DF59E2"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Default="00FB2640" w:rsidP="00FB2640">
      <w:pPr>
        <w:spacing w:beforeLines="30" w:before="108" w:line="400" w:lineRule="exact"/>
        <w:jc w:val="center"/>
        <w:rPr>
          <w:rFonts w:ascii="微軟正黑體" w:eastAsia="微軟正黑體" w:hAnsi="微軟正黑體"/>
        </w:rPr>
      </w:pPr>
    </w:p>
    <w:p w:rsidR="00FB2640" w:rsidRPr="002331EA" w:rsidRDefault="00FB2640" w:rsidP="00FB2640">
      <w:pPr>
        <w:spacing w:beforeLines="50" w:before="180" w:line="400" w:lineRule="exact"/>
        <w:jc w:val="center"/>
        <w:rPr>
          <w:rFonts w:ascii="微軟正黑體" w:eastAsia="微軟正黑體" w:hAnsi="微軟正黑體"/>
        </w:rPr>
      </w:pPr>
      <w:r w:rsidRPr="002331EA">
        <w:rPr>
          <w:rFonts w:ascii="微軟正黑體" w:eastAsia="微軟正黑體" w:hAnsi="微軟正黑體" w:hint="eastAsia"/>
        </w:rPr>
        <w:t xml:space="preserve">圖2.7  </w:t>
      </w:r>
      <w:r>
        <w:rPr>
          <w:rFonts w:ascii="微軟正黑體" w:eastAsia="微軟正黑體" w:hAnsi="微軟正黑體" w:hint="eastAsia"/>
        </w:rPr>
        <w:t>近10</w:t>
      </w:r>
      <w:r w:rsidRPr="002331EA">
        <w:rPr>
          <w:rFonts w:ascii="微軟正黑體" w:eastAsia="微軟正黑體" w:hAnsi="微軟正黑體" w:hint="eastAsia"/>
        </w:rPr>
        <w:t>年勞保普通事故保險應計保險費負擔情形</w:t>
      </w:r>
    </w:p>
    <w:p w:rsidR="00FB2640" w:rsidRPr="00F0717A" w:rsidRDefault="00FB2640" w:rsidP="00FB2640">
      <w:pPr>
        <w:spacing w:beforeLines="30" w:before="108" w:line="400" w:lineRule="exact"/>
        <w:jc w:val="center"/>
        <w:rPr>
          <w:rFonts w:ascii="微軟正黑體" w:eastAsia="微軟正黑體" w:hAnsi="微軟正黑體"/>
        </w:rPr>
      </w:pPr>
    </w:p>
    <w:p w:rsidR="00FB2640" w:rsidRPr="00F0717A" w:rsidRDefault="00FB2640" w:rsidP="00FB2640">
      <w:pPr>
        <w:spacing w:beforeLines="50" w:before="180" w:line="400" w:lineRule="exact"/>
        <w:rPr>
          <w:rFonts w:ascii="微軟正黑體" w:eastAsia="微軟正黑體" w:hAnsi="微軟正黑體"/>
        </w:rPr>
      </w:pPr>
      <w:r>
        <w:rPr>
          <w:rFonts w:ascii="微軟正黑體" w:eastAsia="微軟正黑體" w:hAnsi="微軟正黑體" w:hint="eastAsia"/>
        </w:rPr>
        <w:t xml:space="preserve">(二) </w:t>
      </w:r>
      <w:r w:rsidRPr="00F0717A">
        <w:rPr>
          <w:rFonts w:ascii="微軟正黑體" w:eastAsia="微軟正黑體" w:hAnsi="微軟正黑體" w:hint="eastAsia"/>
        </w:rPr>
        <w:t>普通事故保險</w:t>
      </w:r>
      <w:r w:rsidRPr="00F0717A">
        <w:rPr>
          <w:rFonts w:ascii="微軟正黑體" w:eastAsia="微軟正黑體" w:hAnsi="微軟正黑體"/>
        </w:rPr>
        <w:t>給付概況</w:t>
      </w:r>
    </w:p>
    <w:p w:rsidR="00FB2640" w:rsidRDefault="00FB2640" w:rsidP="00FB2640">
      <w:pPr>
        <w:spacing w:beforeLines="50" w:before="180" w:line="400" w:lineRule="exact"/>
        <w:ind w:firstLineChars="200" w:firstLine="480"/>
        <w:jc w:val="both"/>
        <w:rPr>
          <w:rFonts w:ascii="微軟正黑體" w:eastAsia="微軟正黑體" w:hAnsi="微軟正黑體"/>
        </w:rPr>
      </w:pPr>
      <w:r w:rsidRPr="00F0717A">
        <w:rPr>
          <w:rFonts w:ascii="微軟正黑體" w:eastAsia="微軟正黑體" w:hAnsi="微軟正黑體" w:hint="eastAsia"/>
        </w:rPr>
        <w:t>10</w:t>
      </w:r>
      <w:r>
        <w:rPr>
          <w:rFonts w:ascii="微軟正黑體" w:eastAsia="微軟正黑體" w:hAnsi="微軟正黑體"/>
        </w:rPr>
        <w:t>9</w:t>
      </w:r>
      <w:r w:rsidRPr="00F0717A">
        <w:rPr>
          <w:rFonts w:ascii="微軟正黑體" w:eastAsia="微軟正黑體" w:hAnsi="微軟正黑體" w:hint="eastAsia"/>
        </w:rPr>
        <w:t>年勞工保險給付總金額達</w:t>
      </w:r>
      <w:r>
        <w:rPr>
          <w:rFonts w:ascii="微軟正黑體" w:eastAsia="微軟正黑體" w:hAnsi="微軟正黑體" w:hint="eastAsia"/>
        </w:rPr>
        <w:t>4</w:t>
      </w:r>
      <w:r w:rsidRPr="00F0717A">
        <w:rPr>
          <w:rFonts w:ascii="微軟正黑體" w:eastAsia="微軟正黑體" w:hAnsi="微軟正黑體" w:hint="eastAsia"/>
        </w:rPr>
        <w:t>,</w:t>
      </w:r>
      <w:r>
        <w:rPr>
          <w:rFonts w:ascii="微軟正黑體" w:eastAsia="微軟正黑體" w:hAnsi="微軟正黑體"/>
        </w:rPr>
        <w:t>562</w:t>
      </w:r>
      <w:r>
        <w:rPr>
          <w:rFonts w:ascii="微軟正黑體" w:eastAsia="微軟正黑體" w:hAnsi="微軟正黑體" w:hint="eastAsia"/>
        </w:rPr>
        <w:t>.</w:t>
      </w:r>
      <w:r>
        <w:rPr>
          <w:rFonts w:ascii="微軟正黑體" w:eastAsia="微軟正黑體" w:hAnsi="微軟正黑體"/>
        </w:rPr>
        <w:t>1</w:t>
      </w:r>
      <w:r w:rsidRPr="00F0717A">
        <w:rPr>
          <w:rFonts w:ascii="微軟正黑體" w:eastAsia="微軟正黑體" w:hAnsi="微軟正黑體" w:hint="eastAsia"/>
        </w:rPr>
        <w:t>億元，其中普通事故保險給付</w:t>
      </w:r>
      <w:r>
        <w:rPr>
          <w:rFonts w:ascii="微軟正黑體" w:eastAsia="微軟正黑體" w:hAnsi="微軟正黑體" w:hint="eastAsia"/>
        </w:rPr>
        <w:t>4</w:t>
      </w:r>
      <w:r w:rsidRPr="00F0717A">
        <w:rPr>
          <w:rFonts w:ascii="微軟正黑體" w:eastAsia="微軟正黑體" w:hAnsi="微軟正黑體" w:hint="eastAsia"/>
        </w:rPr>
        <w:t>,</w:t>
      </w:r>
      <w:r>
        <w:rPr>
          <w:rFonts w:ascii="微軟正黑體" w:eastAsia="微軟正黑體" w:hAnsi="微軟正黑體"/>
        </w:rPr>
        <w:t>48</w:t>
      </w:r>
      <w:r>
        <w:rPr>
          <w:rFonts w:ascii="微軟正黑體" w:eastAsia="微軟正黑體" w:hAnsi="微軟正黑體" w:hint="eastAsia"/>
        </w:rPr>
        <w:t>8.6</w:t>
      </w:r>
      <w:r w:rsidRPr="00F0717A">
        <w:rPr>
          <w:rFonts w:ascii="微軟正黑體" w:eastAsia="微軟正黑體" w:hAnsi="微軟正黑體" w:hint="eastAsia"/>
        </w:rPr>
        <w:t>億元(占98.</w:t>
      </w:r>
      <w:r>
        <w:rPr>
          <w:rFonts w:ascii="微軟正黑體" w:eastAsia="微軟正黑體" w:hAnsi="微軟正黑體"/>
        </w:rPr>
        <w:t>4</w:t>
      </w:r>
      <w:r w:rsidRPr="00F0717A">
        <w:rPr>
          <w:rFonts w:ascii="微軟正黑體" w:eastAsia="微軟正黑體" w:hAnsi="微軟正黑體" w:hint="eastAsia"/>
        </w:rPr>
        <w:t>%)、職災事故保險給付</w:t>
      </w:r>
      <w:r>
        <w:rPr>
          <w:rFonts w:ascii="微軟正黑體" w:eastAsia="微軟正黑體" w:hAnsi="微軟正黑體"/>
        </w:rPr>
        <w:t>73.6</w:t>
      </w:r>
      <w:r w:rsidRPr="00F0717A">
        <w:rPr>
          <w:rFonts w:ascii="微軟正黑體" w:eastAsia="微軟正黑體" w:hAnsi="微軟正黑體" w:hint="eastAsia"/>
        </w:rPr>
        <w:t>億元(占</w:t>
      </w:r>
      <w:r>
        <w:rPr>
          <w:rFonts w:ascii="微軟正黑體" w:eastAsia="微軟正黑體" w:hAnsi="微軟正黑體" w:hint="eastAsia"/>
        </w:rPr>
        <w:t>1.</w:t>
      </w:r>
      <w:r>
        <w:rPr>
          <w:rFonts w:ascii="微軟正黑體" w:eastAsia="微軟正黑體" w:hAnsi="微軟正黑體"/>
        </w:rPr>
        <w:t>6</w:t>
      </w:r>
      <w:r w:rsidRPr="00F0717A">
        <w:rPr>
          <w:rFonts w:ascii="微軟正黑體" w:eastAsia="微軟正黑體" w:hAnsi="微軟正黑體" w:hint="eastAsia"/>
        </w:rPr>
        <w:t>%)。以下針對普通事故保險給付概況進行說明：</w:t>
      </w:r>
    </w:p>
    <w:p w:rsidR="00FB2640" w:rsidRPr="00250399" w:rsidRDefault="00FB2640" w:rsidP="00FB2640">
      <w:pPr>
        <w:pStyle w:val="af0"/>
        <w:numPr>
          <w:ilvl w:val="0"/>
          <w:numId w:val="13"/>
        </w:numPr>
        <w:spacing w:beforeLines="50" w:before="180" w:line="400" w:lineRule="exact"/>
        <w:ind w:leftChars="0" w:left="480" w:hanging="480"/>
        <w:jc w:val="both"/>
        <w:rPr>
          <w:rFonts w:ascii="微軟正黑體" w:eastAsia="微軟正黑體" w:hAnsi="微軟正黑體"/>
        </w:rPr>
      </w:pPr>
      <w:r w:rsidRPr="00250399">
        <w:rPr>
          <w:rFonts w:ascii="微軟正黑體" w:eastAsia="微軟正黑體" w:hAnsi="微軟正黑體" w:hint="eastAsia"/>
        </w:rPr>
        <w:t>各給付項目</w:t>
      </w:r>
      <w:r w:rsidRPr="00250399">
        <w:rPr>
          <w:rFonts w:ascii="微軟正黑體" w:eastAsia="微軟正黑體" w:hAnsi="微軟正黑體"/>
        </w:rPr>
        <w:t>實計現金給付</w:t>
      </w:r>
      <w:r w:rsidRPr="00250399">
        <w:rPr>
          <w:rFonts w:ascii="微軟正黑體" w:eastAsia="微軟正黑體" w:hAnsi="微軟正黑體" w:hint="eastAsia"/>
        </w:rPr>
        <w:t>(按一次給付及年金給付分)</w:t>
      </w:r>
    </w:p>
    <w:p w:rsidR="00FB2640" w:rsidRPr="00677D27" w:rsidRDefault="00FB2640" w:rsidP="00FB2640">
      <w:pPr>
        <w:pStyle w:val="af0"/>
        <w:numPr>
          <w:ilvl w:val="1"/>
          <w:numId w:val="18"/>
        </w:numPr>
        <w:adjustRightInd w:val="0"/>
        <w:spacing w:beforeLines="30" w:before="108" w:line="400" w:lineRule="exact"/>
        <w:ind w:leftChars="0" w:left="782" w:hanging="357"/>
        <w:textAlignment w:val="baseline"/>
        <w:rPr>
          <w:rFonts w:ascii="微軟正黑體" w:eastAsia="微軟正黑體" w:hAnsi="微軟正黑體"/>
        </w:rPr>
      </w:pPr>
      <w:r>
        <w:rPr>
          <w:rFonts w:ascii="微軟正黑體" w:eastAsia="微軟正黑體" w:hAnsi="微軟正黑體" w:hint="eastAsia"/>
        </w:rPr>
        <w:t>一次</w:t>
      </w:r>
      <w:r w:rsidRPr="00677D27">
        <w:rPr>
          <w:rFonts w:ascii="微軟正黑體" w:eastAsia="微軟正黑體" w:hAnsi="微軟正黑體" w:hint="eastAsia"/>
        </w:rPr>
        <w:t>給付</w:t>
      </w:r>
    </w:p>
    <w:p w:rsidR="00FB2640" w:rsidRPr="00F0717A" w:rsidRDefault="00FB2640" w:rsidP="00FB2640">
      <w:pPr>
        <w:pStyle w:val="af0"/>
        <w:spacing w:beforeLines="30" w:before="108" w:line="400" w:lineRule="exact"/>
        <w:ind w:leftChars="0" w:left="851" w:firstLineChars="140" w:firstLine="336"/>
        <w:jc w:val="both"/>
        <w:rPr>
          <w:rFonts w:ascii="微軟正黑體" w:eastAsia="微軟正黑體" w:hAnsi="微軟正黑體"/>
          <w:bCs/>
        </w:rPr>
      </w:pPr>
      <w:r>
        <w:rPr>
          <w:rFonts w:ascii="微軟正黑體" w:eastAsia="微軟正黑體" w:hAnsi="微軟正黑體" w:hint="eastAsia"/>
          <w:bCs/>
        </w:rPr>
        <w:t xml:space="preserve"> </w:t>
      </w:r>
      <w:r w:rsidRPr="00F0717A">
        <w:rPr>
          <w:rFonts w:ascii="微軟正黑體" w:eastAsia="微軟正黑體" w:hAnsi="微軟正黑體"/>
          <w:bCs/>
        </w:rPr>
        <w:t>10</w:t>
      </w:r>
      <w:r>
        <w:rPr>
          <w:rFonts w:ascii="微軟正黑體" w:eastAsia="微軟正黑體" w:hAnsi="微軟正黑體"/>
          <w:bCs/>
        </w:rPr>
        <w:t>9年一次</w:t>
      </w:r>
      <w:r w:rsidR="00B32D89">
        <w:rPr>
          <w:rFonts w:ascii="微軟正黑體" w:eastAsia="微軟正黑體" w:hAnsi="微軟正黑體"/>
          <w:bCs/>
        </w:rPr>
        <w:t>給付總</w:t>
      </w:r>
      <w:r w:rsidRPr="00F0717A">
        <w:rPr>
          <w:rFonts w:ascii="微軟正黑體" w:eastAsia="微軟正黑體" w:hAnsi="微軟正黑體"/>
          <w:bCs/>
        </w:rPr>
        <w:t>額1,</w:t>
      </w:r>
      <w:r>
        <w:rPr>
          <w:rFonts w:ascii="微軟正黑體" w:eastAsia="微軟正黑體" w:hAnsi="微軟正黑體"/>
          <w:bCs/>
        </w:rPr>
        <w:t>612</w:t>
      </w:r>
      <w:r w:rsidRPr="00F0717A">
        <w:rPr>
          <w:rFonts w:ascii="微軟正黑體" w:eastAsia="微軟正黑體" w:hAnsi="微軟正黑體"/>
          <w:bCs/>
        </w:rPr>
        <w:t>.</w:t>
      </w:r>
      <w:r>
        <w:rPr>
          <w:rFonts w:ascii="微軟正黑體" w:eastAsia="微軟正黑體" w:hAnsi="微軟正黑體" w:hint="eastAsia"/>
          <w:bCs/>
        </w:rPr>
        <w:t>2</w:t>
      </w:r>
      <w:r w:rsidRPr="00F0717A">
        <w:rPr>
          <w:rFonts w:ascii="微軟正黑體" w:eastAsia="微軟正黑體" w:hAnsi="微軟正黑體"/>
          <w:bCs/>
        </w:rPr>
        <w:t>億元，</w:t>
      </w:r>
      <w:r w:rsidRPr="00F0717A">
        <w:rPr>
          <w:rFonts w:ascii="微軟正黑體" w:eastAsia="微軟正黑體" w:hAnsi="微軟正黑體" w:hint="eastAsia"/>
          <w:bCs/>
        </w:rPr>
        <w:t>占整體普通事故保險</w:t>
      </w:r>
      <w:r w:rsidRPr="00F0717A">
        <w:rPr>
          <w:rFonts w:ascii="微軟正黑體" w:eastAsia="微軟正黑體" w:hAnsi="微軟正黑體"/>
          <w:bCs/>
        </w:rPr>
        <w:t>給付</w:t>
      </w:r>
      <w:r w:rsidRPr="00F0717A">
        <w:rPr>
          <w:rFonts w:ascii="微軟正黑體" w:eastAsia="微軟正黑體" w:hAnsi="微軟正黑體" w:hint="eastAsia"/>
          <w:bCs/>
        </w:rPr>
        <w:t>總額</w:t>
      </w:r>
      <w:r>
        <w:rPr>
          <w:rFonts w:ascii="微軟正黑體" w:eastAsia="微軟正黑體" w:hAnsi="微軟正黑體"/>
          <w:bCs/>
        </w:rPr>
        <w:t>35.9</w:t>
      </w:r>
      <w:r w:rsidRPr="00F0717A">
        <w:rPr>
          <w:rFonts w:ascii="微軟正黑體" w:eastAsia="微軟正黑體" w:hAnsi="微軟正黑體" w:hint="eastAsia"/>
          <w:bCs/>
        </w:rPr>
        <w:t>%，</w:t>
      </w:r>
      <w:r w:rsidRPr="00F0717A">
        <w:rPr>
          <w:rFonts w:ascii="微軟正黑體" w:eastAsia="微軟正黑體" w:hAnsi="微軟正黑體"/>
          <w:bCs/>
        </w:rPr>
        <w:t>其中以老年給付為</w:t>
      </w:r>
      <w:r w:rsidRPr="00F0717A">
        <w:rPr>
          <w:rFonts w:ascii="微軟正黑體" w:eastAsia="微軟正黑體" w:hAnsi="微軟正黑體" w:hint="eastAsia"/>
          <w:bCs/>
        </w:rPr>
        <w:t>大宗</w:t>
      </w:r>
      <w:r w:rsidRPr="00F0717A">
        <w:rPr>
          <w:rFonts w:ascii="微軟正黑體" w:eastAsia="微軟正黑體" w:hAnsi="微軟正黑體"/>
          <w:bCs/>
        </w:rPr>
        <w:t>，</w:t>
      </w:r>
      <w:r>
        <w:rPr>
          <w:rFonts w:ascii="微軟正黑體" w:eastAsia="微軟正黑體" w:hAnsi="微軟正黑體" w:hint="eastAsia"/>
          <w:bCs/>
        </w:rPr>
        <w:t>計</w:t>
      </w:r>
      <w:r w:rsidRPr="00F0717A">
        <w:rPr>
          <w:rFonts w:ascii="微軟正黑體" w:eastAsia="微軟正黑體" w:hAnsi="微軟正黑體" w:hint="eastAsia"/>
          <w:bCs/>
        </w:rPr>
        <w:t>1</w:t>
      </w:r>
      <w:r>
        <w:rPr>
          <w:rFonts w:ascii="微軟正黑體" w:eastAsia="微軟正黑體" w:hAnsi="微軟正黑體" w:hint="eastAsia"/>
          <w:bCs/>
        </w:rPr>
        <w:t>0</w:t>
      </w:r>
      <w:r w:rsidRPr="00F0717A">
        <w:rPr>
          <w:rFonts w:ascii="微軟正黑體" w:eastAsia="微軟正黑體" w:hAnsi="微軟正黑體" w:hint="eastAsia"/>
          <w:bCs/>
        </w:rPr>
        <w:t>萬</w:t>
      </w:r>
      <w:r>
        <w:rPr>
          <w:rFonts w:ascii="微軟正黑體" w:eastAsia="微軟正黑體" w:hAnsi="微軟正黑體"/>
          <w:bCs/>
        </w:rPr>
        <w:t>5</w:t>
      </w:r>
      <w:r w:rsidRPr="00F0717A">
        <w:rPr>
          <w:rFonts w:ascii="微軟正黑體" w:eastAsia="微軟正黑體" w:hAnsi="微軟正黑體" w:hint="eastAsia"/>
          <w:bCs/>
        </w:rPr>
        <w:t>,</w:t>
      </w:r>
      <w:r>
        <w:rPr>
          <w:rFonts w:ascii="微軟正黑體" w:eastAsia="微軟正黑體" w:hAnsi="微軟正黑體"/>
          <w:bCs/>
        </w:rPr>
        <w:t>866</w:t>
      </w:r>
      <w:r w:rsidRPr="00F0717A">
        <w:rPr>
          <w:rFonts w:ascii="微軟正黑體" w:eastAsia="微軟正黑體" w:hAnsi="微軟正黑體" w:hint="eastAsia"/>
          <w:bCs/>
        </w:rPr>
        <w:t>件，</w:t>
      </w:r>
      <w:r w:rsidRPr="00F0717A">
        <w:rPr>
          <w:rFonts w:ascii="微軟正黑體" w:eastAsia="微軟正黑體" w:hAnsi="微軟正黑體"/>
          <w:bCs/>
        </w:rPr>
        <w:t>給付</w:t>
      </w:r>
      <w:r w:rsidR="00B32D89">
        <w:rPr>
          <w:rFonts w:ascii="微軟正黑體" w:eastAsia="微軟正黑體" w:hAnsi="微軟正黑體" w:hint="eastAsia"/>
          <w:bCs/>
        </w:rPr>
        <w:t>金</w:t>
      </w:r>
      <w:r w:rsidRPr="00F0717A">
        <w:rPr>
          <w:rFonts w:ascii="微軟正黑體" w:eastAsia="微軟正黑體" w:hAnsi="微軟正黑體"/>
          <w:bCs/>
        </w:rPr>
        <w:t>額</w:t>
      </w:r>
      <w:r w:rsidRPr="00F0717A">
        <w:rPr>
          <w:rFonts w:ascii="微軟正黑體" w:eastAsia="微軟正黑體" w:hAnsi="微軟正黑體" w:hint="eastAsia"/>
          <w:bCs/>
        </w:rPr>
        <w:t>約</w:t>
      </w:r>
      <w:r w:rsidRPr="00F0717A">
        <w:rPr>
          <w:rFonts w:ascii="微軟正黑體" w:eastAsia="微軟正黑體" w:hAnsi="微軟正黑體"/>
          <w:bCs/>
        </w:rPr>
        <w:t>1,</w:t>
      </w:r>
      <w:r>
        <w:rPr>
          <w:rFonts w:ascii="微軟正黑體" w:eastAsia="微軟正黑體" w:hAnsi="微軟正黑體" w:hint="eastAsia"/>
          <w:bCs/>
        </w:rPr>
        <w:t>2</w:t>
      </w:r>
      <w:r>
        <w:rPr>
          <w:rFonts w:ascii="微軟正黑體" w:eastAsia="微軟正黑體" w:hAnsi="微軟正黑體"/>
          <w:bCs/>
        </w:rPr>
        <w:t>33.3</w:t>
      </w:r>
      <w:r w:rsidRPr="00F0717A">
        <w:rPr>
          <w:rFonts w:ascii="微軟正黑體" w:eastAsia="微軟正黑體" w:hAnsi="微軟正黑體"/>
          <w:bCs/>
        </w:rPr>
        <w:t>億元，占</w:t>
      </w:r>
      <w:r>
        <w:rPr>
          <w:rFonts w:ascii="微軟正黑體" w:eastAsia="微軟正黑體" w:hAnsi="微軟正黑體" w:hint="eastAsia"/>
          <w:bCs/>
        </w:rPr>
        <w:t>一次</w:t>
      </w:r>
      <w:r w:rsidRPr="00F0717A">
        <w:rPr>
          <w:rFonts w:ascii="微軟正黑體" w:eastAsia="微軟正黑體" w:hAnsi="微軟正黑體"/>
          <w:bCs/>
        </w:rPr>
        <w:t>給付總額</w:t>
      </w:r>
      <w:r>
        <w:rPr>
          <w:rFonts w:ascii="微軟正黑體" w:eastAsia="微軟正黑體" w:hAnsi="微軟正黑體" w:hint="eastAsia"/>
          <w:bCs/>
        </w:rPr>
        <w:t>76.</w:t>
      </w:r>
      <w:r>
        <w:rPr>
          <w:rFonts w:ascii="微軟正黑體" w:eastAsia="微軟正黑體" w:hAnsi="微軟正黑體"/>
          <w:bCs/>
        </w:rPr>
        <w:t>5</w:t>
      </w:r>
      <w:r w:rsidRPr="00F0717A">
        <w:rPr>
          <w:rFonts w:ascii="微軟正黑體" w:eastAsia="微軟正黑體" w:hAnsi="微軟正黑體"/>
          <w:bCs/>
        </w:rPr>
        <w:t>%。</w:t>
      </w:r>
    </w:p>
    <w:p w:rsidR="00FB2640" w:rsidRDefault="00FB2640" w:rsidP="00FB2640">
      <w:pPr>
        <w:pStyle w:val="af0"/>
        <w:spacing w:line="400" w:lineRule="exact"/>
        <w:ind w:leftChars="0" w:left="748" w:firstLineChars="200" w:firstLine="480"/>
        <w:jc w:val="both"/>
        <w:rPr>
          <w:rFonts w:ascii="微軟正黑體" w:eastAsia="微軟正黑體" w:hAnsi="微軟正黑體"/>
        </w:rPr>
      </w:pPr>
    </w:p>
    <w:p w:rsidR="00FB2640" w:rsidRDefault="00FB2640" w:rsidP="00FB2640">
      <w:pPr>
        <w:pStyle w:val="af0"/>
        <w:spacing w:line="400" w:lineRule="exact"/>
        <w:ind w:leftChars="0" w:left="748" w:firstLineChars="200" w:firstLine="480"/>
        <w:jc w:val="both"/>
        <w:rPr>
          <w:rFonts w:ascii="微軟正黑體" w:eastAsia="微軟正黑體" w:hAnsi="微軟正黑體"/>
        </w:rPr>
      </w:pPr>
    </w:p>
    <w:p w:rsidR="00FB2640" w:rsidRDefault="00FB2640" w:rsidP="00FB2640">
      <w:pPr>
        <w:pStyle w:val="af0"/>
        <w:spacing w:line="400" w:lineRule="exact"/>
        <w:ind w:leftChars="0" w:left="748" w:firstLineChars="200" w:firstLine="480"/>
        <w:jc w:val="both"/>
        <w:rPr>
          <w:rFonts w:ascii="微軟正黑體" w:eastAsia="微軟正黑體" w:hAnsi="微軟正黑體"/>
        </w:rPr>
      </w:pPr>
    </w:p>
    <w:p w:rsidR="00FB2640" w:rsidRDefault="00FB2640" w:rsidP="00FB2640">
      <w:pPr>
        <w:pStyle w:val="af0"/>
        <w:spacing w:line="400" w:lineRule="exact"/>
        <w:ind w:leftChars="0" w:left="748" w:firstLineChars="200" w:firstLine="480"/>
        <w:jc w:val="both"/>
        <w:rPr>
          <w:rFonts w:ascii="微軟正黑體" w:eastAsia="微軟正黑體" w:hAnsi="微軟正黑體"/>
        </w:rPr>
      </w:pPr>
    </w:p>
    <w:p w:rsidR="00FB2640" w:rsidRDefault="00FB2640" w:rsidP="00FB2640">
      <w:pPr>
        <w:pStyle w:val="af0"/>
        <w:spacing w:line="400" w:lineRule="exact"/>
        <w:ind w:leftChars="0" w:left="748" w:firstLineChars="200" w:firstLine="480"/>
        <w:jc w:val="both"/>
        <w:rPr>
          <w:rFonts w:ascii="微軟正黑體" w:eastAsia="微軟正黑體" w:hAnsi="微軟正黑體"/>
        </w:rPr>
      </w:pPr>
    </w:p>
    <w:p w:rsidR="00FB2640" w:rsidRPr="00F0717A" w:rsidRDefault="00FB2640" w:rsidP="00FB2640">
      <w:pPr>
        <w:snapToGrid w:val="0"/>
        <w:spacing w:afterLines="30" w:after="108" w:line="400" w:lineRule="exact"/>
        <w:jc w:val="center"/>
        <w:rPr>
          <w:rFonts w:ascii="微軟正黑體" w:eastAsia="微軟正黑體" w:hAnsi="微軟正黑體"/>
          <w:bCs/>
        </w:rPr>
      </w:pPr>
      <w:r>
        <w:rPr>
          <w:rFonts w:ascii="微軟正黑體" w:eastAsia="微軟正黑體" w:hAnsi="微軟正黑體" w:hint="eastAsia"/>
          <w:bCs/>
        </w:rPr>
        <w:lastRenderedPageBreak/>
        <w:t xml:space="preserve">    </w:t>
      </w:r>
      <w:r w:rsidRPr="00F0717A">
        <w:rPr>
          <w:rFonts w:ascii="微軟正黑體" w:eastAsia="微軟正黑體" w:hAnsi="微軟正黑體" w:hint="eastAsia"/>
          <w:bCs/>
        </w:rPr>
        <w:t xml:space="preserve"> </w:t>
      </w:r>
      <w:r w:rsidRPr="00F0717A">
        <w:rPr>
          <w:rFonts w:ascii="微軟正黑體" w:eastAsia="微軟正黑體" w:hAnsi="微軟正黑體"/>
          <w:bCs/>
        </w:rPr>
        <w:t>表2.</w:t>
      </w:r>
      <w:r w:rsidRPr="00F0717A">
        <w:rPr>
          <w:rFonts w:ascii="微軟正黑體" w:eastAsia="微軟正黑體" w:hAnsi="微軟正黑體" w:hint="eastAsia"/>
          <w:bCs/>
        </w:rPr>
        <w:t>4</w:t>
      </w:r>
      <w:r w:rsidRPr="00F0717A">
        <w:rPr>
          <w:rFonts w:ascii="微軟正黑體" w:eastAsia="微軟正黑體" w:hAnsi="微軟正黑體"/>
          <w:bCs/>
        </w:rPr>
        <w:t xml:space="preserve">  10</w:t>
      </w:r>
      <w:r>
        <w:rPr>
          <w:rFonts w:ascii="微軟正黑體" w:eastAsia="微軟正黑體" w:hAnsi="微軟正黑體"/>
          <w:bCs/>
        </w:rPr>
        <w:t>9</w:t>
      </w:r>
      <w:r w:rsidRPr="00F0717A">
        <w:rPr>
          <w:rFonts w:ascii="微軟正黑體" w:eastAsia="微軟正黑體" w:hAnsi="微軟正黑體"/>
          <w:bCs/>
        </w:rPr>
        <w:t>年勞保</w:t>
      </w:r>
      <w:r w:rsidRPr="00F0717A">
        <w:rPr>
          <w:rFonts w:ascii="微軟正黑體" w:eastAsia="微軟正黑體" w:hAnsi="微軟正黑體" w:hint="eastAsia"/>
          <w:bCs/>
        </w:rPr>
        <w:t>普通事故</w:t>
      </w:r>
      <w:r w:rsidRPr="00F0717A">
        <w:rPr>
          <w:rFonts w:ascii="微軟正黑體" w:eastAsia="微軟正黑體" w:hAnsi="微軟正黑體"/>
          <w:bCs/>
        </w:rPr>
        <w:t>實計</w:t>
      </w:r>
      <w:r w:rsidRPr="00F0717A">
        <w:rPr>
          <w:rFonts w:ascii="微軟正黑體" w:eastAsia="微軟正黑體" w:hAnsi="微軟正黑體" w:hint="eastAsia"/>
          <w:bCs/>
        </w:rPr>
        <w:t>現金</w:t>
      </w:r>
      <w:r w:rsidRPr="00F0717A">
        <w:rPr>
          <w:rFonts w:ascii="微軟正黑體" w:eastAsia="微軟正黑體" w:hAnsi="微軟正黑體"/>
          <w:bCs/>
        </w:rPr>
        <w:t>給</w:t>
      </w:r>
      <w:r w:rsidRPr="00250399">
        <w:rPr>
          <w:rFonts w:ascii="微軟正黑體" w:eastAsia="微軟正黑體" w:hAnsi="微軟正黑體"/>
          <w:bCs/>
        </w:rPr>
        <w:t>付(一次</w:t>
      </w:r>
      <w:r w:rsidRPr="00250399">
        <w:rPr>
          <w:rFonts w:ascii="微軟正黑體" w:eastAsia="微軟正黑體" w:hAnsi="微軟正黑體" w:hint="eastAsia"/>
          <w:bCs/>
        </w:rPr>
        <w:t>給付</w:t>
      </w:r>
      <w:r w:rsidRPr="00250399">
        <w:rPr>
          <w:rFonts w:ascii="微軟正黑體" w:eastAsia="微軟正黑體" w:hAnsi="微軟正黑體"/>
          <w:bCs/>
        </w:rPr>
        <w:t>)</w:t>
      </w:r>
      <w:r w:rsidRPr="00250399">
        <w:rPr>
          <w:rFonts w:ascii="微軟正黑體" w:eastAsia="微軟正黑體" w:hAnsi="微軟正黑體"/>
        </w:rPr>
        <w:t xml:space="preserve"> </w:t>
      </w:r>
      <w:r w:rsidRPr="00250399">
        <w:rPr>
          <w:rFonts w:ascii="微軟正黑體" w:eastAsia="微軟正黑體" w:hAnsi="微軟正黑體"/>
          <w:bCs/>
        </w:rPr>
        <w:t>(按</w:t>
      </w:r>
      <w:r w:rsidRPr="00F0717A">
        <w:rPr>
          <w:rFonts w:ascii="微軟正黑體" w:eastAsia="微軟正黑體" w:hAnsi="微軟正黑體"/>
          <w:bCs/>
        </w:rPr>
        <w:t>給付種類分)</w:t>
      </w:r>
    </w:p>
    <w:tbl>
      <w:tblPr>
        <w:tblW w:w="8646" w:type="dxa"/>
        <w:tblInd w:w="454" w:type="dxa"/>
        <w:tblCellMar>
          <w:left w:w="28" w:type="dxa"/>
          <w:right w:w="28" w:type="dxa"/>
        </w:tblCellMar>
        <w:tblLook w:val="04A0" w:firstRow="1" w:lastRow="0" w:firstColumn="1" w:lastColumn="0" w:noHBand="0" w:noVBand="1"/>
      </w:tblPr>
      <w:tblGrid>
        <w:gridCol w:w="2693"/>
        <w:gridCol w:w="2163"/>
        <w:gridCol w:w="2231"/>
        <w:gridCol w:w="1559"/>
      </w:tblGrid>
      <w:tr w:rsidR="00FB2640" w:rsidRPr="00F0717A" w:rsidTr="008F1977">
        <w:trPr>
          <w:trHeight w:val="345"/>
          <w:tblHeader/>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FB2640" w:rsidRPr="00F0717A" w:rsidRDefault="00FB2640" w:rsidP="008F1977">
            <w:pPr>
              <w:widowControl/>
              <w:spacing w:line="360" w:lineRule="exact"/>
              <w:jc w:val="center"/>
              <w:rPr>
                <w:rFonts w:ascii="微軟正黑體" w:eastAsia="微軟正黑體" w:hAnsi="微軟正黑體"/>
                <w:bCs/>
                <w:sz w:val="22"/>
                <w:szCs w:val="22"/>
              </w:rPr>
            </w:pPr>
            <w:r w:rsidRPr="00F0717A">
              <w:rPr>
                <w:rFonts w:ascii="微軟正黑體" w:eastAsia="微軟正黑體" w:hAnsi="微軟正黑體"/>
                <w:bCs/>
                <w:sz w:val="22"/>
                <w:szCs w:val="22"/>
              </w:rPr>
              <w:t>項目</w:t>
            </w:r>
          </w:p>
        </w:tc>
        <w:tc>
          <w:tcPr>
            <w:tcW w:w="2163" w:type="dxa"/>
            <w:tcBorders>
              <w:top w:val="single" w:sz="4" w:space="0" w:color="auto"/>
              <w:left w:val="single" w:sz="4" w:space="0" w:color="auto"/>
              <w:bottom w:val="single" w:sz="4" w:space="0" w:color="auto"/>
              <w:right w:val="single" w:sz="4" w:space="0" w:color="auto"/>
            </w:tcBorders>
            <w:shd w:val="clear" w:color="auto" w:fill="auto"/>
            <w:hideMark/>
          </w:tcPr>
          <w:p w:rsidR="00FB2640" w:rsidRPr="00F0717A" w:rsidRDefault="00FB2640" w:rsidP="008F1977">
            <w:pPr>
              <w:widowControl/>
              <w:spacing w:line="360" w:lineRule="exact"/>
              <w:jc w:val="center"/>
              <w:rPr>
                <w:rFonts w:ascii="微軟正黑體" w:eastAsia="微軟正黑體" w:hAnsi="微軟正黑體"/>
                <w:bCs/>
                <w:sz w:val="22"/>
                <w:szCs w:val="22"/>
              </w:rPr>
            </w:pPr>
            <w:r w:rsidRPr="00F0717A">
              <w:rPr>
                <w:rFonts w:ascii="微軟正黑體" w:eastAsia="微軟正黑體" w:hAnsi="微軟正黑體"/>
                <w:bCs/>
                <w:sz w:val="22"/>
                <w:szCs w:val="22"/>
              </w:rPr>
              <w:t>件數(件)</w:t>
            </w:r>
          </w:p>
        </w:tc>
        <w:tc>
          <w:tcPr>
            <w:tcW w:w="2231" w:type="dxa"/>
            <w:tcBorders>
              <w:top w:val="single" w:sz="4" w:space="0" w:color="auto"/>
              <w:left w:val="single" w:sz="4" w:space="0" w:color="auto"/>
              <w:bottom w:val="single" w:sz="4" w:space="0" w:color="auto"/>
              <w:right w:val="single" w:sz="4" w:space="0" w:color="auto"/>
            </w:tcBorders>
            <w:shd w:val="clear" w:color="auto" w:fill="auto"/>
            <w:hideMark/>
          </w:tcPr>
          <w:p w:rsidR="00FB2640" w:rsidRPr="00F0717A" w:rsidRDefault="00FB2640" w:rsidP="008F1977">
            <w:pPr>
              <w:widowControl/>
              <w:spacing w:line="360" w:lineRule="exact"/>
              <w:jc w:val="center"/>
              <w:rPr>
                <w:rFonts w:ascii="微軟正黑體" w:eastAsia="微軟正黑體" w:hAnsi="微軟正黑體"/>
                <w:bCs/>
                <w:sz w:val="22"/>
                <w:szCs w:val="22"/>
              </w:rPr>
            </w:pPr>
            <w:r w:rsidRPr="00F0717A">
              <w:rPr>
                <w:rFonts w:ascii="微軟正黑體" w:eastAsia="微軟正黑體" w:hAnsi="微軟正黑體"/>
                <w:bCs/>
                <w:sz w:val="22"/>
                <w:szCs w:val="22"/>
              </w:rPr>
              <w:t>金額(元)</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B2640" w:rsidRPr="00F0717A" w:rsidRDefault="00FB2640" w:rsidP="008F1977">
            <w:pPr>
              <w:widowControl/>
              <w:spacing w:line="360" w:lineRule="exact"/>
              <w:jc w:val="center"/>
              <w:rPr>
                <w:rFonts w:ascii="微軟正黑體" w:eastAsia="微軟正黑體" w:hAnsi="微軟正黑體"/>
                <w:bCs/>
                <w:sz w:val="22"/>
                <w:szCs w:val="22"/>
              </w:rPr>
            </w:pPr>
            <w:r w:rsidRPr="00F0717A">
              <w:rPr>
                <w:rFonts w:ascii="微軟正黑體" w:eastAsia="微軟正黑體" w:hAnsi="微軟正黑體"/>
                <w:bCs/>
                <w:sz w:val="22"/>
                <w:szCs w:val="22"/>
              </w:rPr>
              <w:t>金額比率(%)</w:t>
            </w:r>
          </w:p>
        </w:tc>
      </w:tr>
      <w:tr w:rsidR="00FB2640" w:rsidRPr="0059271F" w:rsidTr="008F1977">
        <w:trPr>
          <w:trHeight w:val="349"/>
        </w:trPr>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合計</w:t>
            </w:r>
          </w:p>
        </w:tc>
        <w:tc>
          <w:tcPr>
            <w:tcW w:w="2163" w:type="dxa"/>
            <w:tcBorders>
              <w:top w:val="single" w:sz="4" w:space="0" w:color="auto"/>
              <w:left w:val="single" w:sz="4" w:space="0" w:color="auto"/>
              <w:bottom w:val="single" w:sz="4" w:space="0" w:color="auto"/>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500,758 </w:t>
            </w:r>
          </w:p>
        </w:tc>
        <w:tc>
          <w:tcPr>
            <w:tcW w:w="2231" w:type="dxa"/>
            <w:tcBorders>
              <w:top w:val="single" w:sz="4" w:space="0" w:color="auto"/>
              <w:left w:val="single" w:sz="4" w:space="0" w:color="auto"/>
              <w:bottom w:val="single" w:sz="4" w:space="0" w:color="auto"/>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161,216,934,956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100.0 </w:t>
            </w:r>
          </w:p>
        </w:tc>
      </w:tr>
      <w:tr w:rsidR="00FB2640" w:rsidRPr="0059271F" w:rsidTr="008F1977">
        <w:trPr>
          <w:trHeight w:val="330"/>
        </w:trPr>
        <w:tc>
          <w:tcPr>
            <w:tcW w:w="2693" w:type="dxa"/>
            <w:tcBorders>
              <w:top w:val="single" w:sz="4" w:space="0" w:color="auto"/>
              <w:left w:val="single" w:sz="4" w:space="0" w:color="auto"/>
              <w:bottom w:val="nil"/>
              <w:right w:val="single" w:sz="4" w:space="0" w:color="auto"/>
            </w:tcBorders>
            <w:shd w:val="clear" w:color="auto" w:fill="auto"/>
            <w:hideMark/>
          </w:tcPr>
          <w:p w:rsidR="00FB2640" w:rsidRPr="0059271F" w:rsidRDefault="00FB2640" w:rsidP="008F1977">
            <w:pPr>
              <w:spacing w:line="360" w:lineRule="exact"/>
              <w:ind w:firstLineChars="100" w:firstLine="220"/>
              <w:rPr>
                <w:rFonts w:ascii="微軟正黑體" w:eastAsia="微軟正黑體" w:hAnsi="微軟正黑體"/>
                <w:sz w:val="22"/>
                <w:szCs w:val="22"/>
              </w:rPr>
            </w:pPr>
            <w:r w:rsidRPr="0059271F">
              <w:rPr>
                <w:rFonts w:ascii="微軟正黑體" w:eastAsia="微軟正黑體" w:hAnsi="微軟正黑體" w:hint="eastAsia"/>
                <w:sz w:val="22"/>
                <w:szCs w:val="22"/>
              </w:rPr>
              <w:t>1.生育給付</w:t>
            </w:r>
          </w:p>
        </w:tc>
        <w:tc>
          <w:tcPr>
            <w:tcW w:w="2163" w:type="dxa"/>
            <w:tcBorders>
              <w:top w:val="single" w:sz="4" w:space="0" w:color="auto"/>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123,433 </w:t>
            </w:r>
          </w:p>
        </w:tc>
        <w:tc>
          <w:tcPr>
            <w:tcW w:w="2231" w:type="dxa"/>
            <w:tcBorders>
              <w:top w:val="single" w:sz="4" w:space="0" w:color="auto"/>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7,954,917,800 </w:t>
            </w:r>
          </w:p>
        </w:tc>
        <w:tc>
          <w:tcPr>
            <w:tcW w:w="1559" w:type="dxa"/>
            <w:tcBorders>
              <w:top w:val="single" w:sz="4" w:space="0" w:color="auto"/>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4.9 </w:t>
            </w:r>
          </w:p>
        </w:tc>
      </w:tr>
      <w:tr w:rsidR="00FB2640" w:rsidRPr="0059271F" w:rsidTr="008F1977">
        <w:trPr>
          <w:trHeight w:val="330"/>
        </w:trPr>
        <w:tc>
          <w:tcPr>
            <w:tcW w:w="2693" w:type="dxa"/>
            <w:tcBorders>
              <w:top w:val="nil"/>
              <w:left w:val="single" w:sz="4" w:space="0" w:color="auto"/>
              <w:bottom w:val="nil"/>
              <w:right w:val="single" w:sz="4" w:space="0" w:color="auto"/>
            </w:tcBorders>
            <w:shd w:val="clear" w:color="auto" w:fill="auto"/>
            <w:hideMark/>
          </w:tcPr>
          <w:p w:rsidR="00FB2640" w:rsidRPr="0059271F" w:rsidRDefault="00FB2640" w:rsidP="008F1977">
            <w:pPr>
              <w:spacing w:line="360" w:lineRule="exact"/>
              <w:ind w:firstLineChars="100" w:firstLine="220"/>
              <w:rPr>
                <w:rFonts w:ascii="微軟正黑體" w:eastAsia="微軟正黑體" w:hAnsi="微軟正黑體"/>
                <w:sz w:val="22"/>
                <w:szCs w:val="22"/>
              </w:rPr>
            </w:pPr>
            <w:r w:rsidRPr="0059271F">
              <w:rPr>
                <w:rFonts w:ascii="微軟正黑體" w:eastAsia="微軟正黑體" w:hAnsi="微軟正黑體" w:hint="eastAsia"/>
                <w:sz w:val="22"/>
                <w:szCs w:val="22"/>
              </w:rPr>
              <w:t>2.傷病給付</w:t>
            </w:r>
          </w:p>
        </w:tc>
        <w:tc>
          <w:tcPr>
            <w:tcW w:w="2163"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120,352 </w:t>
            </w:r>
          </w:p>
        </w:tc>
        <w:tc>
          <w:tcPr>
            <w:tcW w:w="2231"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1,057,752,771 </w:t>
            </w:r>
          </w:p>
        </w:tc>
        <w:tc>
          <w:tcPr>
            <w:tcW w:w="1559" w:type="dxa"/>
            <w:tcBorders>
              <w:top w:val="nil"/>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0.7 </w:t>
            </w:r>
          </w:p>
        </w:tc>
      </w:tr>
      <w:tr w:rsidR="00FB2640" w:rsidRPr="0059271F" w:rsidTr="008F1977">
        <w:trPr>
          <w:trHeight w:val="330"/>
        </w:trPr>
        <w:tc>
          <w:tcPr>
            <w:tcW w:w="2693" w:type="dxa"/>
            <w:tcBorders>
              <w:top w:val="nil"/>
              <w:left w:val="single" w:sz="4" w:space="0" w:color="auto"/>
              <w:bottom w:val="nil"/>
              <w:right w:val="single" w:sz="4" w:space="0" w:color="auto"/>
            </w:tcBorders>
            <w:shd w:val="clear" w:color="auto" w:fill="auto"/>
            <w:hideMark/>
          </w:tcPr>
          <w:p w:rsidR="00FB2640" w:rsidRPr="0059271F" w:rsidRDefault="00FB2640" w:rsidP="008F1977">
            <w:pPr>
              <w:spacing w:line="360" w:lineRule="exact"/>
              <w:ind w:firstLineChars="100" w:firstLine="220"/>
              <w:rPr>
                <w:rFonts w:ascii="微軟正黑體" w:eastAsia="微軟正黑體" w:hAnsi="微軟正黑體"/>
                <w:sz w:val="22"/>
                <w:szCs w:val="22"/>
              </w:rPr>
            </w:pPr>
            <w:r w:rsidRPr="0059271F">
              <w:rPr>
                <w:rFonts w:ascii="微軟正黑體" w:eastAsia="微軟正黑體" w:hAnsi="微軟正黑體" w:hint="eastAsia"/>
                <w:sz w:val="22"/>
                <w:szCs w:val="22"/>
              </w:rPr>
              <w:t>3.失能給付</w:t>
            </w:r>
          </w:p>
        </w:tc>
        <w:tc>
          <w:tcPr>
            <w:tcW w:w="2163"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15,589 </w:t>
            </w:r>
          </w:p>
        </w:tc>
        <w:tc>
          <w:tcPr>
            <w:tcW w:w="2231"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4,341,231,667 </w:t>
            </w:r>
          </w:p>
        </w:tc>
        <w:tc>
          <w:tcPr>
            <w:tcW w:w="1559" w:type="dxa"/>
            <w:tcBorders>
              <w:top w:val="nil"/>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2.7 </w:t>
            </w:r>
          </w:p>
        </w:tc>
      </w:tr>
      <w:tr w:rsidR="00FB2640" w:rsidRPr="0059271F" w:rsidTr="008F1977">
        <w:trPr>
          <w:trHeight w:val="330"/>
        </w:trPr>
        <w:tc>
          <w:tcPr>
            <w:tcW w:w="2693" w:type="dxa"/>
            <w:tcBorders>
              <w:top w:val="nil"/>
              <w:left w:val="single" w:sz="4" w:space="0" w:color="auto"/>
              <w:bottom w:val="nil"/>
              <w:right w:val="single" w:sz="4" w:space="0" w:color="auto"/>
            </w:tcBorders>
            <w:shd w:val="clear" w:color="auto" w:fill="auto"/>
            <w:hideMark/>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一次請領失能給付</w:t>
            </w:r>
          </w:p>
        </w:tc>
        <w:tc>
          <w:tcPr>
            <w:tcW w:w="2163"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15,518 </w:t>
            </w:r>
          </w:p>
        </w:tc>
        <w:tc>
          <w:tcPr>
            <w:tcW w:w="2231"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4,300,572,084 </w:t>
            </w:r>
          </w:p>
        </w:tc>
        <w:tc>
          <w:tcPr>
            <w:tcW w:w="1559" w:type="dxa"/>
            <w:tcBorders>
              <w:top w:val="nil"/>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0"/>
                <w:szCs w:val="20"/>
              </w:rPr>
            </w:pPr>
          </w:p>
        </w:tc>
      </w:tr>
      <w:tr w:rsidR="00FB2640" w:rsidRPr="0059271F" w:rsidTr="008F1977">
        <w:trPr>
          <w:trHeight w:val="330"/>
        </w:trPr>
        <w:tc>
          <w:tcPr>
            <w:tcW w:w="2693" w:type="dxa"/>
            <w:tcBorders>
              <w:top w:val="nil"/>
              <w:left w:val="single" w:sz="4" w:space="0" w:color="auto"/>
              <w:bottom w:val="nil"/>
              <w:right w:val="single" w:sz="4" w:space="0" w:color="auto"/>
            </w:tcBorders>
            <w:shd w:val="clear" w:color="auto" w:fill="auto"/>
            <w:hideMark/>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失能差額金</w:t>
            </w:r>
          </w:p>
        </w:tc>
        <w:tc>
          <w:tcPr>
            <w:tcW w:w="2163"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71 </w:t>
            </w:r>
          </w:p>
        </w:tc>
        <w:tc>
          <w:tcPr>
            <w:tcW w:w="2231"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40,659,583 </w:t>
            </w:r>
          </w:p>
        </w:tc>
        <w:tc>
          <w:tcPr>
            <w:tcW w:w="1559" w:type="dxa"/>
            <w:tcBorders>
              <w:top w:val="nil"/>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0"/>
                <w:szCs w:val="20"/>
              </w:rPr>
            </w:pPr>
          </w:p>
        </w:tc>
      </w:tr>
      <w:tr w:rsidR="00FB2640" w:rsidRPr="0059271F" w:rsidTr="008F1977">
        <w:trPr>
          <w:trHeight w:val="330"/>
        </w:trPr>
        <w:tc>
          <w:tcPr>
            <w:tcW w:w="2693" w:type="dxa"/>
            <w:tcBorders>
              <w:top w:val="nil"/>
              <w:left w:val="single" w:sz="4" w:space="0" w:color="auto"/>
              <w:bottom w:val="nil"/>
              <w:right w:val="single" w:sz="4" w:space="0" w:color="auto"/>
            </w:tcBorders>
            <w:shd w:val="clear" w:color="auto" w:fill="FDE9D9" w:themeFill="accent6" w:themeFillTint="33"/>
            <w:hideMark/>
          </w:tcPr>
          <w:p w:rsidR="00FB2640" w:rsidRPr="0059271F" w:rsidRDefault="00FB2640" w:rsidP="008F1977">
            <w:pPr>
              <w:spacing w:line="360" w:lineRule="exact"/>
              <w:ind w:firstLineChars="100" w:firstLine="220"/>
              <w:rPr>
                <w:rFonts w:ascii="微軟正黑體" w:eastAsia="微軟正黑體" w:hAnsi="微軟正黑體"/>
                <w:b/>
                <w:sz w:val="22"/>
                <w:szCs w:val="22"/>
              </w:rPr>
            </w:pPr>
            <w:r w:rsidRPr="0059271F">
              <w:rPr>
                <w:rFonts w:ascii="微軟正黑體" w:eastAsia="微軟正黑體" w:hAnsi="微軟正黑體" w:hint="eastAsia"/>
                <w:b/>
                <w:sz w:val="22"/>
                <w:szCs w:val="22"/>
              </w:rPr>
              <w:t>4.老年給付</w:t>
            </w:r>
          </w:p>
        </w:tc>
        <w:tc>
          <w:tcPr>
            <w:tcW w:w="2163" w:type="dxa"/>
            <w:tcBorders>
              <w:top w:val="nil"/>
              <w:left w:val="single" w:sz="4" w:space="0" w:color="auto"/>
              <w:bottom w:val="nil"/>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105,866 </w:t>
            </w:r>
          </w:p>
        </w:tc>
        <w:tc>
          <w:tcPr>
            <w:tcW w:w="2231" w:type="dxa"/>
            <w:tcBorders>
              <w:top w:val="nil"/>
              <w:left w:val="single" w:sz="4" w:space="0" w:color="auto"/>
              <w:bottom w:val="nil"/>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123,334,099,922 </w:t>
            </w:r>
          </w:p>
        </w:tc>
        <w:tc>
          <w:tcPr>
            <w:tcW w:w="1559" w:type="dxa"/>
            <w:tcBorders>
              <w:top w:val="nil"/>
              <w:left w:val="single" w:sz="4" w:space="0" w:color="auto"/>
              <w:bottom w:val="nil"/>
              <w:right w:val="single" w:sz="4" w:space="0" w:color="auto"/>
            </w:tcBorders>
            <w:shd w:val="clear" w:color="auto" w:fill="FDE9D9" w:themeFill="accent6" w:themeFillTint="33"/>
            <w:noWrap/>
            <w:hideMark/>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76.5 </w:t>
            </w:r>
          </w:p>
        </w:tc>
      </w:tr>
      <w:tr w:rsidR="00FB2640" w:rsidRPr="0059271F" w:rsidTr="008F1977">
        <w:trPr>
          <w:trHeight w:val="330"/>
        </w:trPr>
        <w:tc>
          <w:tcPr>
            <w:tcW w:w="2693" w:type="dxa"/>
            <w:tcBorders>
              <w:top w:val="nil"/>
              <w:left w:val="single" w:sz="4" w:space="0" w:color="auto"/>
              <w:bottom w:val="nil"/>
              <w:right w:val="single" w:sz="4" w:space="0" w:color="auto"/>
            </w:tcBorders>
            <w:shd w:val="clear" w:color="auto" w:fill="FDE9D9" w:themeFill="accent6" w:themeFillTint="33"/>
            <w:hideMark/>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一次請領老年給付</w:t>
            </w:r>
          </w:p>
        </w:tc>
        <w:tc>
          <w:tcPr>
            <w:tcW w:w="2163" w:type="dxa"/>
            <w:tcBorders>
              <w:top w:val="nil"/>
              <w:left w:val="single" w:sz="4" w:space="0" w:color="auto"/>
              <w:bottom w:val="nil"/>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84,170 </w:t>
            </w:r>
          </w:p>
        </w:tc>
        <w:tc>
          <w:tcPr>
            <w:tcW w:w="2231" w:type="dxa"/>
            <w:tcBorders>
              <w:top w:val="nil"/>
              <w:left w:val="single" w:sz="4" w:space="0" w:color="auto"/>
              <w:bottom w:val="nil"/>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118,147,125,677 </w:t>
            </w:r>
          </w:p>
        </w:tc>
        <w:tc>
          <w:tcPr>
            <w:tcW w:w="1559" w:type="dxa"/>
            <w:tcBorders>
              <w:top w:val="nil"/>
              <w:left w:val="single" w:sz="4" w:space="0" w:color="auto"/>
              <w:bottom w:val="nil"/>
              <w:right w:val="single" w:sz="4" w:space="0" w:color="auto"/>
            </w:tcBorders>
            <w:shd w:val="clear" w:color="auto" w:fill="FDE9D9" w:themeFill="accent6" w:themeFillTint="33"/>
            <w:noWrap/>
            <w:hideMark/>
          </w:tcPr>
          <w:p w:rsidR="00FB2640" w:rsidRPr="0059271F" w:rsidRDefault="00FB2640" w:rsidP="008F1977">
            <w:pPr>
              <w:spacing w:line="360" w:lineRule="exact"/>
              <w:jc w:val="right"/>
              <w:rPr>
                <w:rFonts w:ascii="微軟正黑體" w:eastAsia="微軟正黑體" w:hAnsi="微軟正黑體"/>
                <w:sz w:val="20"/>
                <w:szCs w:val="20"/>
              </w:rPr>
            </w:pPr>
          </w:p>
        </w:tc>
      </w:tr>
      <w:tr w:rsidR="00FB2640" w:rsidRPr="0059271F" w:rsidTr="008F1977">
        <w:trPr>
          <w:trHeight w:val="330"/>
        </w:trPr>
        <w:tc>
          <w:tcPr>
            <w:tcW w:w="2693" w:type="dxa"/>
            <w:tcBorders>
              <w:top w:val="nil"/>
              <w:left w:val="single" w:sz="4" w:space="0" w:color="auto"/>
              <w:right w:val="single" w:sz="4" w:space="0" w:color="auto"/>
            </w:tcBorders>
            <w:shd w:val="clear" w:color="auto" w:fill="FDE9D9" w:themeFill="accent6" w:themeFillTint="33"/>
            <w:hideMark/>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老年一次金</w:t>
            </w:r>
          </w:p>
        </w:tc>
        <w:tc>
          <w:tcPr>
            <w:tcW w:w="2163" w:type="dxa"/>
            <w:tcBorders>
              <w:top w:val="nil"/>
              <w:left w:val="single" w:sz="4" w:space="0" w:color="auto"/>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16,849 </w:t>
            </w:r>
          </w:p>
        </w:tc>
        <w:tc>
          <w:tcPr>
            <w:tcW w:w="2231" w:type="dxa"/>
            <w:tcBorders>
              <w:top w:val="nil"/>
              <w:left w:val="single" w:sz="4" w:space="0" w:color="auto"/>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1,596,340,220 </w:t>
            </w:r>
          </w:p>
        </w:tc>
        <w:tc>
          <w:tcPr>
            <w:tcW w:w="1559" w:type="dxa"/>
            <w:tcBorders>
              <w:top w:val="nil"/>
              <w:left w:val="single" w:sz="4" w:space="0" w:color="auto"/>
              <w:right w:val="single" w:sz="4" w:space="0" w:color="auto"/>
            </w:tcBorders>
            <w:shd w:val="clear" w:color="auto" w:fill="FDE9D9" w:themeFill="accent6" w:themeFillTint="33"/>
            <w:noWrap/>
            <w:hideMark/>
          </w:tcPr>
          <w:p w:rsidR="00FB2640" w:rsidRPr="0059271F" w:rsidRDefault="00FB2640" w:rsidP="008F1977">
            <w:pPr>
              <w:spacing w:line="360" w:lineRule="exact"/>
              <w:jc w:val="right"/>
              <w:rPr>
                <w:rFonts w:ascii="微軟正黑體" w:eastAsia="微軟正黑體" w:hAnsi="微軟正黑體"/>
                <w:sz w:val="20"/>
                <w:szCs w:val="20"/>
              </w:rPr>
            </w:pPr>
          </w:p>
        </w:tc>
      </w:tr>
      <w:tr w:rsidR="00FB2640" w:rsidRPr="0059271F" w:rsidTr="008F1977">
        <w:trPr>
          <w:trHeight w:val="330"/>
        </w:trPr>
        <w:tc>
          <w:tcPr>
            <w:tcW w:w="2693" w:type="dxa"/>
            <w:tcBorders>
              <w:top w:val="nil"/>
              <w:left w:val="single" w:sz="4" w:space="0" w:color="auto"/>
              <w:bottom w:val="single" w:sz="8" w:space="0" w:color="FFFFFF" w:themeColor="background1"/>
              <w:right w:val="single" w:sz="4" w:space="0" w:color="auto"/>
            </w:tcBorders>
            <w:shd w:val="clear" w:color="auto" w:fill="FDE9D9" w:themeFill="accent6" w:themeFillTint="33"/>
            <w:hideMark/>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老年差額金</w:t>
            </w:r>
          </w:p>
        </w:tc>
        <w:tc>
          <w:tcPr>
            <w:tcW w:w="2163" w:type="dxa"/>
            <w:tcBorders>
              <w:top w:val="nil"/>
              <w:left w:val="single" w:sz="4" w:space="0" w:color="auto"/>
              <w:bottom w:val="single" w:sz="8" w:space="0" w:color="FFFFFF" w:themeColor="background1"/>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4,847 </w:t>
            </w:r>
          </w:p>
        </w:tc>
        <w:tc>
          <w:tcPr>
            <w:tcW w:w="2231" w:type="dxa"/>
            <w:tcBorders>
              <w:top w:val="nil"/>
              <w:left w:val="single" w:sz="4" w:space="0" w:color="auto"/>
              <w:bottom w:val="single" w:sz="8" w:space="0" w:color="FFFFFF" w:themeColor="background1"/>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3,590,634,025 </w:t>
            </w:r>
          </w:p>
        </w:tc>
        <w:tc>
          <w:tcPr>
            <w:tcW w:w="1559" w:type="dxa"/>
            <w:tcBorders>
              <w:top w:val="nil"/>
              <w:left w:val="single" w:sz="4" w:space="0" w:color="auto"/>
              <w:bottom w:val="single" w:sz="8" w:space="0" w:color="FFFFFF" w:themeColor="background1"/>
              <w:right w:val="single" w:sz="4" w:space="0" w:color="auto"/>
            </w:tcBorders>
            <w:shd w:val="clear" w:color="auto" w:fill="FDE9D9" w:themeFill="accent6" w:themeFillTint="33"/>
            <w:noWrap/>
            <w:hideMark/>
          </w:tcPr>
          <w:p w:rsidR="00FB2640" w:rsidRPr="0059271F" w:rsidRDefault="00FB2640" w:rsidP="008F1977">
            <w:pPr>
              <w:spacing w:line="360" w:lineRule="exact"/>
              <w:jc w:val="right"/>
              <w:rPr>
                <w:rFonts w:ascii="微軟正黑體" w:eastAsia="微軟正黑體" w:hAnsi="微軟正黑體"/>
                <w:sz w:val="20"/>
                <w:szCs w:val="20"/>
              </w:rPr>
            </w:pPr>
          </w:p>
        </w:tc>
      </w:tr>
      <w:tr w:rsidR="00FB2640" w:rsidRPr="0059271F" w:rsidTr="008F1977">
        <w:trPr>
          <w:trHeight w:val="330"/>
        </w:trPr>
        <w:tc>
          <w:tcPr>
            <w:tcW w:w="2693" w:type="dxa"/>
            <w:tcBorders>
              <w:top w:val="single" w:sz="8" w:space="0" w:color="FFFFFF" w:themeColor="background1"/>
              <w:left w:val="single" w:sz="4" w:space="0" w:color="auto"/>
              <w:bottom w:val="nil"/>
              <w:right w:val="single" w:sz="4" w:space="0" w:color="auto"/>
            </w:tcBorders>
            <w:shd w:val="clear" w:color="auto" w:fill="auto"/>
            <w:hideMark/>
          </w:tcPr>
          <w:p w:rsidR="00FB2640" w:rsidRPr="0059271F" w:rsidRDefault="00FB2640" w:rsidP="008F1977">
            <w:pPr>
              <w:spacing w:line="360" w:lineRule="exact"/>
              <w:ind w:firstLineChars="100" w:firstLine="220"/>
              <w:rPr>
                <w:rFonts w:ascii="微軟正黑體" w:eastAsia="微軟正黑體" w:hAnsi="微軟正黑體"/>
                <w:sz w:val="22"/>
                <w:szCs w:val="22"/>
              </w:rPr>
            </w:pPr>
            <w:r w:rsidRPr="0059271F">
              <w:rPr>
                <w:rFonts w:ascii="微軟正黑體" w:eastAsia="微軟正黑體" w:hAnsi="微軟正黑體" w:hint="eastAsia"/>
                <w:sz w:val="22"/>
                <w:szCs w:val="22"/>
              </w:rPr>
              <w:t>5.死亡給付</w:t>
            </w:r>
          </w:p>
        </w:tc>
        <w:tc>
          <w:tcPr>
            <w:tcW w:w="2163" w:type="dxa"/>
            <w:tcBorders>
              <w:top w:val="single" w:sz="8" w:space="0" w:color="FFFFFF" w:themeColor="background1"/>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135,518 </w:t>
            </w:r>
          </w:p>
        </w:tc>
        <w:tc>
          <w:tcPr>
            <w:tcW w:w="2231" w:type="dxa"/>
            <w:tcBorders>
              <w:top w:val="single" w:sz="8" w:space="0" w:color="FFFFFF" w:themeColor="background1"/>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24,528,932,796 </w:t>
            </w:r>
          </w:p>
        </w:tc>
        <w:tc>
          <w:tcPr>
            <w:tcW w:w="1559" w:type="dxa"/>
            <w:tcBorders>
              <w:top w:val="single" w:sz="8" w:space="0" w:color="FFFFFF" w:themeColor="background1"/>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15.2 </w:t>
            </w:r>
          </w:p>
        </w:tc>
      </w:tr>
      <w:tr w:rsidR="00FB2640" w:rsidRPr="0059271F" w:rsidTr="008F1977">
        <w:trPr>
          <w:trHeight w:val="330"/>
        </w:trPr>
        <w:tc>
          <w:tcPr>
            <w:tcW w:w="2693" w:type="dxa"/>
            <w:tcBorders>
              <w:top w:val="nil"/>
              <w:left w:val="single" w:sz="4" w:space="0" w:color="auto"/>
              <w:bottom w:val="nil"/>
              <w:right w:val="single" w:sz="4" w:space="0" w:color="auto"/>
            </w:tcBorders>
            <w:shd w:val="clear" w:color="auto" w:fill="auto"/>
            <w:hideMark/>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家屬死亡喪葬津貼</w:t>
            </w:r>
          </w:p>
        </w:tc>
        <w:tc>
          <w:tcPr>
            <w:tcW w:w="2163"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123,210 </w:t>
            </w:r>
          </w:p>
        </w:tc>
        <w:tc>
          <w:tcPr>
            <w:tcW w:w="2231"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13,787,917,132 </w:t>
            </w:r>
          </w:p>
        </w:tc>
        <w:tc>
          <w:tcPr>
            <w:tcW w:w="1559" w:type="dxa"/>
            <w:tcBorders>
              <w:top w:val="nil"/>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0"/>
                <w:szCs w:val="20"/>
              </w:rPr>
            </w:pPr>
          </w:p>
        </w:tc>
      </w:tr>
      <w:tr w:rsidR="00FB2640" w:rsidRPr="0059271F" w:rsidTr="008F1977">
        <w:trPr>
          <w:trHeight w:val="330"/>
        </w:trPr>
        <w:tc>
          <w:tcPr>
            <w:tcW w:w="2693" w:type="dxa"/>
            <w:tcBorders>
              <w:top w:val="nil"/>
              <w:left w:val="single" w:sz="4" w:space="0" w:color="auto"/>
              <w:bottom w:val="single" w:sz="4" w:space="0" w:color="auto"/>
              <w:right w:val="single" w:sz="4" w:space="0" w:color="auto"/>
            </w:tcBorders>
            <w:shd w:val="clear" w:color="auto" w:fill="auto"/>
            <w:hideMark/>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一次請領本人死亡給付</w:t>
            </w:r>
          </w:p>
        </w:tc>
        <w:tc>
          <w:tcPr>
            <w:tcW w:w="2163" w:type="dxa"/>
            <w:tcBorders>
              <w:top w:val="nil"/>
              <w:left w:val="single" w:sz="4" w:space="0" w:color="auto"/>
              <w:bottom w:val="single" w:sz="4" w:space="0" w:color="auto"/>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12,308 </w:t>
            </w:r>
          </w:p>
        </w:tc>
        <w:tc>
          <w:tcPr>
            <w:tcW w:w="2231" w:type="dxa"/>
            <w:tcBorders>
              <w:top w:val="nil"/>
              <w:left w:val="single" w:sz="4" w:space="0" w:color="auto"/>
              <w:bottom w:val="single" w:sz="4" w:space="0" w:color="auto"/>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10,741,015,664 </w:t>
            </w:r>
          </w:p>
        </w:tc>
        <w:tc>
          <w:tcPr>
            <w:tcW w:w="1559" w:type="dxa"/>
            <w:tcBorders>
              <w:top w:val="nil"/>
              <w:left w:val="single" w:sz="4" w:space="0" w:color="auto"/>
              <w:bottom w:val="single" w:sz="4" w:space="0" w:color="auto"/>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0"/>
                <w:szCs w:val="20"/>
              </w:rPr>
            </w:pPr>
          </w:p>
        </w:tc>
      </w:tr>
    </w:tbl>
    <w:p w:rsidR="00FB2640" w:rsidRPr="0059271F" w:rsidRDefault="00FB2640" w:rsidP="00FB2640">
      <w:pPr>
        <w:snapToGrid w:val="0"/>
        <w:spacing w:line="360" w:lineRule="exact"/>
        <w:rPr>
          <w:rFonts w:ascii="微軟正黑體" w:eastAsia="微軟正黑體" w:hAnsi="微軟正黑體"/>
          <w:sz w:val="22"/>
          <w:szCs w:val="22"/>
        </w:rPr>
      </w:pPr>
    </w:p>
    <w:p w:rsidR="00FB2640" w:rsidRPr="000662EB" w:rsidRDefault="00FB2640" w:rsidP="00FB2640">
      <w:pPr>
        <w:pStyle w:val="af0"/>
        <w:numPr>
          <w:ilvl w:val="1"/>
          <w:numId w:val="18"/>
        </w:numPr>
        <w:adjustRightInd w:val="0"/>
        <w:spacing w:beforeLines="30" w:before="108" w:line="400" w:lineRule="exact"/>
        <w:ind w:leftChars="0" w:left="782" w:hanging="357"/>
        <w:textAlignment w:val="baseline"/>
        <w:rPr>
          <w:rFonts w:ascii="微軟正黑體" w:eastAsia="微軟正黑體" w:hAnsi="微軟正黑體"/>
        </w:rPr>
      </w:pPr>
      <w:r w:rsidRPr="000662EB">
        <w:rPr>
          <w:rFonts w:ascii="微軟正黑體" w:eastAsia="微軟正黑體" w:hAnsi="微軟正黑體"/>
        </w:rPr>
        <w:t>年金給付</w:t>
      </w:r>
    </w:p>
    <w:p w:rsidR="00FB2640" w:rsidRPr="00F0717A" w:rsidRDefault="00FB2640" w:rsidP="00FB2640">
      <w:pPr>
        <w:pStyle w:val="af0"/>
        <w:snapToGrid w:val="0"/>
        <w:spacing w:beforeLines="30" w:before="108" w:line="400" w:lineRule="exact"/>
        <w:ind w:leftChars="0" w:left="851" w:firstLineChars="200" w:firstLine="480"/>
        <w:jc w:val="both"/>
        <w:rPr>
          <w:rFonts w:ascii="微軟正黑體" w:eastAsia="微軟正黑體" w:hAnsi="微軟正黑體"/>
          <w:bCs/>
        </w:rPr>
      </w:pPr>
      <w:r w:rsidRPr="00F0717A">
        <w:rPr>
          <w:rFonts w:ascii="微軟正黑體" w:eastAsia="微軟正黑體" w:hAnsi="微軟正黑體"/>
          <w:bCs/>
        </w:rPr>
        <w:t>10</w:t>
      </w:r>
      <w:r>
        <w:rPr>
          <w:rFonts w:ascii="微軟正黑體" w:eastAsia="微軟正黑體" w:hAnsi="微軟正黑體"/>
          <w:bCs/>
        </w:rPr>
        <w:t>9</w:t>
      </w:r>
      <w:r w:rsidRPr="00F0717A">
        <w:rPr>
          <w:rFonts w:ascii="微軟正黑體" w:eastAsia="微軟正黑體" w:hAnsi="微軟正黑體"/>
          <w:bCs/>
        </w:rPr>
        <w:t>年</w:t>
      </w:r>
      <w:r w:rsidRPr="00F0717A">
        <w:rPr>
          <w:rFonts w:ascii="微軟正黑體" w:eastAsia="微軟正黑體" w:hAnsi="微軟正黑體" w:hint="eastAsia"/>
          <w:bCs/>
        </w:rPr>
        <w:t>年金給</w:t>
      </w:r>
      <w:r w:rsidRPr="00F0717A">
        <w:rPr>
          <w:rFonts w:ascii="微軟正黑體" w:eastAsia="微軟正黑體" w:hAnsi="微軟正黑體"/>
          <w:bCs/>
        </w:rPr>
        <w:t>付總額</w:t>
      </w:r>
      <w:r>
        <w:rPr>
          <w:rFonts w:ascii="微軟正黑體" w:eastAsia="微軟正黑體" w:hAnsi="微軟正黑體" w:hint="eastAsia"/>
          <w:bCs/>
        </w:rPr>
        <w:t>2,</w:t>
      </w:r>
      <w:r>
        <w:rPr>
          <w:rFonts w:ascii="微軟正黑體" w:eastAsia="微軟正黑體" w:hAnsi="微軟正黑體"/>
          <w:bCs/>
        </w:rPr>
        <w:t>876</w:t>
      </w:r>
      <w:r w:rsidRPr="00F0717A">
        <w:rPr>
          <w:rFonts w:ascii="微軟正黑體" w:eastAsia="微軟正黑體" w:hAnsi="微軟正黑體"/>
          <w:bCs/>
        </w:rPr>
        <w:t>.</w:t>
      </w:r>
      <w:r>
        <w:rPr>
          <w:rFonts w:ascii="微軟正黑體" w:eastAsia="微軟正黑體" w:hAnsi="微軟正黑體"/>
          <w:bCs/>
        </w:rPr>
        <w:t>4</w:t>
      </w:r>
      <w:r w:rsidRPr="00F0717A">
        <w:rPr>
          <w:rFonts w:ascii="微軟正黑體" w:eastAsia="微軟正黑體" w:hAnsi="微軟正黑體"/>
          <w:bCs/>
        </w:rPr>
        <w:t>億元</w:t>
      </w:r>
      <w:r w:rsidRPr="00F0717A">
        <w:rPr>
          <w:rFonts w:ascii="微軟正黑體" w:eastAsia="微軟正黑體" w:hAnsi="微軟正黑體" w:hint="eastAsia"/>
          <w:bCs/>
        </w:rPr>
        <w:t>，占整體</w:t>
      </w:r>
      <w:r w:rsidRPr="00F0717A">
        <w:rPr>
          <w:rFonts w:ascii="微軟正黑體" w:eastAsia="微軟正黑體" w:hAnsi="微軟正黑體"/>
          <w:bCs/>
        </w:rPr>
        <w:t>普通事故保險給付</w:t>
      </w:r>
      <w:r w:rsidRPr="00F0717A">
        <w:rPr>
          <w:rFonts w:ascii="微軟正黑體" w:eastAsia="微軟正黑體" w:hAnsi="微軟正黑體" w:hint="eastAsia"/>
          <w:bCs/>
        </w:rPr>
        <w:t>總額</w:t>
      </w:r>
      <w:r>
        <w:rPr>
          <w:rFonts w:ascii="微軟正黑體" w:eastAsia="微軟正黑體" w:hAnsi="微軟正黑體"/>
          <w:bCs/>
        </w:rPr>
        <w:t>64.1</w:t>
      </w:r>
      <w:r w:rsidRPr="00F0717A">
        <w:rPr>
          <w:rFonts w:ascii="微軟正黑體" w:eastAsia="微軟正黑體" w:hAnsi="微軟正黑體" w:hint="eastAsia"/>
          <w:bCs/>
        </w:rPr>
        <w:t>%，其中</w:t>
      </w:r>
      <w:r w:rsidRPr="00F0717A">
        <w:rPr>
          <w:rFonts w:ascii="微軟正黑體" w:eastAsia="微軟正黑體" w:hAnsi="微軟正黑體"/>
          <w:bCs/>
        </w:rPr>
        <w:t>以老年年金為</w:t>
      </w:r>
      <w:r w:rsidRPr="00F0717A">
        <w:rPr>
          <w:rFonts w:ascii="微軟正黑體" w:eastAsia="微軟正黑體" w:hAnsi="微軟正黑體" w:hint="eastAsia"/>
          <w:bCs/>
        </w:rPr>
        <w:t>大宗</w:t>
      </w:r>
      <w:r w:rsidRPr="00F0717A">
        <w:rPr>
          <w:rFonts w:ascii="微軟正黑體" w:eastAsia="微軟正黑體" w:hAnsi="微軟正黑體"/>
          <w:bCs/>
        </w:rPr>
        <w:t>，</w:t>
      </w:r>
      <w:r w:rsidRPr="00F0717A">
        <w:rPr>
          <w:rFonts w:ascii="微軟正黑體" w:eastAsia="微軟正黑體" w:hAnsi="微軟正黑體" w:hint="eastAsia"/>
          <w:bCs/>
        </w:rPr>
        <w:t>年底給付人數</w:t>
      </w:r>
      <w:r>
        <w:rPr>
          <w:rFonts w:ascii="微軟正黑體" w:eastAsia="微軟正黑體" w:hAnsi="微軟正黑體" w:hint="eastAsia"/>
          <w:bCs/>
        </w:rPr>
        <w:t>1</w:t>
      </w:r>
      <w:r>
        <w:rPr>
          <w:rFonts w:ascii="微軟正黑體" w:eastAsia="微軟正黑體" w:hAnsi="微軟正黑體"/>
          <w:bCs/>
        </w:rPr>
        <w:t>39</w:t>
      </w:r>
      <w:r w:rsidRPr="00F0717A">
        <w:rPr>
          <w:rFonts w:ascii="微軟正黑體" w:eastAsia="微軟正黑體" w:hAnsi="微軟正黑體"/>
          <w:bCs/>
        </w:rPr>
        <w:t>萬</w:t>
      </w:r>
      <w:r>
        <w:rPr>
          <w:rFonts w:ascii="微軟正黑體" w:eastAsia="微軟正黑體" w:hAnsi="微軟正黑體"/>
          <w:bCs/>
        </w:rPr>
        <w:t>7</w:t>
      </w:r>
      <w:r w:rsidRPr="00F0717A">
        <w:rPr>
          <w:rFonts w:ascii="微軟正黑體" w:eastAsia="微軟正黑體" w:hAnsi="微軟正黑體"/>
          <w:bCs/>
        </w:rPr>
        <w:t>,</w:t>
      </w:r>
      <w:r>
        <w:rPr>
          <w:rFonts w:ascii="微軟正黑體" w:eastAsia="微軟正黑體" w:hAnsi="微軟正黑體"/>
          <w:bCs/>
        </w:rPr>
        <w:t>302</w:t>
      </w:r>
      <w:r w:rsidRPr="00F0717A">
        <w:rPr>
          <w:rFonts w:ascii="微軟正黑體" w:eastAsia="微軟正黑體" w:hAnsi="微軟正黑體"/>
          <w:bCs/>
        </w:rPr>
        <w:t>人，</w:t>
      </w:r>
      <w:r w:rsidR="00B32D89">
        <w:rPr>
          <w:rFonts w:ascii="微軟正黑體" w:eastAsia="微軟正黑體" w:hAnsi="微軟正黑體" w:hint="eastAsia"/>
          <w:bCs/>
        </w:rPr>
        <w:t>給付金</w:t>
      </w:r>
      <w:r w:rsidRPr="00F0717A">
        <w:rPr>
          <w:rFonts w:ascii="微軟正黑體" w:eastAsia="微軟正黑體" w:hAnsi="微軟正黑體" w:hint="eastAsia"/>
          <w:bCs/>
        </w:rPr>
        <w:t>額</w:t>
      </w:r>
      <w:r>
        <w:rPr>
          <w:rFonts w:ascii="微軟正黑體" w:eastAsia="微軟正黑體" w:hAnsi="微軟正黑體" w:hint="eastAsia"/>
          <w:bCs/>
        </w:rPr>
        <w:t>2</w:t>
      </w:r>
      <w:r w:rsidRPr="00F0717A">
        <w:rPr>
          <w:rFonts w:ascii="微軟正黑體" w:eastAsia="微軟正黑體" w:hAnsi="微軟正黑體" w:hint="eastAsia"/>
          <w:bCs/>
        </w:rPr>
        <w:t>,</w:t>
      </w:r>
      <w:r>
        <w:rPr>
          <w:rFonts w:ascii="微軟正黑體" w:eastAsia="微軟正黑體" w:hAnsi="微軟正黑體"/>
          <w:bCs/>
        </w:rPr>
        <w:t>825</w:t>
      </w:r>
      <w:r>
        <w:rPr>
          <w:rFonts w:ascii="微軟正黑體" w:eastAsia="微軟正黑體" w:hAnsi="微軟正黑體" w:hint="eastAsia"/>
          <w:bCs/>
        </w:rPr>
        <w:t>.</w:t>
      </w:r>
      <w:r>
        <w:rPr>
          <w:rFonts w:ascii="微軟正黑體" w:eastAsia="微軟正黑體" w:hAnsi="微軟正黑體"/>
          <w:bCs/>
        </w:rPr>
        <w:t>5</w:t>
      </w:r>
      <w:r w:rsidRPr="00F0717A">
        <w:rPr>
          <w:rFonts w:ascii="微軟正黑體" w:eastAsia="微軟正黑體" w:hAnsi="微軟正黑體" w:hint="eastAsia"/>
          <w:bCs/>
        </w:rPr>
        <w:t>億元，</w:t>
      </w:r>
      <w:r w:rsidRPr="00F0717A">
        <w:rPr>
          <w:rFonts w:ascii="微軟正黑體" w:eastAsia="微軟正黑體" w:hAnsi="微軟正黑體"/>
          <w:bCs/>
        </w:rPr>
        <w:t>占</w:t>
      </w:r>
      <w:r w:rsidRPr="00F0717A">
        <w:rPr>
          <w:rFonts w:ascii="微軟正黑體" w:eastAsia="微軟正黑體" w:hAnsi="微軟正黑體" w:hint="eastAsia"/>
          <w:bCs/>
        </w:rPr>
        <w:t>年金給付</w:t>
      </w:r>
      <w:r w:rsidRPr="00F0717A">
        <w:rPr>
          <w:rFonts w:ascii="微軟正黑體" w:eastAsia="微軟正黑體" w:hAnsi="微軟正黑體"/>
          <w:bCs/>
        </w:rPr>
        <w:t>總額9</w:t>
      </w:r>
      <w:r w:rsidRPr="00F0717A">
        <w:rPr>
          <w:rFonts w:ascii="微軟正黑體" w:eastAsia="微軟正黑體" w:hAnsi="微軟正黑體" w:hint="eastAsia"/>
          <w:bCs/>
        </w:rPr>
        <w:t>8.</w:t>
      </w:r>
      <w:r>
        <w:rPr>
          <w:rFonts w:ascii="微軟正黑體" w:eastAsia="微軟正黑體" w:hAnsi="微軟正黑體"/>
          <w:bCs/>
        </w:rPr>
        <w:t>2</w:t>
      </w:r>
      <w:r w:rsidRPr="00F0717A">
        <w:rPr>
          <w:rFonts w:ascii="微軟正黑體" w:eastAsia="微軟正黑體" w:hAnsi="微軟正黑體"/>
          <w:bCs/>
        </w:rPr>
        <w:t>%。</w:t>
      </w:r>
    </w:p>
    <w:p w:rsidR="00FB2640" w:rsidRPr="00F0717A" w:rsidRDefault="00FB2640" w:rsidP="00FB2640">
      <w:pPr>
        <w:snapToGrid w:val="0"/>
        <w:spacing w:beforeLines="70" w:before="252" w:afterLines="30" w:after="108" w:line="400" w:lineRule="exact"/>
        <w:jc w:val="center"/>
        <w:rPr>
          <w:rFonts w:ascii="微軟正黑體" w:eastAsia="微軟正黑體" w:hAnsi="微軟正黑體"/>
          <w:bCs/>
        </w:rPr>
      </w:pPr>
      <w:r w:rsidRPr="00F0717A">
        <w:rPr>
          <w:rFonts w:ascii="微軟正黑體" w:eastAsia="微軟正黑體" w:hAnsi="微軟正黑體"/>
          <w:bCs/>
        </w:rPr>
        <w:t>表2.</w:t>
      </w:r>
      <w:r w:rsidRPr="00F0717A">
        <w:rPr>
          <w:rFonts w:ascii="微軟正黑體" w:eastAsia="微軟正黑體" w:hAnsi="微軟正黑體" w:hint="eastAsia"/>
          <w:bCs/>
        </w:rPr>
        <w:t>5</w:t>
      </w:r>
      <w:r w:rsidRPr="00F0717A">
        <w:rPr>
          <w:rFonts w:ascii="微軟正黑體" w:eastAsia="微軟正黑體" w:hAnsi="微軟正黑體"/>
          <w:bCs/>
        </w:rPr>
        <w:t xml:space="preserve">  10</w:t>
      </w:r>
      <w:r>
        <w:rPr>
          <w:rFonts w:ascii="微軟正黑體" w:eastAsia="微軟正黑體" w:hAnsi="微軟正黑體" w:hint="eastAsia"/>
          <w:bCs/>
        </w:rPr>
        <w:t>9</w:t>
      </w:r>
      <w:r w:rsidRPr="00F0717A">
        <w:rPr>
          <w:rFonts w:ascii="微軟正黑體" w:eastAsia="微軟正黑體" w:hAnsi="微軟正黑體"/>
          <w:bCs/>
        </w:rPr>
        <w:t>年勞保</w:t>
      </w:r>
      <w:r w:rsidRPr="00F0717A">
        <w:rPr>
          <w:rFonts w:ascii="微軟正黑體" w:eastAsia="微軟正黑體" w:hAnsi="微軟正黑體" w:hint="eastAsia"/>
          <w:bCs/>
        </w:rPr>
        <w:t>普通事故</w:t>
      </w:r>
      <w:r w:rsidRPr="00F0717A">
        <w:rPr>
          <w:rFonts w:ascii="微軟正黑體" w:eastAsia="微軟正黑體" w:hAnsi="微軟正黑體"/>
          <w:bCs/>
        </w:rPr>
        <w:t>實計</w:t>
      </w:r>
      <w:r w:rsidRPr="00F0717A">
        <w:rPr>
          <w:rFonts w:ascii="微軟正黑體" w:eastAsia="微軟正黑體" w:hAnsi="微軟正黑體" w:hint="eastAsia"/>
          <w:bCs/>
        </w:rPr>
        <w:t>現金</w:t>
      </w:r>
      <w:r w:rsidRPr="00F0717A">
        <w:rPr>
          <w:rFonts w:ascii="微軟正黑體" w:eastAsia="微軟正黑體" w:hAnsi="微軟正黑體"/>
          <w:bCs/>
        </w:rPr>
        <w:t>給付(年金) (按給付種類分)</w:t>
      </w:r>
    </w:p>
    <w:tbl>
      <w:tblPr>
        <w:tblW w:w="8646" w:type="dxa"/>
        <w:tblInd w:w="454" w:type="dxa"/>
        <w:tblCellMar>
          <w:left w:w="28" w:type="dxa"/>
          <w:right w:w="28" w:type="dxa"/>
        </w:tblCellMar>
        <w:tblLook w:val="04A0" w:firstRow="1" w:lastRow="0" w:firstColumn="1" w:lastColumn="0" w:noHBand="0" w:noVBand="1"/>
      </w:tblPr>
      <w:tblGrid>
        <w:gridCol w:w="2551"/>
        <w:gridCol w:w="2268"/>
        <w:gridCol w:w="2268"/>
        <w:gridCol w:w="1559"/>
      </w:tblGrid>
      <w:tr w:rsidR="00FB2640" w:rsidRPr="00F0717A" w:rsidTr="008F1977">
        <w:trPr>
          <w:trHeight w:val="345"/>
        </w:trPr>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bCs/>
                <w:sz w:val="22"/>
                <w:szCs w:val="22"/>
              </w:rPr>
            </w:pPr>
            <w:r w:rsidRPr="00F0717A">
              <w:rPr>
                <w:rFonts w:ascii="微軟正黑體" w:eastAsia="微軟正黑體" w:hAnsi="微軟正黑體"/>
                <w:bCs/>
                <w:sz w:val="22"/>
                <w:szCs w:val="22"/>
              </w:rPr>
              <w:t>項目</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bCs/>
                <w:sz w:val="22"/>
                <w:szCs w:val="22"/>
              </w:rPr>
            </w:pPr>
            <w:r w:rsidRPr="00F0717A">
              <w:rPr>
                <w:rFonts w:ascii="微軟正黑體" w:eastAsia="微軟正黑體" w:hAnsi="微軟正黑體" w:hint="eastAsia"/>
                <w:bCs/>
                <w:sz w:val="22"/>
                <w:szCs w:val="22"/>
              </w:rPr>
              <w:t>年底</w:t>
            </w:r>
            <w:r w:rsidRPr="00F0717A">
              <w:rPr>
                <w:rFonts w:ascii="微軟正黑體" w:eastAsia="微軟正黑體" w:hAnsi="微軟正黑體"/>
                <w:bCs/>
                <w:sz w:val="22"/>
                <w:szCs w:val="22"/>
              </w:rPr>
              <w:t>人數(</w:t>
            </w:r>
            <w:r w:rsidRPr="00F0717A">
              <w:rPr>
                <w:rFonts w:ascii="微軟正黑體" w:eastAsia="微軟正黑體" w:hAnsi="微軟正黑體" w:hint="eastAsia"/>
                <w:bCs/>
                <w:sz w:val="22"/>
                <w:szCs w:val="22"/>
              </w:rPr>
              <w:t>人</w:t>
            </w:r>
            <w:r w:rsidRPr="00F0717A">
              <w:rPr>
                <w:rFonts w:ascii="微軟正黑體" w:eastAsia="微軟正黑體" w:hAnsi="微軟正黑體"/>
                <w:bCs/>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bCs/>
                <w:sz w:val="22"/>
                <w:szCs w:val="22"/>
              </w:rPr>
            </w:pPr>
            <w:r w:rsidRPr="00F0717A">
              <w:rPr>
                <w:rFonts w:ascii="微軟正黑體" w:eastAsia="微軟正黑體" w:hAnsi="微軟正黑體"/>
                <w:bCs/>
                <w:sz w:val="22"/>
                <w:szCs w:val="22"/>
              </w:rPr>
              <w:t>金額(元)</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bCs/>
                <w:sz w:val="22"/>
                <w:szCs w:val="22"/>
              </w:rPr>
            </w:pPr>
            <w:r w:rsidRPr="00F0717A">
              <w:rPr>
                <w:rFonts w:ascii="微軟正黑體" w:eastAsia="微軟正黑體" w:hAnsi="微軟正黑體"/>
                <w:bCs/>
                <w:sz w:val="22"/>
                <w:szCs w:val="22"/>
              </w:rPr>
              <w:t>金額比率(%)</w:t>
            </w:r>
          </w:p>
        </w:tc>
      </w:tr>
      <w:tr w:rsidR="00FB2640" w:rsidRPr="0059271F" w:rsidTr="008F1977">
        <w:trPr>
          <w:trHeight w:val="330"/>
        </w:trPr>
        <w:tc>
          <w:tcPr>
            <w:tcW w:w="2551" w:type="dxa"/>
            <w:tcBorders>
              <w:top w:val="single" w:sz="4" w:space="0" w:color="auto"/>
              <w:left w:val="single" w:sz="4" w:space="0" w:color="auto"/>
              <w:bottom w:val="single" w:sz="4" w:space="0" w:color="auto"/>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合計</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1,433,672 </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287,638,832,648 </w:t>
            </w: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100.0 </w:t>
            </w:r>
          </w:p>
        </w:tc>
      </w:tr>
      <w:tr w:rsidR="00FB2640" w:rsidRPr="0059271F" w:rsidTr="008F1977">
        <w:trPr>
          <w:trHeight w:val="330"/>
        </w:trPr>
        <w:tc>
          <w:tcPr>
            <w:tcW w:w="2551" w:type="dxa"/>
            <w:tcBorders>
              <w:top w:val="single" w:sz="4" w:space="0" w:color="auto"/>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rPr>
                <w:rFonts w:ascii="微軟正黑體" w:eastAsia="微軟正黑體" w:hAnsi="微軟正黑體"/>
                <w:sz w:val="22"/>
                <w:szCs w:val="22"/>
              </w:rPr>
            </w:pPr>
            <w:r>
              <w:rPr>
                <w:rFonts w:ascii="微軟正黑體" w:eastAsia="微軟正黑體" w:hAnsi="微軟正黑體" w:hint="eastAsia"/>
                <w:sz w:val="22"/>
                <w:szCs w:val="22"/>
              </w:rPr>
              <w:t xml:space="preserve"> </w:t>
            </w:r>
            <w:r w:rsidRPr="0059271F">
              <w:rPr>
                <w:rFonts w:ascii="微軟正黑體" w:eastAsia="微軟正黑體" w:hAnsi="微軟正黑體" w:hint="eastAsia"/>
                <w:sz w:val="22"/>
                <w:szCs w:val="22"/>
              </w:rPr>
              <w:t>1.失能</w:t>
            </w:r>
            <w:r>
              <w:rPr>
                <w:rFonts w:ascii="微軟正黑體" w:eastAsia="微軟正黑體" w:hAnsi="微軟正黑體" w:hint="eastAsia"/>
                <w:sz w:val="22"/>
                <w:szCs w:val="22"/>
              </w:rPr>
              <w:t>年金</w:t>
            </w:r>
          </w:p>
        </w:tc>
        <w:tc>
          <w:tcPr>
            <w:tcW w:w="2268" w:type="dxa"/>
            <w:tcBorders>
              <w:top w:val="single" w:sz="4" w:space="0" w:color="auto"/>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4,238 </w:t>
            </w:r>
          </w:p>
        </w:tc>
        <w:tc>
          <w:tcPr>
            <w:tcW w:w="2268" w:type="dxa"/>
            <w:tcBorders>
              <w:top w:val="single" w:sz="4" w:space="0" w:color="auto"/>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517,357,224 </w:t>
            </w:r>
          </w:p>
        </w:tc>
        <w:tc>
          <w:tcPr>
            <w:tcW w:w="1559" w:type="dxa"/>
            <w:tcBorders>
              <w:top w:val="single" w:sz="4" w:space="0" w:color="auto"/>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0.2 </w:t>
            </w:r>
          </w:p>
        </w:tc>
      </w:tr>
      <w:tr w:rsidR="00FB2640" w:rsidRPr="0059271F" w:rsidTr="008F1977">
        <w:trPr>
          <w:trHeight w:val="330"/>
        </w:trPr>
        <w:tc>
          <w:tcPr>
            <w:tcW w:w="2551" w:type="dxa"/>
            <w:tcBorders>
              <w:top w:val="nil"/>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    年金</w:t>
            </w:r>
          </w:p>
        </w:tc>
        <w:tc>
          <w:tcPr>
            <w:tcW w:w="2268"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2,729 </w:t>
            </w:r>
          </w:p>
        </w:tc>
        <w:tc>
          <w:tcPr>
            <w:tcW w:w="2268"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432,896,338 </w:t>
            </w:r>
          </w:p>
        </w:tc>
        <w:tc>
          <w:tcPr>
            <w:tcW w:w="1559" w:type="dxa"/>
            <w:tcBorders>
              <w:top w:val="nil"/>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0"/>
                <w:szCs w:val="20"/>
              </w:rPr>
            </w:pPr>
          </w:p>
        </w:tc>
      </w:tr>
      <w:tr w:rsidR="00FB2640" w:rsidRPr="0059271F" w:rsidTr="008F1977">
        <w:trPr>
          <w:trHeight w:val="330"/>
        </w:trPr>
        <w:tc>
          <w:tcPr>
            <w:tcW w:w="2551" w:type="dxa"/>
            <w:tcBorders>
              <w:top w:val="nil"/>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    國保併勞保</w:t>
            </w:r>
          </w:p>
        </w:tc>
        <w:tc>
          <w:tcPr>
            <w:tcW w:w="2268"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1,509 </w:t>
            </w:r>
          </w:p>
        </w:tc>
        <w:tc>
          <w:tcPr>
            <w:tcW w:w="2268" w:type="dxa"/>
            <w:tcBorders>
              <w:top w:val="nil"/>
              <w:left w:val="single" w:sz="4" w:space="0" w:color="auto"/>
              <w:bottom w:val="nil"/>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0"/>
                <w:szCs w:val="20"/>
              </w:rPr>
            </w:pPr>
            <w:r w:rsidRPr="0059271F">
              <w:rPr>
                <w:rFonts w:ascii="微軟正黑體" w:eastAsia="微軟正黑體" w:hAnsi="微軟正黑體" w:hint="eastAsia"/>
                <w:sz w:val="20"/>
                <w:szCs w:val="20"/>
              </w:rPr>
              <w:t xml:space="preserve">84,460,886 </w:t>
            </w:r>
          </w:p>
        </w:tc>
        <w:tc>
          <w:tcPr>
            <w:tcW w:w="1559" w:type="dxa"/>
            <w:tcBorders>
              <w:top w:val="nil"/>
              <w:left w:val="single" w:sz="4" w:space="0" w:color="auto"/>
              <w:bottom w:val="nil"/>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0"/>
                <w:szCs w:val="20"/>
              </w:rPr>
            </w:pPr>
          </w:p>
        </w:tc>
      </w:tr>
      <w:tr w:rsidR="00FB2640" w:rsidRPr="0059271F" w:rsidTr="008F1977">
        <w:trPr>
          <w:trHeight w:val="330"/>
        </w:trPr>
        <w:tc>
          <w:tcPr>
            <w:tcW w:w="2551" w:type="dxa"/>
            <w:tcBorders>
              <w:top w:val="nil"/>
              <w:left w:val="single" w:sz="4" w:space="0" w:color="auto"/>
              <w:bottom w:val="nil"/>
              <w:right w:val="single" w:sz="4" w:space="0" w:color="auto"/>
            </w:tcBorders>
            <w:shd w:val="clear" w:color="auto" w:fill="FDE9D9" w:themeFill="accent6" w:themeFillTint="33"/>
            <w:noWrap/>
            <w:hideMark/>
          </w:tcPr>
          <w:p w:rsidR="00FB2640" w:rsidRPr="0059271F" w:rsidRDefault="00FB2640" w:rsidP="008F1977">
            <w:pPr>
              <w:spacing w:line="360" w:lineRule="exac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 2.老年年金</w:t>
            </w:r>
          </w:p>
        </w:tc>
        <w:tc>
          <w:tcPr>
            <w:tcW w:w="2268" w:type="dxa"/>
            <w:tcBorders>
              <w:top w:val="nil"/>
              <w:left w:val="single" w:sz="4" w:space="0" w:color="auto"/>
              <w:bottom w:val="nil"/>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1,397,302 </w:t>
            </w:r>
          </w:p>
        </w:tc>
        <w:tc>
          <w:tcPr>
            <w:tcW w:w="2268" w:type="dxa"/>
            <w:tcBorders>
              <w:top w:val="nil"/>
              <w:left w:val="single" w:sz="4" w:space="0" w:color="auto"/>
              <w:bottom w:val="nil"/>
              <w:right w:val="single" w:sz="4" w:space="0" w:color="auto"/>
            </w:tcBorders>
            <w:shd w:val="clear" w:color="auto" w:fill="FDE9D9" w:themeFill="accent6" w:themeFillTint="33"/>
            <w:noWrap/>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282,553,951,214 </w:t>
            </w:r>
          </w:p>
        </w:tc>
        <w:tc>
          <w:tcPr>
            <w:tcW w:w="1559" w:type="dxa"/>
            <w:tcBorders>
              <w:top w:val="nil"/>
              <w:left w:val="single" w:sz="4" w:space="0" w:color="auto"/>
              <w:bottom w:val="nil"/>
              <w:right w:val="single" w:sz="4" w:space="0" w:color="auto"/>
            </w:tcBorders>
            <w:shd w:val="clear" w:color="auto" w:fill="FDE9D9" w:themeFill="accent6" w:themeFillTint="33"/>
            <w:noWrap/>
            <w:hideMark/>
          </w:tcPr>
          <w:p w:rsidR="00FB2640" w:rsidRPr="0059271F" w:rsidRDefault="00FB2640" w:rsidP="008F1977">
            <w:pPr>
              <w:spacing w:line="360" w:lineRule="exact"/>
              <w:jc w:val="right"/>
              <w:rPr>
                <w:rFonts w:ascii="微軟正黑體" w:eastAsia="微軟正黑體" w:hAnsi="微軟正黑體"/>
                <w:b/>
                <w:sz w:val="22"/>
                <w:szCs w:val="22"/>
              </w:rPr>
            </w:pPr>
            <w:r w:rsidRPr="0059271F">
              <w:rPr>
                <w:rFonts w:ascii="微軟正黑體" w:eastAsia="微軟正黑體" w:hAnsi="微軟正黑體" w:hint="eastAsia"/>
                <w:b/>
                <w:sz w:val="22"/>
                <w:szCs w:val="22"/>
              </w:rPr>
              <w:t xml:space="preserve">98.2 </w:t>
            </w:r>
          </w:p>
        </w:tc>
      </w:tr>
      <w:tr w:rsidR="00FB2640" w:rsidRPr="0059271F" w:rsidTr="008F1977">
        <w:trPr>
          <w:trHeight w:val="330"/>
        </w:trPr>
        <w:tc>
          <w:tcPr>
            <w:tcW w:w="2551" w:type="dxa"/>
            <w:tcBorders>
              <w:top w:val="nil"/>
              <w:left w:val="single" w:sz="4" w:space="0" w:color="auto"/>
              <w:bottom w:val="single" w:sz="4" w:space="0" w:color="auto"/>
              <w:right w:val="single" w:sz="4" w:space="0" w:color="auto"/>
            </w:tcBorders>
            <w:shd w:val="clear" w:color="auto" w:fill="auto"/>
            <w:noWrap/>
            <w:hideMark/>
          </w:tcPr>
          <w:p w:rsidR="00FB2640" w:rsidRPr="0059271F" w:rsidRDefault="00FB2640" w:rsidP="008F1977">
            <w:pPr>
              <w:spacing w:line="360" w:lineRule="exact"/>
              <w:rPr>
                <w:rFonts w:ascii="微軟正黑體" w:eastAsia="微軟正黑體" w:hAnsi="微軟正黑體"/>
                <w:sz w:val="22"/>
                <w:szCs w:val="22"/>
              </w:rPr>
            </w:pPr>
            <w:r>
              <w:rPr>
                <w:rFonts w:ascii="微軟正黑體" w:eastAsia="微軟正黑體" w:hAnsi="微軟正黑體" w:hint="eastAsia"/>
                <w:sz w:val="22"/>
                <w:szCs w:val="22"/>
              </w:rPr>
              <w:t xml:space="preserve"> </w:t>
            </w:r>
            <w:r w:rsidRPr="0059271F">
              <w:rPr>
                <w:rFonts w:ascii="微軟正黑體" w:eastAsia="微軟正黑體" w:hAnsi="微軟正黑體" w:hint="eastAsia"/>
                <w:sz w:val="22"/>
                <w:szCs w:val="22"/>
              </w:rPr>
              <w:t>3.遺屬年金</w:t>
            </w:r>
          </w:p>
        </w:tc>
        <w:tc>
          <w:tcPr>
            <w:tcW w:w="2268" w:type="dxa"/>
            <w:tcBorders>
              <w:top w:val="nil"/>
              <w:left w:val="single" w:sz="4" w:space="0" w:color="auto"/>
              <w:bottom w:val="single" w:sz="4" w:space="0" w:color="auto"/>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32,132 </w:t>
            </w:r>
          </w:p>
        </w:tc>
        <w:tc>
          <w:tcPr>
            <w:tcW w:w="2268" w:type="dxa"/>
            <w:tcBorders>
              <w:top w:val="nil"/>
              <w:left w:val="single" w:sz="4" w:space="0" w:color="auto"/>
              <w:bottom w:val="single" w:sz="4" w:space="0" w:color="auto"/>
              <w:right w:val="single" w:sz="4" w:space="0" w:color="auto"/>
            </w:tcBorders>
            <w:shd w:val="clear" w:color="auto" w:fill="auto"/>
            <w:noWrap/>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4,567,524,210 </w:t>
            </w:r>
          </w:p>
        </w:tc>
        <w:tc>
          <w:tcPr>
            <w:tcW w:w="1559" w:type="dxa"/>
            <w:tcBorders>
              <w:top w:val="nil"/>
              <w:left w:val="single" w:sz="4" w:space="0" w:color="auto"/>
              <w:bottom w:val="single" w:sz="4" w:space="0" w:color="auto"/>
              <w:right w:val="single" w:sz="4" w:space="0" w:color="auto"/>
            </w:tcBorders>
            <w:shd w:val="clear" w:color="auto" w:fill="auto"/>
            <w:noWrap/>
            <w:hideMark/>
          </w:tcPr>
          <w:p w:rsidR="00FB2640" w:rsidRPr="0059271F" w:rsidRDefault="00FB2640" w:rsidP="008F1977">
            <w:pPr>
              <w:spacing w:line="360" w:lineRule="exact"/>
              <w:jc w:val="right"/>
              <w:rPr>
                <w:rFonts w:ascii="微軟正黑體" w:eastAsia="微軟正黑體" w:hAnsi="微軟正黑體"/>
                <w:sz w:val="22"/>
                <w:szCs w:val="22"/>
              </w:rPr>
            </w:pPr>
            <w:r w:rsidRPr="0059271F">
              <w:rPr>
                <w:rFonts w:ascii="微軟正黑體" w:eastAsia="微軟正黑體" w:hAnsi="微軟正黑體" w:hint="eastAsia"/>
                <w:sz w:val="22"/>
                <w:szCs w:val="22"/>
              </w:rPr>
              <w:t xml:space="preserve">1.6 </w:t>
            </w:r>
          </w:p>
        </w:tc>
      </w:tr>
    </w:tbl>
    <w:p w:rsidR="00FB2640" w:rsidRPr="00250399" w:rsidRDefault="00FB2640" w:rsidP="00FB2640">
      <w:pPr>
        <w:pStyle w:val="af0"/>
        <w:numPr>
          <w:ilvl w:val="0"/>
          <w:numId w:val="13"/>
        </w:numPr>
        <w:spacing w:beforeLines="100" w:before="360" w:line="400" w:lineRule="exact"/>
        <w:ind w:leftChars="0" w:left="480" w:hanging="480"/>
        <w:jc w:val="both"/>
        <w:rPr>
          <w:rFonts w:ascii="微軟正黑體" w:eastAsia="微軟正黑體" w:hAnsi="微軟正黑體"/>
        </w:rPr>
      </w:pPr>
      <w:r w:rsidRPr="00250399">
        <w:rPr>
          <w:rFonts w:ascii="微軟正黑體" w:eastAsia="微軟正黑體" w:hAnsi="微軟正黑體" w:hint="eastAsia"/>
        </w:rPr>
        <w:t>近10年各給付項目</w:t>
      </w:r>
      <w:r w:rsidRPr="00250399">
        <w:rPr>
          <w:rFonts w:ascii="微軟正黑體" w:eastAsia="微軟正黑體" w:hAnsi="微軟正黑體"/>
        </w:rPr>
        <w:t>實計現金給付</w:t>
      </w:r>
      <w:r w:rsidRPr="00250399">
        <w:rPr>
          <w:rFonts w:ascii="微軟正黑體" w:eastAsia="微軟正黑體" w:hAnsi="微軟正黑體" w:hint="eastAsia"/>
        </w:rPr>
        <w:t>(含一次給付及年金給付)</w:t>
      </w:r>
    </w:p>
    <w:p w:rsidR="00FB2640" w:rsidRPr="00250399" w:rsidRDefault="00FB2640" w:rsidP="00FB2640">
      <w:pPr>
        <w:pStyle w:val="af0"/>
        <w:spacing w:beforeLines="30" w:before="108" w:line="400" w:lineRule="exact"/>
        <w:ind w:leftChars="0" w:left="567"/>
        <w:jc w:val="both"/>
        <w:rPr>
          <w:rFonts w:ascii="微軟正黑體" w:eastAsia="微軟正黑體" w:hAnsi="微軟正黑體"/>
        </w:rPr>
      </w:pPr>
      <w:r w:rsidRPr="00250399">
        <w:rPr>
          <w:rFonts w:ascii="微軟正黑體" w:eastAsia="微軟正黑體" w:hAnsi="微軟正黑體" w:hint="eastAsia"/>
        </w:rPr>
        <w:t xml:space="preserve">    </w:t>
      </w:r>
      <w:r w:rsidRPr="00250399">
        <w:rPr>
          <w:rFonts w:ascii="微軟正黑體" w:eastAsia="微軟正黑體" w:hAnsi="微軟正黑體"/>
        </w:rPr>
        <w:t>普通事故保險</w:t>
      </w:r>
      <w:r w:rsidRPr="00250399">
        <w:rPr>
          <w:rFonts w:ascii="微軟正黑體" w:eastAsia="微軟正黑體" w:hAnsi="微軟正黑體" w:hint="eastAsia"/>
        </w:rPr>
        <w:t>各項實計現金給付，歷年來皆以老年給付為大宗，10</w:t>
      </w:r>
      <w:r>
        <w:rPr>
          <w:rFonts w:ascii="微軟正黑體" w:eastAsia="微軟正黑體" w:hAnsi="微軟正黑體"/>
        </w:rPr>
        <w:t>9</w:t>
      </w:r>
      <w:r w:rsidRPr="00250399">
        <w:rPr>
          <w:rFonts w:ascii="微軟正黑體" w:eastAsia="微軟正黑體" w:hAnsi="微軟正黑體" w:hint="eastAsia"/>
        </w:rPr>
        <w:t>年老年給付金額達</w:t>
      </w:r>
      <w:r>
        <w:rPr>
          <w:rFonts w:ascii="微軟正黑體" w:eastAsia="微軟正黑體" w:hAnsi="微軟正黑體"/>
        </w:rPr>
        <w:t>4</w:t>
      </w:r>
      <w:r>
        <w:rPr>
          <w:rFonts w:ascii="微軟正黑體" w:eastAsia="微軟正黑體" w:hAnsi="微軟正黑體" w:hint="eastAsia"/>
        </w:rPr>
        <w:t>,</w:t>
      </w:r>
      <w:r>
        <w:rPr>
          <w:rFonts w:ascii="微軟正黑體" w:eastAsia="微軟正黑體" w:hAnsi="微軟正黑體"/>
        </w:rPr>
        <w:t>058</w:t>
      </w:r>
      <w:r>
        <w:rPr>
          <w:rFonts w:ascii="微軟正黑體" w:eastAsia="微軟正黑體" w:hAnsi="微軟正黑體" w:hint="eastAsia"/>
        </w:rPr>
        <w:t>.</w:t>
      </w:r>
      <w:r>
        <w:rPr>
          <w:rFonts w:ascii="微軟正黑體" w:eastAsia="微軟正黑體" w:hAnsi="微軟正黑體"/>
        </w:rPr>
        <w:t>9</w:t>
      </w:r>
      <w:r w:rsidRPr="00250399">
        <w:rPr>
          <w:rFonts w:ascii="微軟正黑體" w:eastAsia="微軟正黑體" w:hAnsi="微軟正黑體" w:hint="eastAsia"/>
        </w:rPr>
        <w:t>億元，占</w:t>
      </w:r>
      <w:r w:rsidRPr="00250399">
        <w:rPr>
          <w:rFonts w:ascii="微軟正黑體" w:eastAsia="微軟正黑體" w:hAnsi="微軟正黑體"/>
        </w:rPr>
        <w:t>普通事故保險</w:t>
      </w:r>
      <w:r w:rsidRPr="00250399">
        <w:rPr>
          <w:rFonts w:ascii="微軟正黑體" w:eastAsia="微軟正黑體" w:hAnsi="微軟正黑體" w:hint="eastAsia"/>
        </w:rPr>
        <w:t>給付</w:t>
      </w:r>
      <w:r>
        <w:rPr>
          <w:rFonts w:ascii="微軟正黑體" w:eastAsia="微軟正黑體" w:hAnsi="微軟正黑體"/>
        </w:rPr>
        <w:t>90.4</w:t>
      </w:r>
      <w:r w:rsidRPr="00250399">
        <w:rPr>
          <w:rFonts w:ascii="微軟正黑體" w:eastAsia="微軟正黑體" w:hAnsi="微軟正黑體" w:hint="eastAsia"/>
        </w:rPr>
        <w:t>%。</w:t>
      </w:r>
    </w:p>
    <w:p w:rsidR="00FB2640" w:rsidRPr="00CD19DB" w:rsidRDefault="00FB2640" w:rsidP="00FB2640">
      <w:pPr>
        <w:pStyle w:val="af0"/>
        <w:spacing w:beforeLines="30" w:before="108" w:line="400" w:lineRule="exact"/>
        <w:ind w:leftChars="0" w:left="567"/>
        <w:jc w:val="both"/>
        <w:rPr>
          <w:rFonts w:ascii="微軟正黑體" w:eastAsia="微軟正黑體" w:hAnsi="微軟正黑體"/>
        </w:rPr>
      </w:pPr>
      <w:r w:rsidRPr="00250399">
        <w:rPr>
          <w:rFonts w:ascii="微軟正黑體" w:eastAsia="微軟正黑體" w:hAnsi="微軟正黑體" w:hint="eastAsia"/>
        </w:rPr>
        <w:t xml:space="preserve">    觀察近10年老年給付金額之變動情形，</w:t>
      </w:r>
      <w:r w:rsidRPr="00CD19DB">
        <w:rPr>
          <w:rFonts w:ascii="微軟正黑體" w:eastAsia="微軟正黑體" w:hAnsi="微軟正黑體" w:hint="eastAsia"/>
        </w:rPr>
        <w:t>自10</w:t>
      </w:r>
      <w:r w:rsidRPr="00CD19DB">
        <w:rPr>
          <w:rFonts w:ascii="微軟正黑體" w:eastAsia="微軟正黑體" w:hAnsi="微軟正黑體"/>
        </w:rPr>
        <w:t>4</w:t>
      </w:r>
      <w:r w:rsidRPr="00CD19DB">
        <w:rPr>
          <w:rFonts w:ascii="微軟正黑體" w:eastAsia="微軟正黑體" w:hAnsi="微軟正黑體" w:hint="eastAsia"/>
        </w:rPr>
        <w:t>年起老年給付金額逐年成長。而101年及105年因啟動年金改革規劃，並伴隨勞保財務危機相關報導，造成一次給付請領件數增加，致1</w:t>
      </w:r>
      <w:r w:rsidRPr="00CD19DB">
        <w:rPr>
          <w:rFonts w:ascii="微軟正黑體" w:eastAsia="微軟正黑體" w:hAnsi="微軟正黑體"/>
        </w:rPr>
        <w:t>01</w:t>
      </w:r>
      <w:r w:rsidRPr="00CD19DB">
        <w:rPr>
          <w:rFonts w:ascii="微軟正黑體" w:eastAsia="微軟正黑體" w:hAnsi="微軟正黑體" w:hint="eastAsia"/>
        </w:rPr>
        <w:t>年整體老年給付金額大幅增加，105年及106年增加幅度亦相對較大。</w:t>
      </w:r>
    </w:p>
    <w:p w:rsidR="00FB2640" w:rsidRPr="00F0717A" w:rsidRDefault="00FB2640" w:rsidP="00FB2640">
      <w:pPr>
        <w:pStyle w:val="af0"/>
        <w:spacing w:beforeLines="30" w:before="108" w:line="400" w:lineRule="exact"/>
        <w:ind w:leftChars="0" w:left="386"/>
        <w:rPr>
          <w:rFonts w:ascii="微軟正黑體" w:eastAsia="微軟正黑體" w:hAnsi="微軟正黑體"/>
        </w:rPr>
      </w:pPr>
      <w:r>
        <w:rPr>
          <w:noProof/>
        </w:rPr>
        <w:lastRenderedPageBreak/>
        <w:drawing>
          <wp:anchor distT="0" distB="0" distL="114300" distR="114300" simplePos="0" relativeHeight="252569600" behindDoc="0" locked="0" layoutInCell="1" allowOverlap="1" wp14:anchorId="298A218D" wp14:editId="3335EDB9">
            <wp:simplePos x="0" y="0"/>
            <wp:positionH relativeFrom="column">
              <wp:posOffset>-1398</wp:posOffset>
            </wp:positionH>
            <wp:positionV relativeFrom="paragraph">
              <wp:posOffset>29103</wp:posOffset>
            </wp:positionV>
            <wp:extent cx="5760085" cy="3795395"/>
            <wp:effectExtent l="0" t="0" r="12065" b="14605"/>
            <wp:wrapNone/>
            <wp:docPr id="32" name="圖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F0717A" w:rsidRDefault="00FB2640" w:rsidP="00FB2640">
      <w:pPr>
        <w:spacing w:beforeLines="150" w:before="540" w:line="400" w:lineRule="exact"/>
        <w:jc w:val="center"/>
        <w:rPr>
          <w:rFonts w:ascii="微軟正黑體" w:eastAsia="微軟正黑體" w:hAnsi="微軟正黑體"/>
        </w:rPr>
      </w:pPr>
      <w:r w:rsidRPr="00F0717A">
        <w:rPr>
          <w:rFonts w:ascii="微軟正黑體" w:eastAsia="微軟正黑體" w:hAnsi="微軟正黑體" w:hint="eastAsia"/>
        </w:rPr>
        <w:t>圖2.</w:t>
      </w:r>
      <w:r>
        <w:rPr>
          <w:rFonts w:ascii="微軟正黑體" w:eastAsia="微軟正黑體" w:hAnsi="微軟正黑體" w:hint="eastAsia"/>
        </w:rPr>
        <w:t>8</w:t>
      </w:r>
      <w:r w:rsidRPr="00F0717A">
        <w:rPr>
          <w:rFonts w:ascii="微軟正黑體" w:eastAsia="微軟正黑體" w:hAnsi="微軟正黑體" w:hint="eastAsia"/>
        </w:rPr>
        <w:t xml:space="preserve">  近10年勞保普通事故實計現金給付(按給付項目分)</w:t>
      </w:r>
    </w:p>
    <w:p w:rsidR="00FB2640" w:rsidRPr="00677D27" w:rsidRDefault="00FB2640" w:rsidP="00FB2640">
      <w:pPr>
        <w:pStyle w:val="af0"/>
        <w:numPr>
          <w:ilvl w:val="0"/>
          <w:numId w:val="13"/>
        </w:numPr>
        <w:spacing w:beforeLines="100" w:before="360" w:line="400" w:lineRule="exact"/>
        <w:ind w:leftChars="0" w:left="480" w:hanging="480"/>
        <w:jc w:val="both"/>
        <w:rPr>
          <w:rFonts w:ascii="微軟正黑體" w:eastAsia="微軟正黑體" w:hAnsi="微軟正黑體"/>
        </w:rPr>
      </w:pPr>
      <w:r w:rsidRPr="00677D27">
        <w:rPr>
          <w:rFonts w:ascii="微軟正黑體" w:eastAsia="微軟正黑體" w:hAnsi="微軟正黑體"/>
        </w:rPr>
        <w:t>老年給付</w:t>
      </w:r>
      <w:r w:rsidRPr="00677D27">
        <w:rPr>
          <w:rFonts w:ascii="微軟正黑體" w:eastAsia="微軟正黑體" w:hAnsi="微軟正黑體" w:hint="eastAsia"/>
        </w:rPr>
        <w:t>請領</w:t>
      </w:r>
      <w:r w:rsidRPr="00677D27">
        <w:rPr>
          <w:rFonts w:ascii="微軟正黑體" w:eastAsia="微軟正黑體" w:hAnsi="微軟正黑體"/>
        </w:rPr>
        <w:t>件數及金額(</w:t>
      </w:r>
      <w:r w:rsidRPr="00677D27">
        <w:rPr>
          <w:rFonts w:ascii="微軟正黑體" w:eastAsia="微軟正黑體" w:hAnsi="微軟正黑體" w:hint="eastAsia"/>
        </w:rPr>
        <w:t>按</w:t>
      </w:r>
      <w:r w:rsidRPr="00677D27">
        <w:rPr>
          <w:rFonts w:ascii="微軟正黑體" w:eastAsia="微軟正黑體" w:hAnsi="微軟正黑體"/>
        </w:rPr>
        <w:t>一</w:t>
      </w:r>
      <w:r w:rsidRPr="00250399">
        <w:rPr>
          <w:rFonts w:ascii="微軟正黑體" w:eastAsia="微軟正黑體" w:hAnsi="微軟正黑體"/>
        </w:rPr>
        <w:t>次</w:t>
      </w:r>
      <w:r w:rsidRPr="00250399">
        <w:rPr>
          <w:rFonts w:ascii="微軟正黑體" w:eastAsia="微軟正黑體" w:hAnsi="微軟正黑體" w:hint="eastAsia"/>
        </w:rPr>
        <w:t>給付及</w:t>
      </w:r>
      <w:r w:rsidRPr="00250399">
        <w:rPr>
          <w:rFonts w:ascii="微軟正黑體" w:eastAsia="微軟正黑體" w:hAnsi="微軟正黑體"/>
        </w:rPr>
        <w:t>年金</w:t>
      </w:r>
      <w:r w:rsidRPr="00250399">
        <w:rPr>
          <w:rFonts w:ascii="微軟正黑體" w:eastAsia="微軟正黑體" w:hAnsi="微軟正黑體" w:hint="eastAsia"/>
        </w:rPr>
        <w:t>給付</w:t>
      </w:r>
      <w:r w:rsidRPr="00677D27">
        <w:rPr>
          <w:rFonts w:ascii="微軟正黑體" w:eastAsia="微軟正黑體" w:hAnsi="微軟正黑體" w:hint="eastAsia"/>
        </w:rPr>
        <w:t>分</w:t>
      </w:r>
      <w:r w:rsidRPr="00677D27">
        <w:rPr>
          <w:rFonts w:ascii="微軟正黑體" w:eastAsia="微軟正黑體" w:hAnsi="微軟正黑體"/>
        </w:rPr>
        <w:t>)</w:t>
      </w:r>
      <w:r w:rsidRPr="000662EB">
        <w:rPr>
          <w:rFonts w:ascii="微軟正黑體" w:eastAsia="微軟正黑體" w:hAnsi="微軟正黑體"/>
        </w:rPr>
        <w:t xml:space="preserve"> </w:t>
      </w:r>
    </w:p>
    <w:p w:rsidR="00FB2640" w:rsidRPr="00CD19DB"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勞保於98年年金化後，老年年金請領人數及金額逐年明顯增加，103</w:t>
      </w:r>
      <w:r>
        <w:rPr>
          <w:rFonts w:ascii="微軟正黑體" w:eastAsia="微軟正黑體" w:hAnsi="微軟正黑體" w:hint="eastAsia"/>
        </w:rPr>
        <w:t>年起領取金額高於一次給付</w:t>
      </w:r>
      <w:r w:rsidRPr="00CD19DB">
        <w:rPr>
          <w:rFonts w:ascii="微軟正黑體" w:eastAsia="微軟正黑體" w:hAnsi="微軟正黑體" w:hint="eastAsia"/>
        </w:rPr>
        <w:t>，1</w:t>
      </w:r>
      <w:r w:rsidRPr="00CD19DB">
        <w:rPr>
          <w:rFonts w:ascii="微軟正黑體" w:eastAsia="微軟正黑體" w:hAnsi="微軟正黑體"/>
        </w:rPr>
        <w:t>09</w:t>
      </w:r>
      <w:r w:rsidRPr="00CD19DB">
        <w:rPr>
          <w:rFonts w:ascii="微軟正黑體" w:eastAsia="微軟正黑體" w:hAnsi="微軟正黑體" w:hint="eastAsia"/>
        </w:rPr>
        <w:t>年老年年金請領金額達2</w:t>
      </w:r>
      <w:r w:rsidR="006E668E">
        <w:rPr>
          <w:rFonts w:ascii="微軟正黑體" w:eastAsia="微軟正黑體" w:hAnsi="微軟正黑體" w:hint="eastAsia"/>
        </w:rPr>
        <w:t>,</w:t>
      </w:r>
      <w:r w:rsidRPr="00CD19DB">
        <w:rPr>
          <w:rFonts w:ascii="微軟正黑體" w:eastAsia="微軟正黑體" w:hAnsi="微軟正黑體"/>
        </w:rPr>
        <w:t>825.5</w:t>
      </w:r>
      <w:r w:rsidRPr="00CD19DB">
        <w:rPr>
          <w:rFonts w:ascii="微軟正黑體" w:eastAsia="微軟正黑體" w:hAnsi="微軟正黑體" w:hint="eastAsia"/>
        </w:rPr>
        <w:t>億元，占整體老年給付金額</w:t>
      </w:r>
      <w:r w:rsidRPr="00CD19DB">
        <w:rPr>
          <w:rFonts w:ascii="微軟正黑體" w:eastAsia="微軟正黑體" w:hAnsi="微軟正黑體"/>
        </w:rPr>
        <w:t>69.6%</w:t>
      </w:r>
      <w:r w:rsidRPr="00CD19DB">
        <w:rPr>
          <w:rFonts w:ascii="微軟正黑體" w:eastAsia="微軟正黑體" w:hAnsi="微軟正黑體" w:hint="eastAsia"/>
        </w:rPr>
        <w:t>。而一次給付請</w:t>
      </w:r>
      <w:r w:rsidRPr="00F0717A">
        <w:rPr>
          <w:rFonts w:ascii="微軟正黑體" w:eastAsia="微軟正黑體" w:hAnsi="微軟正黑體" w:hint="eastAsia"/>
        </w:rPr>
        <w:t>領件數</w:t>
      </w:r>
      <w:r w:rsidRPr="00CD19DB">
        <w:rPr>
          <w:rFonts w:ascii="微軟正黑體" w:eastAsia="微軟正黑體" w:hAnsi="微軟正黑體" w:hint="eastAsia"/>
        </w:rPr>
        <w:t>及金額，1</w:t>
      </w:r>
      <w:r w:rsidRPr="000043FC">
        <w:rPr>
          <w:rFonts w:ascii="微軟正黑體" w:eastAsia="微軟正黑體" w:hAnsi="微軟正黑體" w:hint="eastAsia"/>
        </w:rPr>
        <w:t>01年</w:t>
      </w:r>
      <w:r w:rsidRPr="00CD19DB">
        <w:rPr>
          <w:rFonts w:ascii="微軟正黑體" w:eastAsia="微軟正黑體" w:hAnsi="微軟正黑體" w:hint="eastAsia"/>
        </w:rPr>
        <w:t>及105年因啟動年金改革規劃，並伴隨勞保財務危機相關報導，造成請領件數增加，一次給付請領金額1</w:t>
      </w:r>
      <w:r w:rsidRPr="00CD19DB">
        <w:rPr>
          <w:rFonts w:ascii="微軟正黑體" w:eastAsia="微軟正黑體" w:hAnsi="微軟正黑體"/>
        </w:rPr>
        <w:t>01</w:t>
      </w:r>
      <w:r w:rsidRPr="00CD19DB">
        <w:rPr>
          <w:rFonts w:ascii="微軟正黑體" w:eastAsia="微軟正黑體" w:hAnsi="微軟正黑體" w:hint="eastAsia"/>
        </w:rPr>
        <w:t>年暴</w:t>
      </w:r>
      <w:r w:rsidRPr="00C53663">
        <w:rPr>
          <w:rFonts w:ascii="微軟正黑體" w:eastAsia="微軟正黑體" w:hAnsi="微軟正黑體" w:hint="eastAsia"/>
        </w:rPr>
        <w:t>增至</w:t>
      </w:r>
      <w:r w:rsidRPr="00C53663">
        <w:rPr>
          <w:rFonts w:ascii="微軟正黑體" w:eastAsia="微軟正黑體" w:hAnsi="微軟正黑體"/>
        </w:rPr>
        <w:t>1,767.</w:t>
      </w:r>
      <w:r w:rsidRPr="00C53663">
        <w:rPr>
          <w:rFonts w:ascii="微軟正黑體" w:eastAsia="微軟正黑體" w:hAnsi="微軟正黑體" w:hint="eastAsia"/>
        </w:rPr>
        <w:t>7億元，102年仍高達1,588.8億元</w:t>
      </w:r>
      <w:r w:rsidRPr="00CD19DB">
        <w:rPr>
          <w:rFonts w:ascii="微軟正黑體" w:eastAsia="微軟正黑體" w:hAnsi="微軟正黑體" w:hint="eastAsia"/>
        </w:rPr>
        <w:t>，103年請領件數及金額均已大幅下降，105年及106年增加幅度相對較大，1</w:t>
      </w:r>
      <w:r w:rsidRPr="00CD19DB">
        <w:rPr>
          <w:rFonts w:ascii="微軟正黑體" w:eastAsia="微軟正黑體" w:hAnsi="微軟正黑體"/>
        </w:rPr>
        <w:t>07</w:t>
      </w:r>
      <w:r w:rsidRPr="00CD19DB">
        <w:rPr>
          <w:rFonts w:ascii="微軟正黑體" w:eastAsia="微軟正黑體" w:hAnsi="微軟正黑體" w:hint="eastAsia"/>
        </w:rPr>
        <w:t>至109年變動幅度則較為持平。</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71648" behindDoc="0" locked="0" layoutInCell="1" allowOverlap="1" wp14:anchorId="36EDA155" wp14:editId="55530C86">
            <wp:simplePos x="0" y="0"/>
            <wp:positionH relativeFrom="column">
              <wp:posOffset>75442</wp:posOffset>
            </wp:positionH>
            <wp:positionV relativeFrom="paragraph">
              <wp:posOffset>91259</wp:posOffset>
            </wp:positionV>
            <wp:extent cx="5716905" cy="2674043"/>
            <wp:effectExtent l="0" t="0" r="17145" b="12065"/>
            <wp:wrapNone/>
            <wp:docPr id="33" name="圖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Default="00FB2640" w:rsidP="00FB2640">
      <w:pPr>
        <w:spacing w:line="400" w:lineRule="exact"/>
        <w:jc w:val="center"/>
        <w:rPr>
          <w:rFonts w:ascii="微軟正黑體" w:eastAsia="微軟正黑體" w:hAnsi="微軟正黑體"/>
        </w:rPr>
      </w:pPr>
    </w:p>
    <w:p w:rsidR="00FB2640" w:rsidRPr="00250399" w:rsidRDefault="00FB2640" w:rsidP="00FB2640">
      <w:pPr>
        <w:spacing w:line="400" w:lineRule="exact"/>
        <w:jc w:val="center"/>
        <w:rPr>
          <w:rFonts w:ascii="微軟正黑體" w:eastAsia="微軟正黑體" w:hAnsi="微軟正黑體"/>
        </w:rPr>
      </w:pPr>
      <w:r w:rsidRPr="00F0717A">
        <w:rPr>
          <w:rFonts w:ascii="微軟正黑體" w:eastAsia="微軟正黑體" w:hAnsi="微軟正黑體" w:hint="eastAsia"/>
        </w:rPr>
        <w:t>圖</w:t>
      </w:r>
      <w:r>
        <w:rPr>
          <w:rFonts w:ascii="微軟正黑體" w:eastAsia="微軟正黑體" w:hAnsi="微軟正黑體" w:hint="eastAsia"/>
        </w:rPr>
        <w:t>2.9  近10</w:t>
      </w:r>
      <w:r w:rsidRPr="00F0717A">
        <w:rPr>
          <w:rFonts w:ascii="微軟正黑體" w:eastAsia="微軟正黑體" w:hAnsi="微軟正黑體" w:hint="eastAsia"/>
        </w:rPr>
        <w:t>年勞</w:t>
      </w:r>
      <w:r w:rsidRPr="00250399">
        <w:rPr>
          <w:rFonts w:ascii="微軟正黑體" w:eastAsia="微軟正黑體" w:hAnsi="微軟正黑體" w:hint="eastAsia"/>
        </w:rPr>
        <w:t>保老年給付請領件數及金額(按一次給付及年金給付分)</w:t>
      </w:r>
    </w:p>
    <w:p w:rsidR="00FB2640" w:rsidRPr="00250399" w:rsidRDefault="00FB2640" w:rsidP="00FB2640">
      <w:pPr>
        <w:spacing w:afterLines="30" w:after="108" w:line="400" w:lineRule="exact"/>
        <w:jc w:val="center"/>
        <w:rPr>
          <w:rFonts w:ascii="微軟正黑體" w:eastAsia="微軟正黑體" w:hAnsi="微軟正黑體"/>
        </w:rPr>
      </w:pPr>
      <w:r w:rsidRPr="00250399">
        <w:rPr>
          <w:rFonts w:ascii="微軟正黑體" w:eastAsia="微軟正黑體" w:hAnsi="微軟正黑體" w:hint="eastAsia"/>
        </w:rPr>
        <w:lastRenderedPageBreak/>
        <w:t>表2.6  近10年勞保老年給付請領件數及金額(按一次給付及年金給付分)</w:t>
      </w:r>
    </w:p>
    <w:tbl>
      <w:tblPr>
        <w:tblW w:w="9087"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66"/>
        <w:gridCol w:w="850"/>
        <w:gridCol w:w="993"/>
        <w:gridCol w:w="708"/>
        <w:gridCol w:w="993"/>
        <w:gridCol w:w="708"/>
        <w:gridCol w:w="709"/>
        <w:gridCol w:w="709"/>
        <w:gridCol w:w="709"/>
        <w:gridCol w:w="850"/>
        <w:gridCol w:w="992"/>
      </w:tblGrid>
      <w:tr w:rsidR="00FB2640" w:rsidRPr="00250399" w:rsidTr="008F1977">
        <w:trPr>
          <w:trHeight w:val="336"/>
        </w:trPr>
        <w:tc>
          <w:tcPr>
            <w:tcW w:w="866" w:type="dxa"/>
            <w:vMerge w:val="restart"/>
            <w:shd w:val="clear" w:color="auto" w:fill="auto"/>
            <w:noWrap/>
            <w:vAlign w:val="center"/>
            <w:hideMark/>
          </w:tcPr>
          <w:p w:rsidR="00FB2640" w:rsidRPr="00250399" w:rsidRDefault="00FB2640" w:rsidP="008F1977">
            <w:pPr>
              <w:widowControl/>
              <w:spacing w:line="360" w:lineRule="exact"/>
              <w:jc w:val="center"/>
              <w:rPr>
                <w:rFonts w:ascii="微軟正黑體" w:eastAsia="微軟正黑體" w:hAnsi="微軟正黑體" w:cs="新細明體"/>
                <w:sz w:val="22"/>
                <w:szCs w:val="22"/>
              </w:rPr>
            </w:pPr>
            <w:r w:rsidRPr="00250399">
              <w:rPr>
                <w:rFonts w:ascii="微軟正黑體" w:eastAsia="微軟正黑體" w:hAnsi="微軟正黑體" w:cs="新細明體" w:hint="eastAsia"/>
                <w:sz w:val="22"/>
                <w:szCs w:val="22"/>
              </w:rPr>
              <w:t>年度</w:t>
            </w:r>
          </w:p>
        </w:tc>
        <w:tc>
          <w:tcPr>
            <w:tcW w:w="6379" w:type="dxa"/>
            <w:gridSpan w:val="8"/>
            <w:shd w:val="clear" w:color="000000" w:fill="FDE9D9"/>
            <w:noWrap/>
            <w:vAlign w:val="center"/>
            <w:hideMark/>
          </w:tcPr>
          <w:p w:rsidR="00FB2640" w:rsidRPr="00250399" w:rsidRDefault="00FB2640" w:rsidP="008F1977">
            <w:pPr>
              <w:widowControl/>
              <w:spacing w:line="360" w:lineRule="exact"/>
              <w:jc w:val="center"/>
              <w:rPr>
                <w:rFonts w:ascii="微軟正黑體" w:eastAsia="微軟正黑體" w:hAnsi="微軟正黑體" w:cs="新細明體"/>
                <w:bCs/>
                <w:sz w:val="22"/>
                <w:szCs w:val="22"/>
              </w:rPr>
            </w:pPr>
            <w:r w:rsidRPr="00250399">
              <w:rPr>
                <w:rFonts w:ascii="微軟正黑體" w:eastAsia="微軟正黑體" w:hAnsi="微軟正黑體" w:cs="新細明體" w:hint="eastAsia"/>
                <w:bCs/>
                <w:sz w:val="22"/>
                <w:szCs w:val="22"/>
              </w:rPr>
              <w:t>一次給付</w:t>
            </w:r>
          </w:p>
        </w:tc>
        <w:tc>
          <w:tcPr>
            <w:tcW w:w="1842" w:type="dxa"/>
            <w:gridSpan w:val="2"/>
            <w:vMerge w:val="restart"/>
            <w:shd w:val="clear" w:color="000000" w:fill="FDE9D9"/>
            <w:noWrap/>
            <w:vAlign w:val="center"/>
            <w:hideMark/>
          </w:tcPr>
          <w:p w:rsidR="00FB2640" w:rsidRPr="00250399" w:rsidRDefault="00FB2640" w:rsidP="008F1977">
            <w:pPr>
              <w:spacing w:line="360" w:lineRule="exact"/>
              <w:jc w:val="center"/>
              <w:rPr>
                <w:rFonts w:ascii="微軟正黑體" w:eastAsia="微軟正黑體" w:hAnsi="微軟正黑體" w:cs="新細明體"/>
                <w:bCs/>
                <w:sz w:val="22"/>
                <w:szCs w:val="22"/>
              </w:rPr>
            </w:pPr>
            <w:r w:rsidRPr="00250399">
              <w:rPr>
                <w:rFonts w:ascii="微軟正黑體" w:eastAsia="微軟正黑體" w:hAnsi="微軟正黑體" w:cs="新細明體" w:hint="eastAsia"/>
                <w:sz w:val="22"/>
                <w:szCs w:val="22"/>
              </w:rPr>
              <w:t>年金給付</w:t>
            </w:r>
          </w:p>
        </w:tc>
      </w:tr>
      <w:tr w:rsidR="00FB2640" w:rsidRPr="00250399" w:rsidTr="008F1977">
        <w:trPr>
          <w:trHeight w:val="336"/>
        </w:trPr>
        <w:tc>
          <w:tcPr>
            <w:tcW w:w="866" w:type="dxa"/>
            <w:vMerge/>
            <w:shd w:val="clear" w:color="auto" w:fill="auto"/>
            <w:noWrap/>
            <w:vAlign w:val="center"/>
            <w:hideMark/>
          </w:tcPr>
          <w:p w:rsidR="00FB2640" w:rsidRPr="00250399" w:rsidRDefault="00FB2640" w:rsidP="008F1977">
            <w:pPr>
              <w:spacing w:line="360" w:lineRule="exact"/>
              <w:jc w:val="center"/>
              <w:rPr>
                <w:rFonts w:ascii="微軟正黑體" w:eastAsia="微軟正黑體" w:hAnsi="微軟正黑體" w:cs="新細明體"/>
                <w:sz w:val="22"/>
                <w:szCs w:val="22"/>
              </w:rPr>
            </w:pPr>
          </w:p>
        </w:tc>
        <w:tc>
          <w:tcPr>
            <w:tcW w:w="1843" w:type="dxa"/>
            <w:gridSpan w:val="2"/>
            <w:shd w:val="clear" w:color="000000" w:fill="FDE9D9"/>
            <w:noWrap/>
            <w:vAlign w:val="center"/>
            <w:hideMark/>
          </w:tcPr>
          <w:p w:rsidR="00FB2640" w:rsidRPr="00250399" w:rsidRDefault="00FB2640" w:rsidP="008F1977">
            <w:pPr>
              <w:widowControl/>
              <w:spacing w:line="360" w:lineRule="exact"/>
              <w:jc w:val="center"/>
              <w:rPr>
                <w:rFonts w:ascii="微軟正黑體" w:eastAsia="微軟正黑體" w:hAnsi="微軟正黑體" w:cs="新細明體"/>
                <w:sz w:val="22"/>
                <w:szCs w:val="22"/>
              </w:rPr>
            </w:pPr>
            <w:r w:rsidRPr="00250399">
              <w:rPr>
                <w:rFonts w:ascii="微軟正黑體" w:eastAsia="微軟正黑體" w:hAnsi="微軟正黑體" w:cs="新細明體" w:hint="eastAsia"/>
                <w:sz w:val="22"/>
                <w:szCs w:val="22"/>
              </w:rPr>
              <w:t>合計</w:t>
            </w:r>
          </w:p>
        </w:tc>
        <w:tc>
          <w:tcPr>
            <w:tcW w:w="1701" w:type="dxa"/>
            <w:gridSpan w:val="2"/>
            <w:shd w:val="clear" w:color="auto" w:fill="auto"/>
            <w:noWrap/>
            <w:vAlign w:val="center"/>
            <w:hideMark/>
          </w:tcPr>
          <w:p w:rsidR="00FB2640" w:rsidRPr="00250399" w:rsidRDefault="00FB2640" w:rsidP="008F1977">
            <w:pPr>
              <w:widowControl/>
              <w:spacing w:line="300" w:lineRule="exact"/>
              <w:jc w:val="center"/>
              <w:rPr>
                <w:rFonts w:ascii="微軟正黑體" w:eastAsia="微軟正黑體" w:hAnsi="微軟正黑體" w:cs="新細明體"/>
                <w:sz w:val="22"/>
                <w:szCs w:val="22"/>
              </w:rPr>
            </w:pPr>
            <w:r w:rsidRPr="00250399">
              <w:rPr>
                <w:rFonts w:ascii="微軟正黑體" w:eastAsia="微軟正黑體" w:hAnsi="微軟正黑體" w:cs="新細明體" w:hint="eastAsia"/>
                <w:sz w:val="22"/>
                <w:szCs w:val="22"/>
              </w:rPr>
              <w:t>一次請領</w:t>
            </w:r>
          </w:p>
          <w:p w:rsidR="00FB2640" w:rsidRPr="00250399" w:rsidRDefault="00FB2640" w:rsidP="008F1977">
            <w:pPr>
              <w:widowControl/>
              <w:spacing w:line="300" w:lineRule="exact"/>
              <w:jc w:val="center"/>
              <w:rPr>
                <w:rFonts w:ascii="微軟正黑體" w:eastAsia="微軟正黑體" w:hAnsi="微軟正黑體" w:cs="新細明體"/>
                <w:sz w:val="22"/>
                <w:szCs w:val="22"/>
              </w:rPr>
            </w:pPr>
            <w:r w:rsidRPr="00250399">
              <w:rPr>
                <w:rFonts w:ascii="微軟正黑體" w:eastAsia="微軟正黑體" w:hAnsi="微軟正黑體" w:cs="新細明體" w:hint="eastAsia"/>
                <w:sz w:val="22"/>
                <w:szCs w:val="22"/>
              </w:rPr>
              <w:t>老年給付</w:t>
            </w:r>
          </w:p>
        </w:tc>
        <w:tc>
          <w:tcPr>
            <w:tcW w:w="1417" w:type="dxa"/>
            <w:gridSpan w:val="2"/>
            <w:shd w:val="clear" w:color="auto" w:fill="auto"/>
            <w:noWrap/>
            <w:vAlign w:val="center"/>
            <w:hideMark/>
          </w:tcPr>
          <w:p w:rsidR="00FB2640" w:rsidRPr="00250399" w:rsidRDefault="00FB2640" w:rsidP="008F1977">
            <w:pPr>
              <w:widowControl/>
              <w:spacing w:line="360" w:lineRule="exact"/>
              <w:jc w:val="center"/>
              <w:rPr>
                <w:rFonts w:ascii="微軟正黑體" w:eastAsia="微軟正黑體" w:hAnsi="微軟正黑體" w:cs="新細明體"/>
                <w:sz w:val="22"/>
                <w:szCs w:val="22"/>
              </w:rPr>
            </w:pPr>
            <w:r w:rsidRPr="00250399">
              <w:rPr>
                <w:rFonts w:ascii="微軟正黑體" w:eastAsia="微軟正黑體" w:hAnsi="微軟正黑體" w:cs="新細明體" w:hint="eastAsia"/>
                <w:sz w:val="22"/>
                <w:szCs w:val="22"/>
              </w:rPr>
              <w:t>老年一次金</w:t>
            </w:r>
          </w:p>
        </w:tc>
        <w:tc>
          <w:tcPr>
            <w:tcW w:w="1418" w:type="dxa"/>
            <w:gridSpan w:val="2"/>
            <w:shd w:val="clear" w:color="auto" w:fill="auto"/>
            <w:noWrap/>
            <w:vAlign w:val="center"/>
            <w:hideMark/>
          </w:tcPr>
          <w:p w:rsidR="00FB2640" w:rsidRPr="00250399" w:rsidRDefault="00FB2640" w:rsidP="008F1977">
            <w:pPr>
              <w:widowControl/>
              <w:spacing w:line="360" w:lineRule="exact"/>
              <w:jc w:val="center"/>
              <w:rPr>
                <w:rFonts w:ascii="微軟正黑體" w:eastAsia="微軟正黑體" w:hAnsi="微軟正黑體" w:cs="新細明體"/>
                <w:sz w:val="22"/>
                <w:szCs w:val="22"/>
              </w:rPr>
            </w:pPr>
            <w:r w:rsidRPr="00250399">
              <w:rPr>
                <w:rFonts w:ascii="微軟正黑體" w:eastAsia="微軟正黑體" w:hAnsi="微軟正黑體" w:cs="新細明體" w:hint="eastAsia"/>
                <w:sz w:val="22"/>
                <w:szCs w:val="22"/>
              </w:rPr>
              <w:t>老年差額金</w:t>
            </w:r>
          </w:p>
        </w:tc>
        <w:tc>
          <w:tcPr>
            <w:tcW w:w="1842" w:type="dxa"/>
            <w:gridSpan w:val="2"/>
            <w:vMerge/>
            <w:shd w:val="clear" w:color="000000" w:fill="FDE9D9"/>
            <w:noWrap/>
            <w:vAlign w:val="center"/>
            <w:hideMark/>
          </w:tcPr>
          <w:p w:rsidR="00FB2640" w:rsidRPr="00250399" w:rsidRDefault="00FB2640" w:rsidP="008F1977">
            <w:pPr>
              <w:widowControl/>
              <w:spacing w:line="360" w:lineRule="exact"/>
              <w:jc w:val="center"/>
              <w:rPr>
                <w:rFonts w:ascii="微軟正黑體" w:eastAsia="微軟正黑體" w:hAnsi="微軟正黑體" w:cs="新細明體"/>
                <w:sz w:val="22"/>
                <w:szCs w:val="22"/>
              </w:rPr>
            </w:pPr>
          </w:p>
        </w:tc>
      </w:tr>
      <w:tr w:rsidR="00FB2640" w:rsidRPr="00F0717A" w:rsidTr="008F1977">
        <w:trPr>
          <w:trHeight w:val="567"/>
        </w:trPr>
        <w:tc>
          <w:tcPr>
            <w:tcW w:w="866" w:type="dxa"/>
            <w:vMerge/>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cs="新細明體"/>
                <w:sz w:val="22"/>
                <w:szCs w:val="22"/>
              </w:rPr>
            </w:pPr>
          </w:p>
        </w:tc>
        <w:tc>
          <w:tcPr>
            <w:tcW w:w="850" w:type="dxa"/>
            <w:shd w:val="clear" w:color="000000" w:fill="FDE9D9"/>
            <w:noWrap/>
            <w:vAlign w:val="center"/>
            <w:hideMark/>
          </w:tcPr>
          <w:p w:rsidR="00FB2640" w:rsidRPr="00725755" w:rsidRDefault="00FB2640" w:rsidP="008F1977">
            <w:pPr>
              <w:widowControl/>
              <w:spacing w:line="240" w:lineRule="exact"/>
              <w:jc w:val="center"/>
              <w:rPr>
                <w:rFonts w:ascii="微軟正黑體" w:eastAsia="微軟正黑體" w:hAnsi="微軟正黑體" w:cs="新細明體"/>
                <w:sz w:val="22"/>
                <w:szCs w:val="22"/>
              </w:rPr>
            </w:pPr>
            <w:r w:rsidRPr="00725755">
              <w:rPr>
                <w:rFonts w:ascii="微軟正黑體" w:eastAsia="微軟正黑體" w:hAnsi="微軟正黑體" w:cs="新細明體" w:hint="eastAsia"/>
                <w:sz w:val="22"/>
                <w:szCs w:val="22"/>
              </w:rPr>
              <w:t>件數</w:t>
            </w:r>
          </w:p>
          <w:p w:rsidR="00FB2640" w:rsidRPr="00725755" w:rsidRDefault="00FB2640" w:rsidP="008F1977">
            <w:pPr>
              <w:widowControl/>
              <w:spacing w:line="240" w:lineRule="exact"/>
              <w:jc w:val="center"/>
              <w:rPr>
                <w:rFonts w:ascii="微軟正黑體" w:eastAsia="微軟正黑體" w:hAnsi="微軟正黑體" w:cs="新細明體"/>
                <w:sz w:val="20"/>
                <w:szCs w:val="20"/>
              </w:rPr>
            </w:pPr>
            <w:r w:rsidRPr="00725755">
              <w:rPr>
                <w:rFonts w:ascii="微軟正黑體" w:eastAsia="微軟正黑體" w:hAnsi="微軟正黑體" w:cs="新細明體" w:hint="eastAsia"/>
                <w:sz w:val="20"/>
                <w:szCs w:val="20"/>
              </w:rPr>
              <w:t>(千件)</w:t>
            </w:r>
          </w:p>
        </w:tc>
        <w:tc>
          <w:tcPr>
            <w:tcW w:w="993" w:type="dxa"/>
            <w:shd w:val="clear" w:color="000000" w:fill="FDE9D9"/>
            <w:noWrap/>
            <w:vAlign w:val="center"/>
            <w:hideMark/>
          </w:tcPr>
          <w:p w:rsidR="00FB2640" w:rsidRPr="00725755" w:rsidRDefault="00FB2640" w:rsidP="008F1977">
            <w:pPr>
              <w:widowControl/>
              <w:spacing w:line="240" w:lineRule="exact"/>
              <w:jc w:val="center"/>
              <w:rPr>
                <w:rFonts w:ascii="微軟正黑體" w:eastAsia="微軟正黑體" w:hAnsi="微軟正黑體" w:cs="新細明體"/>
                <w:sz w:val="22"/>
                <w:szCs w:val="22"/>
              </w:rPr>
            </w:pPr>
            <w:r w:rsidRPr="00725755">
              <w:rPr>
                <w:rFonts w:ascii="微軟正黑體" w:eastAsia="微軟正黑體" w:hAnsi="微軟正黑體" w:cs="新細明體" w:hint="eastAsia"/>
                <w:sz w:val="22"/>
                <w:szCs w:val="22"/>
              </w:rPr>
              <w:t>金額</w:t>
            </w:r>
          </w:p>
          <w:p w:rsidR="00FB2640" w:rsidRPr="00725755" w:rsidRDefault="00FB2640" w:rsidP="008F1977">
            <w:pPr>
              <w:widowControl/>
              <w:spacing w:line="240" w:lineRule="exact"/>
              <w:jc w:val="center"/>
              <w:rPr>
                <w:rFonts w:ascii="微軟正黑體" w:eastAsia="微軟正黑體" w:hAnsi="微軟正黑體" w:cs="新細明體"/>
                <w:sz w:val="20"/>
                <w:szCs w:val="20"/>
              </w:rPr>
            </w:pPr>
            <w:r w:rsidRPr="00725755">
              <w:rPr>
                <w:rFonts w:ascii="微軟正黑體" w:eastAsia="微軟正黑體" w:hAnsi="微軟正黑體" w:cs="新細明體" w:hint="eastAsia"/>
                <w:sz w:val="20"/>
                <w:szCs w:val="20"/>
              </w:rPr>
              <w:t>(億元)</w:t>
            </w:r>
          </w:p>
        </w:tc>
        <w:tc>
          <w:tcPr>
            <w:tcW w:w="708" w:type="dxa"/>
            <w:shd w:val="clear" w:color="auto" w:fill="auto"/>
            <w:noWrap/>
            <w:vAlign w:val="center"/>
            <w:hideMark/>
          </w:tcPr>
          <w:p w:rsidR="00FB2640" w:rsidRPr="00F0717A" w:rsidRDefault="00FB2640" w:rsidP="008F1977">
            <w:pPr>
              <w:widowControl/>
              <w:spacing w:line="24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件數</w:t>
            </w:r>
          </w:p>
          <w:p w:rsidR="00FB2640" w:rsidRPr="00F0717A" w:rsidRDefault="00FB2640" w:rsidP="008F1977">
            <w:pPr>
              <w:widowControl/>
              <w:spacing w:line="240" w:lineRule="exact"/>
              <w:jc w:val="center"/>
              <w:rPr>
                <w:rFonts w:ascii="微軟正黑體" w:eastAsia="微軟正黑體" w:hAnsi="微軟正黑體" w:cs="新細明體"/>
                <w:sz w:val="20"/>
                <w:szCs w:val="20"/>
              </w:rPr>
            </w:pPr>
            <w:r w:rsidRPr="00F0717A">
              <w:rPr>
                <w:rFonts w:ascii="微軟正黑體" w:eastAsia="微軟正黑體" w:hAnsi="微軟正黑體" w:cs="新細明體" w:hint="eastAsia"/>
                <w:sz w:val="20"/>
                <w:szCs w:val="20"/>
              </w:rPr>
              <w:t>(千件)</w:t>
            </w:r>
          </w:p>
        </w:tc>
        <w:tc>
          <w:tcPr>
            <w:tcW w:w="993" w:type="dxa"/>
            <w:shd w:val="clear" w:color="auto" w:fill="auto"/>
            <w:noWrap/>
            <w:vAlign w:val="center"/>
            <w:hideMark/>
          </w:tcPr>
          <w:p w:rsidR="00FB2640" w:rsidRPr="00F0717A" w:rsidRDefault="00FB2640" w:rsidP="008F1977">
            <w:pPr>
              <w:widowControl/>
              <w:spacing w:line="24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金額</w:t>
            </w:r>
          </w:p>
          <w:p w:rsidR="00FB2640" w:rsidRPr="00F0717A" w:rsidRDefault="00FB2640" w:rsidP="008F1977">
            <w:pPr>
              <w:widowControl/>
              <w:spacing w:line="240" w:lineRule="exact"/>
              <w:jc w:val="center"/>
              <w:rPr>
                <w:rFonts w:ascii="微軟正黑體" w:eastAsia="微軟正黑體" w:hAnsi="微軟正黑體" w:cs="新細明體"/>
                <w:sz w:val="20"/>
                <w:szCs w:val="20"/>
              </w:rPr>
            </w:pPr>
            <w:r w:rsidRPr="00F0717A">
              <w:rPr>
                <w:rFonts w:ascii="微軟正黑體" w:eastAsia="微軟正黑體" w:hAnsi="微軟正黑體" w:cs="新細明體" w:hint="eastAsia"/>
                <w:sz w:val="20"/>
                <w:szCs w:val="20"/>
              </w:rPr>
              <w:t>(億元)</w:t>
            </w:r>
          </w:p>
        </w:tc>
        <w:tc>
          <w:tcPr>
            <w:tcW w:w="708" w:type="dxa"/>
            <w:shd w:val="clear" w:color="auto" w:fill="auto"/>
            <w:noWrap/>
            <w:vAlign w:val="center"/>
            <w:hideMark/>
          </w:tcPr>
          <w:p w:rsidR="00FB2640" w:rsidRPr="00F0717A" w:rsidRDefault="00FB2640" w:rsidP="008F1977">
            <w:pPr>
              <w:widowControl/>
              <w:spacing w:line="24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件數</w:t>
            </w:r>
          </w:p>
          <w:p w:rsidR="00FB2640" w:rsidRPr="00F0717A" w:rsidRDefault="00FB2640" w:rsidP="008F1977">
            <w:pPr>
              <w:widowControl/>
              <w:spacing w:line="240" w:lineRule="exact"/>
              <w:jc w:val="center"/>
              <w:rPr>
                <w:rFonts w:ascii="微軟正黑體" w:eastAsia="微軟正黑體" w:hAnsi="微軟正黑體" w:cs="新細明體"/>
                <w:sz w:val="20"/>
                <w:szCs w:val="20"/>
              </w:rPr>
            </w:pPr>
            <w:r w:rsidRPr="00F0717A">
              <w:rPr>
                <w:rFonts w:ascii="微軟正黑體" w:eastAsia="微軟正黑體" w:hAnsi="微軟正黑體" w:cs="新細明體" w:hint="eastAsia"/>
                <w:sz w:val="20"/>
                <w:szCs w:val="20"/>
              </w:rPr>
              <w:t>(千件)</w:t>
            </w:r>
          </w:p>
        </w:tc>
        <w:tc>
          <w:tcPr>
            <w:tcW w:w="709" w:type="dxa"/>
            <w:shd w:val="clear" w:color="auto" w:fill="auto"/>
            <w:noWrap/>
            <w:vAlign w:val="center"/>
            <w:hideMark/>
          </w:tcPr>
          <w:p w:rsidR="00FB2640" w:rsidRPr="00F0717A" w:rsidRDefault="00FB2640" w:rsidP="008F1977">
            <w:pPr>
              <w:widowControl/>
              <w:spacing w:line="24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金額</w:t>
            </w:r>
          </w:p>
          <w:p w:rsidR="00FB2640" w:rsidRPr="00F0717A" w:rsidRDefault="00FB2640" w:rsidP="008F1977">
            <w:pPr>
              <w:widowControl/>
              <w:spacing w:line="240" w:lineRule="exact"/>
              <w:jc w:val="center"/>
              <w:rPr>
                <w:rFonts w:ascii="微軟正黑體" w:eastAsia="微軟正黑體" w:hAnsi="微軟正黑體" w:cs="新細明體"/>
                <w:sz w:val="20"/>
                <w:szCs w:val="20"/>
              </w:rPr>
            </w:pPr>
            <w:r w:rsidRPr="00F0717A">
              <w:rPr>
                <w:rFonts w:ascii="微軟正黑體" w:eastAsia="微軟正黑體" w:hAnsi="微軟正黑體" w:cs="新細明體" w:hint="eastAsia"/>
                <w:sz w:val="20"/>
                <w:szCs w:val="20"/>
              </w:rPr>
              <w:t>(億元)</w:t>
            </w:r>
          </w:p>
        </w:tc>
        <w:tc>
          <w:tcPr>
            <w:tcW w:w="709" w:type="dxa"/>
            <w:shd w:val="clear" w:color="auto" w:fill="auto"/>
            <w:noWrap/>
            <w:vAlign w:val="center"/>
            <w:hideMark/>
          </w:tcPr>
          <w:p w:rsidR="00FB2640" w:rsidRPr="00F0717A" w:rsidRDefault="00FB2640" w:rsidP="008F1977">
            <w:pPr>
              <w:widowControl/>
              <w:spacing w:line="24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件數</w:t>
            </w:r>
          </w:p>
          <w:p w:rsidR="00FB2640" w:rsidRPr="00F0717A" w:rsidRDefault="00FB2640" w:rsidP="008F1977">
            <w:pPr>
              <w:widowControl/>
              <w:spacing w:line="240" w:lineRule="exact"/>
              <w:jc w:val="center"/>
              <w:rPr>
                <w:rFonts w:ascii="微軟正黑體" w:eastAsia="微軟正黑體" w:hAnsi="微軟正黑體" w:cs="新細明體"/>
                <w:sz w:val="20"/>
                <w:szCs w:val="20"/>
              </w:rPr>
            </w:pPr>
            <w:r w:rsidRPr="00F0717A">
              <w:rPr>
                <w:rFonts w:ascii="微軟正黑體" w:eastAsia="微軟正黑體" w:hAnsi="微軟正黑體" w:cs="新細明體" w:hint="eastAsia"/>
                <w:sz w:val="20"/>
                <w:szCs w:val="20"/>
              </w:rPr>
              <w:t>(千件)</w:t>
            </w:r>
          </w:p>
        </w:tc>
        <w:tc>
          <w:tcPr>
            <w:tcW w:w="709" w:type="dxa"/>
            <w:shd w:val="clear" w:color="auto" w:fill="auto"/>
            <w:noWrap/>
            <w:vAlign w:val="center"/>
            <w:hideMark/>
          </w:tcPr>
          <w:p w:rsidR="00FB2640" w:rsidRPr="00F0717A" w:rsidRDefault="00FB2640" w:rsidP="008F1977">
            <w:pPr>
              <w:widowControl/>
              <w:spacing w:line="24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金額</w:t>
            </w:r>
          </w:p>
          <w:p w:rsidR="00FB2640" w:rsidRPr="00F0717A" w:rsidRDefault="00FB2640" w:rsidP="008F1977">
            <w:pPr>
              <w:widowControl/>
              <w:spacing w:line="240" w:lineRule="exact"/>
              <w:jc w:val="center"/>
              <w:rPr>
                <w:rFonts w:ascii="微軟正黑體" w:eastAsia="微軟正黑體" w:hAnsi="微軟正黑體" w:cs="新細明體"/>
                <w:sz w:val="20"/>
                <w:szCs w:val="20"/>
              </w:rPr>
            </w:pPr>
            <w:r w:rsidRPr="00F0717A">
              <w:rPr>
                <w:rFonts w:ascii="微軟正黑體" w:eastAsia="微軟正黑體" w:hAnsi="微軟正黑體" w:cs="新細明體" w:hint="eastAsia"/>
                <w:sz w:val="20"/>
                <w:szCs w:val="20"/>
              </w:rPr>
              <w:t>(億元)</w:t>
            </w:r>
          </w:p>
        </w:tc>
        <w:tc>
          <w:tcPr>
            <w:tcW w:w="850" w:type="dxa"/>
            <w:shd w:val="clear" w:color="000000" w:fill="FDE9D9"/>
            <w:noWrap/>
            <w:vAlign w:val="center"/>
            <w:hideMark/>
          </w:tcPr>
          <w:p w:rsidR="00FB2640" w:rsidRPr="00725755" w:rsidRDefault="00FB2640" w:rsidP="008F1977">
            <w:pPr>
              <w:widowControl/>
              <w:spacing w:line="240" w:lineRule="exact"/>
              <w:jc w:val="center"/>
              <w:rPr>
                <w:rFonts w:ascii="微軟正黑體" w:eastAsia="微軟正黑體" w:hAnsi="微軟正黑體" w:cs="新細明體"/>
                <w:sz w:val="22"/>
                <w:szCs w:val="22"/>
              </w:rPr>
            </w:pPr>
            <w:r w:rsidRPr="00725755">
              <w:rPr>
                <w:rFonts w:ascii="微軟正黑體" w:eastAsia="微軟正黑體" w:hAnsi="微軟正黑體" w:cs="新細明體" w:hint="eastAsia"/>
                <w:sz w:val="22"/>
                <w:szCs w:val="22"/>
              </w:rPr>
              <w:t>人數</w:t>
            </w:r>
          </w:p>
          <w:p w:rsidR="00FB2640" w:rsidRPr="00725755" w:rsidRDefault="00FB2640" w:rsidP="008F1977">
            <w:pPr>
              <w:widowControl/>
              <w:spacing w:line="240" w:lineRule="exact"/>
              <w:jc w:val="center"/>
              <w:rPr>
                <w:rFonts w:ascii="微軟正黑體" w:eastAsia="微軟正黑體" w:hAnsi="微軟正黑體" w:cs="新細明體"/>
                <w:sz w:val="20"/>
                <w:szCs w:val="20"/>
              </w:rPr>
            </w:pPr>
            <w:r w:rsidRPr="00725755">
              <w:rPr>
                <w:rFonts w:ascii="微軟正黑體" w:eastAsia="微軟正黑體" w:hAnsi="微軟正黑體" w:cs="新細明體" w:hint="eastAsia"/>
                <w:sz w:val="20"/>
                <w:szCs w:val="20"/>
              </w:rPr>
              <w:t>(千人)</w:t>
            </w:r>
          </w:p>
        </w:tc>
        <w:tc>
          <w:tcPr>
            <w:tcW w:w="992" w:type="dxa"/>
            <w:shd w:val="clear" w:color="000000" w:fill="FDE9D9"/>
            <w:noWrap/>
            <w:vAlign w:val="center"/>
            <w:hideMark/>
          </w:tcPr>
          <w:p w:rsidR="00FB2640" w:rsidRPr="00725755" w:rsidRDefault="00FB2640" w:rsidP="008F1977">
            <w:pPr>
              <w:widowControl/>
              <w:spacing w:line="240" w:lineRule="exact"/>
              <w:jc w:val="center"/>
              <w:rPr>
                <w:rFonts w:ascii="微軟正黑體" w:eastAsia="微軟正黑體" w:hAnsi="微軟正黑體" w:cs="新細明體"/>
                <w:sz w:val="22"/>
                <w:szCs w:val="22"/>
              </w:rPr>
            </w:pPr>
            <w:r w:rsidRPr="00725755">
              <w:rPr>
                <w:rFonts w:ascii="微軟正黑體" w:eastAsia="微軟正黑體" w:hAnsi="微軟正黑體" w:cs="新細明體" w:hint="eastAsia"/>
                <w:sz w:val="22"/>
                <w:szCs w:val="22"/>
              </w:rPr>
              <w:t>金額</w:t>
            </w:r>
          </w:p>
          <w:p w:rsidR="00FB2640" w:rsidRPr="00725755" w:rsidRDefault="00FB2640" w:rsidP="008F1977">
            <w:pPr>
              <w:widowControl/>
              <w:spacing w:line="240" w:lineRule="exact"/>
              <w:jc w:val="center"/>
              <w:rPr>
                <w:rFonts w:ascii="微軟正黑體" w:eastAsia="微軟正黑體" w:hAnsi="微軟正黑體" w:cs="新細明體"/>
                <w:sz w:val="20"/>
                <w:szCs w:val="20"/>
              </w:rPr>
            </w:pPr>
            <w:r w:rsidRPr="00725755">
              <w:rPr>
                <w:rFonts w:ascii="微軟正黑體" w:eastAsia="微軟正黑體" w:hAnsi="微軟正黑體" w:cs="新細明體" w:hint="eastAsia"/>
                <w:sz w:val="20"/>
                <w:szCs w:val="20"/>
              </w:rPr>
              <w:t>(億元)</w:t>
            </w:r>
          </w:p>
        </w:tc>
      </w:tr>
      <w:tr w:rsidR="00FB2640" w:rsidRPr="00F0717A" w:rsidTr="008F1977">
        <w:trPr>
          <w:trHeight w:val="454"/>
        </w:trPr>
        <w:tc>
          <w:tcPr>
            <w:tcW w:w="866" w:type="dxa"/>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100年</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85.3</w:t>
            </w:r>
          </w:p>
        </w:tc>
        <w:tc>
          <w:tcPr>
            <w:tcW w:w="993"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772.8</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66.0</w:t>
            </w:r>
          </w:p>
        </w:tc>
        <w:tc>
          <w:tcPr>
            <w:tcW w:w="993"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748.3</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18.5</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17.6</w:t>
            </w:r>
          </w:p>
        </w:tc>
        <w:tc>
          <w:tcPr>
            <w:tcW w:w="709"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0.8</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6.9</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188.7</w:t>
            </w:r>
          </w:p>
        </w:tc>
        <w:tc>
          <w:tcPr>
            <w:tcW w:w="992"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259.1</w:t>
            </w:r>
          </w:p>
        </w:tc>
      </w:tr>
      <w:tr w:rsidR="00FB2640" w:rsidRPr="00F0717A" w:rsidTr="008F1977">
        <w:trPr>
          <w:trHeight w:val="454"/>
        </w:trPr>
        <w:tc>
          <w:tcPr>
            <w:tcW w:w="866" w:type="dxa"/>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101年</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157.8</w:t>
            </w:r>
          </w:p>
        </w:tc>
        <w:tc>
          <w:tcPr>
            <w:tcW w:w="993"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1,767.7</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136.2</w:t>
            </w:r>
          </w:p>
        </w:tc>
        <w:tc>
          <w:tcPr>
            <w:tcW w:w="993"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1,736.1</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20.3</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20.5</w:t>
            </w:r>
          </w:p>
        </w:tc>
        <w:tc>
          <w:tcPr>
            <w:tcW w:w="709"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1.3</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11.1</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319.0</w:t>
            </w:r>
          </w:p>
        </w:tc>
        <w:tc>
          <w:tcPr>
            <w:tcW w:w="992"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427.6</w:t>
            </w:r>
          </w:p>
        </w:tc>
      </w:tr>
      <w:tr w:rsidR="00FB2640" w:rsidRPr="00F0717A" w:rsidTr="008F1977">
        <w:trPr>
          <w:trHeight w:val="454"/>
        </w:trPr>
        <w:tc>
          <w:tcPr>
            <w:tcW w:w="866" w:type="dxa"/>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102年</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144.8</w:t>
            </w:r>
          </w:p>
        </w:tc>
        <w:tc>
          <w:tcPr>
            <w:tcW w:w="993"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1,588.8</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123.8</w:t>
            </w:r>
          </w:p>
        </w:tc>
        <w:tc>
          <w:tcPr>
            <w:tcW w:w="993"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1,548.9</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18.9</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21.2</w:t>
            </w:r>
          </w:p>
        </w:tc>
        <w:tc>
          <w:tcPr>
            <w:tcW w:w="709"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2.0</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18.7</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497.4</w:t>
            </w:r>
          </w:p>
        </w:tc>
        <w:tc>
          <w:tcPr>
            <w:tcW w:w="992"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802.4</w:t>
            </w:r>
          </w:p>
        </w:tc>
      </w:tr>
      <w:tr w:rsidR="00FB2640" w:rsidRPr="00F0717A" w:rsidTr="008F1977">
        <w:trPr>
          <w:trHeight w:val="454"/>
        </w:trPr>
        <w:tc>
          <w:tcPr>
            <w:tcW w:w="866" w:type="dxa"/>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103年</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97.5</w:t>
            </w:r>
          </w:p>
        </w:tc>
        <w:tc>
          <w:tcPr>
            <w:tcW w:w="993"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1,001.5</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76.7</w:t>
            </w:r>
          </w:p>
        </w:tc>
        <w:tc>
          <w:tcPr>
            <w:tcW w:w="993"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956.6</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18.0</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20.2</w:t>
            </w:r>
          </w:p>
        </w:tc>
        <w:tc>
          <w:tcPr>
            <w:tcW w:w="709"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2.7</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24.7</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615.0</w:t>
            </w:r>
          </w:p>
        </w:tc>
        <w:tc>
          <w:tcPr>
            <w:tcW w:w="992"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1,053.8</w:t>
            </w:r>
          </w:p>
        </w:tc>
      </w:tr>
      <w:tr w:rsidR="00FB2640" w:rsidRPr="00F0717A" w:rsidTr="008F1977">
        <w:trPr>
          <w:trHeight w:val="454"/>
        </w:trPr>
        <w:tc>
          <w:tcPr>
            <w:tcW w:w="866" w:type="dxa"/>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104年</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102.9</w:t>
            </w:r>
          </w:p>
        </w:tc>
        <w:tc>
          <w:tcPr>
            <w:tcW w:w="993"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1,065.9</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79.2</w:t>
            </w:r>
          </w:p>
        </w:tc>
        <w:tc>
          <w:tcPr>
            <w:tcW w:w="993"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1,014.0</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20.3</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22.9</w:t>
            </w:r>
          </w:p>
        </w:tc>
        <w:tc>
          <w:tcPr>
            <w:tcW w:w="709"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3.4</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29.0</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731.4</w:t>
            </w:r>
          </w:p>
        </w:tc>
        <w:tc>
          <w:tcPr>
            <w:tcW w:w="992"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1,308.4</w:t>
            </w:r>
          </w:p>
        </w:tc>
      </w:tr>
      <w:tr w:rsidR="00FB2640" w:rsidRPr="00F0717A" w:rsidTr="008F1977">
        <w:trPr>
          <w:trHeight w:val="454"/>
        </w:trPr>
        <w:tc>
          <w:tcPr>
            <w:tcW w:w="866" w:type="dxa"/>
            <w:shd w:val="clear" w:color="auto" w:fill="auto"/>
            <w:noWrap/>
            <w:vAlign w:val="center"/>
            <w:hideMark/>
          </w:tcPr>
          <w:p w:rsidR="00FB2640" w:rsidRPr="00F0717A" w:rsidRDefault="00FB2640" w:rsidP="008F1977">
            <w:pPr>
              <w:widowControl/>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105年</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114.5</w:t>
            </w:r>
          </w:p>
        </w:tc>
        <w:tc>
          <w:tcPr>
            <w:tcW w:w="993"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1,196.4</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87.2</w:t>
            </w:r>
          </w:p>
        </w:tc>
        <w:tc>
          <w:tcPr>
            <w:tcW w:w="993"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1,138.3</w:t>
            </w:r>
          </w:p>
        </w:tc>
        <w:tc>
          <w:tcPr>
            <w:tcW w:w="708"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23.5</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26.3</w:t>
            </w:r>
          </w:p>
        </w:tc>
        <w:tc>
          <w:tcPr>
            <w:tcW w:w="709" w:type="dxa"/>
            <w:shd w:val="clear" w:color="auto" w:fill="auto"/>
            <w:noWrap/>
            <w:vAlign w:val="center"/>
            <w:hideMark/>
          </w:tcPr>
          <w:p w:rsidR="00FB2640" w:rsidRPr="00F0717A" w:rsidRDefault="00FB2640" w:rsidP="008F1977">
            <w:pPr>
              <w:widowControl/>
              <w:spacing w:line="36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3.8</w:t>
            </w:r>
          </w:p>
        </w:tc>
        <w:tc>
          <w:tcPr>
            <w:tcW w:w="709" w:type="dxa"/>
            <w:shd w:val="clear" w:color="auto" w:fill="auto"/>
            <w:noWrap/>
            <w:vAlign w:val="center"/>
            <w:hideMark/>
          </w:tcPr>
          <w:p w:rsidR="00FB2640" w:rsidRPr="00F0717A" w:rsidRDefault="00FB2640" w:rsidP="008F1977">
            <w:pPr>
              <w:spacing w:line="36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31.7</w:t>
            </w:r>
          </w:p>
        </w:tc>
        <w:tc>
          <w:tcPr>
            <w:tcW w:w="850" w:type="dxa"/>
            <w:shd w:val="clear" w:color="000000" w:fill="FDE9D9"/>
            <w:noWrap/>
            <w:vAlign w:val="center"/>
            <w:hideMark/>
          </w:tcPr>
          <w:p w:rsidR="00FB2640" w:rsidRPr="00725755" w:rsidRDefault="00FB2640" w:rsidP="008F1977">
            <w:pPr>
              <w:widowControl/>
              <w:spacing w:line="360" w:lineRule="exact"/>
              <w:jc w:val="right"/>
              <w:rPr>
                <w:rFonts w:ascii="微軟正黑體" w:eastAsia="微軟正黑體" w:hAnsi="微軟正黑體"/>
                <w:sz w:val="22"/>
                <w:szCs w:val="22"/>
              </w:rPr>
            </w:pPr>
            <w:r w:rsidRPr="00725755">
              <w:rPr>
                <w:rFonts w:ascii="微軟正黑體" w:eastAsia="微軟正黑體" w:hAnsi="微軟正黑體"/>
                <w:sz w:val="22"/>
                <w:szCs w:val="22"/>
              </w:rPr>
              <w:t>884.5</w:t>
            </w:r>
          </w:p>
        </w:tc>
        <w:tc>
          <w:tcPr>
            <w:tcW w:w="992" w:type="dxa"/>
            <w:shd w:val="clear" w:color="000000" w:fill="FDE9D9"/>
            <w:noWrap/>
            <w:vAlign w:val="center"/>
            <w:hideMark/>
          </w:tcPr>
          <w:p w:rsidR="00FB2640" w:rsidRPr="00725755" w:rsidRDefault="00FB2640" w:rsidP="008F1977">
            <w:pPr>
              <w:spacing w:line="360" w:lineRule="exact"/>
              <w:jc w:val="right"/>
              <w:rPr>
                <w:rFonts w:ascii="微軟正黑體" w:eastAsia="微軟正黑體" w:hAnsi="微軟正黑體" w:cs="新細明體"/>
                <w:sz w:val="22"/>
                <w:szCs w:val="22"/>
              </w:rPr>
            </w:pPr>
            <w:r w:rsidRPr="00725755">
              <w:rPr>
                <w:rFonts w:ascii="微軟正黑體" w:eastAsia="微軟正黑體" w:hAnsi="微軟正黑體" w:hint="eastAsia"/>
                <w:sz w:val="22"/>
                <w:szCs w:val="22"/>
              </w:rPr>
              <w:t>1,605.2</w:t>
            </w:r>
          </w:p>
        </w:tc>
      </w:tr>
      <w:tr w:rsidR="00FB2640" w:rsidRPr="00F0717A" w:rsidTr="008F1977">
        <w:trPr>
          <w:trHeight w:val="454"/>
        </w:trPr>
        <w:tc>
          <w:tcPr>
            <w:tcW w:w="866" w:type="dxa"/>
            <w:shd w:val="clear" w:color="auto" w:fill="auto"/>
            <w:noWrap/>
            <w:vAlign w:val="center"/>
          </w:tcPr>
          <w:p w:rsidR="00FB2640" w:rsidRPr="00F0717A" w:rsidRDefault="00FB2640" w:rsidP="008F1977">
            <w:pPr>
              <w:widowControl/>
              <w:spacing w:line="36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106年</w:t>
            </w:r>
          </w:p>
        </w:tc>
        <w:tc>
          <w:tcPr>
            <w:tcW w:w="850" w:type="dxa"/>
            <w:shd w:val="clear" w:color="000000" w:fill="FDE9D9"/>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135.0</w:t>
            </w:r>
          </w:p>
        </w:tc>
        <w:tc>
          <w:tcPr>
            <w:tcW w:w="993" w:type="dxa"/>
            <w:shd w:val="clear" w:color="000000" w:fill="FDE9D9"/>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1,468.8</w:t>
            </w:r>
          </w:p>
        </w:tc>
        <w:tc>
          <w:tcPr>
            <w:tcW w:w="708" w:type="dxa"/>
            <w:shd w:val="clear" w:color="auto" w:fill="auto"/>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103.6</w:t>
            </w:r>
          </w:p>
        </w:tc>
        <w:tc>
          <w:tcPr>
            <w:tcW w:w="993" w:type="dxa"/>
            <w:shd w:val="clear" w:color="auto" w:fill="auto"/>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1,401.8</w:t>
            </w:r>
          </w:p>
        </w:tc>
        <w:tc>
          <w:tcPr>
            <w:tcW w:w="708" w:type="dxa"/>
            <w:shd w:val="clear" w:color="auto" w:fill="auto"/>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27.1</w:t>
            </w:r>
          </w:p>
        </w:tc>
        <w:tc>
          <w:tcPr>
            <w:tcW w:w="709" w:type="dxa"/>
            <w:shd w:val="clear" w:color="auto" w:fill="auto"/>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31.2</w:t>
            </w:r>
          </w:p>
        </w:tc>
        <w:tc>
          <w:tcPr>
            <w:tcW w:w="709" w:type="dxa"/>
            <w:shd w:val="clear" w:color="auto" w:fill="auto"/>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4.3</w:t>
            </w:r>
          </w:p>
        </w:tc>
        <w:tc>
          <w:tcPr>
            <w:tcW w:w="709" w:type="dxa"/>
            <w:shd w:val="clear" w:color="auto" w:fill="auto"/>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35.8</w:t>
            </w:r>
          </w:p>
        </w:tc>
        <w:tc>
          <w:tcPr>
            <w:tcW w:w="850" w:type="dxa"/>
            <w:shd w:val="clear" w:color="000000" w:fill="FDE9D9"/>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1,041.9</w:t>
            </w:r>
          </w:p>
        </w:tc>
        <w:tc>
          <w:tcPr>
            <w:tcW w:w="992" w:type="dxa"/>
            <w:shd w:val="clear" w:color="000000" w:fill="FDE9D9"/>
            <w:noWrap/>
            <w:vAlign w:val="center"/>
          </w:tcPr>
          <w:p w:rsidR="00FB2640" w:rsidRPr="00541696" w:rsidRDefault="00FB2640" w:rsidP="008F1977">
            <w:pPr>
              <w:spacing w:line="360" w:lineRule="exact"/>
              <w:jc w:val="right"/>
              <w:rPr>
                <w:rFonts w:ascii="微軟正黑體" w:eastAsia="微軟正黑體" w:hAnsi="微軟正黑體"/>
                <w:sz w:val="22"/>
                <w:szCs w:val="22"/>
              </w:rPr>
            </w:pPr>
            <w:r w:rsidRPr="00541696">
              <w:rPr>
                <w:rFonts w:ascii="微軟正黑體" w:eastAsia="微軟正黑體" w:hAnsi="微軟正黑體"/>
                <w:sz w:val="22"/>
                <w:szCs w:val="22"/>
              </w:rPr>
              <w:t>1,971.2</w:t>
            </w:r>
          </w:p>
        </w:tc>
      </w:tr>
      <w:tr w:rsidR="00FB2640" w:rsidRPr="00E310E4" w:rsidTr="008F1977">
        <w:trPr>
          <w:trHeight w:val="454"/>
        </w:trPr>
        <w:tc>
          <w:tcPr>
            <w:tcW w:w="866" w:type="dxa"/>
            <w:shd w:val="clear" w:color="auto" w:fill="auto"/>
            <w:noWrap/>
            <w:vAlign w:val="center"/>
          </w:tcPr>
          <w:p w:rsidR="00FB2640" w:rsidRPr="00E310E4" w:rsidRDefault="00FB2640" w:rsidP="008F1977">
            <w:pPr>
              <w:widowControl/>
              <w:spacing w:line="360" w:lineRule="exact"/>
              <w:jc w:val="center"/>
              <w:rPr>
                <w:rFonts w:ascii="微軟正黑體" w:eastAsia="微軟正黑體" w:hAnsi="微軟正黑體" w:cs="新細明體"/>
                <w:sz w:val="22"/>
                <w:szCs w:val="22"/>
              </w:rPr>
            </w:pPr>
            <w:r w:rsidRPr="00E310E4">
              <w:rPr>
                <w:rFonts w:ascii="微軟正黑體" w:eastAsia="微軟正黑體" w:hAnsi="微軟正黑體" w:cs="新細明體" w:hint="eastAsia"/>
                <w:sz w:val="22"/>
                <w:szCs w:val="22"/>
              </w:rPr>
              <w:t>107年</w:t>
            </w:r>
          </w:p>
        </w:tc>
        <w:tc>
          <w:tcPr>
            <w:tcW w:w="850" w:type="dxa"/>
            <w:shd w:val="clear" w:color="000000" w:fill="FDE9D9"/>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108.9</w:t>
            </w:r>
          </w:p>
        </w:tc>
        <w:tc>
          <w:tcPr>
            <w:tcW w:w="993" w:type="dxa"/>
            <w:shd w:val="clear" w:color="000000" w:fill="FDE9D9"/>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1,213.2</w:t>
            </w:r>
          </w:p>
        </w:tc>
        <w:tc>
          <w:tcPr>
            <w:tcW w:w="708" w:type="dxa"/>
            <w:shd w:val="clear" w:color="auto" w:fill="auto"/>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85.7</w:t>
            </w:r>
          </w:p>
        </w:tc>
        <w:tc>
          <w:tcPr>
            <w:tcW w:w="993" w:type="dxa"/>
            <w:shd w:val="clear" w:color="auto" w:fill="auto"/>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1,156.7</w:t>
            </w:r>
          </w:p>
        </w:tc>
        <w:tc>
          <w:tcPr>
            <w:tcW w:w="708" w:type="dxa"/>
            <w:shd w:val="clear" w:color="auto" w:fill="auto"/>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18.4</w:t>
            </w:r>
          </w:p>
        </w:tc>
        <w:tc>
          <w:tcPr>
            <w:tcW w:w="709" w:type="dxa"/>
            <w:shd w:val="clear" w:color="auto" w:fill="auto"/>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18.2</w:t>
            </w:r>
          </w:p>
        </w:tc>
        <w:tc>
          <w:tcPr>
            <w:tcW w:w="709" w:type="dxa"/>
            <w:shd w:val="clear" w:color="auto" w:fill="auto"/>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4.8</w:t>
            </w:r>
          </w:p>
        </w:tc>
        <w:tc>
          <w:tcPr>
            <w:tcW w:w="709" w:type="dxa"/>
            <w:shd w:val="clear" w:color="auto" w:fill="auto"/>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38.4</w:t>
            </w:r>
          </w:p>
        </w:tc>
        <w:tc>
          <w:tcPr>
            <w:tcW w:w="850" w:type="dxa"/>
            <w:shd w:val="clear" w:color="000000" w:fill="FDE9D9"/>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1,165.8</w:t>
            </w:r>
          </w:p>
        </w:tc>
        <w:tc>
          <w:tcPr>
            <w:tcW w:w="992" w:type="dxa"/>
            <w:shd w:val="clear" w:color="000000" w:fill="FDE9D9"/>
            <w:noWrap/>
            <w:vAlign w:val="center"/>
          </w:tcPr>
          <w:p w:rsidR="00FB2640" w:rsidRPr="00E310E4" w:rsidRDefault="00FB2640" w:rsidP="008F1977">
            <w:pPr>
              <w:spacing w:line="360" w:lineRule="exact"/>
              <w:jc w:val="right"/>
              <w:rPr>
                <w:rFonts w:ascii="微軟正黑體" w:eastAsia="微軟正黑體" w:hAnsi="微軟正黑體" w:cs="新細明體"/>
                <w:color w:val="000000"/>
                <w:sz w:val="22"/>
                <w:szCs w:val="22"/>
              </w:rPr>
            </w:pPr>
            <w:r w:rsidRPr="00E310E4">
              <w:rPr>
                <w:rFonts w:ascii="微軟正黑體" w:eastAsia="微軟正黑體" w:hAnsi="微軟正黑體" w:hint="eastAsia"/>
                <w:color w:val="000000"/>
                <w:sz w:val="22"/>
                <w:szCs w:val="22"/>
              </w:rPr>
              <w:t>2,276.0</w:t>
            </w:r>
          </w:p>
        </w:tc>
      </w:tr>
      <w:tr w:rsidR="00FB2640" w:rsidRPr="00E310E4" w:rsidTr="008F1977">
        <w:trPr>
          <w:trHeight w:val="454"/>
        </w:trPr>
        <w:tc>
          <w:tcPr>
            <w:tcW w:w="866" w:type="dxa"/>
            <w:shd w:val="clear" w:color="auto" w:fill="auto"/>
            <w:noWrap/>
            <w:vAlign w:val="center"/>
          </w:tcPr>
          <w:p w:rsidR="00FB2640" w:rsidRPr="00E310E4" w:rsidRDefault="00FB2640" w:rsidP="008F1977">
            <w:pPr>
              <w:widowControl/>
              <w:spacing w:line="36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1</w:t>
            </w:r>
            <w:r>
              <w:rPr>
                <w:rFonts w:ascii="微軟正黑體" w:eastAsia="微軟正黑體" w:hAnsi="微軟正黑體" w:cs="新細明體"/>
                <w:sz w:val="22"/>
                <w:szCs w:val="22"/>
              </w:rPr>
              <w:t>08</w:t>
            </w:r>
            <w:r>
              <w:rPr>
                <w:rFonts w:ascii="微軟正黑體" w:eastAsia="微軟正黑體" w:hAnsi="微軟正黑體" w:cs="新細明體" w:hint="eastAsia"/>
                <w:sz w:val="22"/>
                <w:szCs w:val="22"/>
              </w:rPr>
              <w:t>年</w:t>
            </w:r>
          </w:p>
        </w:tc>
        <w:tc>
          <w:tcPr>
            <w:tcW w:w="850" w:type="dxa"/>
            <w:shd w:val="clear" w:color="000000" w:fill="FDE9D9"/>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110.7 </w:t>
            </w:r>
          </w:p>
        </w:tc>
        <w:tc>
          <w:tcPr>
            <w:tcW w:w="993" w:type="dxa"/>
            <w:shd w:val="clear" w:color="000000" w:fill="FDE9D9"/>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1,178.6 </w:t>
            </w:r>
          </w:p>
        </w:tc>
        <w:tc>
          <w:tcPr>
            <w:tcW w:w="708"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81.9 </w:t>
            </w:r>
          </w:p>
        </w:tc>
        <w:tc>
          <w:tcPr>
            <w:tcW w:w="993"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1,114.2 </w:t>
            </w:r>
          </w:p>
        </w:tc>
        <w:tc>
          <w:tcPr>
            <w:tcW w:w="708"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23.8 </w:t>
            </w:r>
          </w:p>
        </w:tc>
        <w:tc>
          <w:tcPr>
            <w:tcW w:w="709"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26.6 </w:t>
            </w:r>
          </w:p>
        </w:tc>
        <w:tc>
          <w:tcPr>
            <w:tcW w:w="709"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5.0 </w:t>
            </w:r>
          </w:p>
        </w:tc>
        <w:tc>
          <w:tcPr>
            <w:tcW w:w="709"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37.8 </w:t>
            </w:r>
          </w:p>
        </w:tc>
        <w:tc>
          <w:tcPr>
            <w:tcW w:w="850" w:type="dxa"/>
            <w:shd w:val="clear" w:color="000000" w:fill="FDE9D9"/>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1,273.4 </w:t>
            </w:r>
          </w:p>
        </w:tc>
        <w:tc>
          <w:tcPr>
            <w:tcW w:w="992" w:type="dxa"/>
            <w:shd w:val="clear" w:color="000000" w:fill="FDE9D9"/>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2,552.9 </w:t>
            </w:r>
          </w:p>
        </w:tc>
      </w:tr>
      <w:tr w:rsidR="00FB2640" w:rsidRPr="00E310E4" w:rsidTr="008F1977">
        <w:trPr>
          <w:trHeight w:val="454"/>
        </w:trPr>
        <w:tc>
          <w:tcPr>
            <w:tcW w:w="866" w:type="dxa"/>
            <w:shd w:val="clear" w:color="auto" w:fill="auto"/>
            <w:noWrap/>
            <w:vAlign w:val="center"/>
          </w:tcPr>
          <w:p w:rsidR="00FB2640" w:rsidRPr="00E310E4" w:rsidRDefault="00FB2640" w:rsidP="008F1977">
            <w:pPr>
              <w:widowControl/>
              <w:spacing w:line="36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1</w:t>
            </w:r>
            <w:r>
              <w:rPr>
                <w:rFonts w:ascii="微軟正黑體" w:eastAsia="微軟正黑體" w:hAnsi="微軟正黑體" w:cs="新細明體"/>
                <w:sz w:val="22"/>
                <w:szCs w:val="22"/>
              </w:rPr>
              <w:t>09</w:t>
            </w:r>
            <w:r>
              <w:rPr>
                <w:rFonts w:ascii="微軟正黑體" w:eastAsia="微軟正黑體" w:hAnsi="微軟正黑體" w:cs="新細明體" w:hint="eastAsia"/>
                <w:sz w:val="22"/>
                <w:szCs w:val="22"/>
              </w:rPr>
              <w:t>年</w:t>
            </w:r>
          </w:p>
        </w:tc>
        <w:tc>
          <w:tcPr>
            <w:tcW w:w="850" w:type="dxa"/>
            <w:shd w:val="clear" w:color="000000" w:fill="FDE9D9"/>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105.9 </w:t>
            </w:r>
          </w:p>
        </w:tc>
        <w:tc>
          <w:tcPr>
            <w:tcW w:w="993" w:type="dxa"/>
            <w:shd w:val="clear" w:color="000000" w:fill="FDE9D9"/>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1,233.3 </w:t>
            </w:r>
          </w:p>
        </w:tc>
        <w:tc>
          <w:tcPr>
            <w:tcW w:w="708"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84.2 </w:t>
            </w:r>
          </w:p>
        </w:tc>
        <w:tc>
          <w:tcPr>
            <w:tcW w:w="993"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1,181.5 </w:t>
            </w:r>
          </w:p>
        </w:tc>
        <w:tc>
          <w:tcPr>
            <w:tcW w:w="708"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16.8 </w:t>
            </w:r>
          </w:p>
        </w:tc>
        <w:tc>
          <w:tcPr>
            <w:tcW w:w="709"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16.0 </w:t>
            </w:r>
          </w:p>
        </w:tc>
        <w:tc>
          <w:tcPr>
            <w:tcW w:w="709"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4.8 </w:t>
            </w:r>
          </w:p>
        </w:tc>
        <w:tc>
          <w:tcPr>
            <w:tcW w:w="709" w:type="dxa"/>
            <w:shd w:val="clear" w:color="auto" w:fill="auto"/>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35.9 </w:t>
            </w:r>
          </w:p>
        </w:tc>
        <w:tc>
          <w:tcPr>
            <w:tcW w:w="850" w:type="dxa"/>
            <w:shd w:val="clear" w:color="000000" w:fill="FDE9D9"/>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1,397.3 </w:t>
            </w:r>
          </w:p>
        </w:tc>
        <w:tc>
          <w:tcPr>
            <w:tcW w:w="992" w:type="dxa"/>
            <w:shd w:val="clear" w:color="000000" w:fill="FDE9D9"/>
            <w:noWrap/>
            <w:vAlign w:val="center"/>
          </w:tcPr>
          <w:p w:rsidR="00FB2640" w:rsidRPr="00AF75D9" w:rsidRDefault="00FB2640" w:rsidP="008F1977">
            <w:pPr>
              <w:spacing w:line="360" w:lineRule="exact"/>
              <w:jc w:val="right"/>
              <w:rPr>
                <w:rFonts w:ascii="微軟正黑體" w:eastAsia="微軟正黑體" w:hAnsi="微軟正黑體"/>
                <w:sz w:val="22"/>
                <w:szCs w:val="22"/>
              </w:rPr>
            </w:pPr>
            <w:r w:rsidRPr="00AF75D9">
              <w:rPr>
                <w:rFonts w:ascii="微軟正黑體" w:eastAsia="微軟正黑體" w:hAnsi="微軟正黑體"/>
                <w:sz w:val="22"/>
                <w:szCs w:val="22"/>
              </w:rPr>
              <w:t xml:space="preserve">2,825.5 </w:t>
            </w:r>
          </w:p>
        </w:tc>
      </w:tr>
    </w:tbl>
    <w:p w:rsidR="00FB2640" w:rsidRDefault="00FB2640" w:rsidP="00FB2640">
      <w:pPr>
        <w:spacing w:beforeLines="20" w:before="72" w:line="240" w:lineRule="exact"/>
        <w:jc w:val="both"/>
        <w:rPr>
          <w:rFonts w:ascii="微軟正黑體" w:eastAsia="微軟正黑體" w:hAnsi="微軟正黑體"/>
          <w:sz w:val="20"/>
          <w:szCs w:val="20"/>
        </w:rPr>
      </w:pPr>
      <w:r w:rsidRPr="00F0717A">
        <w:rPr>
          <w:rFonts w:ascii="微軟正黑體" w:eastAsia="微軟正黑體" w:hAnsi="微軟正黑體" w:hint="eastAsia"/>
          <w:sz w:val="20"/>
          <w:szCs w:val="20"/>
        </w:rPr>
        <w:t>註：</w:t>
      </w:r>
      <w:r>
        <w:rPr>
          <w:rFonts w:ascii="微軟正黑體" w:eastAsia="微軟正黑體" w:hAnsi="微軟正黑體" w:hint="eastAsia"/>
          <w:sz w:val="20"/>
          <w:szCs w:val="20"/>
        </w:rPr>
        <w:t>一次給付</w:t>
      </w:r>
      <w:r w:rsidRPr="00F0717A">
        <w:rPr>
          <w:rFonts w:ascii="微軟正黑體" w:eastAsia="微軟正黑體" w:hAnsi="微軟正黑體" w:hint="eastAsia"/>
          <w:sz w:val="20"/>
          <w:szCs w:val="20"/>
        </w:rPr>
        <w:t>分為3種給付：</w:t>
      </w:r>
    </w:p>
    <w:p w:rsidR="00FB2640" w:rsidRDefault="00FB2640" w:rsidP="00FB2640">
      <w:pPr>
        <w:spacing w:line="240" w:lineRule="exact"/>
        <w:jc w:val="both"/>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F0717A">
        <w:rPr>
          <w:rFonts w:ascii="微軟正黑體" w:eastAsia="微軟正黑體" w:hAnsi="微軟正黑體" w:hint="eastAsia"/>
          <w:sz w:val="20"/>
          <w:szCs w:val="20"/>
        </w:rPr>
        <w:t>1.「一次請領老年給付」係指被保險人於98年1月1日勞保年金制度施行前有保險年資者得請領之</w:t>
      </w:r>
      <w:r>
        <w:rPr>
          <w:rFonts w:ascii="微軟正黑體" w:eastAsia="微軟正黑體" w:hAnsi="微軟正黑體" w:hint="eastAsia"/>
          <w:sz w:val="20"/>
          <w:szCs w:val="20"/>
        </w:rPr>
        <w:t>。</w:t>
      </w:r>
    </w:p>
    <w:p w:rsidR="00FB2640" w:rsidRDefault="00FB2640" w:rsidP="00FB2640">
      <w:pPr>
        <w:spacing w:line="240" w:lineRule="exact"/>
        <w:ind w:left="560" w:hangingChars="280" w:hanging="560"/>
        <w:jc w:val="both"/>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F0717A">
        <w:rPr>
          <w:rFonts w:ascii="微軟正黑體" w:eastAsia="微軟正黑體" w:hAnsi="微軟正黑體" w:hint="eastAsia"/>
          <w:sz w:val="20"/>
          <w:szCs w:val="20"/>
        </w:rPr>
        <w:t>2.「老年一次金」係指符合法定請領年齡(98至106年為年滿60歲</w:t>
      </w:r>
      <w:r>
        <w:rPr>
          <w:rFonts w:ascii="微軟正黑體" w:eastAsia="微軟正黑體" w:hAnsi="微軟正黑體" w:hint="eastAsia"/>
          <w:sz w:val="20"/>
          <w:szCs w:val="20"/>
        </w:rPr>
        <w:t>；</w:t>
      </w:r>
      <w:r w:rsidRPr="006A0BD6">
        <w:rPr>
          <w:rFonts w:ascii="微軟正黑體" w:eastAsia="微軟正黑體" w:hAnsi="微軟正黑體" w:hint="eastAsia"/>
          <w:sz w:val="20"/>
          <w:szCs w:val="20"/>
        </w:rPr>
        <w:t>107至108年為年滿61歲、109至110年為年滿62歲</w:t>
      </w:r>
      <w:r>
        <w:rPr>
          <w:rFonts w:ascii="微軟正黑體" w:eastAsia="微軟正黑體" w:hAnsi="微軟正黑體" w:hint="eastAsia"/>
          <w:sz w:val="20"/>
          <w:szCs w:val="20"/>
        </w:rPr>
        <w:t>、</w:t>
      </w:r>
      <w:r w:rsidRPr="003075D0">
        <w:rPr>
          <w:rFonts w:ascii="微軟正黑體" w:eastAsia="微軟正黑體" w:hAnsi="微軟正黑體" w:hint="eastAsia"/>
          <w:sz w:val="20"/>
          <w:szCs w:val="20"/>
        </w:rPr>
        <w:t>111</w:t>
      </w:r>
      <w:r w:rsidR="006E668E" w:rsidRPr="00CB0F31">
        <w:rPr>
          <w:rFonts w:ascii="微軟正黑體" w:eastAsia="微軟正黑體" w:hAnsi="微軟正黑體" w:hint="eastAsia"/>
          <w:sz w:val="20"/>
          <w:szCs w:val="20"/>
        </w:rPr>
        <w:t>至112</w:t>
      </w:r>
      <w:r w:rsidRPr="003075D0">
        <w:rPr>
          <w:rFonts w:ascii="微軟正黑體" w:eastAsia="微軟正黑體" w:hAnsi="微軟正黑體" w:hint="eastAsia"/>
          <w:sz w:val="20"/>
          <w:szCs w:val="20"/>
        </w:rPr>
        <w:t>年</w:t>
      </w:r>
      <w:r w:rsidRPr="006A0BD6">
        <w:rPr>
          <w:rFonts w:ascii="微軟正黑體" w:eastAsia="微軟正黑體" w:hAnsi="微軟正黑體" w:hint="eastAsia"/>
          <w:sz w:val="20"/>
          <w:szCs w:val="20"/>
        </w:rPr>
        <w:t>為年滿</w:t>
      </w:r>
      <w:r w:rsidRPr="003075D0">
        <w:rPr>
          <w:rFonts w:ascii="微軟正黑體" w:eastAsia="微軟正黑體" w:hAnsi="微軟正黑體" w:hint="eastAsia"/>
          <w:sz w:val="20"/>
          <w:szCs w:val="20"/>
        </w:rPr>
        <w:t>63歲，113</w:t>
      </w:r>
      <w:r w:rsidR="006E668E" w:rsidRPr="00CB0F31">
        <w:rPr>
          <w:rFonts w:ascii="微軟正黑體" w:eastAsia="微軟正黑體" w:hAnsi="微軟正黑體" w:hint="eastAsia"/>
          <w:sz w:val="20"/>
          <w:szCs w:val="20"/>
        </w:rPr>
        <w:t>至114</w:t>
      </w:r>
      <w:r w:rsidRPr="003075D0">
        <w:rPr>
          <w:rFonts w:ascii="微軟正黑體" w:eastAsia="微軟正黑體" w:hAnsi="微軟正黑體" w:hint="eastAsia"/>
          <w:sz w:val="20"/>
          <w:szCs w:val="20"/>
        </w:rPr>
        <w:t>年</w:t>
      </w:r>
      <w:r w:rsidRPr="006A0BD6">
        <w:rPr>
          <w:rFonts w:ascii="微軟正黑體" w:eastAsia="微軟正黑體" w:hAnsi="微軟正黑體" w:hint="eastAsia"/>
          <w:sz w:val="20"/>
          <w:szCs w:val="20"/>
        </w:rPr>
        <w:t>為年滿</w:t>
      </w:r>
      <w:r w:rsidRPr="003075D0">
        <w:rPr>
          <w:rFonts w:ascii="微軟正黑體" w:eastAsia="微軟正黑體" w:hAnsi="微軟正黑體" w:hint="eastAsia"/>
          <w:sz w:val="20"/>
          <w:szCs w:val="20"/>
        </w:rPr>
        <w:t>64歲，115年以後為</w:t>
      </w:r>
      <w:r>
        <w:rPr>
          <w:rFonts w:ascii="微軟正黑體" w:eastAsia="微軟正黑體" w:hAnsi="微軟正黑體" w:hint="eastAsia"/>
          <w:sz w:val="20"/>
          <w:szCs w:val="20"/>
        </w:rPr>
        <w:t>年滿</w:t>
      </w:r>
      <w:r w:rsidRPr="003075D0">
        <w:rPr>
          <w:rFonts w:ascii="微軟正黑體" w:eastAsia="微軟正黑體" w:hAnsi="微軟正黑體" w:hint="eastAsia"/>
          <w:sz w:val="20"/>
          <w:szCs w:val="20"/>
        </w:rPr>
        <w:t>65歲</w:t>
      </w:r>
      <w:r w:rsidRPr="00F0717A">
        <w:rPr>
          <w:rFonts w:ascii="微軟正黑體" w:eastAsia="微軟正黑體" w:hAnsi="微軟正黑體" w:hint="eastAsia"/>
          <w:sz w:val="20"/>
          <w:szCs w:val="20"/>
        </w:rPr>
        <w:t>)，保險年資合計未滿15</w:t>
      </w:r>
      <w:r>
        <w:rPr>
          <w:rFonts w:ascii="微軟正黑體" w:eastAsia="微軟正黑體" w:hAnsi="微軟正黑體" w:hint="eastAsia"/>
          <w:sz w:val="20"/>
          <w:szCs w:val="20"/>
        </w:rPr>
        <w:t>年，並辦理離職退保者得請領之。</w:t>
      </w:r>
    </w:p>
    <w:p w:rsidR="00FB2640" w:rsidRDefault="00FB2640" w:rsidP="00FB2640">
      <w:pPr>
        <w:spacing w:line="240" w:lineRule="exact"/>
        <w:ind w:left="560" w:hangingChars="280" w:hanging="560"/>
        <w:jc w:val="both"/>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F0717A">
        <w:rPr>
          <w:rFonts w:ascii="微軟正黑體" w:eastAsia="微軟正黑體" w:hAnsi="微軟正黑體" w:hint="eastAsia"/>
          <w:sz w:val="20"/>
          <w:szCs w:val="20"/>
        </w:rPr>
        <w:t>3.「老年差額金」係指被保險人於勞保年金施行前</w:t>
      </w:r>
      <w:r w:rsidRPr="00250399">
        <w:rPr>
          <w:rFonts w:ascii="微軟正黑體" w:eastAsia="微軟正黑體" w:hAnsi="微軟正黑體" w:hint="eastAsia"/>
          <w:sz w:val="20"/>
          <w:szCs w:val="20"/>
        </w:rPr>
        <w:t>有勞保年資，退保時符合一次請領老年給付條件，於領取老年年金期間死亡者，遺屬選擇一次請領老年</w:t>
      </w:r>
      <w:r w:rsidRPr="00F0717A">
        <w:rPr>
          <w:rFonts w:ascii="微軟正黑體" w:eastAsia="微軟正黑體" w:hAnsi="微軟正黑體" w:hint="eastAsia"/>
          <w:sz w:val="20"/>
          <w:szCs w:val="20"/>
        </w:rPr>
        <w:t>給付，扣除已領年金給付總額之差額。</w:t>
      </w:r>
    </w:p>
    <w:p w:rsidR="00FB2640" w:rsidRPr="00F0717A" w:rsidRDefault="00FB2640" w:rsidP="00FB2640">
      <w:pPr>
        <w:spacing w:beforeLines="20" w:before="72" w:line="240" w:lineRule="exact"/>
        <w:jc w:val="both"/>
        <w:rPr>
          <w:rFonts w:ascii="微軟正黑體" w:eastAsia="微軟正黑體" w:hAnsi="微軟正黑體"/>
          <w:sz w:val="20"/>
          <w:szCs w:val="20"/>
        </w:rPr>
      </w:pPr>
    </w:p>
    <w:p w:rsidR="00FB2640" w:rsidRPr="000662EB" w:rsidRDefault="00FB2640" w:rsidP="00FB2640">
      <w:pPr>
        <w:pStyle w:val="af0"/>
        <w:numPr>
          <w:ilvl w:val="0"/>
          <w:numId w:val="13"/>
        </w:numPr>
        <w:spacing w:beforeLines="50" w:before="180" w:line="400" w:lineRule="exact"/>
        <w:ind w:leftChars="0" w:left="480" w:hanging="480"/>
        <w:jc w:val="both"/>
        <w:rPr>
          <w:rFonts w:ascii="微軟正黑體" w:eastAsia="微軟正黑體" w:hAnsi="微軟正黑體"/>
        </w:rPr>
      </w:pPr>
      <w:r w:rsidRPr="000662EB">
        <w:rPr>
          <w:rFonts w:ascii="微軟正黑體" w:eastAsia="微軟正黑體" w:hAnsi="微軟正黑體"/>
        </w:rPr>
        <w:t>老年年金給付請領概況</w:t>
      </w:r>
    </w:p>
    <w:p w:rsidR="00FB2640" w:rsidRPr="00F0717A" w:rsidRDefault="00FB2640" w:rsidP="00FB2640">
      <w:pPr>
        <w:spacing w:beforeLines="30" w:before="108" w:line="400" w:lineRule="exact"/>
        <w:ind w:leftChars="236" w:left="566"/>
        <w:jc w:val="both"/>
        <w:rPr>
          <w:rFonts w:ascii="微軟正黑體" w:eastAsia="微軟正黑體" w:hAnsi="微軟正黑體"/>
        </w:rPr>
      </w:pPr>
      <w:r>
        <w:rPr>
          <w:rFonts w:ascii="微軟正黑體" w:eastAsia="微軟正黑體" w:hAnsi="微軟正黑體" w:hint="eastAsia"/>
        </w:rPr>
        <w:t xml:space="preserve">    109年請</w:t>
      </w:r>
      <w:r w:rsidRPr="00F0717A">
        <w:rPr>
          <w:rFonts w:ascii="微軟正黑體" w:eastAsia="微軟正黑體" w:hAnsi="微軟正黑體" w:hint="eastAsia"/>
        </w:rPr>
        <w:t>領老年年金給付者之平均年齡61</w:t>
      </w:r>
      <w:r>
        <w:rPr>
          <w:rFonts w:ascii="微軟正黑體" w:eastAsia="微軟正黑體" w:hAnsi="微軟正黑體" w:hint="eastAsia"/>
        </w:rPr>
        <w:t>.1</w:t>
      </w:r>
      <w:r w:rsidRPr="00F0717A">
        <w:rPr>
          <w:rFonts w:ascii="微軟正黑體" w:eastAsia="微軟正黑體" w:hAnsi="微軟正黑體" w:hint="eastAsia"/>
        </w:rPr>
        <w:t>歲，平均投保年資</w:t>
      </w:r>
      <w:r>
        <w:rPr>
          <w:rFonts w:ascii="微軟正黑體" w:eastAsia="微軟正黑體" w:hAnsi="微軟正黑體" w:hint="eastAsia"/>
        </w:rPr>
        <w:t>29.0</w:t>
      </w:r>
      <w:r w:rsidRPr="00F0717A">
        <w:rPr>
          <w:rFonts w:ascii="微軟正黑體" w:eastAsia="微軟正黑體" w:hAnsi="微軟正黑體" w:hint="eastAsia"/>
        </w:rPr>
        <w:t>年，平均投保薪資3</w:t>
      </w:r>
      <w:r>
        <w:rPr>
          <w:rFonts w:ascii="微軟正黑體" w:eastAsia="微軟正黑體" w:hAnsi="微軟正黑體" w:hint="eastAsia"/>
        </w:rPr>
        <w:t>7</w:t>
      </w:r>
      <w:r w:rsidRPr="00F0717A">
        <w:rPr>
          <w:rFonts w:ascii="微軟正黑體" w:eastAsia="微軟正黑體" w:hAnsi="微軟正黑體" w:hint="eastAsia"/>
        </w:rPr>
        <w:t>,</w:t>
      </w:r>
      <w:r>
        <w:rPr>
          <w:rFonts w:ascii="微軟正黑體" w:eastAsia="微軟正黑體" w:hAnsi="微軟正黑體" w:hint="eastAsia"/>
        </w:rPr>
        <w:t>305</w:t>
      </w:r>
      <w:r w:rsidRPr="00F0717A">
        <w:rPr>
          <w:rFonts w:ascii="微軟正黑體" w:eastAsia="微軟正黑體" w:hAnsi="微軟正黑體" w:hint="eastAsia"/>
        </w:rPr>
        <w:t>元，平均給付金額</w:t>
      </w:r>
      <w:r>
        <w:rPr>
          <w:rFonts w:ascii="微軟正黑體" w:eastAsia="微軟正黑體" w:hAnsi="微軟正黑體" w:hint="eastAsia"/>
        </w:rPr>
        <w:t>17</w:t>
      </w:r>
      <w:r w:rsidRPr="00F0717A">
        <w:rPr>
          <w:rFonts w:ascii="微軟正黑體" w:eastAsia="微軟正黑體" w:hAnsi="微軟正黑體" w:hint="eastAsia"/>
        </w:rPr>
        <w:t>,</w:t>
      </w:r>
      <w:r>
        <w:rPr>
          <w:rFonts w:ascii="微軟正黑體" w:eastAsia="微軟正黑體" w:hAnsi="微軟正黑體" w:hint="eastAsia"/>
        </w:rPr>
        <w:t>651</w:t>
      </w:r>
      <w:r w:rsidRPr="00F0717A">
        <w:rPr>
          <w:rFonts w:ascii="微軟正黑體" w:eastAsia="微軟正黑體" w:hAnsi="微軟正黑體" w:hint="eastAsia"/>
        </w:rPr>
        <w:t>元。</w:t>
      </w:r>
    </w:p>
    <w:p w:rsidR="00FB2640" w:rsidRPr="00F0717A" w:rsidRDefault="00FB2640" w:rsidP="00FB2640">
      <w:pPr>
        <w:spacing w:beforeLines="30" w:before="108" w:line="400" w:lineRule="exact"/>
        <w:ind w:leftChars="236" w:left="566"/>
        <w:jc w:val="both"/>
        <w:rPr>
          <w:rFonts w:ascii="微軟正黑體" w:eastAsia="微軟正黑體" w:hAnsi="微軟正黑體"/>
        </w:rPr>
      </w:pPr>
      <w:r w:rsidRPr="00F0717A">
        <w:rPr>
          <w:rFonts w:ascii="微軟正黑體" w:eastAsia="微軟正黑體" w:hAnsi="微軟正黑體" w:hint="eastAsia"/>
        </w:rPr>
        <w:t xml:space="preserve">    觀察近</w:t>
      </w:r>
      <w:r>
        <w:rPr>
          <w:rFonts w:ascii="微軟正黑體" w:eastAsia="微軟正黑體" w:hAnsi="微軟正黑體" w:hint="eastAsia"/>
        </w:rPr>
        <w:t>10</w:t>
      </w:r>
      <w:r w:rsidRPr="00F0717A">
        <w:rPr>
          <w:rFonts w:ascii="微軟正黑體" w:eastAsia="微軟正黑體" w:hAnsi="微軟正黑體" w:hint="eastAsia"/>
        </w:rPr>
        <w:t>年變動趨勢，</w:t>
      </w:r>
      <w:r>
        <w:rPr>
          <w:rFonts w:ascii="微軟正黑體" w:eastAsia="微軟正黑體" w:hAnsi="微軟正黑體" w:hint="eastAsia"/>
        </w:rPr>
        <w:t>自100年起</w:t>
      </w:r>
      <w:r w:rsidRPr="00F0717A">
        <w:rPr>
          <w:rFonts w:ascii="微軟正黑體" w:eastAsia="微軟正黑體" w:hAnsi="微軟正黑體" w:hint="eastAsia"/>
        </w:rPr>
        <w:t>請領老年年金給付平均年齡</w:t>
      </w:r>
      <w:r>
        <w:rPr>
          <w:rFonts w:ascii="微軟正黑體" w:eastAsia="微軟正黑體" w:hAnsi="微軟正黑體" w:hint="eastAsia"/>
        </w:rPr>
        <w:t>變動不大</w:t>
      </w:r>
      <w:r w:rsidRPr="00F0717A">
        <w:rPr>
          <w:rFonts w:ascii="微軟正黑體" w:eastAsia="微軟正黑體" w:hAnsi="微軟正黑體" w:hint="eastAsia"/>
        </w:rPr>
        <w:t>，至</w:t>
      </w:r>
      <w:r>
        <w:rPr>
          <w:rFonts w:ascii="微軟正黑體" w:eastAsia="微軟正黑體" w:hAnsi="微軟正黑體" w:hint="eastAsia"/>
        </w:rPr>
        <w:t>109年</w:t>
      </w:r>
      <w:r w:rsidRPr="00F0717A">
        <w:rPr>
          <w:rFonts w:ascii="微軟正黑體" w:eastAsia="微軟正黑體" w:hAnsi="微軟正黑體" w:hint="eastAsia"/>
        </w:rPr>
        <w:t>減少</w:t>
      </w:r>
      <w:r w:rsidRPr="000D07AE">
        <w:rPr>
          <w:rFonts w:ascii="微軟正黑體" w:eastAsia="微軟正黑體" w:hAnsi="微軟正黑體" w:hint="eastAsia"/>
        </w:rPr>
        <w:t>0.9</w:t>
      </w:r>
      <w:r w:rsidRPr="00F0717A">
        <w:rPr>
          <w:rFonts w:ascii="微軟正黑體" w:eastAsia="微軟正黑體" w:hAnsi="微軟正黑體" w:hint="eastAsia"/>
        </w:rPr>
        <w:t>歲；平均投保年資則逐年微幅增加，至10</w:t>
      </w:r>
      <w:r>
        <w:rPr>
          <w:rFonts w:ascii="微軟正黑體" w:eastAsia="微軟正黑體" w:hAnsi="微軟正黑體" w:hint="eastAsia"/>
        </w:rPr>
        <w:t>9</w:t>
      </w:r>
      <w:r w:rsidRPr="00F0717A">
        <w:rPr>
          <w:rFonts w:ascii="微軟正黑體" w:eastAsia="微軟正黑體" w:hAnsi="微軟正黑體" w:hint="eastAsia"/>
        </w:rPr>
        <w:t>年增加</w:t>
      </w:r>
      <w:r>
        <w:rPr>
          <w:rFonts w:ascii="微軟正黑體" w:eastAsia="微軟正黑體" w:hAnsi="微軟正黑體" w:hint="eastAsia"/>
        </w:rPr>
        <w:t>3.2</w:t>
      </w:r>
      <w:r w:rsidRPr="00F0717A">
        <w:rPr>
          <w:rFonts w:ascii="微軟正黑體" w:eastAsia="微軟正黑體" w:hAnsi="微軟正黑體" w:hint="eastAsia"/>
        </w:rPr>
        <w:t>年；平均投保薪資及平均給付金額均逐年增加，至10</w:t>
      </w:r>
      <w:r>
        <w:rPr>
          <w:rFonts w:ascii="微軟正黑體" w:eastAsia="微軟正黑體" w:hAnsi="微軟正黑體" w:hint="eastAsia"/>
        </w:rPr>
        <w:t>9</w:t>
      </w:r>
      <w:r w:rsidRPr="00F0717A">
        <w:rPr>
          <w:rFonts w:ascii="微軟正黑體" w:eastAsia="微軟正黑體" w:hAnsi="微軟正黑體" w:hint="eastAsia"/>
        </w:rPr>
        <w:t>年分別增加</w:t>
      </w:r>
      <w:r>
        <w:rPr>
          <w:rFonts w:ascii="微軟正黑體" w:eastAsia="微軟正黑體" w:hAnsi="微軟正黑體" w:hint="eastAsia"/>
        </w:rPr>
        <w:t>4</w:t>
      </w:r>
      <w:r w:rsidRPr="00F0717A">
        <w:rPr>
          <w:rFonts w:ascii="微軟正黑體" w:eastAsia="微軟正黑體" w:hAnsi="微軟正黑體" w:hint="eastAsia"/>
        </w:rPr>
        <w:t>,</w:t>
      </w:r>
      <w:r>
        <w:rPr>
          <w:rFonts w:ascii="微軟正黑體" w:eastAsia="微軟正黑體" w:hAnsi="微軟正黑體" w:hint="eastAsia"/>
        </w:rPr>
        <w:t>655</w:t>
      </w:r>
      <w:r w:rsidRPr="00F0717A">
        <w:rPr>
          <w:rFonts w:ascii="微軟正黑體" w:eastAsia="微軟正黑體" w:hAnsi="微軟正黑體" w:hint="eastAsia"/>
        </w:rPr>
        <w:t>元及</w:t>
      </w:r>
      <w:r>
        <w:rPr>
          <w:rFonts w:ascii="微軟正黑體" w:eastAsia="微軟正黑體" w:hAnsi="微軟正黑體" w:hint="eastAsia"/>
        </w:rPr>
        <w:t>3,584</w:t>
      </w:r>
      <w:r w:rsidRPr="00F0717A">
        <w:rPr>
          <w:rFonts w:ascii="微軟正黑體" w:eastAsia="微軟正黑體" w:hAnsi="微軟正黑體" w:hint="eastAsia"/>
        </w:rPr>
        <w:t>元。</w:t>
      </w:r>
    </w:p>
    <w:p w:rsidR="00FB2640" w:rsidRDefault="00FB2640" w:rsidP="00FB2640">
      <w:pPr>
        <w:spacing w:beforeLines="30" w:before="108" w:line="400" w:lineRule="exact"/>
        <w:ind w:leftChars="236" w:left="566"/>
        <w:jc w:val="both"/>
        <w:rPr>
          <w:rFonts w:ascii="微軟正黑體" w:eastAsia="微軟正黑體" w:hAnsi="微軟正黑體"/>
        </w:rPr>
      </w:pPr>
      <w:r w:rsidRPr="00F0717A">
        <w:rPr>
          <w:rFonts w:ascii="微軟正黑體" w:eastAsia="微軟正黑體" w:hAnsi="微軟正黑體" w:hint="eastAsia"/>
        </w:rPr>
        <w:t xml:space="preserve">    </w:t>
      </w:r>
      <w:r>
        <w:rPr>
          <w:rFonts w:ascii="微軟正黑體" w:eastAsia="微軟正黑體" w:hAnsi="微軟正黑體" w:hint="eastAsia"/>
        </w:rPr>
        <w:t>觀察性別差異，男性之</w:t>
      </w:r>
      <w:r w:rsidRPr="00F0717A">
        <w:rPr>
          <w:rFonts w:ascii="微軟正黑體" w:eastAsia="微軟正黑體" w:hAnsi="微軟正黑體" w:hint="eastAsia"/>
        </w:rPr>
        <w:t>給付</w:t>
      </w:r>
      <w:r>
        <w:rPr>
          <w:rFonts w:ascii="微軟正黑體" w:eastAsia="微軟正黑體" w:hAnsi="微軟正黑體" w:hint="eastAsia"/>
        </w:rPr>
        <w:t>平均</w:t>
      </w:r>
      <w:r w:rsidRPr="00F0717A">
        <w:rPr>
          <w:rFonts w:ascii="微軟正黑體" w:eastAsia="微軟正黑體" w:hAnsi="微軟正黑體" w:hint="eastAsia"/>
        </w:rPr>
        <w:t>年齡、</w:t>
      </w:r>
      <w:r>
        <w:rPr>
          <w:rFonts w:ascii="微軟正黑體" w:eastAsia="微軟正黑體" w:hAnsi="微軟正黑體" w:hint="eastAsia"/>
        </w:rPr>
        <w:t>平均</w:t>
      </w:r>
      <w:r w:rsidRPr="00F0717A">
        <w:rPr>
          <w:rFonts w:ascii="微軟正黑體" w:eastAsia="微軟正黑體" w:hAnsi="微軟正黑體" w:hint="eastAsia"/>
        </w:rPr>
        <w:t>投保年資、投保薪資及給付金額，均較女性多。</w:t>
      </w:r>
    </w:p>
    <w:p w:rsidR="00FB2640" w:rsidRDefault="00FB2640" w:rsidP="00FB2640">
      <w:pPr>
        <w:spacing w:beforeLines="30" w:before="108" w:line="400" w:lineRule="exact"/>
        <w:ind w:leftChars="236" w:left="566"/>
        <w:jc w:val="both"/>
        <w:rPr>
          <w:rFonts w:ascii="微軟正黑體" w:eastAsia="微軟正黑體" w:hAnsi="微軟正黑體"/>
        </w:rPr>
      </w:pPr>
    </w:p>
    <w:p w:rsidR="00FB2640" w:rsidRDefault="00FB2640" w:rsidP="00FB2640">
      <w:pPr>
        <w:spacing w:beforeLines="30" w:before="108" w:line="400" w:lineRule="exact"/>
        <w:ind w:leftChars="236" w:left="566"/>
        <w:jc w:val="both"/>
        <w:rPr>
          <w:rFonts w:ascii="微軟正黑體" w:eastAsia="微軟正黑體" w:hAnsi="微軟正黑體"/>
        </w:rPr>
      </w:pPr>
    </w:p>
    <w:p w:rsidR="00FB2640" w:rsidRDefault="00FB2640" w:rsidP="00FB2640">
      <w:pPr>
        <w:spacing w:beforeLines="30" w:before="108" w:line="400" w:lineRule="exact"/>
        <w:ind w:leftChars="236" w:left="566"/>
        <w:jc w:val="both"/>
        <w:rPr>
          <w:rFonts w:ascii="微軟正黑體" w:eastAsia="微軟正黑體" w:hAnsi="微軟正黑體"/>
        </w:rPr>
      </w:pPr>
    </w:p>
    <w:p w:rsidR="00FB2640" w:rsidRDefault="00FB2640" w:rsidP="00FB2640">
      <w:pPr>
        <w:spacing w:beforeLines="30" w:before="108" w:line="400" w:lineRule="exact"/>
        <w:ind w:leftChars="236" w:left="566"/>
        <w:jc w:val="both"/>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r>
        <w:rPr>
          <w:noProof/>
        </w:rPr>
        <w:lastRenderedPageBreak/>
        <w:drawing>
          <wp:anchor distT="0" distB="0" distL="114300" distR="114300" simplePos="0" relativeHeight="252595200" behindDoc="0" locked="0" layoutInCell="1" allowOverlap="1" wp14:anchorId="6E1457EE" wp14:editId="1D7E2AD7">
            <wp:simplePos x="0" y="0"/>
            <wp:positionH relativeFrom="column">
              <wp:posOffset>-2963</wp:posOffset>
            </wp:positionH>
            <wp:positionV relativeFrom="paragraph">
              <wp:posOffset>8043</wp:posOffset>
            </wp:positionV>
            <wp:extent cx="5799666" cy="3048000"/>
            <wp:effectExtent l="0" t="0" r="10795" b="19050"/>
            <wp:wrapNone/>
            <wp:docPr id="37" name="圖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FB2640" w:rsidRPr="00F0717A" w:rsidRDefault="00FB2640" w:rsidP="00FB2640">
      <w:pPr>
        <w:spacing w:beforeLines="30" w:before="108" w:line="400" w:lineRule="exact"/>
        <w:jc w:val="center"/>
        <w:rPr>
          <w:rFonts w:ascii="微軟正黑體" w:eastAsia="微軟正黑體" w:hAnsi="微軟正黑體"/>
          <w:b/>
        </w:rPr>
      </w:pPr>
    </w:p>
    <w:p w:rsidR="00FB2640" w:rsidRPr="00F0717A" w:rsidRDefault="00FB2640" w:rsidP="00FB2640">
      <w:pPr>
        <w:spacing w:beforeLines="30" w:before="108" w:line="400" w:lineRule="exact"/>
        <w:jc w:val="center"/>
        <w:rPr>
          <w:rFonts w:ascii="微軟正黑體" w:eastAsia="微軟正黑體" w:hAnsi="微軟正黑體"/>
          <w:b/>
        </w:rPr>
      </w:pPr>
    </w:p>
    <w:p w:rsidR="00FB2640" w:rsidRPr="00F0717A" w:rsidRDefault="00FB2640" w:rsidP="00FB2640">
      <w:pPr>
        <w:spacing w:beforeLines="30" w:before="108" w:line="400" w:lineRule="exact"/>
        <w:jc w:val="center"/>
        <w:rPr>
          <w:rFonts w:ascii="微軟正黑體" w:eastAsia="微軟正黑體" w:hAnsi="微軟正黑體"/>
          <w:b/>
        </w:rPr>
      </w:pPr>
    </w:p>
    <w:p w:rsidR="00FB2640" w:rsidRPr="00F0717A" w:rsidRDefault="00FB2640" w:rsidP="00FB2640">
      <w:pPr>
        <w:spacing w:beforeLines="30" w:before="108" w:line="400" w:lineRule="exact"/>
        <w:jc w:val="center"/>
        <w:rPr>
          <w:rFonts w:ascii="微軟正黑體" w:eastAsia="微軟正黑體" w:hAnsi="微軟正黑體"/>
          <w:b/>
        </w:rPr>
      </w:pPr>
    </w:p>
    <w:p w:rsidR="00FB2640" w:rsidRDefault="00FB2640" w:rsidP="00FB2640">
      <w:pPr>
        <w:spacing w:beforeLines="30" w:before="108" w:line="400" w:lineRule="exact"/>
        <w:jc w:val="center"/>
        <w:rPr>
          <w:rFonts w:ascii="微軟正黑體" w:eastAsia="微軟正黑體" w:hAnsi="微軟正黑體"/>
          <w:b/>
        </w:rPr>
      </w:pPr>
    </w:p>
    <w:p w:rsidR="00FB2640" w:rsidRDefault="00FB2640" w:rsidP="00FB2640">
      <w:pPr>
        <w:spacing w:beforeLines="30" w:before="108" w:line="400" w:lineRule="exact"/>
        <w:jc w:val="center"/>
        <w:rPr>
          <w:rFonts w:ascii="微軟正黑體" w:eastAsia="微軟正黑體" w:hAnsi="微軟正黑體"/>
          <w:b/>
        </w:rPr>
      </w:pPr>
    </w:p>
    <w:p w:rsidR="00FB2640" w:rsidRDefault="00FB2640" w:rsidP="00FB2640">
      <w:pPr>
        <w:spacing w:beforeLines="30" w:before="108" w:line="400" w:lineRule="exact"/>
        <w:jc w:val="center"/>
        <w:rPr>
          <w:rFonts w:ascii="微軟正黑體" w:eastAsia="微軟正黑體" w:hAnsi="微軟正黑體"/>
          <w:b/>
        </w:rPr>
      </w:pPr>
    </w:p>
    <w:p w:rsidR="00FB2640" w:rsidRPr="00F0717A" w:rsidRDefault="00FB2640" w:rsidP="00FB2640">
      <w:pPr>
        <w:spacing w:beforeLines="30" w:before="108" w:line="400" w:lineRule="exact"/>
        <w:jc w:val="center"/>
        <w:rPr>
          <w:rFonts w:ascii="微軟正黑體" w:eastAsia="微軟正黑體" w:hAnsi="微軟正黑體"/>
          <w:b/>
        </w:rPr>
      </w:pPr>
    </w:p>
    <w:p w:rsidR="00FB2640" w:rsidRDefault="00FB2640" w:rsidP="00FB2640">
      <w:pPr>
        <w:spacing w:beforeLines="100" w:before="360" w:line="400" w:lineRule="exact"/>
        <w:jc w:val="center"/>
        <w:rPr>
          <w:rFonts w:ascii="微軟正黑體" w:eastAsia="微軟正黑體" w:hAnsi="微軟正黑體"/>
        </w:rPr>
      </w:pPr>
      <w:r w:rsidRPr="00F0717A">
        <w:rPr>
          <w:rFonts w:ascii="微軟正黑體" w:eastAsia="微軟正黑體" w:hAnsi="微軟正黑體" w:hint="eastAsia"/>
        </w:rPr>
        <w:t>圖</w:t>
      </w:r>
      <w:r>
        <w:rPr>
          <w:rFonts w:ascii="微軟正黑體" w:eastAsia="微軟正黑體" w:hAnsi="微軟正黑體" w:hint="eastAsia"/>
        </w:rPr>
        <w:t>2.10  近10年</w:t>
      </w:r>
      <w:r w:rsidRPr="00F0717A">
        <w:rPr>
          <w:rFonts w:ascii="微軟正黑體" w:eastAsia="微軟正黑體" w:hAnsi="微軟正黑體" w:hint="eastAsia"/>
        </w:rPr>
        <w:t>勞保</w:t>
      </w:r>
      <w:r w:rsidRPr="00F0717A">
        <w:rPr>
          <w:rFonts w:ascii="微軟正黑體" w:eastAsia="微軟正黑體" w:hAnsi="微軟正黑體"/>
        </w:rPr>
        <w:t>請領</w:t>
      </w:r>
      <w:r w:rsidRPr="00F0717A">
        <w:rPr>
          <w:rFonts w:ascii="微軟正黑體" w:eastAsia="微軟正黑體" w:hAnsi="微軟正黑體" w:hint="eastAsia"/>
        </w:rPr>
        <w:t>老年年金給付概況</w:t>
      </w:r>
    </w:p>
    <w:p w:rsidR="00FB2640" w:rsidRDefault="00FB2640" w:rsidP="00FB2640">
      <w:pPr>
        <w:spacing w:line="360" w:lineRule="exact"/>
        <w:jc w:val="center"/>
        <w:rPr>
          <w:rFonts w:ascii="微軟正黑體" w:eastAsia="微軟正黑體" w:hAnsi="微軟正黑體"/>
        </w:rPr>
      </w:pPr>
    </w:p>
    <w:p w:rsidR="00FB2640" w:rsidRPr="00401C63" w:rsidRDefault="00FB2640" w:rsidP="00FB2640">
      <w:pPr>
        <w:spacing w:line="360" w:lineRule="exact"/>
        <w:jc w:val="center"/>
        <w:rPr>
          <w:rFonts w:ascii="微軟正黑體" w:eastAsia="微軟正黑體" w:hAnsi="微軟正黑體"/>
        </w:rPr>
      </w:pPr>
    </w:p>
    <w:p w:rsidR="00FB2640" w:rsidRPr="00F0717A" w:rsidRDefault="00FB2640" w:rsidP="00FB2640">
      <w:pPr>
        <w:spacing w:afterLines="30" w:after="108" w:line="400" w:lineRule="exact"/>
        <w:jc w:val="center"/>
        <w:rPr>
          <w:rFonts w:ascii="微軟正黑體" w:eastAsia="微軟正黑體" w:hAnsi="微軟正黑體"/>
        </w:rPr>
      </w:pPr>
      <w:r w:rsidRPr="00F0717A">
        <w:rPr>
          <w:rFonts w:ascii="微軟正黑體" w:eastAsia="微軟正黑體" w:hAnsi="微軟正黑體" w:hint="eastAsia"/>
        </w:rPr>
        <w:t xml:space="preserve">表2.7  </w:t>
      </w:r>
      <w:r>
        <w:rPr>
          <w:rFonts w:ascii="微軟正黑體" w:eastAsia="微軟正黑體" w:hAnsi="微軟正黑體" w:hint="eastAsia"/>
        </w:rPr>
        <w:t>近10</w:t>
      </w:r>
      <w:r w:rsidRPr="008D467A">
        <w:rPr>
          <w:rFonts w:ascii="微軟正黑體" w:eastAsia="微軟正黑體" w:hAnsi="微軟正黑體" w:hint="eastAsia"/>
        </w:rPr>
        <w:t>年</w:t>
      </w:r>
      <w:r w:rsidRPr="00F0717A">
        <w:rPr>
          <w:rFonts w:ascii="微軟正黑體" w:eastAsia="微軟正黑體" w:hAnsi="微軟正黑體" w:hint="eastAsia"/>
        </w:rPr>
        <w:t>勞保</w:t>
      </w:r>
      <w:r w:rsidRPr="00F0717A">
        <w:rPr>
          <w:rFonts w:ascii="微軟正黑體" w:eastAsia="微軟正黑體" w:hAnsi="微軟正黑體"/>
        </w:rPr>
        <w:t>請領老年年金給付概況</w:t>
      </w:r>
      <w:r w:rsidRPr="00F0717A">
        <w:rPr>
          <w:rFonts w:ascii="微軟正黑體" w:eastAsia="微軟正黑體" w:hAnsi="微軟正黑體" w:hint="eastAsia"/>
        </w:rPr>
        <w:t>(按性別分)</w:t>
      </w:r>
    </w:p>
    <w:tbl>
      <w:tblPr>
        <w:tblW w:w="9194" w:type="dxa"/>
        <w:tblCellMar>
          <w:left w:w="28" w:type="dxa"/>
          <w:right w:w="28" w:type="dxa"/>
        </w:tblCellMar>
        <w:tblLook w:val="04A0" w:firstRow="1" w:lastRow="0" w:firstColumn="1" w:lastColumn="0" w:noHBand="0" w:noVBand="1"/>
      </w:tblPr>
      <w:tblGrid>
        <w:gridCol w:w="709"/>
        <w:gridCol w:w="709"/>
        <w:gridCol w:w="708"/>
        <w:gridCol w:w="709"/>
        <w:gridCol w:w="709"/>
        <w:gridCol w:w="709"/>
        <w:gridCol w:w="708"/>
        <w:gridCol w:w="709"/>
        <w:gridCol w:w="709"/>
        <w:gridCol w:w="709"/>
        <w:gridCol w:w="708"/>
        <w:gridCol w:w="682"/>
        <w:gridCol w:w="716"/>
      </w:tblGrid>
      <w:tr w:rsidR="00FB2640" w:rsidRPr="00F0717A" w:rsidTr="008F1977">
        <w:trPr>
          <w:trHeight w:val="454"/>
        </w:trPr>
        <w:tc>
          <w:tcPr>
            <w:tcW w:w="709" w:type="dxa"/>
            <w:vMerge w:val="restart"/>
            <w:tcBorders>
              <w:top w:val="single" w:sz="4" w:space="0" w:color="auto"/>
              <w:left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年度</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給付平均年齡</w:t>
            </w:r>
            <w:r w:rsidRPr="00F0717A">
              <w:rPr>
                <w:rFonts w:ascii="微軟正黑體" w:eastAsia="微軟正黑體" w:hAnsi="微軟正黑體" w:cs="新細明體" w:hint="eastAsia"/>
                <w:sz w:val="20"/>
                <w:szCs w:val="20"/>
              </w:rPr>
              <w:t>(歲)</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平均投保年資</w:t>
            </w:r>
            <w:r w:rsidRPr="00F0717A">
              <w:rPr>
                <w:rFonts w:ascii="微軟正黑體" w:eastAsia="微軟正黑體" w:hAnsi="微軟正黑體" w:cs="新細明體" w:hint="eastAsia"/>
                <w:sz w:val="20"/>
                <w:szCs w:val="20"/>
              </w:rPr>
              <w:t>(年)</w:t>
            </w:r>
          </w:p>
        </w:tc>
        <w:tc>
          <w:tcPr>
            <w:tcW w:w="2127" w:type="dxa"/>
            <w:gridSpan w:val="3"/>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平均投保薪資</w:t>
            </w:r>
            <w:r w:rsidRPr="00F0717A">
              <w:rPr>
                <w:rFonts w:ascii="微軟正黑體" w:eastAsia="微軟正黑體" w:hAnsi="微軟正黑體" w:cs="新細明體" w:hint="eastAsia"/>
                <w:sz w:val="20"/>
                <w:szCs w:val="20"/>
              </w:rPr>
              <w:t>(元)</w:t>
            </w:r>
          </w:p>
        </w:tc>
        <w:tc>
          <w:tcPr>
            <w:tcW w:w="2106" w:type="dxa"/>
            <w:gridSpan w:val="3"/>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平均給付金額</w:t>
            </w:r>
            <w:r w:rsidRPr="00F0717A">
              <w:rPr>
                <w:rFonts w:ascii="微軟正黑體" w:eastAsia="微軟正黑體" w:hAnsi="微軟正黑體" w:cs="新細明體" w:hint="eastAsia"/>
                <w:sz w:val="20"/>
                <w:szCs w:val="20"/>
              </w:rPr>
              <w:t>(元)</w:t>
            </w:r>
          </w:p>
        </w:tc>
      </w:tr>
      <w:tr w:rsidR="00FB2640" w:rsidRPr="00F0717A" w:rsidTr="008F1977">
        <w:trPr>
          <w:trHeight w:val="454"/>
        </w:trPr>
        <w:tc>
          <w:tcPr>
            <w:tcW w:w="709" w:type="dxa"/>
            <w:vMerge/>
            <w:tcBorders>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全體</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男</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女</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全體</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男</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女</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全體</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男</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女</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全體</w:t>
            </w:r>
          </w:p>
        </w:tc>
        <w:tc>
          <w:tcPr>
            <w:tcW w:w="682"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男</w:t>
            </w:r>
          </w:p>
        </w:tc>
        <w:tc>
          <w:tcPr>
            <w:tcW w:w="716"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女</w:t>
            </w:r>
          </w:p>
        </w:tc>
      </w:tr>
      <w:tr w:rsidR="00FB2640" w:rsidRPr="00F0717A" w:rsidTr="008F1977">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0"/>
              </w:rPr>
            </w:pPr>
            <w:r w:rsidRPr="00F0717A">
              <w:rPr>
                <w:rFonts w:ascii="微軟正黑體" w:eastAsia="微軟正黑體" w:hAnsi="微軟正黑體" w:cs="新細明體" w:hint="eastAsia"/>
                <w:sz w:val="20"/>
              </w:rPr>
              <w:t>100年</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62.0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61.8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62.1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25.8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26.4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25.2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32,650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34,347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30,903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14,067 </w:t>
            </w:r>
          </w:p>
        </w:tc>
        <w:tc>
          <w:tcPr>
            <w:tcW w:w="682"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15,137 </w:t>
            </w:r>
          </w:p>
        </w:tc>
        <w:tc>
          <w:tcPr>
            <w:tcW w:w="716"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13,017 </w:t>
            </w:r>
          </w:p>
        </w:tc>
      </w:tr>
      <w:tr w:rsidR="00FB2640" w:rsidRPr="00F0717A" w:rsidTr="008F1977">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0"/>
              </w:rPr>
            </w:pPr>
            <w:r w:rsidRPr="00F0717A">
              <w:rPr>
                <w:rFonts w:ascii="微軟正黑體" w:eastAsia="微軟正黑體" w:hAnsi="微軟正黑體" w:cs="新細明體" w:hint="eastAsia"/>
                <w:sz w:val="20"/>
              </w:rPr>
              <w:t>101年</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61.5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61.4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61.5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26.5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27.0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26.1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34,076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35,658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32,665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14,884 </w:t>
            </w:r>
          </w:p>
        </w:tc>
        <w:tc>
          <w:tcPr>
            <w:tcW w:w="682"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15,859 </w:t>
            </w:r>
          </w:p>
        </w:tc>
        <w:tc>
          <w:tcPr>
            <w:tcW w:w="716"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14,022 </w:t>
            </w:r>
          </w:p>
        </w:tc>
      </w:tr>
      <w:tr w:rsidR="00FB2640" w:rsidRPr="00F0717A" w:rsidTr="008F1977">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0"/>
              </w:rPr>
            </w:pPr>
            <w:r w:rsidRPr="00F0717A">
              <w:rPr>
                <w:rFonts w:ascii="微軟正黑體" w:eastAsia="微軟正黑體" w:hAnsi="微軟正黑體" w:cs="新細明體" w:hint="eastAsia"/>
                <w:sz w:val="20"/>
              </w:rPr>
              <w:t>102年</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61.1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61.1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61.1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27.0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27.5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26.6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34,841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36,417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33,541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15,344 </w:t>
            </w:r>
          </w:p>
        </w:tc>
        <w:tc>
          <w:tcPr>
            <w:tcW w:w="682"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16,349 </w:t>
            </w:r>
          </w:p>
        </w:tc>
        <w:tc>
          <w:tcPr>
            <w:tcW w:w="716"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14,512 </w:t>
            </w:r>
          </w:p>
        </w:tc>
      </w:tr>
      <w:tr w:rsidR="00FB2640" w:rsidRPr="00F0717A" w:rsidTr="008F1977">
        <w:trPr>
          <w:trHeight w:val="5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0"/>
              </w:rPr>
            </w:pPr>
            <w:r w:rsidRPr="00F0717A">
              <w:rPr>
                <w:rFonts w:ascii="微軟正黑體" w:eastAsia="微軟正黑體" w:hAnsi="微軟正黑體" w:cs="新細明體" w:hint="eastAsia"/>
                <w:sz w:val="20"/>
              </w:rPr>
              <w:t>103年</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61.0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61.1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61.0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27.3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27.8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26.9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35,277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36,885 </w:t>
            </w:r>
          </w:p>
        </w:tc>
        <w:tc>
          <w:tcPr>
            <w:tcW w:w="709"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33,945 </w:t>
            </w:r>
          </w:p>
        </w:tc>
        <w:tc>
          <w:tcPr>
            <w:tcW w:w="708"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15,753 </w:t>
            </w:r>
          </w:p>
        </w:tc>
        <w:tc>
          <w:tcPr>
            <w:tcW w:w="682"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16,831 </w:t>
            </w:r>
          </w:p>
        </w:tc>
        <w:tc>
          <w:tcPr>
            <w:tcW w:w="716" w:type="dxa"/>
            <w:tcBorders>
              <w:top w:val="nil"/>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14,862 </w:t>
            </w:r>
          </w:p>
        </w:tc>
      </w:tr>
      <w:tr w:rsidR="00FB2640" w:rsidRPr="00F0717A" w:rsidTr="008F1977">
        <w:trPr>
          <w:trHeight w:val="510"/>
        </w:trPr>
        <w:tc>
          <w:tcPr>
            <w:tcW w:w="709" w:type="dxa"/>
            <w:tcBorders>
              <w:top w:val="nil"/>
              <w:left w:val="single" w:sz="4" w:space="0" w:color="auto"/>
              <w:bottom w:val="nil"/>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0"/>
              </w:rPr>
            </w:pPr>
            <w:r w:rsidRPr="00F0717A">
              <w:rPr>
                <w:rFonts w:ascii="微軟正黑體" w:eastAsia="微軟正黑體" w:hAnsi="微軟正黑體" w:cs="新細明體" w:hint="eastAsia"/>
                <w:sz w:val="20"/>
              </w:rPr>
              <w:t>104年</w:t>
            </w:r>
          </w:p>
        </w:tc>
        <w:tc>
          <w:tcPr>
            <w:tcW w:w="709" w:type="dxa"/>
            <w:tcBorders>
              <w:top w:val="nil"/>
              <w:left w:val="nil"/>
              <w:bottom w:val="nil"/>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61.0 </w:t>
            </w:r>
          </w:p>
        </w:tc>
        <w:tc>
          <w:tcPr>
            <w:tcW w:w="708" w:type="dxa"/>
            <w:tcBorders>
              <w:top w:val="nil"/>
              <w:left w:val="nil"/>
              <w:bottom w:val="nil"/>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61.1 </w:t>
            </w:r>
          </w:p>
        </w:tc>
        <w:tc>
          <w:tcPr>
            <w:tcW w:w="709" w:type="dxa"/>
            <w:tcBorders>
              <w:top w:val="nil"/>
              <w:left w:val="nil"/>
              <w:bottom w:val="nil"/>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61.0 </w:t>
            </w:r>
          </w:p>
        </w:tc>
        <w:tc>
          <w:tcPr>
            <w:tcW w:w="709" w:type="dxa"/>
            <w:tcBorders>
              <w:top w:val="nil"/>
              <w:left w:val="nil"/>
              <w:bottom w:val="nil"/>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27.6 </w:t>
            </w:r>
          </w:p>
        </w:tc>
        <w:tc>
          <w:tcPr>
            <w:tcW w:w="709" w:type="dxa"/>
            <w:tcBorders>
              <w:top w:val="nil"/>
              <w:left w:val="nil"/>
              <w:bottom w:val="nil"/>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28.1 </w:t>
            </w:r>
          </w:p>
        </w:tc>
        <w:tc>
          <w:tcPr>
            <w:tcW w:w="708" w:type="dxa"/>
            <w:tcBorders>
              <w:top w:val="nil"/>
              <w:left w:val="nil"/>
              <w:bottom w:val="nil"/>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27.2 </w:t>
            </w:r>
          </w:p>
        </w:tc>
        <w:tc>
          <w:tcPr>
            <w:tcW w:w="709" w:type="dxa"/>
            <w:tcBorders>
              <w:top w:val="nil"/>
              <w:left w:val="nil"/>
              <w:bottom w:val="nil"/>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35,684 </w:t>
            </w:r>
          </w:p>
        </w:tc>
        <w:tc>
          <w:tcPr>
            <w:tcW w:w="709" w:type="dxa"/>
            <w:tcBorders>
              <w:top w:val="nil"/>
              <w:left w:val="nil"/>
              <w:bottom w:val="nil"/>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37,283 </w:t>
            </w:r>
          </w:p>
        </w:tc>
        <w:tc>
          <w:tcPr>
            <w:tcW w:w="709" w:type="dxa"/>
            <w:tcBorders>
              <w:top w:val="nil"/>
              <w:left w:val="nil"/>
              <w:bottom w:val="nil"/>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34,341 </w:t>
            </w:r>
          </w:p>
        </w:tc>
        <w:tc>
          <w:tcPr>
            <w:tcW w:w="708" w:type="dxa"/>
            <w:tcBorders>
              <w:top w:val="nil"/>
              <w:left w:val="nil"/>
              <w:bottom w:val="nil"/>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16,179 </w:t>
            </w:r>
          </w:p>
        </w:tc>
        <w:tc>
          <w:tcPr>
            <w:tcW w:w="682" w:type="dxa"/>
            <w:tcBorders>
              <w:top w:val="nil"/>
              <w:left w:val="nil"/>
              <w:bottom w:val="nil"/>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17,299 </w:t>
            </w:r>
          </w:p>
        </w:tc>
        <w:tc>
          <w:tcPr>
            <w:tcW w:w="716" w:type="dxa"/>
            <w:tcBorders>
              <w:top w:val="nil"/>
              <w:left w:val="nil"/>
              <w:bottom w:val="nil"/>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 xml:space="preserve">15,256 </w:t>
            </w:r>
          </w:p>
        </w:tc>
      </w:tr>
      <w:tr w:rsidR="00FB2640" w:rsidRPr="00F0717A" w:rsidTr="008F197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0"/>
              </w:rPr>
            </w:pPr>
            <w:r w:rsidRPr="00F0717A">
              <w:rPr>
                <w:rFonts w:ascii="微軟正黑體" w:eastAsia="微軟正黑體" w:hAnsi="微軟正黑體" w:cs="新細明體" w:hint="eastAsia"/>
                <w:sz w:val="20"/>
              </w:rPr>
              <w:t>105年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61.0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61.1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60.9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28.0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28.5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 xml:space="preserve">27.6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36,139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37,695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34,836</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B94842">
              <w:rPr>
                <w:rFonts w:ascii="微軟正黑體" w:eastAsia="微軟正黑體" w:hAnsi="微軟正黑體"/>
                <w:sz w:val="20"/>
              </w:rPr>
              <w:t>16,53</w:t>
            </w:r>
            <w:r w:rsidRPr="00B94842">
              <w:rPr>
                <w:rFonts w:ascii="微軟正黑體" w:eastAsia="微軟正黑體" w:hAnsi="微軟正黑體" w:hint="eastAsia"/>
                <w:sz w:val="20"/>
              </w:rPr>
              <w:t>3</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17,646</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sz w:val="20"/>
              </w:rPr>
            </w:pPr>
            <w:r w:rsidRPr="00F0717A">
              <w:rPr>
                <w:rFonts w:ascii="微軟正黑體" w:eastAsia="微軟正黑體" w:hAnsi="微軟正黑體"/>
                <w:sz w:val="20"/>
              </w:rPr>
              <w:t>15,607</w:t>
            </w:r>
          </w:p>
        </w:tc>
      </w:tr>
      <w:tr w:rsidR="00FB2640" w:rsidRPr="00F0717A" w:rsidTr="008F197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640" w:rsidRPr="00F0717A" w:rsidRDefault="00FB2640" w:rsidP="008F1977">
            <w:pPr>
              <w:widowControl/>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106年</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 xml:space="preserve">61.0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 xml:space="preserve">61.1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 xml:space="preserve">60.9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 xml:space="preserve">28.3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 xml:space="preserve">28.8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 xml:space="preserve">27.9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36,499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38,017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35,226</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16,911</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18,041</w:t>
            </w:r>
          </w:p>
        </w:tc>
        <w:tc>
          <w:tcPr>
            <w:tcW w:w="716"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3B09E1">
              <w:rPr>
                <w:rFonts w:ascii="微軟正黑體" w:eastAsia="微軟正黑體" w:hAnsi="微軟正黑體" w:hint="eastAsia"/>
                <w:sz w:val="20"/>
                <w:szCs w:val="20"/>
              </w:rPr>
              <w:t>15,975</w:t>
            </w:r>
          </w:p>
        </w:tc>
      </w:tr>
      <w:tr w:rsidR="00FB2640" w:rsidRPr="00F0717A" w:rsidTr="008F197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640" w:rsidRPr="002B7B47" w:rsidRDefault="00FB2640" w:rsidP="008F1977">
            <w:pPr>
              <w:widowControl/>
              <w:spacing w:line="400" w:lineRule="exact"/>
              <w:jc w:val="center"/>
              <w:rPr>
                <w:rFonts w:ascii="微軟正黑體" w:eastAsia="微軟正黑體" w:hAnsi="微軟正黑體" w:cs="新細明體"/>
                <w:sz w:val="20"/>
              </w:rPr>
            </w:pPr>
            <w:r w:rsidRPr="002B7B47">
              <w:rPr>
                <w:rFonts w:ascii="微軟正黑體" w:eastAsia="微軟正黑體" w:hAnsi="微軟正黑體" w:cs="新細明體" w:hint="eastAsia"/>
                <w:sz w:val="20"/>
              </w:rPr>
              <w:t>107年</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sz w:val="20"/>
                <w:szCs w:val="20"/>
              </w:rPr>
            </w:pPr>
            <w:r w:rsidRPr="002B7B47">
              <w:rPr>
                <w:rFonts w:ascii="微軟正黑體" w:eastAsia="微軟正黑體" w:hAnsi="微軟正黑體" w:hint="eastAsia"/>
                <w:sz w:val="20"/>
                <w:szCs w:val="20"/>
              </w:rPr>
              <w:t>61.0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cs="新細明體"/>
                <w:sz w:val="20"/>
                <w:szCs w:val="20"/>
              </w:rPr>
            </w:pPr>
            <w:r w:rsidRPr="002B7B47">
              <w:rPr>
                <w:rFonts w:ascii="微軟正黑體" w:eastAsia="微軟正黑體" w:hAnsi="微軟正黑體" w:hint="eastAsia"/>
                <w:sz w:val="20"/>
                <w:szCs w:val="20"/>
              </w:rPr>
              <w:t xml:space="preserve">61.1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cs="新細明體"/>
                <w:sz w:val="20"/>
                <w:szCs w:val="20"/>
              </w:rPr>
            </w:pPr>
            <w:r w:rsidRPr="002B7B47">
              <w:rPr>
                <w:rFonts w:ascii="微軟正黑體" w:eastAsia="微軟正黑體" w:hAnsi="微軟正黑體" w:hint="eastAsia"/>
                <w:sz w:val="20"/>
                <w:szCs w:val="20"/>
              </w:rPr>
              <w:t xml:space="preserve">60.9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sz w:val="20"/>
                <w:szCs w:val="20"/>
              </w:rPr>
            </w:pPr>
            <w:r w:rsidRPr="002B7B47">
              <w:rPr>
                <w:rFonts w:ascii="微軟正黑體" w:eastAsia="微軟正黑體" w:hAnsi="微軟正黑體" w:hint="eastAsia"/>
                <w:sz w:val="20"/>
                <w:szCs w:val="20"/>
              </w:rPr>
              <w:t>28.6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sz w:val="20"/>
                <w:szCs w:val="20"/>
              </w:rPr>
            </w:pPr>
            <w:r w:rsidRPr="002B7B47">
              <w:rPr>
                <w:rFonts w:ascii="微軟正黑體" w:eastAsia="微軟正黑體" w:hAnsi="微軟正黑體" w:hint="eastAsia"/>
                <w:sz w:val="20"/>
                <w:szCs w:val="20"/>
              </w:rPr>
              <w:t>29.0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sz w:val="20"/>
                <w:szCs w:val="20"/>
              </w:rPr>
            </w:pPr>
            <w:r w:rsidRPr="002B7B47">
              <w:rPr>
                <w:rFonts w:ascii="微軟正黑體" w:eastAsia="微軟正黑體" w:hAnsi="微軟正黑體" w:hint="eastAsia"/>
                <w:sz w:val="20"/>
                <w:szCs w:val="20"/>
              </w:rPr>
              <w:t>28.2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sz w:val="20"/>
                <w:szCs w:val="20"/>
              </w:rPr>
            </w:pPr>
            <w:r w:rsidRPr="002B7B47">
              <w:rPr>
                <w:rFonts w:ascii="微軟正黑體" w:eastAsia="微軟正黑體" w:hAnsi="微軟正黑體" w:hint="eastAsia"/>
                <w:sz w:val="20"/>
                <w:szCs w:val="20"/>
              </w:rPr>
              <w:t>36,787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cs="新細明體"/>
                <w:sz w:val="20"/>
                <w:szCs w:val="20"/>
              </w:rPr>
            </w:pPr>
            <w:r w:rsidRPr="002B7B47">
              <w:rPr>
                <w:rFonts w:ascii="微軟正黑體" w:eastAsia="微軟正黑體" w:hAnsi="微軟正黑體" w:hint="eastAsia"/>
                <w:sz w:val="20"/>
                <w:szCs w:val="20"/>
              </w:rPr>
              <w:t>38,294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cs="新細明體"/>
                <w:sz w:val="20"/>
                <w:szCs w:val="20"/>
              </w:rPr>
            </w:pPr>
            <w:r w:rsidRPr="002B7B47">
              <w:rPr>
                <w:rFonts w:ascii="微軟正黑體" w:eastAsia="微軟正黑體" w:hAnsi="微軟正黑體" w:hint="eastAsia"/>
                <w:sz w:val="20"/>
                <w:szCs w:val="20"/>
              </w:rPr>
              <w:t>35,521</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sz w:val="20"/>
                <w:szCs w:val="20"/>
              </w:rPr>
            </w:pPr>
            <w:r w:rsidRPr="002B7B47">
              <w:rPr>
                <w:rFonts w:ascii="微軟正黑體" w:eastAsia="微軟正黑體" w:hAnsi="微軟正黑體" w:hint="eastAsia"/>
                <w:sz w:val="20"/>
                <w:szCs w:val="20"/>
              </w:rPr>
              <w:t>17,120</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FB2640" w:rsidRPr="002B7B47" w:rsidRDefault="00FB2640" w:rsidP="008F1977">
            <w:pPr>
              <w:spacing w:line="400" w:lineRule="exact"/>
              <w:jc w:val="center"/>
              <w:rPr>
                <w:rFonts w:ascii="微軟正黑體" w:eastAsia="微軟正黑體" w:hAnsi="微軟正黑體" w:cs="新細明體"/>
                <w:sz w:val="20"/>
                <w:szCs w:val="20"/>
              </w:rPr>
            </w:pPr>
            <w:r w:rsidRPr="002B7B47">
              <w:rPr>
                <w:rFonts w:ascii="微軟正黑體" w:eastAsia="微軟正黑體" w:hAnsi="微軟正黑體" w:hint="eastAsia"/>
                <w:sz w:val="20"/>
                <w:szCs w:val="20"/>
              </w:rPr>
              <w:t>18,263</w:t>
            </w:r>
          </w:p>
        </w:tc>
        <w:tc>
          <w:tcPr>
            <w:tcW w:w="716" w:type="dxa"/>
            <w:tcBorders>
              <w:top w:val="single" w:sz="4" w:space="0" w:color="auto"/>
              <w:left w:val="nil"/>
              <w:bottom w:val="single" w:sz="4" w:space="0" w:color="auto"/>
              <w:right w:val="single" w:sz="4" w:space="0" w:color="auto"/>
            </w:tcBorders>
            <w:shd w:val="clear" w:color="auto" w:fill="auto"/>
            <w:noWrap/>
            <w:vAlign w:val="center"/>
          </w:tcPr>
          <w:p w:rsidR="00FB2640" w:rsidRPr="003B09E1" w:rsidRDefault="00FB2640" w:rsidP="008F1977">
            <w:pPr>
              <w:spacing w:line="400" w:lineRule="exact"/>
              <w:jc w:val="center"/>
              <w:rPr>
                <w:rFonts w:ascii="微軟正黑體" w:eastAsia="微軟正黑體" w:hAnsi="微軟正黑體" w:cs="新細明體"/>
                <w:sz w:val="20"/>
                <w:szCs w:val="20"/>
              </w:rPr>
            </w:pPr>
            <w:r w:rsidRPr="002B7B47">
              <w:rPr>
                <w:rFonts w:ascii="微軟正黑體" w:eastAsia="微軟正黑體" w:hAnsi="微軟正黑體" w:hint="eastAsia"/>
                <w:sz w:val="20"/>
                <w:szCs w:val="20"/>
              </w:rPr>
              <w:t>16,164</w:t>
            </w:r>
          </w:p>
        </w:tc>
      </w:tr>
      <w:tr w:rsidR="00FB2640" w:rsidRPr="008D467A" w:rsidTr="008F197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640" w:rsidRPr="00F0717A" w:rsidRDefault="00FB2640" w:rsidP="008F1977">
            <w:pPr>
              <w:widowControl/>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1</w:t>
            </w:r>
            <w:r>
              <w:rPr>
                <w:rFonts w:ascii="微軟正黑體" w:eastAsia="微軟正黑體" w:hAnsi="微軟正黑體" w:cs="新細明體"/>
                <w:sz w:val="20"/>
              </w:rPr>
              <w:t>08</w:t>
            </w:r>
            <w:r>
              <w:rPr>
                <w:rFonts w:ascii="微軟正黑體" w:eastAsia="微軟正黑體" w:hAnsi="微軟正黑體" w:cs="新細明體" w:hint="eastAsia"/>
                <w:sz w:val="20"/>
              </w:rPr>
              <w:t>年</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61.1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61.2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61.0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28.8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29.2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28.3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37,008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38,529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35,721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17,444 </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18,625 </w:t>
            </w:r>
          </w:p>
        </w:tc>
        <w:tc>
          <w:tcPr>
            <w:tcW w:w="716"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16,453 </w:t>
            </w:r>
          </w:p>
        </w:tc>
      </w:tr>
      <w:tr w:rsidR="00FB2640" w:rsidRPr="008D467A" w:rsidTr="008F1977">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2640" w:rsidRPr="002B7B47" w:rsidRDefault="00FB2640" w:rsidP="008F1977">
            <w:pPr>
              <w:widowControl/>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1</w:t>
            </w:r>
            <w:r>
              <w:rPr>
                <w:rFonts w:ascii="微軟正黑體" w:eastAsia="微軟正黑體" w:hAnsi="微軟正黑體" w:cs="新細明體"/>
                <w:sz w:val="20"/>
              </w:rPr>
              <w:t>09</w:t>
            </w:r>
            <w:r>
              <w:rPr>
                <w:rFonts w:ascii="微軟正黑體" w:eastAsia="微軟正黑體" w:hAnsi="微軟正黑體" w:cs="新細明體" w:hint="eastAsia"/>
                <w:sz w:val="20"/>
              </w:rPr>
              <w:t>年</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61.1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61.3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61.0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29.0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29.5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28.6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37,305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38,827 </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36,013 </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17,651 </w:t>
            </w:r>
          </w:p>
        </w:tc>
        <w:tc>
          <w:tcPr>
            <w:tcW w:w="682"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18,854 </w:t>
            </w:r>
          </w:p>
        </w:tc>
        <w:tc>
          <w:tcPr>
            <w:tcW w:w="716" w:type="dxa"/>
            <w:tcBorders>
              <w:top w:val="single" w:sz="4" w:space="0" w:color="auto"/>
              <w:left w:val="nil"/>
              <w:bottom w:val="single" w:sz="4" w:space="0" w:color="auto"/>
              <w:right w:val="single" w:sz="4" w:space="0" w:color="auto"/>
            </w:tcBorders>
            <w:shd w:val="clear" w:color="auto" w:fill="auto"/>
            <w:noWrap/>
            <w:vAlign w:val="center"/>
          </w:tcPr>
          <w:p w:rsidR="00FB2640" w:rsidRPr="008D467A" w:rsidRDefault="00FB2640" w:rsidP="008F1977">
            <w:pPr>
              <w:widowControl/>
              <w:spacing w:line="400" w:lineRule="exact"/>
              <w:jc w:val="center"/>
              <w:rPr>
                <w:rFonts w:ascii="微軟正黑體" w:eastAsia="微軟正黑體" w:hAnsi="微軟正黑體" w:cs="新細明體"/>
                <w:sz w:val="20"/>
              </w:rPr>
            </w:pPr>
            <w:r w:rsidRPr="008D467A">
              <w:rPr>
                <w:rFonts w:ascii="微軟正黑體" w:eastAsia="微軟正黑體" w:hAnsi="微軟正黑體" w:cs="新細明體" w:hint="eastAsia"/>
                <w:sz w:val="20"/>
              </w:rPr>
              <w:t xml:space="preserve">16,640 </w:t>
            </w:r>
          </w:p>
        </w:tc>
      </w:tr>
    </w:tbl>
    <w:p w:rsidR="00FB2640"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Pr>
          <w:rFonts w:ascii="微軟正黑體" w:eastAsia="微軟正黑體" w:hAnsi="微軟正黑體" w:hint="eastAsia"/>
        </w:rPr>
        <w:lastRenderedPageBreak/>
        <w:t xml:space="preserve">(三) </w:t>
      </w:r>
      <w:r w:rsidRPr="00F0717A">
        <w:rPr>
          <w:rFonts w:ascii="微軟正黑體" w:eastAsia="微軟正黑體" w:hAnsi="微軟正黑體"/>
        </w:rPr>
        <w:t>財務概況</w:t>
      </w:r>
    </w:p>
    <w:p w:rsidR="00FB2640" w:rsidRPr="00C40C7B" w:rsidRDefault="00FB2640" w:rsidP="00FB2640">
      <w:pPr>
        <w:pStyle w:val="af0"/>
        <w:numPr>
          <w:ilvl w:val="0"/>
          <w:numId w:val="19"/>
        </w:numPr>
        <w:adjustRightInd w:val="0"/>
        <w:spacing w:beforeLines="50" w:before="180" w:line="400" w:lineRule="exact"/>
        <w:ind w:leftChars="0"/>
        <w:textAlignment w:val="baseline"/>
        <w:rPr>
          <w:rFonts w:ascii="微軟正黑體" w:eastAsia="微軟正黑體" w:hAnsi="微軟正黑體"/>
        </w:rPr>
      </w:pPr>
      <w:r w:rsidRPr="00C40C7B">
        <w:rPr>
          <w:rFonts w:ascii="微軟正黑體" w:eastAsia="微軟正黑體" w:hAnsi="微軟正黑體"/>
        </w:rPr>
        <w:t>普通事故保險保費收支概況</w:t>
      </w:r>
    </w:p>
    <w:p w:rsidR="00FB2640" w:rsidRPr="00804FEC"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勞保在98年實施年金制度前數年，保險支出均大於收入；實施年金制度後初期支出下降，惟逐年增長趨勢明顯，</w:t>
      </w:r>
      <w:r>
        <w:rPr>
          <w:rFonts w:ascii="微軟正黑體" w:eastAsia="微軟正黑體" w:hAnsi="微軟正黑體" w:hint="eastAsia"/>
        </w:rPr>
        <w:t>106年首次出現支出大於收入，109</w:t>
      </w:r>
      <w:r w:rsidRPr="00804FEC">
        <w:rPr>
          <w:rFonts w:ascii="微軟正黑體" w:eastAsia="微軟正黑體" w:hAnsi="微軟正黑體" w:hint="eastAsia"/>
        </w:rPr>
        <w:t>年</w:t>
      </w:r>
      <w:r>
        <w:rPr>
          <w:rFonts w:ascii="微軟正黑體" w:eastAsia="微軟正黑體" w:hAnsi="微軟正黑體" w:hint="eastAsia"/>
        </w:rPr>
        <w:t>支出為歷年來之最，達4,489億元，</w:t>
      </w:r>
      <w:r w:rsidRPr="00804FEC">
        <w:rPr>
          <w:rFonts w:ascii="微軟正黑體" w:eastAsia="微軟正黑體" w:hAnsi="微軟正黑體" w:hint="eastAsia"/>
        </w:rPr>
        <w:t>結餘為</w:t>
      </w:r>
      <w:r>
        <w:rPr>
          <w:rFonts w:ascii="微軟正黑體" w:eastAsia="微軟正黑體" w:hAnsi="微軟正黑體" w:hint="eastAsia"/>
        </w:rPr>
        <w:t>負487</w:t>
      </w:r>
      <w:r w:rsidRPr="00804FEC">
        <w:rPr>
          <w:rFonts w:ascii="微軟正黑體" w:eastAsia="微軟正黑體" w:hAnsi="微軟正黑體" w:hint="eastAsia"/>
        </w:rPr>
        <w:t>億元。</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97248" behindDoc="0" locked="0" layoutInCell="1" allowOverlap="1" wp14:anchorId="0C3E4ACF" wp14:editId="4CC88C5D">
            <wp:simplePos x="0" y="0"/>
            <wp:positionH relativeFrom="column">
              <wp:posOffset>47837</wp:posOffset>
            </wp:positionH>
            <wp:positionV relativeFrom="paragraph">
              <wp:posOffset>87630</wp:posOffset>
            </wp:positionV>
            <wp:extent cx="5723466" cy="2336800"/>
            <wp:effectExtent l="0" t="0" r="10795" b="25400"/>
            <wp:wrapNone/>
            <wp:docPr id="39" name="圖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73698C"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beforeLines="50" w:before="180" w:line="400" w:lineRule="exact"/>
        <w:rPr>
          <w:rFonts w:ascii="微軟正黑體" w:eastAsia="微軟正黑體" w:hAnsi="微軟正黑體"/>
          <w:sz w:val="20"/>
        </w:rPr>
      </w:pPr>
      <w:r w:rsidRPr="00F0717A">
        <w:rPr>
          <w:rFonts w:ascii="微軟正黑體" w:eastAsia="微軟正黑體" w:hAnsi="微軟正黑體" w:hint="eastAsia"/>
          <w:sz w:val="20"/>
        </w:rPr>
        <w:t xml:space="preserve">  註：該項目為保費收入與給付支出之統計，不含基金投資運用收益。</w:t>
      </w:r>
    </w:p>
    <w:p w:rsidR="00FB2640" w:rsidRPr="00F0717A" w:rsidRDefault="00FB2640" w:rsidP="00FB2640">
      <w:pPr>
        <w:spacing w:beforeLines="30" w:before="108" w:line="400" w:lineRule="exact"/>
        <w:jc w:val="center"/>
        <w:rPr>
          <w:rFonts w:ascii="微軟正黑體" w:eastAsia="微軟正黑體" w:hAnsi="微軟正黑體"/>
        </w:rPr>
      </w:pPr>
      <w:r w:rsidRPr="00F0717A">
        <w:rPr>
          <w:rFonts w:ascii="微軟正黑體" w:eastAsia="微軟正黑體" w:hAnsi="微軟正黑體" w:hint="eastAsia"/>
        </w:rPr>
        <w:t>圖2.1</w:t>
      </w:r>
      <w:r>
        <w:rPr>
          <w:rFonts w:ascii="微軟正黑體" w:eastAsia="微軟正黑體" w:hAnsi="微軟正黑體" w:hint="eastAsia"/>
        </w:rPr>
        <w:t>1</w:t>
      </w:r>
      <w:r w:rsidRPr="00F0717A">
        <w:rPr>
          <w:rFonts w:ascii="微軟正黑體" w:eastAsia="微軟正黑體" w:hAnsi="微軟正黑體" w:hint="eastAsia"/>
        </w:rPr>
        <w:t xml:space="preserve">  歷年普通事故保險保費收支概況</w:t>
      </w:r>
    </w:p>
    <w:p w:rsidR="00FB2640" w:rsidRPr="00714786" w:rsidRDefault="00FB2640" w:rsidP="00FB2640">
      <w:pPr>
        <w:pStyle w:val="af0"/>
        <w:numPr>
          <w:ilvl w:val="0"/>
          <w:numId w:val="19"/>
        </w:numPr>
        <w:adjustRightInd w:val="0"/>
        <w:spacing w:beforeLines="100" w:before="360" w:line="400" w:lineRule="exact"/>
        <w:ind w:leftChars="0"/>
        <w:textAlignment w:val="baseline"/>
        <w:rPr>
          <w:rFonts w:ascii="微軟正黑體" w:eastAsia="微軟正黑體" w:hAnsi="微軟正黑體"/>
        </w:rPr>
      </w:pPr>
      <w:r w:rsidRPr="00714786">
        <w:rPr>
          <w:rFonts w:ascii="微軟正黑體" w:eastAsia="微軟正黑體" w:hAnsi="微軟正黑體"/>
        </w:rPr>
        <w:t>基金運用</w:t>
      </w:r>
      <w:r w:rsidRPr="003E6F06">
        <w:rPr>
          <w:rFonts w:ascii="微軟正黑體" w:eastAsia="微軟正黑體" w:hAnsi="微軟正黑體" w:hint="eastAsia"/>
        </w:rPr>
        <w:t>收</w:t>
      </w:r>
      <w:r w:rsidRPr="00714786">
        <w:rPr>
          <w:rFonts w:ascii="微軟正黑體" w:eastAsia="微軟正黑體" w:hAnsi="微軟正黑體"/>
        </w:rPr>
        <w:t>益</w:t>
      </w:r>
    </w:p>
    <w:p w:rsidR="00FB2640" w:rsidRPr="00B91FB5" w:rsidRDefault="00FB2640" w:rsidP="00FB2640">
      <w:pPr>
        <w:snapToGrid w:val="0"/>
        <w:spacing w:beforeLines="30" w:before="108" w:line="400" w:lineRule="exact"/>
        <w:ind w:leftChars="177" w:left="567" w:hangingChars="59" w:hanging="142"/>
        <w:jc w:val="both"/>
        <w:rPr>
          <w:rFonts w:ascii="微軟正黑體" w:eastAsia="微軟正黑體" w:hAnsi="微軟正黑體"/>
          <w:bCs/>
          <w:color w:val="FF0000"/>
        </w:rPr>
      </w:pPr>
      <w:r w:rsidRPr="00F0717A">
        <w:rPr>
          <w:rFonts w:ascii="微軟正黑體" w:eastAsia="微軟正黑體" w:hAnsi="微軟正黑體" w:hint="eastAsia"/>
        </w:rPr>
        <w:t xml:space="preserve">    </w:t>
      </w:r>
      <w:r>
        <w:rPr>
          <w:rFonts w:ascii="微軟正黑體" w:eastAsia="微軟正黑體" w:hAnsi="微軟正黑體" w:hint="eastAsia"/>
        </w:rPr>
        <w:t xml:space="preserve"> </w:t>
      </w:r>
      <w:r w:rsidRPr="00F0717A">
        <w:rPr>
          <w:rFonts w:ascii="微軟正黑體" w:eastAsia="微軟正黑體" w:hAnsi="微軟正黑體" w:hint="eastAsia"/>
        </w:rPr>
        <w:t>觀察近10年勞保基金運用收益情形，收益數及收益率</w:t>
      </w:r>
      <w:r>
        <w:rPr>
          <w:rFonts w:ascii="微軟正黑體" w:eastAsia="微軟正黑體" w:hAnsi="微軟正黑體" w:hint="eastAsia"/>
        </w:rPr>
        <w:t>多為正值。</w:t>
      </w:r>
      <w:r w:rsidRPr="00804FEC">
        <w:rPr>
          <w:rFonts w:ascii="微軟正黑體" w:eastAsia="微軟正黑體" w:hAnsi="微軟正黑體" w:hint="eastAsia"/>
        </w:rPr>
        <w:t>100</w:t>
      </w:r>
      <w:r>
        <w:rPr>
          <w:rFonts w:ascii="微軟正黑體" w:eastAsia="微軟正黑體" w:hAnsi="微軟正黑體" w:hint="eastAsia"/>
        </w:rPr>
        <w:t>、</w:t>
      </w:r>
      <w:r w:rsidRPr="00804FEC">
        <w:rPr>
          <w:rFonts w:ascii="微軟正黑體" w:eastAsia="微軟正黑體" w:hAnsi="微軟正黑體" w:hint="eastAsia"/>
        </w:rPr>
        <w:t>104</w:t>
      </w:r>
      <w:r w:rsidRPr="00CD19DB">
        <w:rPr>
          <w:rFonts w:ascii="微軟正黑體" w:eastAsia="微軟正黑體" w:hAnsi="微軟正黑體" w:hint="eastAsia"/>
        </w:rPr>
        <w:t>及107年因全球金融市場動盪，大幅提高基金操作難度，致收益數及收益率為</w:t>
      </w:r>
      <w:r w:rsidRPr="00CD19DB">
        <w:rPr>
          <w:rFonts w:ascii="微軟正黑體" w:eastAsia="微軟正黑體" w:hAnsi="微軟正黑體" w:hint="eastAsia"/>
          <w:bCs/>
        </w:rPr>
        <w:t>負值。1</w:t>
      </w:r>
      <w:r w:rsidRPr="00CD19DB">
        <w:rPr>
          <w:rFonts w:ascii="微軟正黑體" w:eastAsia="微軟正黑體" w:hAnsi="微軟正黑體"/>
          <w:bCs/>
        </w:rPr>
        <w:t>08</w:t>
      </w:r>
      <w:r w:rsidRPr="00CD19DB">
        <w:rPr>
          <w:rFonts w:ascii="微軟正黑體" w:eastAsia="微軟正黑體" w:hAnsi="微軟正黑體" w:hint="eastAsia"/>
          <w:bCs/>
        </w:rPr>
        <w:t>年則因全球金融市場表現良好，投資得利，收益數高達8</w:t>
      </w:r>
      <w:r w:rsidRPr="00CD19DB">
        <w:rPr>
          <w:rFonts w:ascii="微軟正黑體" w:eastAsia="微軟正黑體" w:hAnsi="微軟正黑體"/>
          <w:bCs/>
        </w:rPr>
        <w:t>98.1</w:t>
      </w:r>
      <w:r w:rsidRPr="00CD19DB">
        <w:rPr>
          <w:rFonts w:ascii="微軟正黑體" w:eastAsia="微軟正黑體" w:hAnsi="微軟正黑體" w:hint="eastAsia"/>
          <w:bCs/>
        </w:rPr>
        <w:t>億元，收益率1</w:t>
      </w:r>
      <w:r w:rsidRPr="00CD19DB">
        <w:rPr>
          <w:rFonts w:ascii="微軟正黑體" w:eastAsia="微軟正黑體" w:hAnsi="微軟正黑體"/>
          <w:bCs/>
        </w:rPr>
        <w:t>3.3%</w:t>
      </w:r>
      <w:r w:rsidRPr="00CD19DB">
        <w:rPr>
          <w:rFonts w:ascii="微軟正黑體" w:eastAsia="微軟正黑體" w:hAnsi="微軟正黑體" w:hint="eastAsia"/>
          <w:bCs/>
        </w:rPr>
        <w:t>，1</w:t>
      </w:r>
      <w:r w:rsidRPr="00CD19DB">
        <w:rPr>
          <w:rFonts w:ascii="微軟正黑體" w:eastAsia="微軟正黑體" w:hAnsi="微軟正黑體"/>
          <w:bCs/>
        </w:rPr>
        <w:t>09</w:t>
      </w:r>
      <w:r w:rsidRPr="00CD19DB">
        <w:rPr>
          <w:rFonts w:ascii="微軟正黑體" w:eastAsia="微軟正黑體" w:hAnsi="微軟正黑體" w:hint="eastAsia"/>
          <w:bCs/>
        </w:rPr>
        <w:t>年雖受到COVID</w:t>
      </w:r>
      <w:r w:rsidRPr="00CD19DB">
        <w:rPr>
          <w:rFonts w:ascii="微軟正黑體" w:eastAsia="微軟正黑體" w:hAnsi="微軟正黑體"/>
          <w:bCs/>
        </w:rPr>
        <w:t>-</w:t>
      </w:r>
      <w:r w:rsidRPr="00CD19DB">
        <w:rPr>
          <w:rFonts w:ascii="微軟正黑體" w:eastAsia="微軟正黑體" w:hAnsi="微軟正黑體" w:hint="eastAsia"/>
          <w:bCs/>
        </w:rPr>
        <w:t>19疫情影響，全球金融市場動盪，因多元投資及積極布局，年底收益數仍維持6</w:t>
      </w:r>
      <w:r w:rsidRPr="00CD19DB">
        <w:rPr>
          <w:rFonts w:ascii="微軟正黑體" w:eastAsia="微軟正黑體" w:hAnsi="微軟正黑體"/>
          <w:bCs/>
        </w:rPr>
        <w:t>44</w:t>
      </w:r>
      <w:r w:rsidRPr="00CD19DB">
        <w:rPr>
          <w:rFonts w:ascii="微軟正黑體" w:eastAsia="微軟正黑體" w:hAnsi="微軟正黑體" w:hint="eastAsia"/>
          <w:bCs/>
        </w:rPr>
        <w:t>.0億元，收益率8</w:t>
      </w:r>
      <w:r w:rsidRPr="00CD19DB">
        <w:rPr>
          <w:rFonts w:ascii="微軟正黑體" w:eastAsia="微軟正黑體" w:hAnsi="微軟正黑體"/>
          <w:bCs/>
        </w:rPr>
        <w:t>.8%</w:t>
      </w:r>
      <w:r w:rsidRPr="00CD19DB">
        <w:rPr>
          <w:rFonts w:ascii="微軟正黑體" w:eastAsia="微軟正黑體" w:hAnsi="微軟正黑體" w:hint="eastAsia"/>
          <w:bCs/>
        </w:rPr>
        <w:t>。</w:t>
      </w:r>
    </w:p>
    <w:p w:rsidR="00FB2640" w:rsidRPr="00F0717A" w:rsidRDefault="00FB2640" w:rsidP="00FB2640">
      <w:pPr>
        <w:pStyle w:val="af0"/>
        <w:spacing w:line="400" w:lineRule="exact"/>
        <w:ind w:leftChars="0" w:left="386"/>
        <w:rPr>
          <w:rFonts w:ascii="微軟正黑體" w:eastAsia="微軟正黑體" w:hAnsi="微軟正黑體"/>
        </w:rPr>
      </w:pPr>
      <w:r>
        <w:rPr>
          <w:noProof/>
        </w:rPr>
        <w:drawing>
          <wp:anchor distT="0" distB="0" distL="114300" distR="114300" simplePos="0" relativeHeight="252596224" behindDoc="0" locked="0" layoutInCell="1" allowOverlap="1" wp14:anchorId="44BDA939" wp14:editId="3B11B697">
            <wp:simplePos x="0" y="0"/>
            <wp:positionH relativeFrom="column">
              <wp:posOffset>47837</wp:posOffset>
            </wp:positionH>
            <wp:positionV relativeFrom="paragraph">
              <wp:posOffset>13971</wp:posOffset>
            </wp:positionV>
            <wp:extent cx="5723466" cy="2311400"/>
            <wp:effectExtent l="0" t="0" r="10795" b="12700"/>
            <wp:wrapNone/>
            <wp:docPr id="40" name="圖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Default="00FB2640" w:rsidP="00FB2640">
      <w:pPr>
        <w:spacing w:line="400" w:lineRule="exact"/>
        <w:rPr>
          <w:rFonts w:ascii="微軟正黑體" w:eastAsia="微軟正黑體" w:hAnsi="微軟正黑體"/>
          <w:sz w:val="20"/>
        </w:rPr>
      </w:pPr>
      <w:r w:rsidRPr="00F0717A">
        <w:rPr>
          <w:rFonts w:ascii="微軟正黑體" w:eastAsia="微軟正黑體" w:hAnsi="微軟正黑體" w:hint="eastAsia"/>
          <w:sz w:val="20"/>
        </w:rPr>
        <w:t xml:space="preserve">  </w:t>
      </w:r>
    </w:p>
    <w:p w:rsidR="00FB2640" w:rsidRPr="00F0717A" w:rsidRDefault="00FB2640" w:rsidP="00FB2640">
      <w:pPr>
        <w:spacing w:line="400" w:lineRule="exact"/>
        <w:rPr>
          <w:rFonts w:ascii="微軟正黑體" w:eastAsia="微軟正黑體" w:hAnsi="微軟正黑體"/>
          <w:sz w:val="20"/>
        </w:rPr>
      </w:pPr>
      <w:r>
        <w:rPr>
          <w:rFonts w:ascii="微軟正黑體" w:eastAsia="微軟正黑體" w:hAnsi="微軟正黑體" w:hint="eastAsia"/>
          <w:sz w:val="20"/>
        </w:rPr>
        <w:t xml:space="preserve"> </w:t>
      </w:r>
      <w:r w:rsidRPr="00F0717A">
        <w:rPr>
          <w:rFonts w:ascii="微軟正黑體" w:eastAsia="微軟正黑體" w:hAnsi="微軟正黑體" w:hint="eastAsia"/>
          <w:sz w:val="20"/>
        </w:rPr>
        <w:t>註：本表基金運用收益包含勞工保險職業災害保險；收益率為名目收益率。</w:t>
      </w:r>
    </w:p>
    <w:p w:rsidR="00FB2640" w:rsidRPr="00F0717A" w:rsidRDefault="00FB2640" w:rsidP="00FB2640">
      <w:pPr>
        <w:pStyle w:val="af0"/>
        <w:spacing w:beforeLines="30" w:before="108" w:line="400" w:lineRule="exact"/>
        <w:ind w:leftChars="0" w:left="386"/>
        <w:jc w:val="center"/>
        <w:rPr>
          <w:rFonts w:ascii="微軟正黑體" w:eastAsia="微軟正黑體" w:hAnsi="微軟正黑體"/>
        </w:rPr>
      </w:pPr>
      <w:r w:rsidRPr="00F0717A">
        <w:rPr>
          <w:rFonts w:ascii="微軟正黑體" w:eastAsia="微軟正黑體" w:hAnsi="微軟正黑體" w:hint="eastAsia"/>
        </w:rPr>
        <w:t>圖2.1</w:t>
      </w:r>
      <w:r>
        <w:rPr>
          <w:rFonts w:ascii="微軟正黑體" w:eastAsia="微軟正黑體" w:hAnsi="微軟正黑體" w:hint="eastAsia"/>
        </w:rPr>
        <w:t>2</w:t>
      </w:r>
      <w:r w:rsidRPr="00F0717A">
        <w:rPr>
          <w:rFonts w:ascii="微軟正黑體" w:eastAsia="微軟正黑體" w:hAnsi="微軟正黑體" w:hint="eastAsia"/>
        </w:rPr>
        <w:t xml:space="preserve">  近10年勞保基金整體運用收益情形</w:t>
      </w:r>
    </w:p>
    <w:p w:rsidR="00FB2640" w:rsidRPr="00F0717A" w:rsidRDefault="00FB2640" w:rsidP="00FB2640">
      <w:pPr>
        <w:spacing w:afterLines="30" w:after="108" w:line="400" w:lineRule="exact"/>
        <w:jc w:val="center"/>
        <w:rPr>
          <w:rFonts w:ascii="微軟正黑體" w:eastAsia="微軟正黑體" w:hAnsi="微軟正黑體"/>
        </w:rPr>
      </w:pPr>
      <w:r w:rsidRPr="00F0717A">
        <w:rPr>
          <w:rFonts w:ascii="微軟正黑體" w:eastAsia="微軟正黑體" w:hAnsi="微軟正黑體" w:hint="eastAsia"/>
        </w:rPr>
        <w:lastRenderedPageBreak/>
        <w:t>表2.8  歷年勞保基金整體運用收益情形</w:t>
      </w:r>
    </w:p>
    <w:tbl>
      <w:tblPr>
        <w:tblW w:w="8520" w:type="dxa"/>
        <w:jc w:val="center"/>
        <w:tblInd w:w="13" w:type="dxa"/>
        <w:tblCellMar>
          <w:left w:w="28" w:type="dxa"/>
          <w:right w:w="28" w:type="dxa"/>
        </w:tblCellMar>
        <w:tblLook w:val="04A0" w:firstRow="1" w:lastRow="0" w:firstColumn="1" w:lastColumn="0" w:noHBand="0" w:noVBand="1"/>
      </w:tblPr>
      <w:tblGrid>
        <w:gridCol w:w="3701"/>
        <w:gridCol w:w="2551"/>
        <w:gridCol w:w="2268"/>
      </w:tblGrid>
      <w:tr w:rsidR="00FB2640" w:rsidRPr="00F0717A" w:rsidTr="00B75F61">
        <w:trPr>
          <w:trHeight w:val="324"/>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年度(期間)</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收益數</w:t>
            </w:r>
            <w:r w:rsidRPr="00CB0F31">
              <w:rPr>
                <w:rFonts w:ascii="微軟正黑體" w:eastAsia="微軟正黑體" w:hAnsi="微軟正黑體" w:cs="新細明體" w:hint="eastAsia"/>
                <w:sz w:val="22"/>
                <w:szCs w:val="22"/>
              </w:rPr>
              <w:t>(</w:t>
            </w:r>
            <w:r w:rsidR="00B75F61" w:rsidRPr="00CB0F31">
              <w:rPr>
                <w:rFonts w:ascii="微軟正黑體" w:eastAsia="微軟正黑體" w:hAnsi="微軟正黑體" w:cs="新細明體" w:hint="eastAsia"/>
                <w:sz w:val="22"/>
                <w:szCs w:val="22"/>
              </w:rPr>
              <w:t>億</w:t>
            </w:r>
            <w:r w:rsidRPr="00CB0F31">
              <w:rPr>
                <w:rFonts w:ascii="微軟正黑體" w:eastAsia="微軟正黑體" w:hAnsi="微軟正黑體" w:cs="新細明體" w:hint="eastAsia"/>
                <w:sz w:val="22"/>
                <w:szCs w:val="22"/>
              </w:rPr>
              <w:t>元</w:t>
            </w:r>
            <w:r w:rsidRPr="00F0717A">
              <w:rPr>
                <w:rFonts w:ascii="微軟正黑體" w:eastAsia="微軟正黑體" w:hAnsi="微軟正黑體" w:cs="新細明體" w:hint="eastAsia"/>
                <w:sz w:val="22"/>
                <w:szCs w:val="22"/>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收益率(%)</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84</w:t>
            </w:r>
            <w:r>
              <w:rPr>
                <w:rFonts w:ascii="微軟正黑體" w:eastAsia="微軟正黑體" w:hAnsi="微軟正黑體" w:cs="新細明體" w:hint="eastAsia"/>
                <w:sz w:val="22"/>
                <w:szCs w:val="22"/>
              </w:rPr>
              <w:t>年度(83.7.1-</w:t>
            </w:r>
            <w:r w:rsidRPr="00F0717A">
              <w:rPr>
                <w:rFonts w:ascii="微軟正黑體" w:eastAsia="微軟正黑體" w:hAnsi="微軟正黑體" w:cs="新細明體" w:hint="eastAsia"/>
                <w:sz w:val="22"/>
                <w:szCs w:val="22"/>
              </w:rPr>
              <w:t>84.6.30</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82.3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7.8 </w:t>
            </w:r>
          </w:p>
        </w:tc>
      </w:tr>
      <w:tr w:rsidR="00B75F61" w:rsidRPr="00F0717A" w:rsidTr="00B75F61">
        <w:trPr>
          <w:trHeight w:val="220"/>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85</w:t>
            </w:r>
            <w:r>
              <w:rPr>
                <w:rFonts w:ascii="微軟正黑體" w:eastAsia="微軟正黑體" w:hAnsi="微軟正黑體" w:cs="新細明體" w:hint="eastAsia"/>
                <w:sz w:val="22"/>
                <w:szCs w:val="22"/>
              </w:rPr>
              <w:t>年度(</w:t>
            </w:r>
            <w:r w:rsidRPr="00F0717A">
              <w:rPr>
                <w:rFonts w:ascii="微軟正黑體" w:eastAsia="微軟正黑體" w:hAnsi="微軟正黑體" w:cs="新細明體" w:hint="eastAsia"/>
                <w:sz w:val="22"/>
                <w:szCs w:val="22"/>
              </w:rPr>
              <w:t>84.7.1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85.6.30</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95.1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6.8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86年度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85.7.1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86.6.30</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133.5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6.5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87年度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86.7.1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87.6.30</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159.5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5.7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88</w:t>
            </w:r>
            <w:r>
              <w:rPr>
                <w:rFonts w:ascii="微軟正黑體" w:eastAsia="微軟正黑體" w:hAnsi="微軟正黑體" w:cs="新細明體" w:hint="eastAsia"/>
                <w:sz w:val="22"/>
                <w:szCs w:val="22"/>
              </w:rPr>
              <w:t>年度(</w:t>
            </w:r>
            <w:r w:rsidRPr="00F0717A">
              <w:rPr>
                <w:rFonts w:ascii="微軟正黑體" w:eastAsia="微軟正黑體" w:hAnsi="微軟正黑體" w:cs="新細明體" w:hint="eastAsia"/>
                <w:sz w:val="22"/>
                <w:szCs w:val="22"/>
              </w:rPr>
              <w:t>87.7.1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88.6.30</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248.1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7.1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89年度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88.7.1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89.12.31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56.5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0.9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90年度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90.1.1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90.12.31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169.7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3.4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91年度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91.1.1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91.12.31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57.7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1.2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92年度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92.1.1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92.12.31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272.1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5.9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93年度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93.1.1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93.12.31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144.2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3.1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94年度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94.1.1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94.12.31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166.6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3.8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95年度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95.1.1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95.12.31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333.5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7.9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000000" w:fill="FFFFFF"/>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96年度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96.1.1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96.12.31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000000" w:fill="FFFFFF"/>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241.8 </w:t>
            </w:r>
          </w:p>
        </w:tc>
        <w:tc>
          <w:tcPr>
            <w:tcW w:w="2268" w:type="dxa"/>
            <w:tcBorders>
              <w:top w:val="nil"/>
              <w:left w:val="nil"/>
              <w:bottom w:val="single" w:sz="4" w:space="0" w:color="auto"/>
              <w:right w:val="single" w:sz="4" w:space="0" w:color="auto"/>
            </w:tcBorders>
            <w:shd w:val="clear" w:color="000000" w:fill="FFFFFF"/>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5.8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97年度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97.1.1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97.12.31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-548.5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-16.5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98年度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98.1.1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98.12.31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432.6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18.2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99年度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99.1.1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99.12.31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130.2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4.0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100年度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100.1.1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100.12.31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-124.5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-3.0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101年度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101.1.1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101.12.31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313.0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6.3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102年度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102.1.1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102.12.31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304.4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6.4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103年度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103.1.1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103.12.31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310.4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5.6 </w:t>
            </w:r>
          </w:p>
        </w:tc>
      </w:tr>
      <w:tr w:rsidR="00B75F61" w:rsidRPr="00F0717A" w:rsidTr="00B75F61">
        <w:trPr>
          <w:trHeight w:val="324"/>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104年度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104.1.1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104.12.31</w:t>
            </w:r>
            <w:r>
              <w:rPr>
                <w:rFonts w:ascii="微軟正黑體" w:eastAsia="微軟正黑體" w:hAnsi="微軟正黑體" w:cs="新細明體" w:hint="eastAsia"/>
                <w:sz w:val="22"/>
                <w:szCs w:val="22"/>
              </w:rPr>
              <w:t>)</w:t>
            </w:r>
          </w:p>
        </w:tc>
        <w:tc>
          <w:tcPr>
            <w:tcW w:w="2551" w:type="dxa"/>
            <w:tcBorders>
              <w:top w:val="nil"/>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-35.0 </w:t>
            </w:r>
          </w:p>
        </w:tc>
        <w:tc>
          <w:tcPr>
            <w:tcW w:w="2268" w:type="dxa"/>
            <w:tcBorders>
              <w:top w:val="nil"/>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-0.6 </w:t>
            </w:r>
          </w:p>
        </w:tc>
      </w:tr>
      <w:tr w:rsidR="00B75F61" w:rsidRPr="00F0717A" w:rsidTr="00B75F61">
        <w:trPr>
          <w:trHeight w:val="324"/>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105年度</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105.1.1</w:t>
            </w:r>
            <w:r>
              <w:rPr>
                <w:rFonts w:ascii="微軟正黑體" w:eastAsia="微軟正黑體" w:hAnsi="微軟正黑體" w:cs="新細明體" w:hint="eastAsia"/>
                <w:sz w:val="22"/>
                <w:szCs w:val="22"/>
              </w:rPr>
              <w:t>-</w:t>
            </w:r>
            <w:r w:rsidRPr="00F0717A">
              <w:rPr>
                <w:rFonts w:ascii="微軟正黑體" w:eastAsia="微軟正黑體" w:hAnsi="微軟正黑體" w:cs="新細明體" w:hint="eastAsia"/>
                <w:sz w:val="22"/>
                <w:szCs w:val="22"/>
              </w:rPr>
              <w:t>105.12.31</w:t>
            </w:r>
            <w:r>
              <w:rPr>
                <w:rFonts w:ascii="微軟正黑體" w:eastAsia="微軟正黑體" w:hAnsi="微軟正黑體" w:cs="新細明體" w:hint="eastAsia"/>
                <w:sz w:val="22"/>
                <w:szCs w:val="22"/>
              </w:rPr>
              <w:t>)</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270.0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B75F61" w:rsidRPr="00F0717A" w:rsidRDefault="00B75F61"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4.0 </w:t>
            </w:r>
          </w:p>
        </w:tc>
      </w:tr>
      <w:tr w:rsidR="00B75F61" w:rsidRPr="00F0717A" w:rsidTr="00B75F61">
        <w:trPr>
          <w:trHeight w:val="324"/>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F61" w:rsidRPr="00F0717A" w:rsidRDefault="00B75F61" w:rsidP="008F1977">
            <w:pPr>
              <w:widowControl/>
              <w:spacing w:line="400" w:lineRule="exact"/>
              <w:rPr>
                <w:rFonts w:ascii="微軟正黑體" w:eastAsia="微軟正黑體" w:hAnsi="微軟正黑體" w:cs="新細明體"/>
                <w:sz w:val="22"/>
                <w:szCs w:val="22"/>
              </w:rPr>
            </w:pPr>
            <w:r w:rsidRPr="00F0717A">
              <w:rPr>
                <w:rFonts w:ascii="微軟正黑體" w:eastAsia="微軟正黑體" w:hAnsi="微軟正黑體" w:cs="新細明體" w:hint="eastAsia"/>
                <w:sz w:val="22"/>
                <w:szCs w:val="22"/>
              </w:rPr>
              <w:t xml:space="preserve"> 10</w:t>
            </w:r>
            <w:r>
              <w:rPr>
                <w:rFonts w:ascii="微軟正黑體" w:eastAsia="微軟正黑體" w:hAnsi="微軟正黑體" w:cs="新細明體" w:hint="eastAsia"/>
                <w:sz w:val="22"/>
                <w:szCs w:val="22"/>
              </w:rPr>
              <w:t>6</w:t>
            </w:r>
            <w:r w:rsidRPr="00F0717A">
              <w:rPr>
                <w:rFonts w:ascii="微軟正黑體" w:eastAsia="微軟正黑體" w:hAnsi="微軟正黑體" w:cs="新細明體" w:hint="eastAsia"/>
                <w:sz w:val="22"/>
                <w:szCs w:val="22"/>
              </w:rPr>
              <w:t>年度</w:t>
            </w:r>
            <w:r>
              <w:rPr>
                <w:rFonts w:ascii="微軟正黑體" w:eastAsia="微軟正黑體" w:hAnsi="微軟正黑體" w:cs="新細明體" w:hint="eastAsia"/>
                <w:sz w:val="22"/>
                <w:szCs w:val="22"/>
              </w:rPr>
              <w:t>(106.1.1-106</w:t>
            </w:r>
            <w:r w:rsidRPr="00F0717A">
              <w:rPr>
                <w:rFonts w:ascii="微軟正黑體" w:eastAsia="微軟正黑體" w:hAnsi="微軟正黑體" w:cs="新細明體" w:hint="eastAsia"/>
                <w:sz w:val="22"/>
                <w:szCs w:val="22"/>
              </w:rPr>
              <w:t>.12.31</w:t>
            </w:r>
            <w:r>
              <w:rPr>
                <w:rFonts w:ascii="微軟正黑體" w:eastAsia="微軟正黑體" w:hAnsi="微軟正黑體" w:cs="新細明體" w:hint="eastAsia"/>
                <w:sz w:val="22"/>
                <w:szCs w:val="22"/>
              </w:rPr>
              <w:t>)</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532.5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B75F61" w:rsidRPr="000070FD" w:rsidRDefault="00B75F61" w:rsidP="008F1977">
            <w:pPr>
              <w:spacing w:line="400" w:lineRule="exact"/>
              <w:jc w:val="right"/>
              <w:rPr>
                <w:rFonts w:ascii="微軟正黑體" w:eastAsia="微軟正黑體" w:hAnsi="微軟正黑體" w:cs="新細明體"/>
                <w:sz w:val="22"/>
                <w:szCs w:val="22"/>
              </w:rPr>
            </w:pPr>
            <w:r w:rsidRPr="000070FD">
              <w:rPr>
                <w:rFonts w:ascii="微軟正黑體" w:eastAsia="微軟正黑體" w:hAnsi="微軟正黑體" w:hint="eastAsia"/>
                <w:sz w:val="22"/>
                <w:szCs w:val="22"/>
              </w:rPr>
              <w:t xml:space="preserve">7.9 </w:t>
            </w:r>
          </w:p>
        </w:tc>
      </w:tr>
      <w:tr w:rsidR="00B75F61" w:rsidRPr="00F0717A" w:rsidTr="00B75F61">
        <w:trPr>
          <w:trHeight w:val="324"/>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F61" w:rsidRPr="00F0717A" w:rsidRDefault="00B75F61" w:rsidP="008F1977">
            <w:pPr>
              <w:widowControl/>
              <w:spacing w:line="400" w:lineRule="exact"/>
              <w:rPr>
                <w:rFonts w:ascii="微軟正黑體" w:eastAsia="微軟正黑體" w:hAnsi="微軟正黑體" w:cs="新細明體"/>
                <w:sz w:val="22"/>
                <w:szCs w:val="22"/>
              </w:rPr>
            </w:pPr>
            <w:r>
              <w:rPr>
                <w:rFonts w:ascii="微軟正黑體" w:eastAsia="微軟正黑體" w:hAnsi="微軟正黑體" w:cs="新細明體" w:hint="eastAsia"/>
                <w:sz w:val="22"/>
                <w:szCs w:val="22"/>
              </w:rPr>
              <w:t xml:space="preserve"> </w:t>
            </w:r>
            <w:r w:rsidRPr="00F0717A">
              <w:rPr>
                <w:rFonts w:ascii="微軟正黑體" w:eastAsia="微軟正黑體" w:hAnsi="微軟正黑體" w:cs="新細明體" w:hint="eastAsia"/>
                <w:sz w:val="22"/>
                <w:szCs w:val="22"/>
              </w:rPr>
              <w:t>10</w:t>
            </w:r>
            <w:r>
              <w:rPr>
                <w:rFonts w:ascii="微軟正黑體" w:eastAsia="微軟正黑體" w:hAnsi="微軟正黑體" w:cs="新細明體" w:hint="eastAsia"/>
                <w:sz w:val="22"/>
                <w:szCs w:val="22"/>
              </w:rPr>
              <w:t>7</w:t>
            </w:r>
            <w:r w:rsidRPr="00F0717A">
              <w:rPr>
                <w:rFonts w:ascii="微軟正黑體" w:eastAsia="微軟正黑體" w:hAnsi="微軟正黑體" w:cs="新細明體" w:hint="eastAsia"/>
                <w:sz w:val="22"/>
                <w:szCs w:val="22"/>
              </w:rPr>
              <w:t>年度</w:t>
            </w:r>
            <w:r>
              <w:rPr>
                <w:rFonts w:ascii="微軟正黑體" w:eastAsia="微軟正黑體" w:hAnsi="微軟正黑體" w:cs="新細明體" w:hint="eastAsia"/>
                <w:sz w:val="22"/>
                <w:szCs w:val="22"/>
              </w:rPr>
              <w:t>(107.1.1-107</w:t>
            </w:r>
            <w:r w:rsidRPr="00F0717A">
              <w:rPr>
                <w:rFonts w:ascii="微軟正黑體" w:eastAsia="微軟正黑體" w:hAnsi="微軟正黑體" w:cs="新細明體" w:hint="eastAsia"/>
                <w:sz w:val="22"/>
                <w:szCs w:val="22"/>
              </w:rPr>
              <w:t>.12.31</w:t>
            </w:r>
            <w:r>
              <w:rPr>
                <w:rFonts w:ascii="微軟正黑體" w:eastAsia="微軟正黑體" w:hAnsi="微軟正黑體" w:cs="新細明體" w:hint="eastAsia"/>
                <w:sz w:val="22"/>
                <w:szCs w:val="22"/>
              </w:rPr>
              <w:t>)</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-156.5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75F61" w:rsidRPr="000070FD" w:rsidRDefault="00B75F61" w:rsidP="008F1977">
            <w:pPr>
              <w:spacing w:line="400" w:lineRule="exact"/>
              <w:jc w:val="right"/>
              <w:rPr>
                <w:rFonts w:ascii="微軟正黑體" w:eastAsia="微軟正黑體" w:hAnsi="微軟正黑體"/>
                <w:sz w:val="22"/>
                <w:szCs w:val="22"/>
              </w:rPr>
            </w:pPr>
            <w:r>
              <w:rPr>
                <w:rFonts w:ascii="微軟正黑體" w:eastAsia="微軟正黑體" w:hAnsi="微軟正黑體" w:hint="eastAsia"/>
                <w:sz w:val="22"/>
                <w:szCs w:val="22"/>
              </w:rPr>
              <w:t>-2.2</w:t>
            </w:r>
          </w:p>
        </w:tc>
      </w:tr>
      <w:tr w:rsidR="00B75F61" w:rsidRPr="00F0717A" w:rsidTr="00B75F61">
        <w:trPr>
          <w:trHeight w:val="324"/>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F61" w:rsidRPr="00F0717A" w:rsidRDefault="00B75F61" w:rsidP="008F1977">
            <w:pPr>
              <w:widowControl/>
              <w:spacing w:line="400" w:lineRule="exact"/>
              <w:rPr>
                <w:rFonts w:ascii="微軟正黑體" w:eastAsia="微軟正黑體" w:hAnsi="微軟正黑體" w:cs="新細明體"/>
                <w:sz w:val="22"/>
                <w:szCs w:val="22"/>
              </w:rPr>
            </w:pPr>
            <w:r>
              <w:rPr>
                <w:rFonts w:ascii="微軟正黑體" w:eastAsia="微軟正黑體" w:hAnsi="微軟正黑體" w:cs="新細明體" w:hint="eastAsia"/>
                <w:sz w:val="22"/>
                <w:szCs w:val="22"/>
              </w:rPr>
              <w:t xml:space="preserve"> </w:t>
            </w:r>
            <w:r w:rsidRPr="00F0717A">
              <w:rPr>
                <w:rFonts w:ascii="微軟正黑體" w:eastAsia="微軟正黑體" w:hAnsi="微軟正黑體" w:cs="新細明體" w:hint="eastAsia"/>
                <w:sz w:val="22"/>
                <w:szCs w:val="22"/>
              </w:rPr>
              <w:t>10</w:t>
            </w:r>
            <w:r>
              <w:rPr>
                <w:rFonts w:ascii="微軟正黑體" w:eastAsia="微軟正黑體" w:hAnsi="微軟正黑體" w:cs="新細明體"/>
                <w:sz w:val="22"/>
                <w:szCs w:val="22"/>
              </w:rPr>
              <w:t>8</w:t>
            </w:r>
            <w:r w:rsidRPr="00F0717A">
              <w:rPr>
                <w:rFonts w:ascii="微軟正黑體" w:eastAsia="微軟正黑體" w:hAnsi="微軟正黑體" w:cs="新細明體" w:hint="eastAsia"/>
                <w:sz w:val="22"/>
                <w:szCs w:val="22"/>
              </w:rPr>
              <w:t>年度</w:t>
            </w:r>
            <w:r>
              <w:rPr>
                <w:rFonts w:ascii="微軟正黑體" w:eastAsia="微軟正黑體" w:hAnsi="微軟正黑體" w:cs="新細明體" w:hint="eastAsia"/>
                <w:sz w:val="22"/>
                <w:szCs w:val="22"/>
              </w:rPr>
              <w:t>(10</w:t>
            </w:r>
            <w:r>
              <w:rPr>
                <w:rFonts w:ascii="微軟正黑體" w:eastAsia="微軟正黑體" w:hAnsi="微軟正黑體" w:cs="新細明體"/>
                <w:sz w:val="22"/>
                <w:szCs w:val="22"/>
              </w:rPr>
              <w:t>8</w:t>
            </w:r>
            <w:r>
              <w:rPr>
                <w:rFonts w:ascii="微軟正黑體" w:eastAsia="微軟正黑體" w:hAnsi="微軟正黑體" w:cs="新細明體" w:hint="eastAsia"/>
                <w:sz w:val="22"/>
                <w:szCs w:val="22"/>
              </w:rPr>
              <w:t>.1.1-10</w:t>
            </w:r>
            <w:r>
              <w:rPr>
                <w:rFonts w:ascii="微軟正黑體" w:eastAsia="微軟正黑體" w:hAnsi="微軟正黑體" w:cs="新細明體"/>
                <w:sz w:val="22"/>
                <w:szCs w:val="22"/>
              </w:rPr>
              <w:t>8</w:t>
            </w:r>
            <w:r w:rsidRPr="00F0717A">
              <w:rPr>
                <w:rFonts w:ascii="微軟正黑體" w:eastAsia="微軟正黑體" w:hAnsi="微軟正黑體" w:cs="新細明體" w:hint="eastAsia"/>
                <w:sz w:val="22"/>
                <w:szCs w:val="22"/>
              </w:rPr>
              <w:t>.12.31</w:t>
            </w:r>
            <w:r>
              <w:rPr>
                <w:rFonts w:ascii="微軟正黑體" w:eastAsia="微軟正黑體" w:hAnsi="微軟正黑體" w:cs="新細明體" w:hint="eastAsia"/>
                <w:sz w:val="22"/>
                <w:szCs w:val="22"/>
              </w:rPr>
              <w:t>)</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898.1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75F61" w:rsidRPr="00ED7003" w:rsidRDefault="00B75F61" w:rsidP="008F1977">
            <w:pPr>
              <w:spacing w:line="400" w:lineRule="exact"/>
              <w:jc w:val="right"/>
              <w:rPr>
                <w:rFonts w:ascii="微軟正黑體" w:eastAsia="微軟正黑體" w:hAnsi="微軟正黑體" w:cs="新細明體"/>
                <w:sz w:val="22"/>
                <w:szCs w:val="22"/>
              </w:rPr>
            </w:pPr>
            <w:r w:rsidRPr="00ED7003">
              <w:rPr>
                <w:rFonts w:ascii="微軟正黑體" w:eastAsia="微軟正黑體" w:hAnsi="微軟正黑體" w:cs="新細明體" w:hint="eastAsia"/>
                <w:sz w:val="22"/>
                <w:szCs w:val="22"/>
              </w:rPr>
              <w:t xml:space="preserve">13.3 </w:t>
            </w:r>
          </w:p>
        </w:tc>
      </w:tr>
      <w:tr w:rsidR="00B75F61" w:rsidRPr="00F0717A" w:rsidTr="00B75F61">
        <w:trPr>
          <w:trHeight w:val="324"/>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F61" w:rsidRPr="00F0717A" w:rsidRDefault="00B75F61" w:rsidP="008F1977">
            <w:pPr>
              <w:widowControl/>
              <w:spacing w:line="400" w:lineRule="exact"/>
              <w:rPr>
                <w:rFonts w:ascii="微軟正黑體" w:eastAsia="微軟正黑體" w:hAnsi="微軟正黑體" w:cs="新細明體"/>
                <w:sz w:val="22"/>
                <w:szCs w:val="22"/>
              </w:rPr>
            </w:pPr>
            <w:r>
              <w:rPr>
                <w:rFonts w:ascii="微軟正黑體" w:eastAsia="微軟正黑體" w:hAnsi="微軟正黑體" w:cs="新細明體" w:hint="eastAsia"/>
                <w:sz w:val="22"/>
                <w:szCs w:val="22"/>
              </w:rPr>
              <w:t xml:space="preserve"> </w:t>
            </w:r>
            <w:r w:rsidRPr="00F0717A">
              <w:rPr>
                <w:rFonts w:ascii="微軟正黑體" w:eastAsia="微軟正黑體" w:hAnsi="微軟正黑體" w:cs="新細明體" w:hint="eastAsia"/>
                <w:sz w:val="22"/>
                <w:szCs w:val="22"/>
              </w:rPr>
              <w:t>10</w:t>
            </w:r>
            <w:r>
              <w:rPr>
                <w:rFonts w:ascii="微軟正黑體" w:eastAsia="微軟正黑體" w:hAnsi="微軟正黑體" w:cs="新細明體"/>
                <w:sz w:val="22"/>
                <w:szCs w:val="22"/>
              </w:rPr>
              <w:t>9</w:t>
            </w:r>
            <w:r w:rsidRPr="00F0717A">
              <w:rPr>
                <w:rFonts w:ascii="微軟正黑體" w:eastAsia="微軟正黑體" w:hAnsi="微軟正黑體" w:cs="新細明體" w:hint="eastAsia"/>
                <w:sz w:val="22"/>
                <w:szCs w:val="22"/>
              </w:rPr>
              <w:t>年度</w:t>
            </w:r>
            <w:r>
              <w:rPr>
                <w:rFonts w:ascii="微軟正黑體" w:eastAsia="微軟正黑體" w:hAnsi="微軟正黑體" w:cs="新細明體" w:hint="eastAsia"/>
                <w:sz w:val="22"/>
                <w:szCs w:val="22"/>
              </w:rPr>
              <w:t>(10</w:t>
            </w:r>
            <w:r>
              <w:rPr>
                <w:rFonts w:ascii="微軟正黑體" w:eastAsia="微軟正黑體" w:hAnsi="微軟正黑體" w:cs="新細明體"/>
                <w:sz w:val="22"/>
                <w:szCs w:val="22"/>
              </w:rPr>
              <w:t>9</w:t>
            </w:r>
            <w:r>
              <w:rPr>
                <w:rFonts w:ascii="微軟正黑體" w:eastAsia="微軟正黑體" w:hAnsi="微軟正黑體" w:cs="新細明體" w:hint="eastAsia"/>
                <w:sz w:val="22"/>
                <w:szCs w:val="22"/>
              </w:rPr>
              <w:t>.1.1-10</w:t>
            </w:r>
            <w:r>
              <w:rPr>
                <w:rFonts w:ascii="微軟正黑體" w:eastAsia="微軟正黑體" w:hAnsi="微軟正黑體" w:cs="新細明體"/>
                <w:sz w:val="22"/>
                <w:szCs w:val="22"/>
              </w:rPr>
              <w:t>9</w:t>
            </w:r>
            <w:r w:rsidRPr="00F0717A">
              <w:rPr>
                <w:rFonts w:ascii="微軟正黑體" w:eastAsia="微軟正黑體" w:hAnsi="微軟正黑體" w:cs="新細明體" w:hint="eastAsia"/>
                <w:sz w:val="22"/>
                <w:szCs w:val="22"/>
              </w:rPr>
              <w:t>.12.31</w:t>
            </w:r>
            <w:r>
              <w:rPr>
                <w:rFonts w:ascii="微軟正黑體" w:eastAsia="微軟正黑體" w:hAnsi="微軟正黑體" w:cs="新細明體" w:hint="eastAsia"/>
                <w:sz w:val="22"/>
                <w:szCs w:val="22"/>
              </w:rPr>
              <w:t>)</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B75F61" w:rsidRPr="00B75F61" w:rsidRDefault="00B75F61" w:rsidP="00B75F61">
            <w:pPr>
              <w:spacing w:line="400" w:lineRule="exact"/>
              <w:jc w:val="right"/>
              <w:rPr>
                <w:rFonts w:ascii="微軟正黑體" w:eastAsia="微軟正黑體" w:hAnsi="微軟正黑體"/>
                <w:sz w:val="22"/>
                <w:szCs w:val="22"/>
              </w:rPr>
            </w:pPr>
            <w:r w:rsidRPr="00B75F61">
              <w:rPr>
                <w:rFonts w:ascii="微軟正黑體" w:eastAsia="微軟正黑體" w:hAnsi="微軟正黑體" w:hint="eastAsia"/>
                <w:sz w:val="22"/>
                <w:szCs w:val="22"/>
              </w:rPr>
              <w:t xml:space="preserve">644.0 </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75F61" w:rsidRPr="00ED7003" w:rsidRDefault="00B75F61" w:rsidP="008F1977">
            <w:pPr>
              <w:widowControl/>
              <w:spacing w:line="400" w:lineRule="exact"/>
              <w:jc w:val="right"/>
              <w:rPr>
                <w:rFonts w:ascii="微軟正黑體" w:eastAsia="微軟正黑體" w:hAnsi="微軟正黑體" w:cs="新細明體"/>
                <w:sz w:val="22"/>
                <w:szCs w:val="22"/>
              </w:rPr>
            </w:pPr>
            <w:r w:rsidRPr="00ED7003">
              <w:rPr>
                <w:rFonts w:ascii="微軟正黑體" w:eastAsia="微軟正黑體" w:hAnsi="微軟正黑體" w:cs="新細明體" w:hint="eastAsia"/>
                <w:sz w:val="22"/>
                <w:szCs w:val="22"/>
              </w:rPr>
              <w:t xml:space="preserve">8.8 </w:t>
            </w:r>
          </w:p>
        </w:tc>
      </w:tr>
    </w:tbl>
    <w:p w:rsidR="00FB2640" w:rsidRPr="00F0717A" w:rsidRDefault="00B75F61" w:rsidP="00FB2640">
      <w:pPr>
        <w:spacing w:beforeLines="20" w:before="72" w:line="240" w:lineRule="exact"/>
        <w:rPr>
          <w:rFonts w:ascii="微軟正黑體" w:eastAsia="微軟正黑體" w:hAnsi="微軟正黑體"/>
          <w:sz w:val="20"/>
        </w:rPr>
      </w:pPr>
      <w:r>
        <w:rPr>
          <w:rFonts w:ascii="微軟正黑體" w:eastAsia="微軟正黑體" w:hAnsi="微軟正黑體" w:hint="eastAsia"/>
          <w:sz w:val="20"/>
        </w:rPr>
        <w:t xml:space="preserve">   </w:t>
      </w:r>
      <w:r w:rsidR="00FB2640" w:rsidRPr="00F0717A">
        <w:rPr>
          <w:rFonts w:ascii="微軟正黑體" w:eastAsia="微軟正黑體" w:hAnsi="微軟正黑體" w:hint="eastAsia"/>
          <w:sz w:val="20"/>
        </w:rPr>
        <w:t>註：本表基金運用收益包含勞工保險職業災害保險；收益率為名目收益率。</w:t>
      </w:r>
    </w:p>
    <w:p w:rsidR="00FB2640" w:rsidRPr="00F0717A" w:rsidRDefault="00FB2640" w:rsidP="00FB2640">
      <w:pPr>
        <w:spacing w:line="400" w:lineRule="exact"/>
        <w:rPr>
          <w:rFonts w:ascii="微軟正黑體" w:eastAsia="微軟正黑體" w:hAnsi="微軟正黑體"/>
          <w:sz w:val="20"/>
        </w:rPr>
      </w:pPr>
    </w:p>
    <w:p w:rsidR="00FB2640" w:rsidRPr="00714786" w:rsidRDefault="00FB2640" w:rsidP="00FB2640">
      <w:pPr>
        <w:pStyle w:val="af0"/>
        <w:numPr>
          <w:ilvl w:val="0"/>
          <w:numId w:val="19"/>
        </w:numPr>
        <w:adjustRightInd w:val="0"/>
        <w:spacing w:line="400" w:lineRule="exact"/>
        <w:ind w:leftChars="0"/>
        <w:textAlignment w:val="baseline"/>
        <w:rPr>
          <w:rFonts w:ascii="微軟正黑體" w:eastAsia="微軟正黑體" w:hAnsi="微軟正黑體"/>
        </w:rPr>
      </w:pPr>
      <w:r w:rsidRPr="00714786">
        <w:rPr>
          <w:rFonts w:ascii="微軟正黑體" w:eastAsia="微軟正黑體" w:hAnsi="微軟正黑體"/>
        </w:rPr>
        <w:t>基金</w:t>
      </w:r>
      <w:r>
        <w:rPr>
          <w:rFonts w:ascii="微軟正黑體" w:eastAsia="微軟正黑體" w:hAnsi="微軟正黑體" w:hint="eastAsia"/>
        </w:rPr>
        <w:t>資產</w:t>
      </w:r>
      <w:r w:rsidRPr="00714786">
        <w:rPr>
          <w:rFonts w:ascii="微軟正黑體" w:eastAsia="微軟正黑體" w:hAnsi="微軟正黑體"/>
        </w:rPr>
        <w:t>配</w:t>
      </w:r>
      <w:r w:rsidRPr="00714786">
        <w:rPr>
          <w:rFonts w:ascii="微軟正黑體" w:eastAsia="微軟正黑體" w:hAnsi="微軟正黑體" w:hint="eastAsia"/>
        </w:rPr>
        <w:t>置</w:t>
      </w:r>
    </w:p>
    <w:p w:rsidR="00FB2640" w:rsidRPr="00575C34" w:rsidRDefault="00FB2640" w:rsidP="00FB2640">
      <w:pPr>
        <w:pStyle w:val="af0"/>
        <w:spacing w:beforeLines="30" w:before="108" w:line="400" w:lineRule="exact"/>
        <w:ind w:leftChars="0" w:left="567"/>
        <w:jc w:val="both"/>
        <w:rPr>
          <w:rFonts w:ascii="微軟正黑體" w:eastAsia="微軟正黑體" w:hAnsi="微軟正黑體"/>
        </w:rPr>
      </w:pPr>
      <w:r>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年底勞保基金</w:t>
      </w:r>
      <w:r>
        <w:rPr>
          <w:rFonts w:ascii="微軟正黑體" w:eastAsia="微軟正黑體" w:hAnsi="微軟正黑體" w:hint="eastAsia"/>
        </w:rPr>
        <w:t>運用規模</w:t>
      </w:r>
      <w:r w:rsidRPr="00F0717A">
        <w:rPr>
          <w:rFonts w:ascii="微軟正黑體" w:eastAsia="微軟正黑體" w:hAnsi="微軟正黑體" w:hint="eastAsia"/>
        </w:rPr>
        <w:t>達</w:t>
      </w:r>
      <w:r>
        <w:rPr>
          <w:rFonts w:ascii="微軟正黑體" w:eastAsia="微軟正黑體" w:hAnsi="微軟正黑體" w:hint="eastAsia"/>
        </w:rPr>
        <w:t>7,8</w:t>
      </w:r>
      <w:r>
        <w:rPr>
          <w:rFonts w:ascii="微軟正黑體" w:eastAsia="微軟正黑體" w:hAnsi="微軟正黑體"/>
        </w:rPr>
        <w:t>50</w:t>
      </w:r>
      <w:r>
        <w:rPr>
          <w:rFonts w:ascii="微軟正黑體" w:eastAsia="微軟正黑體" w:hAnsi="微軟正黑體" w:hint="eastAsia"/>
        </w:rPr>
        <w:t>.</w:t>
      </w:r>
      <w:r>
        <w:rPr>
          <w:rFonts w:ascii="微軟正黑體" w:eastAsia="微軟正黑體" w:hAnsi="微軟正黑體"/>
        </w:rPr>
        <w:t>8</w:t>
      </w:r>
      <w:r w:rsidRPr="00F0717A">
        <w:rPr>
          <w:rFonts w:ascii="微軟正黑體" w:eastAsia="微軟正黑體" w:hAnsi="微軟正黑體" w:hint="eastAsia"/>
        </w:rPr>
        <w:t>億元，較上一年度</w:t>
      </w:r>
      <w:r>
        <w:rPr>
          <w:rFonts w:ascii="微軟正黑體" w:eastAsia="微軟正黑體" w:hAnsi="微軟正黑體" w:hint="eastAsia"/>
        </w:rPr>
        <w:t>增加</w:t>
      </w:r>
      <w:r w:rsidRPr="00575C34">
        <w:rPr>
          <w:rFonts w:ascii="微軟正黑體" w:eastAsia="微軟正黑體" w:hAnsi="微軟正黑體"/>
        </w:rPr>
        <w:t>440.8</w:t>
      </w:r>
      <w:r w:rsidRPr="00575C34">
        <w:rPr>
          <w:rFonts w:ascii="微軟正黑體" w:eastAsia="微軟正黑體" w:hAnsi="微軟正黑體" w:hint="eastAsia"/>
        </w:rPr>
        <w:t>億元，國內外委託經營占3</w:t>
      </w:r>
      <w:r>
        <w:rPr>
          <w:rFonts w:ascii="微軟正黑體" w:eastAsia="微軟正黑體" w:hAnsi="微軟正黑體"/>
        </w:rPr>
        <w:t>4.6</w:t>
      </w:r>
      <w:r w:rsidRPr="00575C34">
        <w:rPr>
          <w:rFonts w:ascii="微軟正黑體" w:eastAsia="微軟正黑體" w:hAnsi="微軟正黑體" w:hint="eastAsia"/>
        </w:rPr>
        <w:t>%；自行運用占6</w:t>
      </w:r>
      <w:r>
        <w:rPr>
          <w:rFonts w:ascii="微軟正黑體" w:eastAsia="微軟正黑體" w:hAnsi="微軟正黑體"/>
        </w:rPr>
        <w:t>5</w:t>
      </w:r>
      <w:r w:rsidRPr="00575C34">
        <w:rPr>
          <w:rFonts w:ascii="微軟正黑體" w:eastAsia="微軟正黑體" w:hAnsi="微軟正黑體" w:hint="eastAsia"/>
        </w:rPr>
        <w:t>.4%</w:t>
      </w:r>
      <w:r w:rsidRPr="00CA1091">
        <w:rPr>
          <w:rFonts w:ascii="微軟正黑體" w:eastAsia="微軟正黑體" w:hAnsi="微軟正黑體" w:hint="eastAsia"/>
        </w:rPr>
        <w:t>，主要為：「股票及受益憑證投資(含期貨)」占</w:t>
      </w:r>
      <w:r w:rsidRPr="00CA1091">
        <w:rPr>
          <w:rFonts w:ascii="微軟正黑體" w:eastAsia="微軟正黑體" w:hAnsi="微軟正黑體"/>
        </w:rPr>
        <w:t>21</w:t>
      </w:r>
      <w:r w:rsidRPr="00CA1091">
        <w:rPr>
          <w:rFonts w:ascii="微軟正黑體" w:eastAsia="微軟正黑體" w:hAnsi="微軟正黑體" w:hint="eastAsia"/>
        </w:rPr>
        <w:t>.6%、「國外投資」占1</w:t>
      </w:r>
      <w:r w:rsidRPr="00CA1091">
        <w:rPr>
          <w:rFonts w:ascii="微軟正黑體" w:eastAsia="微軟正黑體" w:hAnsi="微軟正黑體"/>
        </w:rPr>
        <w:t>9.3</w:t>
      </w:r>
      <w:r w:rsidRPr="00CA1091">
        <w:rPr>
          <w:rFonts w:ascii="微軟正黑體" w:eastAsia="微軟正黑體" w:hAnsi="微軟正黑體" w:hint="eastAsia"/>
        </w:rPr>
        <w:t>%及「公債、公司債、金融</w:t>
      </w:r>
      <w:r w:rsidRPr="00575C34">
        <w:rPr>
          <w:rFonts w:ascii="微軟正黑體" w:eastAsia="微軟正黑體" w:hAnsi="微軟正黑體" w:hint="eastAsia"/>
        </w:rPr>
        <w:t>債券及證券化商品」占</w:t>
      </w:r>
      <w:r>
        <w:rPr>
          <w:rFonts w:ascii="微軟正黑體" w:eastAsia="微軟正黑體" w:hAnsi="微軟正黑體"/>
        </w:rPr>
        <w:t>9</w:t>
      </w:r>
      <w:r w:rsidRPr="00575C34">
        <w:rPr>
          <w:rFonts w:ascii="微軟正黑體" w:eastAsia="微軟正黑體" w:hAnsi="微軟正黑體" w:hint="eastAsia"/>
        </w:rPr>
        <w:t>.3%。</w:t>
      </w:r>
    </w:p>
    <w:p w:rsidR="00FB2640" w:rsidRPr="00F0717A" w:rsidRDefault="00FB2640" w:rsidP="00FB2640">
      <w:pPr>
        <w:pStyle w:val="af0"/>
        <w:spacing w:beforeLines="30" w:before="108" w:line="400" w:lineRule="exact"/>
        <w:ind w:leftChars="0" w:left="386"/>
        <w:rPr>
          <w:rFonts w:ascii="微軟正黑體" w:eastAsia="微軟正黑體" w:hAnsi="微軟正黑體"/>
        </w:rPr>
      </w:pPr>
      <w:r w:rsidRPr="00F0717A">
        <w:rPr>
          <w:rFonts w:ascii="微軟正黑體" w:eastAsia="微軟正黑體" w:hAnsi="微軟正黑體"/>
          <w:noProof/>
        </w:rPr>
        <w:lastRenderedPageBreak/>
        <mc:AlternateContent>
          <mc:Choice Requires="wps">
            <w:drawing>
              <wp:anchor distT="0" distB="0" distL="114300" distR="114300" simplePos="0" relativeHeight="252566528" behindDoc="0" locked="0" layoutInCell="1" allowOverlap="1" wp14:anchorId="31969240" wp14:editId="78758174">
                <wp:simplePos x="0" y="0"/>
                <wp:positionH relativeFrom="column">
                  <wp:posOffset>2017183</wp:posOffset>
                </wp:positionH>
                <wp:positionV relativeFrom="paragraph">
                  <wp:posOffset>126365</wp:posOffset>
                </wp:positionV>
                <wp:extent cx="109855" cy="101600"/>
                <wp:effectExtent l="0" t="0" r="23495" b="12700"/>
                <wp:wrapNone/>
                <wp:docPr id="366" name="矩形 366"/>
                <wp:cNvGraphicFramePr/>
                <a:graphic xmlns:a="http://schemas.openxmlformats.org/drawingml/2006/main">
                  <a:graphicData uri="http://schemas.microsoft.com/office/word/2010/wordprocessingShape">
                    <wps:wsp>
                      <wps:cNvSpPr/>
                      <wps:spPr>
                        <a:xfrm>
                          <a:off x="0" y="0"/>
                          <a:ext cx="109855" cy="101600"/>
                        </a:xfrm>
                        <a:prstGeom prst="rect">
                          <a:avLst/>
                        </a:prstGeom>
                        <a:solidFill>
                          <a:schemeClr val="accent6">
                            <a:lumMod val="40000"/>
                            <a:lumOff val="60000"/>
                          </a:schemeClr>
                        </a:solidFill>
                        <a:ln>
                          <a:solidFill>
                            <a:schemeClr val="accent6">
                              <a:lumMod val="40000"/>
                              <a:lumOff val="6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6" o:spid="_x0000_s1026" style="position:absolute;margin-left:158.85pt;margin-top:9.95pt;width:8.65pt;height:8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" fillcolor="#fbd4b4 [1305]" strokecolor="#fbd4b4 [1305]" strokeweight="2pt"/>
            </w:pict>
          </mc:Fallback>
        </mc:AlternateContent>
      </w:r>
      <w:r w:rsidRPr="00F0717A">
        <w:rPr>
          <w:rFonts w:ascii="微軟正黑體" w:eastAsia="微軟正黑體" w:hAnsi="微軟正黑體"/>
          <w:noProof/>
        </w:rPr>
        <mc:AlternateContent>
          <mc:Choice Requires="wps">
            <w:drawing>
              <wp:anchor distT="0" distB="0" distL="114300" distR="114300" simplePos="0" relativeHeight="252555264" behindDoc="0" locked="0" layoutInCell="1" allowOverlap="1" wp14:anchorId="4EF44809" wp14:editId="0C7C55B8">
                <wp:simplePos x="0" y="0"/>
                <wp:positionH relativeFrom="column">
                  <wp:posOffset>1184910</wp:posOffset>
                </wp:positionH>
                <wp:positionV relativeFrom="paragraph">
                  <wp:posOffset>123825</wp:posOffset>
                </wp:positionV>
                <wp:extent cx="109855" cy="101600"/>
                <wp:effectExtent l="0" t="0" r="23495" b="12700"/>
                <wp:wrapNone/>
                <wp:docPr id="367" name="矩形 367"/>
                <wp:cNvGraphicFramePr/>
                <a:graphic xmlns:a="http://schemas.openxmlformats.org/drawingml/2006/main">
                  <a:graphicData uri="http://schemas.microsoft.com/office/word/2010/wordprocessingShape">
                    <wps:wsp>
                      <wps:cNvSpPr/>
                      <wps:spPr>
                        <a:xfrm>
                          <a:off x="0" y="0"/>
                          <a:ext cx="109855" cy="101600"/>
                        </a:xfrm>
                        <a:prstGeom prst="rect">
                          <a:avLst/>
                        </a:prstGeom>
                        <a:solidFill>
                          <a:schemeClr val="accent6"/>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7" o:spid="_x0000_s1026" style="position:absolute;margin-left:93.3pt;margin-top:9.75pt;width:8.65pt;height: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" fillcolor="#f79646 [3209]" strokecolor="#f79646 [3209]" strokeweight="2pt"/>
            </w:pict>
          </mc:Fallback>
        </mc:AlternateContent>
      </w:r>
      <w:r w:rsidRPr="00F0717A">
        <w:rPr>
          <w:noProof/>
        </w:rPr>
        <mc:AlternateContent>
          <mc:Choice Requires="wps">
            <w:drawing>
              <wp:anchor distT="0" distB="0" distL="114300" distR="114300" simplePos="0" relativeHeight="252550144" behindDoc="0" locked="0" layoutInCell="1" allowOverlap="1" wp14:anchorId="18F11C28" wp14:editId="74D1F9BA">
                <wp:simplePos x="0" y="0"/>
                <wp:positionH relativeFrom="column">
                  <wp:posOffset>1240790</wp:posOffset>
                </wp:positionH>
                <wp:positionV relativeFrom="paragraph">
                  <wp:posOffset>20108</wp:posOffset>
                </wp:positionV>
                <wp:extent cx="1574800" cy="317500"/>
                <wp:effectExtent l="0" t="0" r="6350" b="6350"/>
                <wp:wrapNone/>
                <wp:docPr id="3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17500"/>
                        </a:xfrm>
                        <a:prstGeom prst="rect">
                          <a:avLst/>
                        </a:prstGeom>
                        <a:solidFill>
                          <a:srgbClr val="FFFFFF"/>
                        </a:solidFill>
                        <a:ln w="9525">
                          <a:noFill/>
                          <a:miter lim="800000"/>
                          <a:headEnd/>
                          <a:tailEnd/>
                        </a:ln>
                      </wps:spPr>
                      <wps:txbx>
                        <w:txbxContent>
                          <w:p w:rsidR="00745375" w:rsidRPr="00DB49C5" w:rsidRDefault="00745375" w:rsidP="00FB2640">
                            <w:pPr>
                              <w:rPr>
                                <w:rFonts w:ascii="微軟正黑體" w:eastAsia="微軟正黑體" w:hAnsi="微軟正黑體"/>
                                <w:sz w:val="20"/>
                              </w:rPr>
                            </w:pPr>
                            <w:r w:rsidRPr="00DB49C5">
                              <w:rPr>
                                <w:rFonts w:ascii="微軟正黑體" w:eastAsia="微軟正黑體" w:hAnsi="微軟正黑體" w:hint="eastAsia"/>
                                <w:sz w:val="20"/>
                              </w:rPr>
                              <w:t>委託經營     自行運用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97.7pt;margin-top:1.6pt;width:124pt;height: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" stroked="f">
                <v:textbox>
                  <w:txbxContent>
                    <w:p w:rsidR="00745375" w:rsidRPr="00DB49C5" w:rsidRDefault="00745375" w:rsidP="00FB2640">
                      <w:pPr>
                        <w:rPr>
                          <w:rFonts w:ascii="微軟正黑體" w:eastAsia="微軟正黑體" w:hAnsi="微軟正黑體"/>
                          <w:sz w:val="20"/>
                        </w:rPr>
                      </w:pPr>
                      <w:r w:rsidRPr="00DB49C5">
                        <w:rPr>
                          <w:rFonts w:ascii="微軟正黑體" w:eastAsia="微軟正黑體" w:hAnsi="微軟正黑體" w:hint="eastAsia"/>
                          <w:sz w:val="20"/>
                        </w:rPr>
                        <w:t>委託經營     自行運用</w:t>
                      </w:r>
                    </w:p>
                  </w:txbxContent>
                </v:textbox>
              </v:shape>
            </w:pict>
          </mc:Fallback>
        </mc:AlternateContent>
      </w:r>
      <w:r>
        <w:rPr>
          <w:noProof/>
        </w:rPr>
        <w:drawing>
          <wp:anchor distT="0" distB="0" distL="114300" distR="114300" simplePos="0" relativeHeight="252549120" behindDoc="0" locked="0" layoutInCell="1" allowOverlap="1" wp14:anchorId="3666548C" wp14:editId="0EC661FE">
            <wp:simplePos x="0" y="0"/>
            <wp:positionH relativeFrom="column">
              <wp:posOffset>-2963</wp:posOffset>
            </wp:positionH>
            <wp:positionV relativeFrom="paragraph">
              <wp:posOffset>-423</wp:posOffset>
            </wp:positionV>
            <wp:extent cx="5791200" cy="3632200"/>
            <wp:effectExtent l="0" t="0" r="19050" b="25400"/>
            <wp:wrapNone/>
            <wp:docPr id="41" name="圖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AB2724"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sidRPr="00F0717A">
        <w:rPr>
          <w:rFonts w:ascii="微軟正黑體" w:eastAsia="微軟正黑體" w:hAnsi="微軟正黑體" w:hint="eastAsia"/>
        </w:rPr>
        <w:t xml:space="preserve">     </w:t>
      </w:r>
    </w:p>
    <w:p w:rsidR="00FB2640" w:rsidRPr="00F0717A" w:rsidRDefault="00FB2640" w:rsidP="00FB2640">
      <w:pPr>
        <w:spacing w:line="400" w:lineRule="exact"/>
        <w:rPr>
          <w:rFonts w:ascii="微軟正黑體" w:eastAsia="微軟正黑體" w:hAnsi="微軟正黑體"/>
        </w:rPr>
      </w:pPr>
      <w:r w:rsidRPr="00F0717A">
        <w:rPr>
          <w:rFonts w:ascii="微軟正黑體" w:eastAsia="微軟正黑體" w:hAnsi="微軟正黑體" w:hint="eastAsia"/>
        </w:rPr>
        <w:t xml:space="preserve">        </w:t>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sidRPr="00F0717A">
        <w:rPr>
          <w:rFonts w:ascii="微軟正黑體" w:eastAsia="微軟正黑體" w:hAnsi="微軟正黑體"/>
          <w:noProof/>
        </w:rPr>
        <mc:AlternateContent>
          <mc:Choice Requires="wps">
            <w:drawing>
              <wp:anchor distT="0" distB="0" distL="114300" distR="114300" simplePos="0" relativeHeight="252548096" behindDoc="0" locked="0" layoutInCell="1" allowOverlap="1" wp14:anchorId="6BAA0CA9" wp14:editId="75B4A2DB">
                <wp:simplePos x="0" y="0"/>
                <wp:positionH relativeFrom="column">
                  <wp:posOffset>-33020</wp:posOffset>
                </wp:positionH>
                <wp:positionV relativeFrom="paragraph">
                  <wp:posOffset>121317</wp:posOffset>
                </wp:positionV>
                <wp:extent cx="2853055" cy="295910"/>
                <wp:effectExtent l="0" t="0" r="4445" b="8890"/>
                <wp:wrapNone/>
                <wp:docPr id="3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95910"/>
                        </a:xfrm>
                        <a:prstGeom prst="rect">
                          <a:avLst/>
                        </a:prstGeom>
                        <a:solidFill>
                          <a:srgbClr val="FFFFFF"/>
                        </a:solidFill>
                        <a:ln w="9525">
                          <a:noFill/>
                          <a:miter lim="800000"/>
                          <a:headEnd/>
                          <a:tailEnd/>
                        </a:ln>
                      </wps:spPr>
                      <wps:txbx>
                        <w:txbxContent>
                          <w:p w:rsidR="00745375" w:rsidRPr="00540801" w:rsidRDefault="00745375" w:rsidP="00FB2640">
                            <w:pPr>
                              <w:rPr>
                                <w:rFonts w:ascii="微軟正黑體" w:eastAsia="微軟正黑體" w:hAnsi="微軟正黑體"/>
                              </w:rPr>
                            </w:pPr>
                            <w:r w:rsidRPr="00540801">
                              <w:rPr>
                                <w:rFonts w:ascii="微軟正黑體" w:eastAsia="微軟正黑體" w:hAnsi="微軟正黑體" w:hint="eastAsia"/>
                                <w:sz w:val="20"/>
                              </w:rPr>
                              <w:t>註：基金資產配置包含勞工保險職業災害保險。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6pt;margin-top:9.55pt;width:224.65pt;height:23.3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" stroked="f">
                <v:textbox>
                  <w:txbxContent>
                    <w:p w:rsidR="00745375" w:rsidRPr="00540801" w:rsidRDefault="00745375" w:rsidP="00FB2640">
                      <w:pPr>
                        <w:rPr>
                          <w:rFonts w:ascii="微軟正黑體" w:eastAsia="微軟正黑體" w:hAnsi="微軟正黑體"/>
                        </w:rPr>
                      </w:pPr>
                      <w:r w:rsidRPr="00540801">
                        <w:rPr>
                          <w:rFonts w:ascii="微軟正黑體" w:eastAsia="微軟正黑體" w:hAnsi="微軟正黑體" w:hint="eastAsia"/>
                          <w:sz w:val="20"/>
                        </w:rPr>
                        <w:t>註：基金資產配置包含勞工保險職業災害保險。</w:t>
                      </w:r>
                    </w:p>
                  </w:txbxContent>
                </v:textbox>
              </v:shape>
            </w:pict>
          </mc:Fallback>
        </mc:AlternateContent>
      </w:r>
    </w:p>
    <w:p w:rsidR="00FB2640" w:rsidRPr="00F0717A" w:rsidRDefault="00FB2640" w:rsidP="00FB2640">
      <w:pPr>
        <w:spacing w:beforeLines="100" w:before="360" w:line="400" w:lineRule="exact"/>
        <w:jc w:val="center"/>
        <w:rPr>
          <w:rFonts w:ascii="微軟正黑體" w:eastAsia="微軟正黑體" w:hAnsi="微軟正黑體"/>
        </w:rPr>
      </w:pPr>
      <w:r w:rsidRPr="00F0717A">
        <w:rPr>
          <w:rFonts w:ascii="微軟正黑體" w:eastAsia="微軟正黑體" w:hAnsi="微軟正黑體" w:hint="eastAsia"/>
        </w:rPr>
        <w:t>圖2.1</w:t>
      </w:r>
      <w:r>
        <w:rPr>
          <w:rFonts w:ascii="微軟正黑體" w:eastAsia="微軟正黑體" w:hAnsi="微軟正黑體" w:hint="eastAsia"/>
        </w:rPr>
        <w:t>3</w:t>
      </w: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年勞保基金資產配置情形</w:t>
      </w:r>
    </w:p>
    <w:p w:rsidR="00FB2640" w:rsidRPr="00541689" w:rsidRDefault="00FB2640" w:rsidP="00FB2640">
      <w:pPr>
        <w:pStyle w:val="af0"/>
        <w:numPr>
          <w:ilvl w:val="0"/>
          <w:numId w:val="19"/>
        </w:numPr>
        <w:adjustRightInd w:val="0"/>
        <w:spacing w:beforeLines="100" w:before="360" w:line="400" w:lineRule="exact"/>
        <w:ind w:leftChars="0"/>
        <w:textAlignment w:val="baseline"/>
        <w:rPr>
          <w:rFonts w:ascii="微軟正黑體" w:eastAsia="微軟正黑體" w:hAnsi="微軟正黑體"/>
        </w:rPr>
      </w:pPr>
      <w:r w:rsidRPr="00541689">
        <w:rPr>
          <w:rFonts w:ascii="微軟正黑體" w:eastAsia="微軟正黑體" w:hAnsi="微軟正黑體"/>
        </w:rPr>
        <w:t>精算報告</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w:t>
      </w:r>
      <w:r w:rsidRPr="00F0717A">
        <w:rPr>
          <w:rFonts w:ascii="微軟正黑體" w:eastAsia="微軟正黑體" w:hAnsi="微軟正黑體"/>
        </w:rPr>
        <w:t xml:space="preserve">   「勞工保險條例施行細則」第26條之1規定</w:t>
      </w:r>
      <w:r w:rsidRPr="00F0717A">
        <w:rPr>
          <w:rFonts w:ascii="微軟正黑體" w:eastAsia="微軟正黑體" w:hAnsi="微軟正黑體" w:hint="eastAsia"/>
        </w:rPr>
        <w:t>，</w:t>
      </w:r>
      <w:r w:rsidRPr="00F0717A">
        <w:rPr>
          <w:rFonts w:ascii="微軟正黑體" w:eastAsia="微軟正黑體" w:hAnsi="微軟正黑體"/>
        </w:rPr>
        <w:t>保險人應至少每</w:t>
      </w:r>
      <w:r w:rsidRPr="00F0717A">
        <w:rPr>
          <w:rFonts w:ascii="微軟正黑體" w:eastAsia="微軟正黑體" w:hAnsi="微軟正黑體" w:hint="eastAsia"/>
        </w:rPr>
        <w:t>3</w:t>
      </w:r>
      <w:r w:rsidRPr="00F0717A">
        <w:rPr>
          <w:rFonts w:ascii="微軟正黑體" w:eastAsia="微軟正黑體" w:hAnsi="微軟正黑體"/>
        </w:rPr>
        <w:t>年精算一次</w:t>
      </w:r>
      <w:r w:rsidRPr="00F0717A">
        <w:rPr>
          <w:rFonts w:ascii="微軟正黑體" w:eastAsia="微軟正黑體" w:hAnsi="微軟正黑體" w:hint="eastAsia"/>
        </w:rPr>
        <w:t>該</w:t>
      </w:r>
      <w:r w:rsidRPr="00F0717A">
        <w:rPr>
          <w:rFonts w:ascii="微軟正黑體" w:eastAsia="微軟正黑體" w:hAnsi="微軟正黑體"/>
        </w:rPr>
        <w:t>條例第</w:t>
      </w:r>
      <w:r w:rsidRPr="00F0717A">
        <w:rPr>
          <w:rFonts w:ascii="微軟正黑體" w:eastAsia="微軟正黑體" w:hAnsi="微軟正黑體" w:hint="eastAsia"/>
        </w:rPr>
        <w:t>13</w:t>
      </w:r>
      <w:r w:rsidRPr="00F0717A">
        <w:rPr>
          <w:rFonts w:ascii="微軟正黑體" w:eastAsia="微軟正黑體" w:hAnsi="微軟正黑體"/>
        </w:rPr>
        <w:t>條所定之普通事故保險費率，每次精算</w:t>
      </w:r>
      <w:r w:rsidRPr="00F0717A">
        <w:rPr>
          <w:rFonts w:ascii="微軟正黑體" w:eastAsia="微軟正黑體" w:hAnsi="微軟正黑體" w:hint="eastAsia"/>
        </w:rPr>
        <w:t>50</w:t>
      </w:r>
      <w:r w:rsidRPr="00F0717A">
        <w:rPr>
          <w:rFonts w:ascii="微軟正黑體" w:eastAsia="微軟正黑體" w:hAnsi="微軟正黑體"/>
        </w:rPr>
        <w:t>年。</w:t>
      </w:r>
    </w:p>
    <w:p w:rsidR="00FB2640" w:rsidRPr="00E00B6B" w:rsidRDefault="00FB2640" w:rsidP="00FB2640">
      <w:pPr>
        <w:pStyle w:val="af0"/>
        <w:spacing w:beforeLines="30" w:before="108" w:line="400" w:lineRule="exact"/>
        <w:ind w:leftChars="0" w:left="567"/>
        <w:jc w:val="both"/>
        <w:rPr>
          <w:rFonts w:ascii="微軟正黑體" w:eastAsia="微軟正黑體" w:hAnsi="微軟正黑體"/>
          <w:b/>
        </w:rPr>
      </w:pPr>
      <w:r w:rsidRPr="00F0717A">
        <w:rPr>
          <w:rFonts w:ascii="微軟正黑體" w:eastAsia="微軟正黑體" w:hAnsi="微軟正黑體"/>
        </w:rPr>
        <w:t xml:space="preserve">   </w:t>
      </w:r>
      <w:r w:rsidRPr="003639B5">
        <w:rPr>
          <w:rFonts w:ascii="微軟正黑體" w:eastAsia="微軟正黑體" w:hAnsi="微軟正黑體"/>
          <w:color w:val="FF0000"/>
        </w:rPr>
        <w:t xml:space="preserve"> </w:t>
      </w:r>
      <w:r w:rsidRPr="00E00B6B">
        <w:rPr>
          <w:rFonts w:ascii="微軟正黑體" w:eastAsia="微軟正黑體" w:hAnsi="微軟正黑體" w:hint="eastAsia"/>
        </w:rPr>
        <w:t>依</w:t>
      </w:r>
      <w:r w:rsidRPr="00E00B6B">
        <w:rPr>
          <w:rFonts w:ascii="微軟正黑體" w:eastAsia="微軟正黑體" w:hAnsi="微軟正黑體"/>
        </w:rPr>
        <w:t>10</w:t>
      </w:r>
      <w:r w:rsidRPr="00E00B6B">
        <w:rPr>
          <w:rFonts w:ascii="微軟正黑體" w:eastAsia="微軟正黑體" w:hAnsi="微軟正黑體" w:hint="eastAsia"/>
        </w:rPr>
        <w:t>7</w:t>
      </w:r>
      <w:r w:rsidRPr="00E00B6B">
        <w:rPr>
          <w:rFonts w:ascii="微軟正黑體" w:eastAsia="微軟正黑體" w:hAnsi="微軟正黑體"/>
        </w:rPr>
        <w:t>年</w:t>
      </w:r>
      <w:r w:rsidRPr="00E00B6B">
        <w:rPr>
          <w:rFonts w:ascii="微軟正黑體" w:eastAsia="微軟正黑體" w:hAnsi="微軟正黑體" w:hint="eastAsia"/>
        </w:rPr>
        <w:t>公布之</w:t>
      </w:r>
      <w:r w:rsidRPr="00E00B6B">
        <w:rPr>
          <w:rFonts w:ascii="微軟正黑體" w:eastAsia="微軟正黑體" w:hAnsi="微軟正黑體"/>
        </w:rPr>
        <w:t>勞工保險普通事故保險費率精算結果顯示，最適</w:t>
      </w:r>
      <w:r w:rsidRPr="00E00B6B">
        <w:rPr>
          <w:rFonts w:ascii="微軟正黑體" w:eastAsia="微軟正黑體" w:hAnsi="微軟正黑體" w:hint="eastAsia"/>
        </w:rPr>
        <w:t>平衡</w:t>
      </w:r>
      <w:r w:rsidRPr="00E00B6B">
        <w:rPr>
          <w:rFonts w:ascii="微軟正黑體" w:eastAsia="微軟正黑體" w:hAnsi="微軟正黑體"/>
        </w:rPr>
        <w:t>費率為27.</w:t>
      </w:r>
      <w:r w:rsidRPr="00E00B6B">
        <w:rPr>
          <w:rFonts w:ascii="微軟正黑體" w:eastAsia="微軟正黑體" w:hAnsi="微軟正黑體" w:hint="eastAsia"/>
        </w:rPr>
        <w:t>94</w:t>
      </w:r>
      <w:r w:rsidRPr="00E00B6B">
        <w:rPr>
          <w:rFonts w:ascii="微軟正黑體" w:eastAsia="微軟正黑體" w:hAnsi="微軟正黑體"/>
        </w:rPr>
        <w:t>%，</w:t>
      </w:r>
      <w:r w:rsidRPr="00E00B6B">
        <w:rPr>
          <w:rFonts w:ascii="微軟正黑體" w:eastAsia="微軟正黑體" w:hAnsi="微軟正黑體" w:hint="eastAsia"/>
        </w:rPr>
        <w:t>且已於106年首次出現當期保費收入不足以支付各項保險給付，並預估於115年基金累積餘額將轉為負值</w:t>
      </w:r>
      <w:r w:rsidRPr="00E00B6B">
        <w:rPr>
          <w:rFonts w:ascii="微軟正黑體" w:eastAsia="微軟正黑體" w:hAnsi="微軟正黑體" w:hint="eastAsia"/>
          <w:b/>
        </w:rPr>
        <w:t>。</w:t>
      </w:r>
    </w:p>
    <w:p w:rsidR="00FB2640" w:rsidRPr="00F0717A" w:rsidRDefault="00FB2640" w:rsidP="00FB2640">
      <w:pPr>
        <w:snapToGrid w:val="0"/>
        <w:spacing w:beforeLines="50" w:before="180" w:afterLines="30" w:after="108" w:line="400" w:lineRule="exact"/>
        <w:jc w:val="center"/>
        <w:rPr>
          <w:rFonts w:ascii="微軟正黑體" w:eastAsia="微軟正黑體" w:hAnsi="微軟正黑體"/>
        </w:rPr>
      </w:pPr>
      <w:r w:rsidRPr="00F0717A">
        <w:rPr>
          <w:rFonts w:ascii="微軟正黑體" w:eastAsia="微軟正黑體" w:hAnsi="微軟正黑體"/>
        </w:rPr>
        <w:t>表2.</w:t>
      </w:r>
      <w:r w:rsidRPr="00F0717A">
        <w:rPr>
          <w:rFonts w:ascii="微軟正黑體" w:eastAsia="微軟正黑體" w:hAnsi="微軟正黑體" w:hint="eastAsia"/>
        </w:rPr>
        <w:t>9</w:t>
      </w:r>
      <w:r>
        <w:rPr>
          <w:rFonts w:ascii="微軟正黑體" w:eastAsia="微軟正黑體" w:hAnsi="微軟正黑體" w:hint="eastAsia"/>
        </w:rPr>
        <w:t xml:space="preserve">  </w:t>
      </w:r>
      <w:r w:rsidRPr="00F0717A">
        <w:rPr>
          <w:rFonts w:ascii="微軟正黑體" w:eastAsia="微軟正黑體" w:hAnsi="微軟正黑體"/>
        </w:rPr>
        <w:t>勞保普通事故</w:t>
      </w:r>
      <w:r w:rsidRPr="00F0717A">
        <w:rPr>
          <w:rFonts w:ascii="微軟正黑體" w:eastAsia="微軟正黑體" w:hAnsi="微軟正黑體" w:hint="eastAsia"/>
        </w:rPr>
        <w:t>保險</w:t>
      </w:r>
      <w:r w:rsidRPr="00F0717A">
        <w:rPr>
          <w:rFonts w:ascii="微軟正黑體" w:eastAsia="微軟正黑體" w:hAnsi="微軟正黑體"/>
        </w:rPr>
        <w:t>最近一次精算結果</w:t>
      </w:r>
    </w:p>
    <w:tbl>
      <w:tblPr>
        <w:tblW w:w="7796" w:type="dxa"/>
        <w:jc w:val="center"/>
        <w:tblCellMar>
          <w:left w:w="28" w:type="dxa"/>
          <w:right w:w="28" w:type="dxa"/>
        </w:tblCellMar>
        <w:tblLook w:val="04A0" w:firstRow="1" w:lastRow="0" w:firstColumn="1" w:lastColumn="0" w:noHBand="0" w:noVBand="1"/>
      </w:tblPr>
      <w:tblGrid>
        <w:gridCol w:w="1559"/>
        <w:gridCol w:w="3544"/>
        <w:gridCol w:w="2693"/>
      </w:tblGrid>
      <w:tr w:rsidR="00FB2640" w:rsidRPr="00F0717A" w:rsidTr="008F1977">
        <w:trPr>
          <w:trHeight w:val="402"/>
          <w:jc w:val="center"/>
        </w:trPr>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資料時間</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10</w:t>
            </w:r>
            <w:r>
              <w:rPr>
                <w:rFonts w:ascii="微軟正黑體" w:eastAsia="微軟正黑體" w:hAnsi="微軟正黑體" w:hint="eastAsia"/>
              </w:rPr>
              <w:t>6</w:t>
            </w:r>
            <w:r w:rsidRPr="00F0717A">
              <w:rPr>
                <w:rFonts w:ascii="微軟正黑體" w:eastAsia="微軟正黑體" w:hAnsi="微軟正黑體"/>
              </w:rPr>
              <w:t>年12月</w:t>
            </w:r>
          </w:p>
        </w:tc>
      </w:tr>
      <w:tr w:rsidR="00FB2640" w:rsidRPr="00F0717A" w:rsidTr="008F1977">
        <w:trPr>
          <w:trHeight w:val="402"/>
          <w:jc w:val="center"/>
        </w:trPr>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報告完成年</w:t>
            </w:r>
            <w:r w:rsidRPr="00F0717A">
              <w:rPr>
                <w:rFonts w:ascii="微軟正黑體" w:eastAsia="微軟正黑體" w:hAnsi="微軟正黑體" w:hint="eastAsia"/>
              </w:rPr>
              <w:t>度</w:t>
            </w:r>
          </w:p>
        </w:tc>
        <w:tc>
          <w:tcPr>
            <w:tcW w:w="2693"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10</w:t>
            </w:r>
            <w:r>
              <w:rPr>
                <w:rFonts w:ascii="微軟正黑體" w:eastAsia="微軟正黑體" w:hAnsi="微軟正黑體" w:hint="eastAsia"/>
              </w:rPr>
              <w:t>7</w:t>
            </w:r>
            <w:r w:rsidRPr="00F0717A">
              <w:rPr>
                <w:rFonts w:ascii="微軟正黑體" w:eastAsia="微軟正黑體" w:hAnsi="微軟正黑體"/>
              </w:rPr>
              <w:t>年</w:t>
            </w:r>
            <w:r>
              <w:rPr>
                <w:rFonts w:ascii="微軟正黑體" w:eastAsia="微軟正黑體" w:hAnsi="微軟正黑體" w:hint="eastAsia"/>
              </w:rPr>
              <w:t>1</w:t>
            </w:r>
            <w:r w:rsidRPr="00F0717A">
              <w:rPr>
                <w:rFonts w:ascii="微軟正黑體" w:eastAsia="微軟正黑體" w:hAnsi="微軟正黑體" w:hint="eastAsia"/>
              </w:rPr>
              <w:t>2</w:t>
            </w:r>
            <w:r w:rsidRPr="00F0717A">
              <w:rPr>
                <w:rFonts w:ascii="微軟正黑體" w:eastAsia="微軟正黑體" w:hAnsi="微軟正黑體"/>
              </w:rPr>
              <w:t>月</w:t>
            </w:r>
          </w:p>
        </w:tc>
      </w:tr>
      <w:tr w:rsidR="00FB2640" w:rsidRPr="00F0717A" w:rsidTr="008F1977">
        <w:trPr>
          <w:trHeight w:val="402"/>
          <w:jc w:val="center"/>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精算</w:t>
            </w:r>
          </w:p>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假設</w:t>
            </w:r>
          </w:p>
        </w:tc>
        <w:tc>
          <w:tcPr>
            <w:tcW w:w="3544"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折現率及資產報酬率</w:t>
            </w:r>
          </w:p>
        </w:tc>
        <w:tc>
          <w:tcPr>
            <w:tcW w:w="2693"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3.</w:t>
            </w:r>
            <w:r w:rsidRPr="00F0717A">
              <w:rPr>
                <w:rFonts w:ascii="微軟正黑體" w:eastAsia="微軟正黑體" w:hAnsi="微軟正黑體" w:hint="eastAsia"/>
              </w:rPr>
              <w:t>5</w:t>
            </w:r>
            <w:r w:rsidRPr="00F0717A">
              <w:rPr>
                <w:rFonts w:ascii="微軟正黑體" w:eastAsia="微軟正黑體" w:hAnsi="微軟正黑體"/>
              </w:rPr>
              <w:t>%</w:t>
            </w:r>
          </w:p>
        </w:tc>
      </w:tr>
      <w:tr w:rsidR="00FB2640" w:rsidRPr="00F0717A" w:rsidTr="008F1977">
        <w:trPr>
          <w:trHeight w:val="402"/>
          <w:jc w:val="center"/>
        </w:trPr>
        <w:tc>
          <w:tcPr>
            <w:tcW w:w="1559" w:type="dxa"/>
            <w:vMerge/>
            <w:tcBorders>
              <w:top w:val="nil"/>
              <w:left w:val="single" w:sz="4" w:space="0" w:color="auto"/>
              <w:bottom w:val="single" w:sz="4" w:space="0" w:color="000000"/>
              <w:right w:val="single" w:sz="4" w:space="0" w:color="auto"/>
            </w:tcBorders>
            <w:vAlign w:val="center"/>
            <w:hideMark/>
          </w:tcPr>
          <w:p w:rsidR="00FB2640" w:rsidRPr="00F0717A" w:rsidRDefault="00FB2640" w:rsidP="008F1977">
            <w:pPr>
              <w:widowControl/>
              <w:spacing w:line="400" w:lineRule="exact"/>
              <w:rPr>
                <w:rFonts w:ascii="微軟正黑體" w:eastAsia="微軟正黑體" w:hAnsi="微軟正黑體"/>
              </w:rPr>
            </w:pPr>
          </w:p>
        </w:tc>
        <w:tc>
          <w:tcPr>
            <w:tcW w:w="3544"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投保薪資調整率</w:t>
            </w:r>
          </w:p>
        </w:tc>
        <w:tc>
          <w:tcPr>
            <w:tcW w:w="2693"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1.</w:t>
            </w:r>
            <w:r>
              <w:rPr>
                <w:rFonts w:ascii="微軟正黑體" w:eastAsia="微軟正黑體" w:hAnsi="微軟正黑體" w:hint="eastAsia"/>
              </w:rPr>
              <w:t>5</w:t>
            </w:r>
            <w:r w:rsidRPr="00F0717A">
              <w:rPr>
                <w:rFonts w:ascii="微軟正黑體" w:eastAsia="微軟正黑體" w:hAnsi="微軟正黑體"/>
              </w:rPr>
              <w:t>%</w:t>
            </w:r>
          </w:p>
        </w:tc>
      </w:tr>
      <w:tr w:rsidR="00FB2640" w:rsidRPr="00F0717A" w:rsidTr="008F1977">
        <w:trPr>
          <w:trHeight w:val="402"/>
          <w:jc w:val="center"/>
        </w:trPr>
        <w:tc>
          <w:tcPr>
            <w:tcW w:w="1559" w:type="dxa"/>
            <w:vMerge/>
            <w:tcBorders>
              <w:top w:val="nil"/>
              <w:left w:val="single" w:sz="4" w:space="0" w:color="auto"/>
              <w:bottom w:val="single" w:sz="4" w:space="0" w:color="000000"/>
              <w:right w:val="single" w:sz="4" w:space="0" w:color="auto"/>
            </w:tcBorders>
            <w:vAlign w:val="center"/>
            <w:hideMark/>
          </w:tcPr>
          <w:p w:rsidR="00FB2640" w:rsidRPr="00F0717A" w:rsidRDefault="00FB2640" w:rsidP="008F1977">
            <w:pPr>
              <w:widowControl/>
              <w:spacing w:line="400" w:lineRule="exact"/>
              <w:rPr>
                <w:rFonts w:ascii="微軟正黑體" w:eastAsia="微軟正黑體" w:hAnsi="微軟正黑體"/>
              </w:rPr>
            </w:pPr>
          </w:p>
        </w:tc>
        <w:tc>
          <w:tcPr>
            <w:tcW w:w="3544"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消費者物價指數</w:t>
            </w:r>
          </w:p>
        </w:tc>
        <w:tc>
          <w:tcPr>
            <w:tcW w:w="2693"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1.</w:t>
            </w:r>
            <w:r>
              <w:rPr>
                <w:rFonts w:ascii="微軟正黑體" w:eastAsia="微軟正黑體" w:hAnsi="微軟正黑體" w:hint="eastAsia"/>
              </w:rPr>
              <w:t>1</w:t>
            </w:r>
            <w:r w:rsidRPr="00F0717A">
              <w:rPr>
                <w:rFonts w:ascii="微軟正黑體" w:eastAsia="微軟正黑體" w:hAnsi="微軟正黑體"/>
              </w:rPr>
              <w:t>%</w:t>
            </w:r>
          </w:p>
        </w:tc>
      </w:tr>
      <w:tr w:rsidR="00FB2640" w:rsidRPr="00F0717A" w:rsidTr="008F1977">
        <w:trPr>
          <w:trHeight w:val="402"/>
          <w:jc w:val="center"/>
        </w:trPr>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精算</w:t>
            </w:r>
          </w:p>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結果</w:t>
            </w:r>
          </w:p>
        </w:tc>
        <w:tc>
          <w:tcPr>
            <w:tcW w:w="3544"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hint="eastAsia"/>
              </w:rPr>
              <w:t>平衡</w:t>
            </w:r>
            <w:r w:rsidRPr="00F0717A">
              <w:rPr>
                <w:rFonts w:ascii="微軟正黑體" w:eastAsia="微軟正黑體" w:hAnsi="微軟正黑體"/>
              </w:rPr>
              <w:t>費率</w:t>
            </w:r>
          </w:p>
        </w:tc>
        <w:tc>
          <w:tcPr>
            <w:tcW w:w="2693"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rPr>
              <w:t>27.</w:t>
            </w:r>
            <w:r>
              <w:rPr>
                <w:rFonts w:ascii="微軟正黑體" w:eastAsia="微軟正黑體" w:hAnsi="微軟正黑體" w:hint="eastAsia"/>
              </w:rPr>
              <w:t>94</w:t>
            </w:r>
            <w:r w:rsidRPr="00F0717A">
              <w:rPr>
                <w:rFonts w:ascii="微軟正黑體" w:eastAsia="微軟正黑體" w:hAnsi="微軟正黑體"/>
              </w:rPr>
              <w:t>%</w:t>
            </w:r>
          </w:p>
        </w:tc>
      </w:tr>
      <w:tr w:rsidR="00FB2640" w:rsidRPr="00F0717A" w:rsidTr="008F1977">
        <w:trPr>
          <w:trHeight w:val="402"/>
          <w:jc w:val="center"/>
        </w:trPr>
        <w:tc>
          <w:tcPr>
            <w:tcW w:w="1559" w:type="dxa"/>
            <w:vMerge/>
            <w:tcBorders>
              <w:top w:val="nil"/>
              <w:left w:val="single" w:sz="4" w:space="0" w:color="auto"/>
              <w:bottom w:val="single" w:sz="4" w:space="0" w:color="000000"/>
              <w:right w:val="single" w:sz="4" w:space="0" w:color="auto"/>
            </w:tcBorders>
            <w:vAlign w:val="center"/>
            <w:hideMark/>
          </w:tcPr>
          <w:p w:rsidR="00FB2640" w:rsidRPr="00F0717A" w:rsidRDefault="00FB2640" w:rsidP="008F1977">
            <w:pPr>
              <w:widowControl/>
              <w:spacing w:line="400" w:lineRule="exact"/>
              <w:rPr>
                <w:rFonts w:ascii="微軟正黑體" w:eastAsia="微軟正黑體" w:hAnsi="微軟正黑體"/>
              </w:rPr>
            </w:pPr>
          </w:p>
        </w:tc>
        <w:tc>
          <w:tcPr>
            <w:tcW w:w="3544"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hint="eastAsia"/>
              </w:rPr>
              <w:t>首次出現保費收入不足支出年度</w:t>
            </w:r>
          </w:p>
        </w:tc>
        <w:tc>
          <w:tcPr>
            <w:tcW w:w="2693"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Pr>
                <w:rFonts w:ascii="微軟正黑體" w:eastAsia="微軟正黑體" w:hAnsi="微軟正黑體"/>
              </w:rPr>
              <w:t>10</w:t>
            </w:r>
            <w:r>
              <w:rPr>
                <w:rFonts w:ascii="微軟正黑體" w:eastAsia="微軟正黑體" w:hAnsi="微軟正黑體" w:hint="eastAsia"/>
              </w:rPr>
              <w:t>6</w:t>
            </w:r>
            <w:r w:rsidRPr="00F0717A">
              <w:rPr>
                <w:rFonts w:ascii="微軟正黑體" w:eastAsia="微軟正黑體" w:hAnsi="微軟正黑體"/>
              </w:rPr>
              <w:t>年</w:t>
            </w:r>
          </w:p>
        </w:tc>
      </w:tr>
      <w:tr w:rsidR="00FB2640" w:rsidRPr="00F0717A" w:rsidTr="008F1977">
        <w:trPr>
          <w:trHeight w:val="402"/>
          <w:jc w:val="center"/>
        </w:trPr>
        <w:tc>
          <w:tcPr>
            <w:tcW w:w="1559" w:type="dxa"/>
            <w:vMerge/>
            <w:tcBorders>
              <w:top w:val="nil"/>
              <w:left w:val="single" w:sz="4" w:space="0" w:color="auto"/>
              <w:bottom w:val="single" w:sz="4" w:space="0" w:color="000000"/>
              <w:right w:val="single" w:sz="4" w:space="0" w:color="auto"/>
            </w:tcBorders>
            <w:vAlign w:val="center"/>
            <w:hideMark/>
          </w:tcPr>
          <w:p w:rsidR="00FB2640" w:rsidRPr="00F0717A" w:rsidRDefault="00FB2640" w:rsidP="008F1977">
            <w:pPr>
              <w:widowControl/>
              <w:spacing w:line="400" w:lineRule="exact"/>
              <w:rPr>
                <w:rFonts w:ascii="微軟正黑體" w:eastAsia="微軟正黑體" w:hAnsi="微軟正黑體"/>
              </w:rPr>
            </w:pPr>
          </w:p>
        </w:tc>
        <w:tc>
          <w:tcPr>
            <w:tcW w:w="3544"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sidRPr="00F0717A">
              <w:rPr>
                <w:rFonts w:ascii="微軟正黑體" w:eastAsia="微軟正黑體" w:hAnsi="微軟正黑體" w:hint="eastAsia"/>
              </w:rPr>
              <w:t>首次基金累積餘額出現負值年度</w:t>
            </w:r>
          </w:p>
        </w:tc>
        <w:tc>
          <w:tcPr>
            <w:tcW w:w="2693" w:type="dxa"/>
            <w:tcBorders>
              <w:top w:val="nil"/>
              <w:left w:val="nil"/>
              <w:bottom w:val="single" w:sz="4" w:space="0" w:color="auto"/>
              <w:right w:val="single" w:sz="4" w:space="0" w:color="auto"/>
            </w:tcBorders>
            <w:shd w:val="clear" w:color="auto" w:fill="auto"/>
            <w:vAlign w:val="center"/>
            <w:hideMark/>
          </w:tcPr>
          <w:p w:rsidR="00FB2640" w:rsidRPr="00F0717A" w:rsidRDefault="00FB2640" w:rsidP="008F1977">
            <w:pPr>
              <w:widowControl/>
              <w:spacing w:line="400" w:lineRule="exact"/>
              <w:jc w:val="center"/>
              <w:rPr>
                <w:rFonts w:ascii="微軟正黑體" w:eastAsia="微軟正黑體" w:hAnsi="微軟正黑體"/>
              </w:rPr>
            </w:pPr>
            <w:r>
              <w:rPr>
                <w:rFonts w:ascii="微軟正黑體" w:eastAsia="微軟正黑體" w:hAnsi="微軟正黑體"/>
              </w:rPr>
              <w:t>11</w:t>
            </w:r>
            <w:r>
              <w:rPr>
                <w:rFonts w:ascii="微軟正黑體" w:eastAsia="微軟正黑體" w:hAnsi="微軟正黑體" w:hint="eastAsia"/>
              </w:rPr>
              <w:t>5</w:t>
            </w:r>
            <w:r w:rsidRPr="00F0717A">
              <w:rPr>
                <w:rFonts w:ascii="微軟正黑體" w:eastAsia="微軟正黑體" w:hAnsi="微軟正黑體"/>
              </w:rPr>
              <w:t>年</w:t>
            </w:r>
          </w:p>
        </w:tc>
      </w:tr>
    </w:tbl>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shd w:val="pct15" w:color="auto" w:fill="FFFFFF"/>
        </w:rPr>
      </w:pPr>
    </w:p>
    <w:p w:rsidR="00FB2640" w:rsidRPr="00CF7F95" w:rsidRDefault="00FB2640" w:rsidP="00FB2640">
      <w:pPr>
        <w:spacing w:line="400" w:lineRule="exact"/>
        <w:rPr>
          <w:rFonts w:ascii="微軟正黑體" w:eastAsia="微軟正黑體" w:hAnsi="微軟正黑體"/>
        </w:rPr>
      </w:pPr>
      <w:r w:rsidRPr="00CF7F95">
        <w:rPr>
          <w:rFonts w:ascii="微軟正黑體" w:eastAsia="微軟正黑體" w:hAnsi="微軟正黑體" w:hint="eastAsia"/>
        </w:rPr>
        <w:lastRenderedPageBreak/>
        <w:t>(四) 制度動態</w:t>
      </w:r>
    </w:p>
    <w:p w:rsidR="00FB2640" w:rsidRPr="00CD19DB" w:rsidRDefault="00FB2640" w:rsidP="00FB2640">
      <w:pPr>
        <w:pStyle w:val="af0"/>
        <w:numPr>
          <w:ilvl w:val="0"/>
          <w:numId w:val="20"/>
        </w:numPr>
        <w:adjustRightInd w:val="0"/>
        <w:spacing w:line="400" w:lineRule="exact"/>
        <w:ind w:leftChars="0"/>
        <w:jc w:val="both"/>
        <w:textAlignment w:val="baseline"/>
        <w:rPr>
          <w:rFonts w:ascii="微軟正黑體" w:eastAsia="微軟正黑體" w:hAnsi="微軟正黑體"/>
        </w:rPr>
      </w:pPr>
      <w:r w:rsidRPr="00CD19DB">
        <w:rPr>
          <w:rFonts w:ascii="微軟正黑體" w:eastAsia="微軟正黑體" w:hAnsi="微軟正黑體" w:cs="新細明體" w:hint="eastAsia"/>
          <w:kern w:val="0"/>
        </w:rPr>
        <w:t>109年1月1日起，因應基本工資調整為23,800</w:t>
      </w:r>
      <w:r>
        <w:rPr>
          <w:rFonts w:ascii="微軟正黑體" w:eastAsia="微軟正黑體" w:hAnsi="微軟正黑體" w:cs="新細明體" w:hint="eastAsia"/>
          <w:kern w:val="0"/>
        </w:rPr>
        <w:t>元，「勞工保險投保薪資分級表」、</w:t>
      </w:r>
      <w:r w:rsidRPr="00CD19DB">
        <w:rPr>
          <w:rFonts w:ascii="微軟正黑體" w:eastAsia="微軟正黑體" w:hAnsi="微軟正黑體" w:cs="新細明體" w:hint="eastAsia"/>
          <w:kern w:val="0"/>
        </w:rPr>
        <w:t>配合修正實施。</w:t>
      </w:r>
    </w:p>
    <w:p w:rsidR="00FB2640" w:rsidRPr="00CD19DB" w:rsidRDefault="00FB2640" w:rsidP="00FB2640">
      <w:pPr>
        <w:pStyle w:val="af0"/>
        <w:numPr>
          <w:ilvl w:val="0"/>
          <w:numId w:val="20"/>
        </w:numPr>
        <w:adjustRightInd w:val="0"/>
        <w:spacing w:line="400" w:lineRule="exact"/>
        <w:ind w:leftChars="0"/>
        <w:jc w:val="both"/>
        <w:textAlignment w:val="baseline"/>
        <w:rPr>
          <w:rFonts w:ascii="微軟正黑體" w:eastAsia="微軟正黑體" w:hAnsi="微軟正黑體"/>
        </w:rPr>
      </w:pPr>
      <w:r w:rsidRPr="00CD19DB">
        <w:rPr>
          <w:rFonts w:ascii="微軟正黑體" w:eastAsia="微軟正黑體" w:hAnsi="微軟正黑體" w:hint="eastAsia"/>
        </w:rPr>
        <w:t>110年1月1日起，勞保普通事故保險費率調高0.5%，按被保險人月投保薪資10.5%計算(不含就業保險費率1%)。</w:t>
      </w:r>
    </w:p>
    <w:p w:rsidR="00FB2640" w:rsidRPr="00CD19DB" w:rsidRDefault="00FB2640" w:rsidP="00FB2640">
      <w:pPr>
        <w:pStyle w:val="af0"/>
        <w:numPr>
          <w:ilvl w:val="0"/>
          <w:numId w:val="20"/>
        </w:numPr>
        <w:adjustRightInd w:val="0"/>
        <w:spacing w:line="400" w:lineRule="exact"/>
        <w:ind w:leftChars="0"/>
        <w:jc w:val="both"/>
        <w:textAlignment w:val="baseline"/>
        <w:rPr>
          <w:rFonts w:ascii="微軟正黑體" w:eastAsia="微軟正黑體" w:hAnsi="微軟正黑體"/>
        </w:rPr>
      </w:pPr>
      <w:r w:rsidRPr="00CD19DB">
        <w:rPr>
          <w:rFonts w:ascii="微軟正黑體" w:eastAsia="微軟正黑體" w:hAnsi="微軟正黑體" w:hint="eastAsia"/>
        </w:rPr>
        <w:t>110年</w:t>
      </w:r>
      <w:r w:rsidRPr="00CD19DB">
        <w:rPr>
          <w:rFonts w:ascii="微軟正黑體" w:eastAsia="微軟正黑體" w:hAnsi="微軟正黑體"/>
        </w:rPr>
        <w:t>1</w:t>
      </w:r>
      <w:r w:rsidRPr="00CD19DB">
        <w:rPr>
          <w:rFonts w:ascii="微軟正黑體" w:eastAsia="微軟正黑體" w:hAnsi="微軟正黑體" w:hint="eastAsia"/>
        </w:rPr>
        <w:t>月</w:t>
      </w:r>
      <w:r w:rsidRPr="00CD19DB">
        <w:rPr>
          <w:rFonts w:ascii="微軟正黑體" w:eastAsia="微軟正黑體" w:hAnsi="微軟正黑體"/>
        </w:rPr>
        <w:t>1</w:t>
      </w:r>
      <w:r w:rsidRPr="00CD19DB">
        <w:rPr>
          <w:rFonts w:ascii="微軟正黑體" w:eastAsia="微軟正黑體" w:hAnsi="微軟正黑體" w:hint="eastAsia"/>
        </w:rPr>
        <w:t>日起，因應基本工資調整為</w:t>
      </w:r>
      <w:r w:rsidRPr="00CD19DB">
        <w:rPr>
          <w:rFonts w:ascii="微軟正黑體" w:eastAsia="微軟正黑體" w:hAnsi="微軟正黑體"/>
        </w:rPr>
        <w:t>24,000</w:t>
      </w:r>
      <w:r>
        <w:rPr>
          <w:rFonts w:ascii="微軟正黑體" w:eastAsia="微軟正黑體" w:hAnsi="微軟正黑體" w:hint="eastAsia"/>
        </w:rPr>
        <w:t>元，「勞工保險投保薪資分級表」</w:t>
      </w:r>
      <w:r w:rsidRPr="00CD19DB">
        <w:rPr>
          <w:rFonts w:ascii="微軟正黑體" w:eastAsia="微軟正黑體" w:hAnsi="微軟正黑體" w:hint="eastAsia"/>
        </w:rPr>
        <w:t>配合修正，自</w:t>
      </w:r>
      <w:r w:rsidRPr="00CD19DB">
        <w:rPr>
          <w:rFonts w:ascii="微軟正黑體" w:eastAsia="微軟正黑體" w:hAnsi="微軟正黑體"/>
        </w:rPr>
        <w:t>1</w:t>
      </w:r>
      <w:r w:rsidRPr="00CD19DB">
        <w:rPr>
          <w:rFonts w:ascii="微軟正黑體" w:eastAsia="微軟正黑體" w:hAnsi="微軟正黑體" w:hint="eastAsia"/>
        </w:rPr>
        <w:t>月</w:t>
      </w:r>
      <w:r w:rsidRPr="00CD19DB">
        <w:rPr>
          <w:rFonts w:ascii="微軟正黑體" w:eastAsia="微軟正黑體" w:hAnsi="微軟正黑體"/>
        </w:rPr>
        <w:t>1</w:t>
      </w:r>
      <w:r w:rsidRPr="00CD19DB">
        <w:rPr>
          <w:rFonts w:ascii="微軟正黑體" w:eastAsia="微軟正黑體" w:hAnsi="微軟正黑體" w:hint="eastAsia"/>
        </w:rPr>
        <w:t>日起實施。</w:t>
      </w:r>
    </w:p>
    <w:p w:rsidR="00FB2640" w:rsidRPr="00CD19DB" w:rsidRDefault="00FB2640" w:rsidP="00FB2640">
      <w:pPr>
        <w:pStyle w:val="af0"/>
        <w:numPr>
          <w:ilvl w:val="0"/>
          <w:numId w:val="20"/>
        </w:numPr>
        <w:adjustRightInd w:val="0"/>
        <w:spacing w:line="400" w:lineRule="exact"/>
        <w:ind w:leftChars="0"/>
        <w:jc w:val="both"/>
        <w:textAlignment w:val="baseline"/>
        <w:rPr>
          <w:rFonts w:ascii="微軟正黑體" w:eastAsia="微軟正黑體" w:hAnsi="微軟正黑體"/>
        </w:rPr>
      </w:pPr>
      <w:r w:rsidRPr="00CD19DB">
        <w:rPr>
          <w:rFonts w:ascii="微軟正黑體" w:eastAsia="微軟正黑體" w:hAnsi="微軟正黑體" w:hint="eastAsia"/>
        </w:rPr>
        <w:t>110年4月28日修正公布「勞工保險條例」第29條條文，考量禁止扣押專戶之保障不應只限於年金給付，本條例所定老年給付一次金及其餘勞保給付，亦具有社會照顧性質，參照就業保險法第22條規定，修正本條例所定保險給付均得開立專戶存入，專戶內之存款並不得作為抵銷、扣押、供擔保或強制執行之標的，以保護弱勢勞工或受益人之基本經濟安全。</w:t>
      </w:r>
    </w:p>
    <w:p w:rsidR="00FB2640" w:rsidRPr="00CD19DB" w:rsidRDefault="00FB2640" w:rsidP="00FB2640">
      <w:pPr>
        <w:pStyle w:val="af0"/>
        <w:numPr>
          <w:ilvl w:val="0"/>
          <w:numId w:val="20"/>
        </w:numPr>
        <w:adjustRightInd w:val="0"/>
        <w:spacing w:line="400" w:lineRule="exact"/>
        <w:ind w:leftChars="0"/>
        <w:jc w:val="both"/>
        <w:textAlignment w:val="baseline"/>
        <w:rPr>
          <w:rFonts w:ascii="微軟正黑體" w:eastAsia="微軟正黑體" w:hAnsi="微軟正黑體"/>
        </w:rPr>
      </w:pPr>
      <w:r w:rsidRPr="00CD19DB">
        <w:rPr>
          <w:rFonts w:ascii="微軟正黑體" w:eastAsia="微軟正黑體" w:hAnsi="微軟正黑體" w:hint="eastAsia"/>
        </w:rPr>
        <w:t>110年4月30日總統公布「勞工職業災害保險及保護法」。鑒於勞工保險普通事故保險與職業災害保險之保障目的不同，將現行職業災害保險規定自勞工保險條例抽離，單獨立法，除擴大納保範圍(新增4人以下事業單位、家事移工等強制納保)、提高投保薪資(自下限基本工資至上限72,800元)、提升各項給付保障(如失能年金依失能程度給付，不再依年資給付)外，並整合職業災害勞工保護法之規定。此外，因不同保險事故，同時請領職災保險及其他社會保險年金給付時，職災保險得考量給付金額、種類、其他生活保障因素者，予以減額調整(上限為50%)。施行日期依行政院110年7月19日令，自111年5月1日施行。</w:t>
      </w:r>
    </w:p>
    <w:p w:rsidR="00FB2640" w:rsidRPr="00CD19DB" w:rsidRDefault="00FB2640" w:rsidP="00FB2640">
      <w:pPr>
        <w:pStyle w:val="af0"/>
        <w:numPr>
          <w:ilvl w:val="0"/>
          <w:numId w:val="20"/>
        </w:numPr>
        <w:adjustRightInd w:val="0"/>
        <w:spacing w:line="400" w:lineRule="exact"/>
        <w:ind w:leftChars="0"/>
        <w:jc w:val="both"/>
        <w:textAlignment w:val="baseline"/>
        <w:rPr>
          <w:rFonts w:ascii="微軟正黑體" w:eastAsia="微軟正黑體" w:hAnsi="微軟正黑體"/>
        </w:rPr>
      </w:pPr>
      <w:r w:rsidRPr="00CD19DB">
        <w:rPr>
          <w:rFonts w:ascii="微軟正黑體" w:eastAsia="微軟正黑體" w:hAnsi="微軟正黑體" w:hint="eastAsia"/>
        </w:rPr>
        <w:t>110年</w:t>
      </w:r>
      <w:r w:rsidRPr="001E2150">
        <w:rPr>
          <w:rFonts w:ascii="微軟正黑體" w:eastAsia="微軟正黑體" w:hAnsi="微軟正黑體" w:hint="eastAsia"/>
        </w:rPr>
        <w:t>11月24</w:t>
      </w:r>
      <w:r w:rsidRPr="00CD19DB">
        <w:rPr>
          <w:rFonts w:ascii="微軟正黑體" w:eastAsia="微軟正黑體" w:hAnsi="微軟正黑體" w:hint="eastAsia"/>
        </w:rPr>
        <w:t>日因應111年基本工資調整為</w:t>
      </w:r>
      <w:r>
        <w:rPr>
          <w:rFonts w:ascii="微軟正黑體" w:eastAsia="微軟正黑體" w:hAnsi="微軟正黑體" w:hint="eastAsia"/>
        </w:rPr>
        <w:t>25,250</w:t>
      </w:r>
      <w:r w:rsidRPr="00CD19DB">
        <w:rPr>
          <w:rFonts w:ascii="微軟正黑體" w:eastAsia="微軟正黑體" w:hAnsi="微軟正黑體" w:hint="eastAsia"/>
        </w:rPr>
        <w:t>元，修正發布「勞工保險投保薪資分級表」，並自111年1月1日起施行。</w:t>
      </w:r>
    </w:p>
    <w:p w:rsidR="00FB2640" w:rsidRPr="00F0717A"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r w:rsidRPr="00F0717A">
        <w:rPr>
          <w:rFonts w:ascii="微軟正黑體" w:eastAsia="微軟正黑體" w:hAnsi="微軟正黑體" w:hint="eastAsia"/>
        </w:rPr>
        <w:t>＜資料來源＞</w:t>
      </w:r>
    </w:p>
    <w:p w:rsidR="00FB2640" w:rsidRPr="00F6702D" w:rsidRDefault="00FB2640" w:rsidP="00BD50E5">
      <w:pPr>
        <w:pStyle w:val="af0"/>
        <w:numPr>
          <w:ilvl w:val="0"/>
          <w:numId w:val="58"/>
        </w:numPr>
        <w:adjustRightInd w:val="0"/>
        <w:spacing w:beforeLines="30" w:before="108" w:line="400" w:lineRule="exact"/>
        <w:ind w:leftChars="0"/>
        <w:textAlignment w:val="baseline"/>
        <w:rPr>
          <w:rFonts w:ascii="微軟正黑體" w:eastAsia="微軟正黑體" w:hAnsi="微軟正黑體"/>
        </w:rPr>
      </w:pPr>
      <w:r w:rsidRPr="00F6702D">
        <w:rPr>
          <w:rFonts w:ascii="微軟正黑體" w:eastAsia="微軟正黑體" w:hAnsi="微軟正黑體" w:hint="eastAsia"/>
        </w:rPr>
        <w:t>勞動部勞工保險局網站統計資料－10</w:t>
      </w:r>
      <w:r w:rsidRPr="00F6702D">
        <w:rPr>
          <w:rFonts w:ascii="微軟正黑體" w:eastAsia="微軟正黑體" w:hAnsi="微軟正黑體"/>
        </w:rPr>
        <w:t>9</w:t>
      </w:r>
      <w:r w:rsidRPr="00F6702D">
        <w:rPr>
          <w:rFonts w:ascii="微軟正黑體" w:eastAsia="微軟正黑體" w:hAnsi="微軟正黑體" w:hint="eastAsia"/>
        </w:rPr>
        <w:t>年勞工保險統計年報。</w:t>
      </w:r>
    </w:p>
    <w:p w:rsidR="00FB2640" w:rsidRPr="00F0717A" w:rsidRDefault="00FB2640" w:rsidP="00BD50E5">
      <w:pPr>
        <w:pStyle w:val="af0"/>
        <w:numPr>
          <w:ilvl w:val="0"/>
          <w:numId w:val="58"/>
        </w:numPr>
        <w:adjustRightInd w:val="0"/>
        <w:spacing w:line="400" w:lineRule="exact"/>
        <w:ind w:leftChars="0" w:left="358" w:hangingChars="149" w:hanging="358"/>
        <w:textAlignment w:val="baseline"/>
        <w:rPr>
          <w:rFonts w:ascii="微軟正黑體" w:eastAsia="微軟正黑體" w:hAnsi="微軟正黑體"/>
        </w:rPr>
      </w:pPr>
      <w:r>
        <w:rPr>
          <w:rFonts w:ascii="微軟正黑體" w:eastAsia="微軟正黑體" w:hAnsi="微軟正黑體" w:hint="eastAsia"/>
        </w:rPr>
        <w:t>勞動部勞動基金運用局網站</w:t>
      </w:r>
      <w:r w:rsidRPr="00F0717A">
        <w:rPr>
          <w:rFonts w:ascii="微軟正黑體" w:eastAsia="微軟正黑體" w:hAnsi="微軟正黑體" w:hint="eastAsia"/>
        </w:rPr>
        <w:t>統計資料。</w:t>
      </w:r>
    </w:p>
    <w:p w:rsidR="00FB2640" w:rsidRPr="00F0717A" w:rsidRDefault="00FB2640" w:rsidP="00BD50E5">
      <w:pPr>
        <w:pStyle w:val="af0"/>
        <w:numPr>
          <w:ilvl w:val="0"/>
          <w:numId w:val="58"/>
        </w:numPr>
        <w:adjustRightInd w:val="0"/>
        <w:spacing w:line="400" w:lineRule="exact"/>
        <w:ind w:leftChars="0" w:left="358" w:hangingChars="149" w:hanging="358"/>
        <w:textAlignment w:val="baseline"/>
        <w:rPr>
          <w:rFonts w:ascii="微軟正黑體" w:eastAsia="微軟正黑體" w:hAnsi="微軟正黑體"/>
        </w:rPr>
      </w:pPr>
      <w:r w:rsidRPr="00F0717A">
        <w:rPr>
          <w:rFonts w:ascii="微軟正黑體" w:eastAsia="微軟正黑體" w:hAnsi="微軟正黑體" w:hint="eastAsia"/>
        </w:rPr>
        <w:t>《勞工保險普通事故保險費率精算及財務評估》，</w:t>
      </w:r>
      <w:r w:rsidRPr="006F111E">
        <w:rPr>
          <w:rFonts w:ascii="微軟正黑體" w:eastAsia="微軟正黑體" w:hAnsi="微軟正黑體" w:hint="eastAsia"/>
        </w:rPr>
        <w:t>勞工保險局107年度委託研究</w:t>
      </w:r>
      <w:r w:rsidRPr="00F0717A">
        <w:rPr>
          <w:rFonts w:ascii="微軟正黑體" w:eastAsia="微軟正黑體" w:hAnsi="微軟正黑體" w:hint="eastAsia"/>
        </w:rPr>
        <w:t>。</w:t>
      </w:r>
    </w:p>
    <w:p w:rsidR="00FB2640" w:rsidRPr="00F0717A" w:rsidRDefault="00FB2640" w:rsidP="00FB2640">
      <w:pPr>
        <w:rPr>
          <w:rFonts w:ascii="微軟正黑體" w:eastAsia="微軟正黑體" w:hAnsi="微軟正黑體"/>
        </w:rPr>
      </w:pPr>
      <w:r w:rsidRPr="00F0717A">
        <w:rPr>
          <w:rFonts w:ascii="微軟正黑體" w:eastAsia="微軟正黑體" w:hAnsi="微軟正黑體" w:hint="eastAsia"/>
        </w:rPr>
        <w:t>(圖表均由本文自行繪製)</w:t>
      </w:r>
    </w:p>
    <w:p w:rsidR="00FB2640" w:rsidRPr="00F0717A" w:rsidRDefault="00FB2640" w:rsidP="00FB2640">
      <w:pPr>
        <w:rPr>
          <w:rFonts w:ascii="微軟正黑體" w:eastAsia="微軟正黑體" w:hAnsi="微軟正黑體"/>
        </w:rPr>
      </w:pPr>
    </w:p>
    <w:p w:rsidR="00FB2640" w:rsidRPr="00F0717A" w:rsidRDefault="00FB2640" w:rsidP="00FB2640">
      <w:pPr>
        <w:rPr>
          <w:rFonts w:ascii="微軟正黑體" w:eastAsia="微軟正黑體" w:hAnsi="微軟正黑體"/>
        </w:rPr>
      </w:pPr>
      <w:r w:rsidRPr="00F0717A">
        <w:rPr>
          <w:rFonts w:ascii="微軟正黑體" w:eastAsia="微軟正黑體" w:hAnsi="微軟正黑體"/>
        </w:rPr>
        <w:br w:type="page"/>
      </w:r>
    </w:p>
    <w:p w:rsidR="00FB2640" w:rsidRPr="00F0717A" w:rsidRDefault="00FB2640" w:rsidP="00FB2640">
      <w:pPr>
        <w:spacing w:line="400" w:lineRule="exact"/>
        <w:rPr>
          <w:rFonts w:ascii="微軟正黑體" w:eastAsia="微軟正黑體" w:hAnsi="微軟正黑體"/>
          <w:b/>
          <w:sz w:val="28"/>
          <w:szCs w:val="28"/>
        </w:rPr>
      </w:pPr>
      <w:bookmarkStart w:id="4" w:name="第一章第二節貳"/>
      <w:r>
        <w:rPr>
          <w:rFonts w:ascii="微軟正黑體" w:eastAsia="微軟正黑體" w:hAnsi="微軟正黑體" w:hint="eastAsia"/>
          <w:b/>
          <w:sz w:val="28"/>
          <w:szCs w:val="28"/>
        </w:rPr>
        <w:lastRenderedPageBreak/>
        <w:t>二</w:t>
      </w:r>
      <w:r w:rsidRPr="00F0717A">
        <w:rPr>
          <w:rFonts w:ascii="微軟正黑體" w:eastAsia="微軟正黑體" w:hAnsi="微軟正黑體"/>
          <w:b/>
          <w:sz w:val="28"/>
          <w:szCs w:val="28"/>
        </w:rPr>
        <w:t>、</w:t>
      </w:r>
      <w:r w:rsidRPr="00F0717A">
        <w:rPr>
          <w:rFonts w:ascii="微軟正黑體" w:eastAsia="微軟正黑體" w:hAnsi="微軟正黑體" w:hint="eastAsia"/>
          <w:b/>
          <w:sz w:val="28"/>
          <w:szCs w:val="28"/>
        </w:rPr>
        <w:t>公教人員</w:t>
      </w:r>
      <w:r w:rsidRPr="00F0717A">
        <w:rPr>
          <w:rFonts w:ascii="微軟正黑體" w:eastAsia="微軟正黑體" w:hAnsi="微軟正黑體"/>
          <w:b/>
          <w:sz w:val="28"/>
          <w:szCs w:val="28"/>
        </w:rPr>
        <w:t>保險</w:t>
      </w:r>
    </w:p>
    <w:bookmarkEnd w:id="4"/>
    <w:p w:rsidR="00FB2640" w:rsidRPr="00F0717A" w:rsidRDefault="00FB2640" w:rsidP="00FB2640">
      <w:pPr>
        <w:spacing w:beforeLines="50" w:before="180" w:line="400" w:lineRule="exact"/>
        <w:rPr>
          <w:rFonts w:ascii="微軟正黑體" w:eastAsia="微軟正黑體" w:hAnsi="微軟正黑體"/>
        </w:rPr>
      </w:pPr>
      <w:r>
        <w:rPr>
          <w:rFonts w:ascii="微軟正黑體" w:eastAsia="微軟正黑體" w:hAnsi="微軟正黑體" w:hint="eastAsia"/>
        </w:rPr>
        <w:t xml:space="preserve">(一) </w:t>
      </w:r>
      <w:r w:rsidRPr="00F0717A">
        <w:rPr>
          <w:rFonts w:ascii="微軟正黑體" w:eastAsia="微軟正黑體" w:hAnsi="微軟正黑體" w:hint="eastAsia"/>
        </w:rPr>
        <w:t>納</w:t>
      </w:r>
      <w:r w:rsidRPr="00F0717A">
        <w:rPr>
          <w:rFonts w:ascii="微軟正黑體" w:eastAsia="微軟正黑體" w:hAnsi="微軟正黑體"/>
        </w:rPr>
        <w:t>保概況</w:t>
      </w:r>
    </w:p>
    <w:p w:rsidR="00FB2640" w:rsidRPr="00267752" w:rsidRDefault="00FB2640" w:rsidP="00FB2640">
      <w:pPr>
        <w:pStyle w:val="af0"/>
        <w:numPr>
          <w:ilvl w:val="0"/>
          <w:numId w:val="21"/>
        </w:numPr>
        <w:adjustRightInd w:val="0"/>
        <w:spacing w:beforeLines="30" w:before="108" w:line="400" w:lineRule="exact"/>
        <w:ind w:leftChars="0" w:left="567"/>
        <w:textAlignment w:val="baseline"/>
        <w:rPr>
          <w:rFonts w:ascii="微軟正黑體" w:eastAsia="微軟正黑體" w:hAnsi="微軟正黑體"/>
        </w:rPr>
      </w:pPr>
      <w:r w:rsidRPr="00267752">
        <w:rPr>
          <w:rFonts w:ascii="微軟正黑體" w:eastAsia="微軟正黑體" w:hAnsi="微軟正黑體" w:hint="eastAsia"/>
        </w:rPr>
        <w:t>要保機關</w:t>
      </w:r>
    </w:p>
    <w:p w:rsidR="00FB2640" w:rsidRDefault="00FB2640" w:rsidP="00FB2640">
      <w:pPr>
        <w:pStyle w:val="af0"/>
        <w:spacing w:beforeLines="30" w:before="108" w:line="400" w:lineRule="exact"/>
        <w:ind w:leftChars="0" w:left="567"/>
        <w:rPr>
          <w:rFonts w:ascii="微軟正黑體" w:eastAsia="微軟正黑體" w:hAnsi="微軟正黑體"/>
          <w:bCs/>
        </w:rPr>
      </w:pPr>
      <w:r w:rsidRPr="00F0717A">
        <w:rPr>
          <w:rFonts w:ascii="微軟正黑體" w:eastAsia="微軟正黑體" w:hAnsi="微軟正黑體" w:hint="eastAsia"/>
        </w:rPr>
        <w:t xml:space="preserve">    </w:t>
      </w:r>
      <w:r w:rsidRPr="00F0717A">
        <w:rPr>
          <w:rFonts w:ascii="微軟正黑體" w:eastAsia="微軟正黑體" w:hAnsi="微軟正黑體"/>
          <w:bCs/>
        </w:rPr>
        <w:t>10</w:t>
      </w:r>
      <w:r>
        <w:rPr>
          <w:rFonts w:ascii="微軟正黑體" w:eastAsia="微軟正黑體" w:hAnsi="微軟正黑體" w:hint="eastAsia"/>
          <w:bCs/>
        </w:rPr>
        <w:t>9</w:t>
      </w:r>
      <w:r w:rsidRPr="00F0717A">
        <w:rPr>
          <w:rFonts w:ascii="微軟正黑體" w:eastAsia="微軟正黑體" w:hAnsi="微軟正黑體"/>
          <w:bCs/>
        </w:rPr>
        <w:t>年底</w:t>
      </w:r>
      <w:r w:rsidRPr="00F0717A">
        <w:rPr>
          <w:rFonts w:ascii="微軟正黑體" w:eastAsia="微軟正黑體" w:hAnsi="微軟正黑體" w:hint="eastAsia"/>
        </w:rPr>
        <w:t>公</w:t>
      </w:r>
      <w:r>
        <w:rPr>
          <w:rFonts w:ascii="微軟正黑體" w:eastAsia="微軟正黑體" w:hAnsi="微軟正黑體" w:hint="eastAsia"/>
        </w:rPr>
        <w:t>保</w:t>
      </w:r>
      <w:r w:rsidRPr="00F0717A">
        <w:rPr>
          <w:rFonts w:ascii="微軟正黑體" w:eastAsia="微軟正黑體" w:hAnsi="微軟正黑體" w:hint="eastAsia"/>
        </w:rPr>
        <w:t>要保機關</w:t>
      </w:r>
      <w:r w:rsidRPr="00F0717A">
        <w:rPr>
          <w:rFonts w:ascii="微軟正黑體" w:eastAsia="微軟正黑體" w:hAnsi="微軟正黑體"/>
          <w:bCs/>
        </w:rPr>
        <w:t>總計</w:t>
      </w:r>
      <w:r w:rsidRPr="00F0717A">
        <w:rPr>
          <w:rFonts w:ascii="微軟正黑體" w:eastAsia="微軟正黑體" w:hAnsi="微軟正黑體" w:hint="eastAsia"/>
          <w:bCs/>
        </w:rPr>
        <w:t>7</w:t>
      </w:r>
      <w:r w:rsidRPr="00F0717A">
        <w:rPr>
          <w:rFonts w:ascii="微軟正黑體" w:eastAsia="微軟正黑體" w:hAnsi="微軟正黑體"/>
          <w:bCs/>
        </w:rPr>
        <w:t>,</w:t>
      </w:r>
      <w:r>
        <w:rPr>
          <w:rFonts w:ascii="微軟正黑體" w:eastAsia="微軟正黑體" w:hAnsi="微軟正黑體" w:hint="eastAsia"/>
          <w:bCs/>
        </w:rPr>
        <w:t>3</w:t>
      </w:r>
      <w:r>
        <w:rPr>
          <w:rFonts w:ascii="微軟正黑體" w:eastAsia="微軟正黑體" w:hAnsi="微軟正黑體"/>
          <w:bCs/>
        </w:rPr>
        <w:t>74</w:t>
      </w:r>
      <w:r w:rsidRPr="00F0717A">
        <w:rPr>
          <w:rFonts w:ascii="微軟正黑體" w:eastAsia="微軟正黑體" w:hAnsi="微軟正黑體"/>
          <w:bCs/>
        </w:rPr>
        <w:t>個，較10</w:t>
      </w:r>
      <w:r>
        <w:rPr>
          <w:rFonts w:ascii="微軟正黑體" w:eastAsia="微軟正黑體" w:hAnsi="微軟正黑體"/>
          <w:bCs/>
        </w:rPr>
        <w:t>8</w:t>
      </w:r>
      <w:r w:rsidRPr="00F0717A">
        <w:rPr>
          <w:rFonts w:ascii="微軟正黑體" w:eastAsia="微軟正黑體" w:hAnsi="微軟正黑體"/>
          <w:bCs/>
        </w:rPr>
        <w:t>年</w:t>
      </w:r>
      <w:r w:rsidRPr="00F0717A">
        <w:rPr>
          <w:rFonts w:ascii="微軟正黑體" w:eastAsia="微軟正黑體" w:hAnsi="微軟正黑體" w:hint="eastAsia"/>
          <w:bCs/>
        </w:rPr>
        <w:t>減少</w:t>
      </w:r>
      <w:r>
        <w:rPr>
          <w:rFonts w:ascii="微軟正黑體" w:eastAsia="微軟正黑體" w:hAnsi="微軟正黑體" w:hint="eastAsia"/>
          <w:bCs/>
        </w:rPr>
        <w:t>2</w:t>
      </w:r>
      <w:r>
        <w:rPr>
          <w:rFonts w:ascii="微軟正黑體" w:eastAsia="微軟正黑體" w:hAnsi="微軟正黑體"/>
          <w:bCs/>
        </w:rPr>
        <w:t>4</w:t>
      </w:r>
      <w:r w:rsidRPr="00F0717A">
        <w:rPr>
          <w:rFonts w:ascii="微軟正黑體" w:eastAsia="微軟正黑體" w:hAnsi="微軟正黑體"/>
          <w:bCs/>
        </w:rPr>
        <w:t>個。</w:t>
      </w:r>
      <w:r w:rsidRPr="00F0717A">
        <w:rPr>
          <w:rFonts w:ascii="微軟正黑體" w:eastAsia="微軟正黑體" w:hAnsi="微軟正黑體" w:hint="eastAsia"/>
          <w:bCs/>
        </w:rPr>
        <w:t>其中「直轄市級機關」</w:t>
      </w:r>
      <w:r w:rsidRPr="00F0717A">
        <w:rPr>
          <w:rFonts w:ascii="微軟正黑體" w:eastAsia="微軟正黑體" w:hAnsi="微軟正黑體"/>
          <w:bCs/>
        </w:rPr>
        <w:t>最多，占</w:t>
      </w:r>
      <w:r>
        <w:rPr>
          <w:rFonts w:ascii="微軟正黑體" w:eastAsia="微軟正黑體" w:hAnsi="微軟正黑體" w:hint="eastAsia"/>
          <w:bCs/>
        </w:rPr>
        <w:t>40.0</w:t>
      </w:r>
      <w:r w:rsidRPr="00F0717A">
        <w:rPr>
          <w:rFonts w:ascii="微軟正黑體" w:eastAsia="微軟正黑體" w:hAnsi="微軟正黑體"/>
          <w:bCs/>
        </w:rPr>
        <w:t>%，「</w:t>
      </w:r>
      <w:r w:rsidRPr="00F0717A">
        <w:rPr>
          <w:rFonts w:ascii="微軟正黑體" w:eastAsia="微軟正黑體" w:hAnsi="微軟正黑體" w:hint="eastAsia"/>
          <w:bCs/>
        </w:rPr>
        <w:t>縣市級機關</w:t>
      </w:r>
      <w:r w:rsidRPr="00F0717A">
        <w:rPr>
          <w:rFonts w:ascii="微軟正黑體" w:eastAsia="微軟正黑體" w:hAnsi="微軟正黑體"/>
          <w:bCs/>
        </w:rPr>
        <w:t>」</w:t>
      </w:r>
      <w:r w:rsidRPr="00F0717A">
        <w:rPr>
          <w:rFonts w:ascii="微軟正黑體" w:eastAsia="微軟正黑體" w:hAnsi="微軟正黑體" w:hint="eastAsia"/>
          <w:bCs/>
        </w:rPr>
        <w:t>次之</w:t>
      </w:r>
      <w:r w:rsidRPr="00F0717A">
        <w:rPr>
          <w:rFonts w:ascii="微軟正黑體" w:eastAsia="微軟正黑體" w:hAnsi="微軟正黑體"/>
          <w:bCs/>
        </w:rPr>
        <w:t>，占</w:t>
      </w:r>
      <w:r w:rsidRPr="00F0717A">
        <w:rPr>
          <w:rFonts w:ascii="微軟正黑體" w:eastAsia="微軟正黑體" w:hAnsi="微軟正黑體" w:hint="eastAsia"/>
          <w:bCs/>
        </w:rPr>
        <w:t>34.</w:t>
      </w:r>
      <w:r>
        <w:rPr>
          <w:rFonts w:ascii="微軟正黑體" w:eastAsia="微軟正黑體" w:hAnsi="微軟正黑體"/>
          <w:bCs/>
        </w:rPr>
        <w:t>7</w:t>
      </w:r>
      <w:r w:rsidRPr="00F0717A">
        <w:rPr>
          <w:rFonts w:ascii="微軟正黑體" w:eastAsia="微軟正黑體" w:hAnsi="微軟正黑體"/>
          <w:bCs/>
        </w:rPr>
        <w:t>%</w:t>
      </w:r>
      <w:r w:rsidRPr="00F0717A">
        <w:rPr>
          <w:rFonts w:ascii="微軟正黑體" w:eastAsia="微軟正黑體" w:hAnsi="微軟正黑體" w:hint="eastAsia"/>
          <w:bCs/>
        </w:rPr>
        <w:t>。</w:t>
      </w:r>
    </w:p>
    <w:p w:rsidR="00FB2640" w:rsidRPr="00F0717A" w:rsidRDefault="00FB2640" w:rsidP="00FB2640">
      <w:pPr>
        <w:pStyle w:val="af0"/>
        <w:spacing w:beforeLines="30" w:before="108" w:line="400" w:lineRule="exact"/>
        <w:ind w:leftChars="0" w:left="567"/>
        <w:rPr>
          <w:rFonts w:ascii="微軟正黑體" w:eastAsia="微軟正黑體" w:hAnsi="微軟正黑體"/>
          <w:bCs/>
        </w:rPr>
      </w:pPr>
      <w:r>
        <w:rPr>
          <w:noProof/>
        </w:rPr>
        <w:drawing>
          <wp:anchor distT="0" distB="0" distL="114300" distR="114300" simplePos="0" relativeHeight="252575744" behindDoc="0" locked="0" layoutInCell="1" allowOverlap="1" wp14:anchorId="2DD8A851" wp14:editId="6BBDEF89">
            <wp:simplePos x="0" y="0"/>
            <wp:positionH relativeFrom="column">
              <wp:posOffset>225637</wp:posOffset>
            </wp:positionH>
            <wp:positionV relativeFrom="paragraph">
              <wp:posOffset>69850</wp:posOffset>
            </wp:positionV>
            <wp:extent cx="5444066" cy="3005667"/>
            <wp:effectExtent l="0" t="0" r="23495" b="23495"/>
            <wp:wrapNone/>
            <wp:docPr id="260" name="圖表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386"/>
        <w:rPr>
          <w:rFonts w:ascii="微軟正黑體" w:eastAsia="微軟正黑體" w:hAnsi="微軟正黑體"/>
          <w:bCs/>
        </w:rPr>
      </w:pPr>
    </w:p>
    <w:p w:rsidR="00FB2640" w:rsidRPr="00F0717A" w:rsidRDefault="00FB2640" w:rsidP="00FB2640">
      <w:pPr>
        <w:pStyle w:val="af0"/>
        <w:spacing w:line="400" w:lineRule="exact"/>
        <w:ind w:leftChars="0" w:left="386"/>
        <w:rPr>
          <w:rFonts w:ascii="微軟正黑體" w:eastAsia="微軟正黑體" w:hAnsi="微軟正黑體"/>
          <w:bCs/>
        </w:rPr>
      </w:pPr>
    </w:p>
    <w:p w:rsidR="00FB2640" w:rsidRPr="00F0717A" w:rsidRDefault="00FB2640" w:rsidP="00FB2640">
      <w:pPr>
        <w:pStyle w:val="af0"/>
        <w:spacing w:line="400" w:lineRule="exact"/>
        <w:ind w:leftChars="0" w:left="386"/>
        <w:rPr>
          <w:rFonts w:ascii="微軟正黑體" w:eastAsia="微軟正黑體" w:hAnsi="微軟正黑體"/>
          <w:bCs/>
        </w:rPr>
      </w:pPr>
    </w:p>
    <w:p w:rsidR="00FB2640" w:rsidRPr="00F0717A" w:rsidRDefault="00FB2640" w:rsidP="00FB2640">
      <w:pPr>
        <w:pStyle w:val="af0"/>
        <w:spacing w:line="400" w:lineRule="exact"/>
        <w:ind w:leftChars="0" w:left="386"/>
        <w:rPr>
          <w:rFonts w:ascii="微軟正黑體" w:eastAsia="微軟正黑體" w:hAnsi="微軟正黑體"/>
          <w:bCs/>
        </w:rPr>
      </w:pPr>
    </w:p>
    <w:p w:rsidR="00FB2640" w:rsidRPr="00F0717A" w:rsidRDefault="00FB2640" w:rsidP="00FB2640">
      <w:pPr>
        <w:pStyle w:val="af0"/>
        <w:spacing w:line="400" w:lineRule="exact"/>
        <w:ind w:leftChars="0" w:left="386"/>
        <w:rPr>
          <w:rFonts w:ascii="微軟正黑體" w:eastAsia="微軟正黑體" w:hAnsi="微軟正黑體"/>
          <w:bCs/>
        </w:rPr>
      </w:pPr>
    </w:p>
    <w:p w:rsidR="00FB2640" w:rsidRPr="00F0717A" w:rsidRDefault="00FB2640" w:rsidP="00FB2640">
      <w:pPr>
        <w:pStyle w:val="af0"/>
        <w:spacing w:line="400" w:lineRule="exact"/>
        <w:ind w:leftChars="0" w:left="386"/>
        <w:rPr>
          <w:rFonts w:ascii="微軟正黑體" w:eastAsia="微軟正黑體" w:hAnsi="微軟正黑體"/>
          <w:bCs/>
        </w:rPr>
      </w:pPr>
    </w:p>
    <w:p w:rsidR="00FB2640" w:rsidRPr="00F0717A" w:rsidRDefault="00FB2640" w:rsidP="00FB2640">
      <w:pPr>
        <w:pStyle w:val="af0"/>
        <w:spacing w:line="400" w:lineRule="exact"/>
        <w:ind w:leftChars="0" w:left="386"/>
        <w:rPr>
          <w:rFonts w:ascii="微軟正黑體" w:eastAsia="微軟正黑體" w:hAnsi="微軟正黑體"/>
          <w:bCs/>
        </w:rPr>
      </w:pPr>
    </w:p>
    <w:p w:rsidR="00FB2640" w:rsidRPr="00F0717A" w:rsidRDefault="00FB2640" w:rsidP="00FB2640">
      <w:pPr>
        <w:pStyle w:val="af0"/>
        <w:spacing w:line="400" w:lineRule="exact"/>
        <w:ind w:leftChars="0" w:left="386"/>
        <w:rPr>
          <w:rFonts w:ascii="微軟正黑體" w:eastAsia="微軟正黑體" w:hAnsi="微軟正黑體"/>
          <w:bCs/>
        </w:rPr>
      </w:pPr>
    </w:p>
    <w:p w:rsidR="00FB2640" w:rsidRPr="00F0717A" w:rsidRDefault="00FB2640" w:rsidP="00FB2640">
      <w:pPr>
        <w:pStyle w:val="af0"/>
        <w:spacing w:beforeLines="30" w:before="108" w:line="400" w:lineRule="exact"/>
        <w:ind w:leftChars="0" w:left="386"/>
        <w:rPr>
          <w:rFonts w:ascii="微軟正黑體" w:eastAsia="微軟正黑體" w:hAnsi="微軟正黑體"/>
        </w:rPr>
      </w:pPr>
    </w:p>
    <w:p w:rsidR="00FB2640" w:rsidRPr="00B1798D" w:rsidRDefault="00FB2640" w:rsidP="00FB2640">
      <w:pPr>
        <w:pStyle w:val="af0"/>
        <w:spacing w:beforeLines="30" w:before="108" w:line="400" w:lineRule="exact"/>
        <w:ind w:leftChars="0" w:left="386"/>
        <w:rPr>
          <w:rFonts w:ascii="微軟正黑體" w:eastAsia="微軟正黑體" w:hAnsi="微軟正黑體"/>
        </w:rPr>
      </w:pPr>
    </w:p>
    <w:p w:rsidR="00FB2640" w:rsidRDefault="00FB2640" w:rsidP="00FB2640">
      <w:pPr>
        <w:pStyle w:val="af0"/>
        <w:spacing w:beforeLines="30" w:before="108" w:line="400" w:lineRule="exact"/>
        <w:ind w:leftChars="0" w:left="386"/>
        <w:rPr>
          <w:rFonts w:ascii="微軟正黑體" w:eastAsia="微軟正黑體" w:hAnsi="微軟正黑體"/>
        </w:rPr>
      </w:pPr>
      <w:r w:rsidRPr="00540801">
        <w:rPr>
          <w:rFonts w:ascii="微軟正黑體" w:eastAsia="微軟正黑體" w:hAnsi="微軟正黑體" w:hint="eastAsia"/>
          <w:sz w:val="20"/>
        </w:rPr>
        <w:t>註：</w:t>
      </w:r>
      <w:r>
        <w:rPr>
          <w:rFonts w:ascii="微軟正黑體" w:eastAsia="微軟正黑體" w:hAnsi="微軟正黑體" w:hint="eastAsia"/>
          <w:sz w:val="20"/>
        </w:rPr>
        <w:t>自107年7月1日起，臺灣省級機關</w:t>
      </w:r>
      <w:r w:rsidRPr="00495260">
        <w:rPr>
          <w:rFonts w:ascii="微軟正黑體" w:eastAsia="微軟正黑體" w:hAnsi="微軟正黑體" w:hint="eastAsia"/>
          <w:sz w:val="20"/>
        </w:rPr>
        <w:t>員額與業務移撥至</w:t>
      </w:r>
      <w:r>
        <w:rPr>
          <w:rFonts w:ascii="微軟正黑體" w:eastAsia="微軟正黑體" w:hAnsi="微軟正黑體" w:hint="eastAsia"/>
          <w:sz w:val="20"/>
        </w:rPr>
        <w:t>中央政府機關</w:t>
      </w:r>
      <w:r w:rsidRPr="00540801">
        <w:rPr>
          <w:rFonts w:ascii="微軟正黑體" w:eastAsia="微軟正黑體" w:hAnsi="微軟正黑體" w:hint="eastAsia"/>
          <w:sz w:val="20"/>
        </w:rPr>
        <w:t>。</w:t>
      </w:r>
    </w:p>
    <w:p w:rsidR="00FB2640" w:rsidRPr="00F0717A" w:rsidRDefault="00FB2640" w:rsidP="00FB2640">
      <w:pPr>
        <w:pStyle w:val="af0"/>
        <w:spacing w:beforeLines="30" w:before="108" w:line="400" w:lineRule="exact"/>
        <w:ind w:leftChars="0" w:left="386"/>
        <w:jc w:val="center"/>
        <w:rPr>
          <w:rFonts w:ascii="微軟正黑體" w:eastAsia="微軟正黑體" w:hAnsi="微軟正黑體"/>
        </w:rPr>
      </w:pPr>
      <w:r w:rsidRPr="00F0717A">
        <w:rPr>
          <w:rFonts w:ascii="微軟正黑體" w:eastAsia="微軟正黑體" w:hAnsi="微軟正黑體" w:hint="eastAsia"/>
        </w:rPr>
        <w:t>圖2.1</w:t>
      </w:r>
      <w:r>
        <w:rPr>
          <w:rFonts w:ascii="微軟正黑體" w:eastAsia="微軟正黑體" w:hAnsi="微軟正黑體" w:hint="eastAsia"/>
        </w:rPr>
        <w:t>4</w:t>
      </w: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年公保要保機關分布情形</w:t>
      </w:r>
    </w:p>
    <w:p w:rsidR="00FB2640" w:rsidRPr="00F0717A" w:rsidRDefault="00FB2640" w:rsidP="00FB2640">
      <w:pPr>
        <w:pStyle w:val="af0"/>
        <w:spacing w:line="400" w:lineRule="exact"/>
        <w:ind w:leftChars="0" w:left="386"/>
        <w:jc w:val="center"/>
        <w:rPr>
          <w:rFonts w:ascii="微軟正黑體" w:eastAsia="微軟正黑體" w:hAnsi="微軟正黑體"/>
          <w:b/>
        </w:rPr>
      </w:pPr>
    </w:p>
    <w:p w:rsidR="00FB2640" w:rsidRPr="00267752" w:rsidRDefault="00FB2640" w:rsidP="00FB2640">
      <w:pPr>
        <w:pStyle w:val="af0"/>
        <w:numPr>
          <w:ilvl w:val="0"/>
          <w:numId w:val="21"/>
        </w:numPr>
        <w:adjustRightInd w:val="0"/>
        <w:spacing w:beforeLines="30" w:before="108" w:line="400" w:lineRule="exact"/>
        <w:ind w:leftChars="0" w:left="567"/>
        <w:textAlignment w:val="baseline"/>
        <w:rPr>
          <w:rFonts w:ascii="微軟正黑體" w:eastAsia="微軟正黑體" w:hAnsi="微軟正黑體"/>
        </w:rPr>
      </w:pPr>
      <w:r w:rsidRPr="00267752">
        <w:rPr>
          <w:rFonts w:ascii="微軟正黑體" w:eastAsia="微軟正黑體" w:hAnsi="微軟正黑體" w:hint="eastAsia"/>
        </w:rPr>
        <w:t>被保險人</w:t>
      </w:r>
    </w:p>
    <w:p w:rsidR="00FB2640" w:rsidRPr="00267752" w:rsidRDefault="00FB2640" w:rsidP="00FB2640">
      <w:pPr>
        <w:pStyle w:val="af0"/>
        <w:numPr>
          <w:ilvl w:val="1"/>
          <w:numId w:val="21"/>
        </w:numPr>
        <w:adjustRightInd w:val="0"/>
        <w:spacing w:line="400" w:lineRule="exact"/>
        <w:ind w:leftChars="0" w:left="709"/>
        <w:textAlignment w:val="baseline"/>
        <w:rPr>
          <w:rFonts w:ascii="微軟正黑體" w:eastAsia="微軟正黑體" w:hAnsi="微軟正黑體"/>
        </w:rPr>
      </w:pPr>
      <w:r w:rsidRPr="00267752">
        <w:rPr>
          <w:rFonts w:ascii="微軟正黑體" w:eastAsia="微軟正黑體" w:hAnsi="微軟正黑體" w:hint="eastAsia"/>
        </w:rPr>
        <w:t>被保險人人數(按要保機關分)</w:t>
      </w:r>
    </w:p>
    <w:p w:rsidR="00FB2640" w:rsidRPr="00DE7528" w:rsidRDefault="00FB2640" w:rsidP="00FB2640">
      <w:pPr>
        <w:pStyle w:val="af0"/>
        <w:spacing w:beforeLines="30" w:before="108"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年底公</w:t>
      </w:r>
      <w:r>
        <w:rPr>
          <w:rFonts w:ascii="微軟正黑體" w:eastAsia="微軟正黑體" w:hAnsi="微軟正黑體" w:hint="eastAsia"/>
        </w:rPr>
        <w:t>保</w:t>
      </w:r>
      <w:r w:rsidRPr="00F0717A">
        <w:rPr>
          <w:rFonts w:ascii="微軟正黑體" w:eastAsia="微軟正黑體" w:hAnsi="微軟正黑體" w:hint="eastAsia"/>
        </w:rPr>
        <w:t>被保險人人數總計</w:t>
      </w:r>
      <w:r w:rsidRPr="00B1798D">
        <w:rPr>
          <w:rFonts w:ascii="微軟正黑體" w:eastAsia="微軟正黑體" w:hAnsi="微軟正黑體"/>
        </w:rPr>
        <w:t>59</w:t>
      </w:r>
      <w:r>
        <w:rPr>
          <w:rFonts w:ascii="微軟正黑體" w:eastAsia="微軟正黑體" w:hAnsi="微軟正黑體" w:hint="eastAsia"/>
        </w:rPr>
        <w:t>萬</w:t>
      </w:r>
      <w:r w:rsidRPr="00B1798D">
        <w:rPr>
          <w:rFonts w:ascii="微軟正黑體" w:eastAsia="微軟正黑體" w:hAnsi="微軟正黑體"/>
        </w:rPr>
        <w:t>4</w:t>
      </w:r>
      <w:r>
        <w:rPr>
          <w:rFonts w:ascii="微軟正黑體" w:eastAsia="微軟正黑體" w:hAnsi="微軟正黑體"/>
        </w:rPr>
        <w:t>,</w:t>
      </w:r>
      <w:r w:rsidRPr="00B1798D">
        <w:rPr>
          <w:rFonts w:ascii="微軟正黑體" w:eastAsia="微軟正黑體" w:hAnsi="微軟正黑體"/>
        </w:rPr>
        <w:t>346</w:t>
      </w:r>
      <w:r>
        <w:rPr>
          <w:rFonts w:ascii="微軟正黑體" w:eastAsia="微軟正黑體" w:hAnsi="微軟正黑體" w:hint="eastAsia"/>
        </w:rPr>
        <w:t>人</w:t>
      </w:r>
      <w:r w:rsidRPr="00F0717A">
        <w:rPr>
          <w:rFonts w:ascii="微軟正黑體" w:eastAsia="微軟正黑體" w:hAnsi="微軟正黑體" w:hint="eastAsia"/>
        </w:rPr>
        <w:t>，依要保機關觀察之，以「中央政府機關」最多，占4</w:t>
      </w:r>
      <w:r>
        <w:rPr>
          <w:rFonts w:ascii="微軟正黑體" w:eastAsia="微軟正黑體" w:hAnsi="微軟正黑體" w:hint="eastAsia"/>
        </w:rPr>
        <w:t>3</w:t>
      </w:r>
      <w:r w:rsidRPr="00F0717A">
        <w:rPr>
          <w:rFonts w:ascii="微軟正黑體" w:eastAsia="微軟正黑體" w:hAnsi="微軟正黑體" w:hint="eastAsia"/>
        </w:rPr>
        <w:t>.</w:t>
      </w:r>
      <w:r>
        <w:rPr>
          <w:rFonts w:ascii="微軟正黑體" w:eastAsia="微軟正黑體" w:hAnsi="微軟正黑體"/>
        </w:rPr>
        <w:t>8</w:t>
      </w:r>
      <w:r w:rsidRPr="00DE7528">
        <w:rPr>
          <w:rFonts w:ascii="微軟正黑體" w:eastAsia="微軟正黑體" w:hAnsi="微軟正黑體" w:hint="eastAsia"/>
        </w:rPr>
        <w:t>%，「直轄市級機關」次之，占38.</w:t>
      </w:r>
      <w:r>
        <w:rPr>
          <w:rFonts w:ascii="微軟正黑體" w:eastAsia="微軟正黑體" w:hAnsi="微軟正黑體"/>
        </w:rPr>
        <w:t>3</w:t>
      </w:r>
      <w:r w:rsidRPr="00DE7528">
        <w:rPr>
          <w:rFonts w:ascii="微軟正黑體" w:eastAsia="微軟正黑體" w:hAnsi="微軟正黑體" w:hint="eastAsia"/>
        </w:rPr>
        <w:t>%。</w:t>
      </w:r>
    </w:p>
    <w:p w:rsidR="00FB2640" w:rsidRPr="00F243E6" w:rsidRDefault="00FB2640" w:rsidP="00FB2640">
      <w:pPr>
        <w:pStyle w:val="af0"/>
        <w:spacing w:beforeLines="30" w:before="108"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觀察近10年之被保險人人數變動情形，自</w:t>
      </w:r>
      <w:r>
        <w:rPr>
          <w:rFonts w:ascii="微軟正黑體" w:eastAsia="微軟正黑體" w:hAnsi="微軟正黑體" w:hint="eastAsia"/>
        </w:rPr>
        <w:t>1</w:t>
      </w:r>
      <w:r>
        <w:rPr>
          <w:rFonts w:ascii="微軟正黑體" w:eastAsia="微軟正黑體" w:hAnsi="微軟正黑體"/>
        </w:rPr>
        <w:t>00</w:t>
      </w:r>
      <w:r w:rsidRPr="00F0717A">
        <w:rPr>
          <w:rFonts w:ascii="微軟正黑體" w:eastAsia="微軟正黑體" w:hAnsi="微軟正黑體" w:hint="eastAsia"/>
        </w:rPr>
        <w:t>年59萬</w:t>
      </w:r>
      <w:r>
        <w:rPr>
          <w:rFonts w:ascii="微軟正黑體" w:eastAsia="微軟正黑體" w:hAnsi="微軟正黑體"/>
        </w:rPr>
        <w:t>3</w:t>
      </w:r>
      <w:r>
        <w:rPr>
          <w:rFonts w:ascii="微軟正黑體" w:eastAsia="微軟正黑體" w:hAnsi="微軟正黑體" w:hint="eastAsia"/>
        </w:rPr>
        <w:t>,94</w:t>
      </w:r>
      <w:r>
        <w:rPr>
          <w:rFonts w:ascii="微軟正黑體" w:eastAsia="微軟正黑體" w:hAnsi="微軟正黑體"/>
        </w:rPr>
        <w:t>9</w:t>
      </w:r>
      <w:r w:rsidRPr="00F0717A">
        <w:rPr>
          <w:rFonts w:ascii="微軟正黑體" w:eastAsia="微軟正黑體" w:hAnsi="微軟正黑體" w:hint="eastAsia"/>
        </w:rPr>
        <w:t>人</w:t>
      </w:r>
      <w:r>
        <w:rPr>
          <w:rFonts w:ascii="微軟正黑體" w:eastAsia="微軟正黑體" w:hAnsi="微軟正黑體" w:hint="eastAsia"/>
        </w:rPr>
        <w:t>微增</w:t>
      </w:r>
      <w:r w:rsidRPr="00F0717A">
        <w:rPr>
          <w:rFonts w:ascii="微軟正黑體" w:eastAsia="微軟正黑體" w:hAnsi="微軟正黑體" w:hint="eastAsia"/>
        </w:rPr>
        <w:t>至10</w:t>
      </w:r>
      <w:r>
        <w:rPr>
          <w:rFonts w:ascii="微軟正黑體" w:eastAsia="微軟正黑體" w:hAnsi="微軟正黑體"/>
        </w:rPr>
        <w:t>9</w:t>
      </w:r>
      <w:r w:rsidRPr="00F0717A">
        <w:rPr>
          <w:rFonts w:ascii="微軟正黑體" w:eastAsia="微軟正黑體" w:hAnsi="微軟正黑體" w:hint="eastAsia"/>
        </w:rPr>
        <w:t>年</w:t>
      </w:r>
      <w:r>
        <w:rPr>
          <w:rFonts w:ascii="微軟正黑體" w:eastAsia="微軟正黑體" w:hAnsi="微軟正黑體" w:hint="eastAsia"/>
        </w:rPr>
        <w:t>5</w:t>
      </w:r>
      <w:r>
        <w:rPr>
          <w:rFonts w:ascii="微軟正黑體" w:eastAsia="微軟正黑體" w:hAnsi="微軟正黑體"/>
        </w:rPr>
        <w:t>9</w:t>
      </w:r>
      <w:r w:rsidRPr="00F0717A">
        <w:rPr>
          <w:rFonts w:ascii="微軟正黑體" w:eastAsia="微軟正黑體" w:hAnsi="微軟正黑體" w:hint="eastAsia"/>
        </w:rPr>
        <w:t>萬</w:t>
      </w:r>
      <w:r>
        <w:rPr>
          <w:rFonts w:ascii="微軟正黑體" w:eastAsia="微軟正黑體" w:hAnsi="微軟正黑體"/>
        </w:rPr>
        <w:t>4</w:t>
      </w:r>
      <w:r>
        <w:rPr>
          <w:rFonts w:ascii="微軟正黑體" w:eastAsia="微軟正黑體" w:hAnsi="微軟正黑體" w:hint="eastAsia"/>
        </w:rPr>
        <w:t>,</w:t>
      </w:r>
      <w:r>
        <w:rPr>
          <w:rFonts w:ascii="微軟正黑體" w:eastAsia="微軟正黑體" w:hAnsi="微軟正黑體"/>
        </w:rPr>
        <w:t>346</w:t>
      </w:r>
      <w:r>
        <w:rPr>
          <w:rFonts w:ascii="微軟正黑體" w:eastAsia="微軟正黑體" w:hAnsi="微軟正黑體" w:hint="eastAsia"/>
        </w:rPr>
        <w:t>人，增加3</w:t>
      </w:r>
      <w:r>
        <w:rPr>
          <w:rFonts w:ascii="微軟正黑體" w:eastAsia="微軟正黑體" w:hAnsi="微軟正黑體"/>
        </w:rPr>
        <w:t>97</w:t>
      </w:r>
      <w:r w:rsidRPr="00F0717A">
        <w:rPr>
          <w:rFonts w:ascii="微軟正黑體" w:eastAsia="微軟正黑體" w:hAnsi="微軟正黑體" w:hint="eastAsia"/>
        </w:rPr>
        <w:t>人</w:t>
      </w:r>
      <w:r w:rsidRPr="00CD19DB">
        <w:rPr>
          <w:rFonts w:ascii="微軟正黑體" w:eastAsia="微軟正黑體" w:hAnsi="微軟正黑體" w:hint="eastAsia"/>
        </w:rPr>
        <w:t>，整體變動不大。其中，100年及104年因部分縣市政府改制為直轄市</w:t>
      </w:r>
      <w:r w:rsidRPr="00CD19DB">
        <w:rPr>
          <w:rStyle w:val="af4"/>
          <w:rFonts w:ascii="微軟正黑體" w:eastAsia="微軟正黑體" w:hAnsi="微軟正黑體"/>
        </w:rPr>
        <w:footnoteReference w:id="2"/>
      </w:r>
      <w:r w:rsidRPr="00CD19DB">
        <w:rPr>
          <w:rFonts w:ascii="微軟正黑體" w:eastAsia="微軟正黑體" w:hAnsi="微軟正黑體" w:hint="eastAsia"/>
        </w:rPr>
        <w:t>，致「直轄市級機關」及「縣市級機關」之人數變動幅度較大；「中央政府機關」及「福建省及臺灣省」之人數變動幅度小，並自107</w:t>
      </w:r>
      <w:r w:rsidRPr="00F243E6">
        <w:rPr>
          <w:rFonts w:ascii="微軟正黑體" w:eastAsia="微軟正黑體" w:hAnsi="微軟正黑體" w:hint="eastAsia"/>
        </w:rPr>
        <w:t>年7月1日起，臺灣省級機關員額與業務移撥至中央政府機關。</w:t>
      </w:r>
    </w:p>
    <w:p w:rsidR="00FB2640" w:rsidRDefault="00FB2640" w:rsidP="00FB2640">
      <w:pPr>
        <w:spacing w:line="400" w:lineRule="exact"/>
        <w:rPr>
          <w:rFonts w:ascii="微軟正黑體" w:eastAsia="微軟正黑體" w:hAnsi="微軟正黑體"/>
        </w:rPr>
      </w:pPr>
    </w:p>
    <w:p w:rsidR="00FB2640" w:rsidRPr="00637DE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Pr>
          <w:noProof/>
        </w:rPr>
        <w:lastRenderedPageBreak/>
        <w:drawing>
          <wp:anchor distT="0" distB="0" distL="114300" distR="114300" simplePos="0" relativeHeight="252576768" behindDoc="0" locked="0" layoutInCell="1" allowOverlap="1" wp14:anchorId="709B38E0" wp14:editId="0DE1EEFA">
            <wp:simplePos x="0" y="0"/>
            <wp:positionH relativeFrom="column">
              <wp:posOffset>5503</wp:posOffset>
            </wp:positionH>
            <wp:positionV relativeFrom="paragraph">
              <wp:posOffset>33443</wp:posOffset>
            </wp:positionV>
            <wp:extent cx="5638800" cy="2997200"/>
            <wp:effectExtent l="0" t="0" r="19050" b="12700"/>
            <wp:wrapNone/>
            <wp:docPr id="50" name="圖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Default="00FB2640" w:rsidP="00FB2640">
      <w:pPr>
        <w:spacing w:line="400" w:lineRule="exact"/>
        <w:rPr>
          <w:rFonts w:ascii="微軟正黑體" w:eastAsia="微軟正黑體" w:hAnsi="微軟正黑體"/>
          <w:sz w:val="20"/>
        </w:rPr>
      </w:pPr>
      <w:r w:rsidRPr="00540801">
        <w:rPr>
          <w:rFonts w:ascii="微軟正黑體" w:eastAsia="微軟正黑體" w:hAnsi="微軟正黑體" w:hint="eastAsia"/>
          <w:sz w:val="20"/>
        </w:rPr>
        <w:t>註：</w:t>
      </w:r>
      <w:r>
        <w:rPr>
          <w:rFonts w:ascii="微軟正黑體" w:eastAsia="微軟正黑體" w:hAnsi="微軟正黑體" w:hint="eastAsia"/>
          <w:sz w:val="20"/>
        </w:rPr>
        <w:t>自107年7月1日起，臺灣省級機關</w:t>
      </w:r>
      <w:r w:rsidRPr="00495260">
        <w:rPr>
          <w:rFonts w:ascii="微軟正黑體" w:eastAsia="微軟正黑體" w:hAnsi="微軟正黑體" w:hint="eastAsia"/>
          <w:sz w:val="20"/>
        </w:rPr>
        <w:t>員額與業務移撥至</w:t>
      </w:r>
      <w:r>
        <w:rPr>
          <w:rFonts w:ascii="微軟正黑體" w:eastAsia="微軟正黑體" w:hAnsi="微軟正黑體" w:hint="eastAsia"/>
          <w:sz w:val="20"/>
        </w:rPr>
        <w:t>中央政府機關</w:t>
      </w:r>
      <w:r w:rsidRPr="00540801">
        <w:rPr>
          <w:rFonts w:ascii="微軟正黑體" w:eastAsia="微軟正黑體" w:hAnsi="微軟正黑體" w:hint="eastAsia"/>
          <w:sz w:val="20"/>
        </w:rPr>
        <w:t>。</w:t>
      </w:r>
    </w:p>
    <w:p w:rsidR="00FB2640" w:rsidRDefault="00FB2640" w:rsidP="00FB2640">
      <w:pPr>
        <w:spacing w:beforeLines="50" w:before="180" w:line="400" w:lineRule="exact"/>
        <w:jc w:val="center"/>
        <w:rPr>
          <w:noProof/>
        </w:rPr>
      </w:pPr>
      <w:r w:rsidRPr="00F0717A">
        <w:rPr>
          <w:rFonts w:ascii="微軟正黑體" w:eastAsia="微軟正黑體" w:hAnsi="微軟正黑體" w:hint="eastAsia"/>
        </w:rPr>
        <w:t>圖</w:t>
      </w:r>
      <w:r>
        <w:rPr>
          <w:rFonts w:ascii="微軟正黑體" w:eastAsia="微軟正黑體" w:hAnsi="微軟正黑體" w:hint="eastAsia"/>
        </w:rPr>
        <w:t>2.15  1</w:t>
      </w:r>
      <w:r>
        <w:rPr>
          <w:rFonts w:ascii="微軟正黑體" w:eastAsia="微軟正黑體" w:hAnsi="微軟正黑體"/>
        </w:rPr>
        <w:t>09</w:t>
      </w:r>
      <w:r w:rsidRPr="00F0717A">
        <w:rPr>
          <w:rFonts w:ascii="微軟正黑體" w:eastAsia="微軟正黑體" w:hAnsi="微軟正黑體" w:hint="eastAsia"/>
        </w:rPr>
        <w:t>年公保被保險人人數分布情形(按要保機關分)</w:t>
      </w:r>
      <w:r w:rsidRPr="00225372">
        <w:rPr>
          <w:noProof/>
        </w:rPr>
        <w:t xml:space="preserve"> </w:t>
      </w:r>
    </w:p>
    <w:p w:rsidR="00FB2640" w:rsidRDefault="00FB2640" w:rsidP="00FB2640">
      <w:pPr>
        <w:spacing w:beforeLines="50" w:before="180" w:line="400" w:lineRule="exact"/>
        <w:jc w:val="center"/>
        <w:rPr>
          <w:noProof/>
        </w:rPr>
      </w:pPr>
    </w:p>
    <w:p w:rsidR="00FB2640" w:rsidRPr="005C1310" w:rsidRDefault="00FB2640" w:rsidP="00FB2640">
      <w:pPr>
        <w:spacing w:beforeLines="50" w:before="180" w:line="400" w:lineRule="exact"/>
        <w:jc w:val="center"/>
        <w:rPr>
          <w:noProof/>
        </w:rPr>
      </w:pPr>
    </w:p>
    <w:p w:rsidR="00FB2640" w:rsidRPr="001F54C7" w:rsidRDefault="00FB2640" w:rsidP="00FB2640">
      <w:pPr>
        <w:pStyle w:val="af0"/>
        <w:spacing w:line="400" w:lineRule="exact"/>
        <w:ind w:leftChars="0" w:left="744"/>
        <w:rPr>
          <w:rFonts w:ascii="微軟正黑體" w:eastAsia="微軟正黑體" w:hAnsi="微軟正黑體"/>
          <w:b/>
        </w:rPr>
      </w:pPr>
      <w:r>
        <w:rPr>
          <w:noProof/>
        </w:rPr>
        <w:drawing>
          <wp:anchor distT="0" distB="0" distL="114300" distR="114300" simplePos="0" relativeHeight="252560384" behindDoc="0" locked="0" layoutInCell="1" allowOverlap="1" wp14:anchorId="2F999B34" wp14:editId="32E3DE14">
            <wp:simplePos x="0" y="0"/>
            <wp:positionH relativeFrom="column">
              <wp:posOffset>47837</wp:posOffset>
            </wp:positionH>
            <wp:positionV relativeFrom="paragraph">
              <wp:posOffset>54610</wp:posOffset>
            </wp:positionV>
            <wp:extent cx="5715000" cy="3759200"/>
            <wp:effectExtent l="0" t="0" r="19050" b="12700"/>
            <wp:wrapNone/>
            <wp:docPr id="51" name="圖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FB2640" w:rsidRPr="00F45662" w:rsidRDefault="00FB2640" w:rsidP="00FB2640">
      <w:pPr>
        <w:spacing w:line="400" w:lineRule="exact"/>
        <w:rPr>
          <w:rFonts w:ascii="微軟正黑體" w:eastAsia="微軟正黑體" w:hAnsi="微軟正黑體"/>
          <w:b/>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Default="00FB2640" w:rsidP="00FB2640">
      <w:pPr>
        <w:pStyle w:val="af0"/>
        <w:spacing w:line="400" w:lineRule="exact"/>
        <w:ind w:leftChars="0" w:left="0"/>
        <w:rPr>
          <w:rFonts w:ascii="微軟正黑體" w:eastAsia="微軟正黑體" w:hAnsi="微軟正黑體"/>
        </w:rPr>
      </w:pPr>
    </w:p>
    <w:p w:rsidR="00FB2640" w:rsidRPr="005E4721" w:rsidRDefault="00FB2640" w:rsidP="00FB2640">
      <w:pPr>
        <w:spacing w:line="400" w:lineRule="exact"/>
        <w:rPr>
          <w:rFonts w:ascii="微軟正黑體" w:eastAsia="微軟正黑體" w:hAnsi="微軟正黑體"/>
        </w:rPr>
      </w:pPr>
      <w:r>
        <w:rPr>
          <w:rFonts w:ascii="微軟正黑體" w:eastAsia="微軟正黑體" w:hAnsi="微軟正黑體" w:hint="eastAsia"/>
          <w:sz w:val="20"/>
        </w:rPr>
        <w:t xml:space="preserve"> </w:t>
      </w:r>
      <w:r w:rsidRPr="00540801">
        <w:rPr>
          <w:rFonts w:ascii="微軟正黑體" w:eastAsia="微軟正黑體" w:hAnsi="微軟正黑體" w:hint="eastAsia"/>
          <w:sz w:val="20"/>
        </w:rPr>
        <w:t>註：</w:t>
      </w:r>
      <w:r>
        <w:rPr>
          <w:rFonts w:ascii="微軟正黑體" w:eastAsia="微軟正黑體" w:hAnsi="微軟正黑體" w:hint="eastAsia"/>
          <w:sz w:val="20"/>
        </w:rPr>
        <w:t>自107年7月1日起，臺灣省級機關</w:t>
      </w:r>
      <w:r w:rsidRPr="00495260">
        <w:rPr>
          <w:rFonts w:ascii="微軟正黑體" w:eastAsia="微軟正黑體" w:hAnsi="微軟正黑體" w:hint="eastAsia"/>
          <w:sz w:val="20"/>
        </w:rPr>
        <w:t>員額與業務移撥至</w:t>
      </w:r>
      <w:r>
        <w:rPr>
          <w:rFonts w:ascii="微軟正黑體" w:eastAsia="微軟正黑體" w:hAnsi="微軟正黑體" w:hint="eastAsia"/>
          <w:sz w:val="20"/>
        </w:rPr>
        <w:t>中央政府機關</w:t>
      </w:r>
      <w:r w:rsidRPr="00540801">
        <w:rPr>
          <w:rFonts w:ascii="微軟正黑體" w:eastAsia="微軟正黑體" w:hAnsi="微軟正黑體" w:hint="eastAsia"/>
          <w:sz w:val="20"/>
        </w:rPr>
        <w:t>。</w:t>
      </w:r>
    </w:p>
    <w:p w:rsidR="00FB2640" w:rsidRPr="00F0717A" w:rsidRDefault="00FB2640" w:rsidP="00FB2640">
      <w:pPr>
        <w:pStyle w:val="af0"/>
        <w:spacing w:beforeLines="50" w:before="180" w:line="400" w:lineRule="exact"/>
        <w:ind w:leftChars="0" w:left="0"/>
        <w:jc w:val="center"/>
        <w:rPr>
          <w:rFonts w:ascii="微軟正黑體" w:eastAsia="微軟正黑體" w:hAnsi="微軟正黑體"/>
        </w:rPr>
      </w:pPr>
      <w:r w:rsidRPr="00F0717A">
        <w:rPr>
          <w:rFonts w:ascii="微軟正黑體" w:eastAsia="微軟正黑體" w:hAnsi="微軟正黑體" w:hint="eastAsia"/>
        </w:rPr>
        <w:t>圖2.1</w:t>
      </w:r>
      <w:r>
        <w:rPr>
          <w:rFonts w:ascii="微軟正黑體" w:eastAsia="微軟正黑體" w:hAnsi="微軟正黑體" w:hint="eastAsia"/>
        </w:rPr>
        <w:t>6</w:t>
      </w:r>
      <w:r w:rsidRPr="00F0717A">
        <w:rPr>
          <w:rFonts w:ascii="微軟正黑體" w:eastAsia="微軟正黑體" w:hAnsi="微軟正黑體" w:hint="eastAsia"/>
        </w:rPr>
        <w:t xml:space="preserve">  </w:t>
      </w:r>
      <w:r w:rsidRPr="003B16C9">
        <w:rPr>
          <w:rFonts w:ascii="微軟正黑體" w:eastAsia="微軟正黑體" w:hAnsi="微軟正黑體" w:hint="eastAsia"/>
        </w:rPr>
        <w:t>99</w:t>
      </w:r>
      <w:r>
        <w:rPr>
          <w:rFonts w:ascii="微軟正黑體" w:eastAsia="微軟正黑體" w:hAnsi="微軟正黑體"/>
        </w:rPr>
        <w:t>-109</w:t>
      </w:r>
      <w:r w:rsidRPr="00F0717A">
        <w:rPr>
          <w:rFonts w:ascii="微軟正黑體" w:eastAsia="微軟正黑體" w:hAnsi="微軟正黑體" w:hint="eastAsia"/>
        </w:rPr>
        <w:t>年公保被保險人人數變動情形(按要保機關分)</w:t>
      </w:r>
    </w:p>
    <w:p w:rsidR="00FB2640" w:rsidRPr="00244993" w:rsidRDefault="00FB2640" w:rsidP="00FB2640">
      <w:pPr>
        <w:pStyle w:val="af0"/>
        <w:spacing w:line="400" w:lineRule="exact"/>
        <w:ind w:leftChars="0" w:left="744"/>
        <w:rPr>
          <w:rFonts w:ascii="微軟正黑體" w:eastAsia="微軟正黑體" w:hAnsi="微軟正黑體"/>
        </w:rPr>
      </w:pPr>
    </w:p>
    <w:p w:rsidR="00FB2640" w:rsidRPr="00F91F9D" w:rsidRDefault="00FB2640" w:rsidP="00FB2640">
      <w:pPr>
        <w:pStyle w:val="af0"/>
        <w:numPr>
          <w:ilvl w:val="1"/>
          <w:numId w:val="21"/>
        </w:numPr>
        <w:adjustRightInd w:val="0"/>
        <w:spacing w:line="400" w:lineRule="exact"/>
        <w:ind w:leftChars="0" w:left="709"/>
        <w:textAlignment w:val="baseline"/>
        <w:rPr>
          <w:rFonts w:ascii="微軟正黑體" w:eastAsia="微軟正黑體" w:hAnsi="微軟正黑體"/>
        </w:rPr>
      </w:pPr>
      <w:r w:rsidRPr="00F91F9D">
        <w:rPr>
          <w:rFonts w:ascii="微軟正黑體" w:eastAsia="微軟正黑體" w:hAnsi="微軟正黑體" w:hint="eastAsia"/>
        </w:rPr>
        <w:lastRenderedPageBreak/>
        <w:t>被保險人年齡及性別分布</w:t>
      </w:r>
    </w:p>
    <w:p w:rsidR="00FB2640" w:rsidRPr="00F412C9" w:rsidRDefault="00FB2640" w:rsidP="00FB2640">
      <w:pPr>
        <w:pStyle w:val="af0"/>
        <w:spacing w:beforeLines="30" w:before="108" w:line="400" w:lineRule="exact"/>
        <w:ind w:leftChars="0" w:left="744"/>
        <w:jc w:val="both"/>
        <w:rPr>
          <w:rFonts w:ascii="微軟正黑體" w:eastAsia="微軟正黑體" w:hAnsi="微軟正黑體"/>
        </w:rPr>
      </w:pPr>
      <w:r w:rsidRPr="00F0717A">
        <w:rPr>
          <w:rFonts w:ascii="微軟正黑體" w:eastAsia="微軟正黑體" w:hAnsi="微軟正黑體" w:hint="eastAsia"/>
        </w:rPr>
        <w:t xml:space="preserve">   </w:t>
      </w:r>
      <w:r w:rsidRPr="00F412C9">
        <w:rPr>
          <w:rFonts w:ascii="微軟正黑體" w:eastAsia="微軟正黑體" w:hAnsi="微軟正黑體" w:hint="eastAsia"/>
        </w:rPr>
        <w:t xml:space="preserve"> </w:t>
      </w:r>
      <w:r w:rsidRPr="00F412C9">
        <w:rPr>
          <w:rFonts w:ascii="微軟正黑體" w:eastAsia="微軟正黑體" w:hAnsi="微軟正黑體"/>
        </w:rPr>
        <w:t>109</w:t>
      </w:r>
      <w:r w:rsidRPr="00F412C9">
        <w:rPr>
          <w:rFonts w:ascii="微軟正黑體" w:eastAsia="微軟正黑體" w:hAnsi="微軟正黑體" w:hint="eastAsia"/>
        </w:rPr>
        <w:t>年公保被保險人以「35-54歲」為主，占全體被保險人6</w:t>
      </w:r>
      <w:r w:rsidRPr="00F412C9">
        <w:rPr>
          <w:rFonts w:ascii="微軟正黑體" w:eastAsia="微軟正黑體" w:hAnsi="微軟正黑體"/>
        </w:rPr>
        <w:t>5.4</w:t>
      </w:r>
      <w:r w:rsidRPr="00F412C9">
        <w:rPr>
          <w:rFonts w:ascii="微軟正黑體" w:eastAsia="微軟正黑體" w:hAnsi="微軟正黑體" w:hint="eastAsia"/>
        </w:rPr>
        <w:t>%，其中「45-49歲」之人數最多，達1</w:t>
      </w:r>
      <w:r w:rsidRPr="00F412C9">
        <w:rPr>
          <w:rFonts w:ascii="微軟正黑體" w:eastAsia="微軟正黑體" w:hAnsi="微軟正黑體"/>
        </w:rPr>
        <w:t>0</w:t>
      </w:r>
      <w:r w:rsidRPr="00F412C9">
        <w:rPr>
          <w:rFonts w:ascii="微軟正黑體" w:eastAsia="微軟正黑體" w:hAnsi="微軟正黑體" w:hint="eastAsia"/>
        </w:rPr>
        <w:t>萬5,</w:t>
      </w:r>
      <w:r w:rsidRPr="00F412C9">
        <w:rPr>
          <w:rFonts w:ascii="微軟正黑體" w:eastAsia="微軟正黑體" w:hAnsi="微軟正黑體"/>
        </w:rPr>
        <w:t>489</w:t>
      </w:r>
      <w:r w:rsidRPr="00F412C9">
        <w:rPr>
          <w:rFonts w:ascii="微軟正黑體" w:eastAsia="微軟正黑體" w:hAnsi="微軟正黑體" w:hint="eastAsia"/>
        </w:rPr>
        <w:t>人，占全體1</w:t>
      </w:r>
      <w:r w:rsidRPr="00F412C9">
        <w:rPr>
          <w:rFonts w:ascii="微軟正黑體" w:eastAsia="微軟正黑體" w:hAnsi="微軟正黑體"/>
        </w:rPr>
        <w:t>7.7</w:t>
      </w:r>
      <w:r w:rsidRPr="00F412C9">
        <w:rPr>
          <w:rFonts w:ascii="微軟正黑體" w:eastAsia="微軟正黑體" w:hAnsi="微軟正黑體" w:hint="eastAsia"/>
        </w:rPr>
        <w:t>%。全體被保險人平均年齡4</w:t>
      </w:r>
      <w:r w:rsidRPr="00F412C9">
        <w:rPr>
          <w:rFonts w:ascii="微軟正黑體" w:eastAsia="微軟正黑體" w:hAnsi="微軟正黑體"/>
        </w:rPr>
        <w:t>4.1</w:t>
      </w:r>
      <w:r w:rsidRPr="00F412C9">
        <w:rPr>
          <w:rFonts w:ascii="微軟正黑體" w:eastAsia="微軟正黑體" w:hAnsi="微軟正黑體" w:hint="eastAsia"/>
        </w:rPr>
        <w:t>歲。</w:t>
      </w:r>
    </w:p>
    <w:p w:rsidR="00FB2640" w:rsidRPr="00F0717A" w:rsidRDefault="00FB2640" w:rsidP="00FB2640">
      <w:pPr>
        <w:pStyle w:val="af0"/>
        <w:spacing w:beforeLines="30" w:before="108" w:line="400" w:lineRule="exact"/>
        <w:ind w:leftChars="0" w:left="743" w:firstLineChars="200" w:firstLine="480"/>
        <w:jc w:val="both"/>
        <w:rPr>
          <w:rFonts w:ascii="微軟正黑體" w:eastAsia="微軟正黑體" w:hAnsi="微軟正黑體"/>
        </w:rPr>
      </w:pPr>
      <w:r w:rsidRPr="00F412C9">
        <w:rPr>
          <w:rFonts w:ascii="微軟正黑體" w:eastAsia="微軟正黑體" w:hAnsi="微軟正黑體" w:hint="eastAsia"/>
        </w:rPr>
        <w:t>依性別觀之，10</w:t>
      </w:r>
      <w:r w:rsidRPr="00F412C9">
        <w:rPr>
          <w:rFonts w:ascii="微軟正黑體" w:eastAsia="微軟正黑體" w:hAnsi="微軟正黑體"/>
        </w:rPr>
        <w:t>9</w:t>
      </w:r>
      <w:r w:rsidRPr="00F412C9">
        <w:rPr>
          <w:rFonts w:ascii="微軟正黑體" w:eastAsia="微軟正黑體" w:hAnsi="微軟正黑體" w:hint="eastAsia"/>
        </w:rPr>
        <w:t>年公教人員男性被保險人</w:t>
      </w:r>
      <w:r w:rsidRPr="00F412C9">
        <w:rPr>
          <w:rFonts w:ascii="微軟正黑體" w:eastAsia="微軟正黑體" w:hAnsi="微軟正黑體"/>
        </w:rPr>
        <w:t>2</w:t>
      </w:r>
      <w:r w:rsidRPr="00F412C9">
        <w:rPr>
          <w:rFonts w:ascii="微軟正黑體" w:eastAsia="微軟正黑體" w:hAnsi="微軟正黑體" w:hint="eastAsia"/>
        </w:rPr>
        <w:t>9萬</w:t>
      </w:r>
      <w:r w:rsidRPr="00F412C9">
        <w:rPr>
          <w:rFonts w:ascii="微軟正黑體" w:eastAsia="微軟正黑體" w:hAnsi="微軟正黑體"/>
        </w:rPr>
        <w:t>3</w:t>
      </w:r>
      <w:r w:rsidRPr="00F412C9">
        <w:rPr>
          <w:rFonts w:ascii="微軟正黑體" w:eastAsia="微軟正黑體" w:hAnsi="微軟正黑體" w:hint="eastAsia"/>
        </w:rPr>
        <w:t>,</w:t>
      </w:r>
      <w:r w:rsidRPr="00F412C9">
        <w:rPr>
          <w:rFonts w:ascii="微軟正黑體" w:eastAsia="微軟正黑體" w:hAnsi="微軟正黑體"/>
        </w:rPr>
        <w:t>321</w:t>
      </w:r>
      <w:r w:rsidRPr="00F412C9">
        <w:rPr>
          <w:rFonts w:ascii="微軟正黑體" w:eastAsia="微軟正黑體" w:hAnsi="微軟正黑體" w:hint="eastAsia"/>
        </w:rPr>
        <w:t>人，占49.4%，女性</w:t>
      </w:r>
      <w:r w:rsidRPr="00F412C9">
        <w:rPr>
          <w:rFonts w:ascii="微軟正黑體" w:eastAsia="微軟正黑體" w:hAnsi="微軟正黑體"/>
        </w:rPr>
        <w:t>30</w:t>
      </w:r>
      <w:r w:rsidRPr="00F412C9">
        <w:rPr>
          <w:rFonts w:ascii="微軟正黑體" w:eastAsia="微軟正黑體" w:hAnsi="微軟正黑體" w:hint="eastAsia"/>
        </w:rPr>
        <w:t>萬</w:t>
      </w:r>
      <w:r w:rsidRPr="00F412C9">
        <w:rPr>
          <w:rFonts w:ascii="微軟正黑體" w:eastAsia="微軟正黑體" w:hAnsi="微軟正黑體"/>
        </w:rPr>
        <w:t>1</w:t>
      </w:r>
      <w:r w:rsidRPr="00F412C9">
        <w:rPr>
          <w:rFonts w:ascii="微軟正黑體" w:eastAsia="微軟正黑體" w:hAnsi="微軟正黑體" w:hint="eastAsia"/>
        </w:rPr>
        <w:t>,</w:t>
      </w:r>
      <w:r w:rsidRPr="00F412C9">
        <w:rPr>
          <w:rFonts w:ascii="微軟正黑體" w:eastAsia="微軟正黑體" w:hAnsi="微軟正黑體"/>
        </w:rPr>
        <w:t>025</w:t>
      </w:r>
      <w:r w:rsidRPr="00F412C9">
        <w:rPr>
          <w:rFonts w:ascii="微軟正黑體" w:eastAsia="微軟正黑體" w:hAnsi="微軟正黑體" w:hint="eastAsia"/>
        </w:rPr>
        <w:t>人，占50.6%。「</w:t>
      </w:r>
      <w:r w:rsidRPr="00F412C9">
        <w:rPr>
          <w:rFonts w:ascii="微軟正黑體" w:eastAsia="微軟正黑體" w:hAnsi="微軟正黑體"/>
        </w:rPr>
        <w:t>50-54</w:t>
      </w:r>
      <w:r w:rsidRPr="00F412C9">
        <w:rPr>
          <w:rFonts w:ascii="微軟正黑體" w:eastAsia="微軟正黑體" w:hAnsi="微軟正黑體" w:hint="eastAsia"/>
        </w:rPr>
        <w:t>歲」之男女性人數相近，該年齡層以下之女性多於男性(</w:t>
      </w:r>
      <w:r w:rsidRPr="00F412C9">
        <w:rPr>
          <w:rFonts w:ascii="微軟正黑體" w:eastAsia="微軟正黑體" w:hAnsi="微軟正黑體"/>
        </w:rPr>
        <w:t>29</w:t>
      </w:r>
      <w:r w:rsidRPr="00F412C9">
        <w:rPr>
          <w:rFonts w:ascii="微軟正黑體" w:eastAsia="微軟正黑體" w:hAnsi="微軟正黑體" w:hint="eastAsia"/>
        </w:rPr>
        <w:t>歲以下除外</w:t>
      </w:r>
      <w:r w:rsidRPr="00F412C9">
        <w:rPr>
          <w:rFonts w:ascii="微軟正黑體" w:eastAsia="微軟正黑體" w:hAnsi="微軟正黑體"/>
        </w:rPr>
        <w:t>)</w:t>
      </w:r>
      <w:r w:rsidRPr="00F412C9">
        <w:rPr>
          <w:rFonts w:ascii="微軟正黑體" w:eastAsia="微軟正黑體" w:hAnsi="微軟正黑體" w:hint="eastAsia"/>
        </w:rPr>
        <w:t>，以上則</w:t>
      </w:r>
      <w:r w:rsidRPr="00F0717A">
        <w:rPr>
          <w:rFonts w:ascii="微軟正黑體" w:eastAsia="微軟正黑體" w:hAnsi="微軟正黑體" w:hint="eastAsia"/>
        </w:rPr>
        <w:t>男性多於女性。男性被保險人平均年齡44.</w:t>
      </w:r>
      <w:r>
        <w:rPr>
          <w:rFonts w:ascii="微軟正黑體" w:eastAsia="微軟正黑體" w:hAnsi="微軟正黑體" w:hint="eastAsia"/>
        </w:rPr>
        <w:t>5</w:t>
      </w:r>
      <w:r w:rsidRPr="00F0717A">
        <w:rPr>
          <w:rFonts w:ascii="微軟正黑體" w:eastAsia="微軟正黑體" w:hAnsi="微軟正黑體" w:hint="eastAsia"/>
        </w:rPr>
        <w:t>歲，女性被保險人4</w:t>
      </w:r>
      <w:r>
        <w:rPr>
          <w:rFonts w:ascii="微軟正黑體" w:eastAsia="微軟正黑體" w:hAnsi="微軟正黑體" w:hint="eastAsia"/>
        </w:rPr>
        <w:t>3.8</w:t>
      </w:r>
      <w:r w:rsidRPr="00F0717A">
        <w:rPr>
          <w:rFonts w:ascii="微軟正黑體" w:eastAsia="微軟正黑體" w:hAnsi="微軟正黑體" w:hint="eastAsia"/>
        </w:rPr>
        <w:t>歲。</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63456" behindDoc="0" locked="0" layoutInCell="1" allowOverlap="1" wp14:anchorId="6ACB63FA" wp14:editId="17C76F4D">
            <wp:simplePos x="0" y="0"/>
            <wp:positionH relativeFrom="column">
              <wp:posOffset>-133773</wp:posOffset>
            </wp:positionH>
            <wp:positionV relativeFrom="paragraph">
              <wp:posOffset>48472</wp:posOffset>
            </wp:positionV>
            <wp:extent cx="6134100" cy="2552065"/>
            <wp:effectExtent l="0" t="0" r="19050" b="19685"/>
            <wp:wrapNone/>
            <wp:docPr id="52" name="圖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beforeLines="30" w:before="108" w:line="400" w:lineRule="exact"/>
        <w:jc w:val="center"/>
        <w:rPr>
          <w:rFonts w:ascii="微軟正黑體" w:eastAsia="微軟正黑體" w:hAnsi="微軟正黑體"/>
        </w:rPr>
      </w:pPr>
      <w:r w:rsidRPr="00F0717A">
        <w:rPr>
          <w:rFonts w:ascii="微軟正黑體" w:eastAsia="微軟正黑體" w:hAnsi="微軟正黑體" w:hint="eastAsia"/>
        </w:rPr>
        <w:t>圖2.1</w:t>
      </w:r>
      <w:r>
        <w:rPr>
          <w:rFonts w:ascii="微軟正黑體" w:eastAsia="微軟正黑體" w:hAnsi="微軟正黑體" w:hint="eastAsia"/>
        </w:rPr>
        <w:t>7</w:t>
      </w: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年公保被保險人性別及年齡分布情形</w:t>
      </w:r>
    </w:p>
    <w:p w:rsidR="00FB2640" w:rsidRPr="00F0717A" w:rsidRDefault="00FB2640" w:rsidP="00FB2640">
      <w:pPr>
        <w:spacing w:line="400" w:lineRule="exact"/>
        <w:rPr>
          <w:rFonts w:ascii="微軟正黑體" w:eastAsia="微軟正黑體" w:hAnsi="微軟正黑體"/>
        </w:rPr>
      </w:pPr>
    </w:p>
    <w:p w:rsidR="00FB2640" w:rsidRPr="00F91F9D" w:rsidRDefault="00FB2640" w:rsidP="00FB2640">
      <w:pPr>
        <w:pStyle w:val="af0"/>
        <w:numPr>
          <w:ilvl w:val="1"/>
          <w:numId w:val="21"/>
        </w:numPr>
        <w:adjustRightInd w:val="0"/>
        <w:spacing w:line="400" w:lineRule="exact"/>
        <w:ind w:leftChars="0" w:left="709"/>
        <w:textAlignment w:val="baseline"/>
        <w:rPr>
          <w:rFonts w:ascii="微軟正黑體" w:eastAsia="微軟正黑體" w:hAnsi="微軟正黑體"/>
        </w:rPr>
      </w:pPr>
      <w:r w:rsidRPr="00F91F9D">
        <w:rPr>
          <w:rFonts w:ascii="微軟正黑體" w:eastAsia="微軟正黑體" w:hAnsi="微軟正黑體" w:hint="eastAsia"/>
        </w:rPr>
        <w:t>被保險人保俸分布</w:t>
      </w:r>
    </w:p>
    <w:p w:rsidR="00FB2640" w:rsidRDefault="00FB2640" w:rsidP="00FB2640">
      <w:pPr>
        <w:pStyle w:val="af0"/>
        <w:spacing w:beforeLines="30" w:before="108"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年公</w:t>
      </w:r>
      <w:r>
        <w:rPr>
          <w:rFonts w:ascii="微軟正黑體" w:eastAsia="微軟正黑體" w:hAnsi="微軟正黑體" w:hint="eastAsia"/>
        </w:rPr>
        <w:t>保</w:t>
      </w:r>
      <w:r w:rsidRPr="00F0717A">
        <w:rPr>
          <w:rFonts w:ascii="微軟正黑體" w:eastAsia="微軟正黑體" w:hAnsi="微軟正黑體" w:hint="eastAsia"/>
        </w:rPr>
        <w:t>被保險人，保俸以「40,000-49,999元」之人數最多，達</w:t>
      </w:r>
      <w:r>
        <w:rPr>
          <w:rFonts w:ascii="微軟正黑體" w:eastAsia="微軟正黑體" w:hAnsi="微軟正黑體" w:hint="eastAsia"/>
        </w:rPr>
        <w:t>25</w:t>
      </w:r>
      <w:r w:rsidRPr="00F0717A">
        <w:rPr>
          <w:rFonts w:ascii="微軟正黑體" w:eastAsia="微軟正黑體" w:hAnsi="微軟正黑體" w:hint="eastAsia"/>
        </w:rPr>
        <w:t>萬</w:t>
      </w:r>
      <w:r>
        <w:rPr>
          <w:rFonts w:ascii="微軟正黑體" w:eastAsia="微軟正黑體" w:hAnsi="微軟正黑體" w:hint="eastAsia"/>
        </w:rPr>
        <w:t>8,</w:t>
      </w:r>
      <w:r>
        <w:rPr>
          <w:rFonts w:ascii="微軟正黑體" w:eastAsia="微軟正黑體" w:hAnsi="微軟正黑體"/>
        </w:rPr>
        <w:t>615</w:t>
      </w:r>
      <w:r w:rsidRPr="00F0717A">
        <w:rPr>
          <w:rFonts w:ascii="微軟正黑體" w:eastAsia="微軟正黑體" w:hAnsi="微軟正黑體" w:hint="eastAsia"/>
        </w:rPr>
        <w:t>人，占</w:t>
      </w:r>
      <w:r>
        <w:rPr>
          <w:rFonts w:ascii="微軟正黑體" w:eastAsia="微軟正黑體" w:hAnsi="微軟正黑體" w:hint="eastAsia"/>
        </w:rPr>
        <w:t>4</w:t>
      </w:r>
      <w:r>
        <w:rPr>
          <w:rFonts w:ascii="微軟正黑體" w:eastAsia="微軟正黑體" w:hAnsi="微軟正黑體"/>
        </w:rPr>
        <w:t>3.5</w:t>
      </w:r>
      <w:r w:rsidRPr="00F0717A">
        <w:rPr>
          <w:rFonts w:ascii="微軟正黑體" w:eastAsia="微軟正黑體" w:hAnsi="微軟正黑體" w:hint="eastAsia"/>
        </w:rPr>
        <w:t>%，「30,000-39,999元」為1</w:t>
      </w:r>
      <w:r>
        <w:rPr>
          <w:rFonts w:ascii="微軟正黑體" w:eastAsia="微軟正黑體" w:hAnsi="微軟正黑體" w:hint="eastAsia"/>
        </w:rPr>
        <w:t>3</w:t>
      </w:r>
      <w:r w:rsidRPr="00F0717A">
        <w:rPr>
          <w:rFonts w:ascii="微軟正黑體" w:eastAsia="微軟正黑體" w:hAnsi="微軟正黑體" w:hint="eastAsia"/>
        </w:rPr>
        <w:t>萬</w:t>
      </w:r>
      <w:r>
        <w:rPr>
          <w:rFonts w:ascii="微軟正黑體" w:eastAsia="微軟正黑體" w:hAnsi="微軟正黑體" w:hint="eastAsia"/>
        </w:rPr>
        <w:t>5,</w:t>
      </w:r>
      <w:r>
        <w:rPr>
          <w:rFonts w:ascii="微軟正黑體" w:eastAsia="微軟正黑體" w:hAnsi="微軟正黑體"/>
        </w:rPr>
        <w:t>269</w:t>
      </w:r>
      <w:r w:rsidRPr="00F0717A">
        <w:rPr>
          <w:rFonts w:ascii="微軟正黑體" w:eastAsia="微軟正黑體" w:hAnsi="微軟正黑體" w:hint="eastAsia"/>
        </w:rPr>
        <w:t>人次之，占</w:t>
      </w:r>
      <w:r>
        <w:rPr>
          <w:rFonts w:ascii="微軟正黑體" w:eastAsia="微軟正黑體" w:hAnsi="微軟正黑體" w:hint="eastAsia"/>
        </w:rPr>
        <w:t>2</w:t>
      </w:r>
      <w:r>
        <w:rPr>
          <w:rFonts w:ascii="微軟正黑體" w:eastAsia="微軟正黑體" w:hAnsi="微軟正黑體"/>
        </w:rPr>
        <w:t>2.8</w:t>
      </w:r>
      <w:r w:rsidRPr="00F0717A">
        <w:rPr>
          <w:rFonts w:ascii="微軟正黑體" w:eastAsia="微軟正黑體" w:hAnsi="微軟正黑體" w:hint="eastAsia"/>
        </w:rPr>
        <w:t>%。</w:t>
      </w:r>
    </w:p>
    <w:p w:rsidR="00FB2640" w:rsidRPr="00F0717A" w:rsidRDefault="00FB2640" w:rsidP="00FB2640">
      <w:pPr>
        <w:pStyle w:val="af0"/>
        <w:spacing w:beforeLines="30" w:before="108" w:line="400" w:lineRule="exact"/>
        <w:ind w:leftChars="0" w:left="743"/>
        <w:jc w:val="both"/>
        <w:rPr>
          <w:rFonts w:ascii="微軟正黑體" w:eastAsia="微軟正黑體" w:hAnsi="微軟正黑體"/>
        </w:rPr>
      </w:pPr>
      <w:r>
        <w:rPr>
          <w:noProof/>
        </w:rPr>
        <w:drawing>
          <wp:anchor distT="0" distB="0" distL="114300" distR="114300" simplePos="0" relativeHeight="252567552" behindDoc="0" locked="0" layoutInCell="1" allowOverlap="1" wp14:anchorId="59058BA7" wp14:editId="44CB65BA">
            <wp:simplePos x="0" y="0"/>
            <wp:positionH relativeFrom="column">
              <wp:posOffset>234103</wp:posOffset>
            </wp:positionH>
            <wp:positionV relativeFrom="paragraph">
              <wp:posOffset>89323</wp:posOffset>
            </wp:positionV>
            <wp:extent cx="5537200" cy="2518410"/>
            <wp:effectExtent l="0" t="0" r="25400" b="15240"/>
            <wp:wrapNone/>
            <wp:docPr id="261" name="圖表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spacing w:line="400" w:lineRule="exact"/>
        <w:jc w:val="center"/>
        <w:rPr>
          <w:rFonts w:ascii="微軟正黑體" w:eastAsia="微軟正黑體" w:hAnsi="微軟正黑體"/>
        </w:rPr>
      </w:pPr>
      <w:r w:rsidRPr="00F0717A">
        <w:rPr>
          <w:rFonts w:ascii="微軟正黑體" w:eastAsia="微軟正黑體" w:hAnsi="微軟正黑體" w:hint="eastAsia"/>
        </w:rPr>
        <w:t>圖2.1</w:t>
      </w:r>
      <w:r>
        <w:rPr>
          <w:rFonts w:ascii="微軟正黑體" w:eastAsia="微軟正黑體" w:hAnsi="微軟正黑體" w:hint="eastAsia"/>
        </w:rPr>
        <w:t>8</w:t>
      </w: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年公保被保險人保俸分布情形</w:t>
      </w:r>
    </w:p>
    <w:p w:rsidR="00FB2640" w:rsidRPr="00F0717A" w:rsidRDefault="00FB2640" w:rsidP="00FB2640">
      <w:pPr>
        <w:spacing w:line="400" w:lineRule="exact"/>
        <w:rPr>
          <w:rFonts w:ascii="微軟正黑體" w:eastAsia="微軟正黑體" w:hAnsi="微軟正黑體"/>
        </w:rPr>
      </w:pPr>
    </w:p>
    <w:p w:rsidR="00FB2640" w:rsidRPr="00F91F9D" w:rsidRDefault="00FB2640" w:rsidP="00FB2640">
      <w:pPr>
        <w:pStyle w:val="af0"/>
        <w:numPr>
          <w:ilvl w:val="1"/>
          <w:numId w:val="21"/>
        </w:numPr>
        <w:adjustRightInd w:val="0"/>
        <w:spacing w:line="400" w:lineRule="exact"/>
        <w:ind w:leftChars="0" w:left="709"/>
        <w:textAlignment w:val="baseline"/>
        <w:rPr>
          <w:rFonts w:ascii="微軟正黑體" w:eastAsia="微軟正黑體" w:hAnsi="微軟正黑體"/>
        </w:rPr>
      </w:pPr>
      <w:r w:rsidRPr="00F91F9D">
        <w:rPr>
          <w:rFonts w:ascii="微軟正黑體" w:eastAsia="微軟正黑體" w:hAnsi="微軟正黑體" w:hint="eastAsia"/>
        </w:rPr>
        <w:lastRenderedPageBreak/>
        <w:t>被保險人平均保俸</w:t>
      </w:r>
    </w:p>
    <w:p w:rsidR="00FB2640" w:rsidRPr="00A10E28" w:rsidRDefault="00FB2640" w:rsidP="00FB2640">
      <w:pPr>
        <w:pStyle w:val="af0"/>
        <w:spacing w:beforeLines="30" w:before="108" w:line="400" w:lineRule="exact"/>
        <w:ind w:leftChars="0" w:left="743"/>
        <w:jc w:val="both"/>
        <w:rPr>
          <w:rFonts w:ascii="微軟正黑體" w:eastAsia="微軟正黑體" w:hAnsi="微軟正黑體"/>
          <w:color w:val="FF0000"/>
        </w:rPr>
      </w:pPr>
      <w:r w:rsidRPr="00F0717A">
        <w:rPr>
          <w:rFonts w:ascii="微軟正黑體" w:eastAsia="微軟正黑體" w:hAnsi="微軟正黑體" w:hint="eastAsia"/>
        </w:rPr>
        <w:t xml:space="preserve">    觀察近10年之平均保俸變動情形，由</w:t>
      </w:r>
      <w:r>
        <w:rPr>
          <w:rFonts w:ascii="微軟正黑體" w:eastAsia="微軟正黑體" w:hAnsi="微軟正黑體"/>
        </w:rPr>
        <w:t>100</w:t>
      </w:r>
      <w:r w:rsidRPr="00F0717A">
        <w:rPr>
          <w:rFonts w:ascii="微軟正黑體" w:eastAsia="微軟正黑體" w:hAnsi="微軟正黑體" w:hint="eastAsia"/>
        </w:rPr>
        <w:t>年</w:t>
      </w:r>
      <w:r>
        <w:rPr>
          <w:rFonts w:ascii="微軟正黑體" w:eastAsia="微軟正黑體" w:hAnsi="微軟正黑體" w:hint="eastAsia"/>
        </w:rPr>
        <w:t>3</w:t>
      </w:r>
      <w:r>
        <w:rPr>
          <w:rFonts w:ascii="微軟正黑體" w:eastAsia="微軟正黑體" w:hAnsi="微軟正黑體"/>
        </w:rPr>
        <w:t>5</w:t>
      </w:r>
      <w:r>
        <w:rPr>
          <w:rFonts w:ascii="微軟正黑體" w:eastAsia="微軟正黑體" w:hAnsi="微軟正黑體" w:hint="eastAsia"/>
        </w:rPr>
        <w:t>,</w:t>
      </w:r>
      <w:r>
        <w:rPr>
          <w:rFonts w:ascii="微軟正黑體" w:eastAsia="微軟正黑體" w:hAnsi="微軟正黑體"/>
        </w:rPr>
        <w:t>109</w:t>
      </w:r>
      <w:r w:rsidRPr="00F0717A">
        <w:rPr>
          <w:rFonts w:ascii="微軟正黑體" w:eastAsia="微軟正黑體" w:hAnsi="微軟正黑體" w:hint="eastAsia"/>
        </w:rPr>
        <w:t>元上升至10</w:t>
      </w:r>
      <w:r>
        <w:rPr>
          <w:rFonts w:ascii="微軟正黑體" w:eastAsia="微軟正黑體" w:hAnsi="微軟正黑體"/>
        </w:rPr>
        <w:t>9</w:t>
      </w:r>
      <w:r w:rsidRPr="00F0717A">
        <w:rPr>
          <w:rFonts w:ascii="微軟正黑體" w:eastAsia="微軟正黑體" w:hAnsi="微軟正黑體" w:hint="eastAsia"/>
        </w:rPr>
        <w:t>年</w:t>
      </w:r>
      <w:r>
        <w:rPr>
          <w:rFonts w:ascii="微軟正黑體" w:eastAsia="微軟正黑體" w:hAnsi="微軟正黑體" w:hint="eastAsia"/>
        </w:rPr>
        <w:t>37,</w:t>
      </w:r>
      <w:r>
        <w:rPr>
          <w:rFonts w:ascii="微軟正黑體" w:eastAsia="微軟正黑體" w:hAnsi="微軟正黑體"/>
        </w:rPr>
        <w:t>401</w:t>
      </w:r>
      <w:r w:rsidRPr="00F0717A">
        <w:rPr>
          <w:rFonts w:ascii="微軟正黑體" w:eastAsia="微軟正黑體" w:hAnsi="微軟正黑體" w:hint="eastAsia"/>
        </w:rPr>
        <w:t>元，增加</w:t>
      </w:r>
      <w:r>
        <w:rPr>
          <w:rFonts w:ascii="微軟正黑體" w:eastAsia="微軟正黑體" w:hAnsi="微軟正黑體" w:hint="eastAsia"/>
        </w:rPr>
        <w:t>2,</w:t>
      </w:r>
      <w:r>
        <w:rPr>
          <w:rFonts w:ascii="微軟正黑體" w:eastAsia="微軟正黑體" w:hAnsi="微軟正黑體"/>
        </w:rPr>
        <w:t>292</w:t>
      </w:r>
      <w:r w:rsidRPr="00F0717A">
        <w:rPr>
          <w:rFonts w:ascii="微軟正黑體" w:eastAsia="微軟正黑體" w:hAnsi="微軟正黑體" w:hint="eastAsia"/>
        </w:rPr>
        <w:t>元</w:t>
      </w:r>
      <w:r>
        <w:rPr>
          <w:rFonts w:ascii="微軟正黑體" w:eastAsia="微軟正黑體" w:hAnsi="微軟正黑體" w:hint="eastAsia"/>
        </w:rPr>
        <w:t>(+</w:t>
      </w:r>
      <w:r>
        <w:rPr>
          <w:rFonts w:ascii="微軟正黑體" w:eastAsia="微軟正黑體" w:hAnsi="微軟正黑體"/>
        </w:rPr>
        <w:t>6.5</w:t>
      </w:r>
      <w:r w:rsidRPr="00F0717A">
        <w:rPr>
          <w:rFonts w:ascii="微軟正黑體" w:eastAsia="微軟正黑體" w:hAnsi="微軟正黑體" w:hint="eastAsia"/>
        </w:rPr>
        <w:t>%)，其中100年</w:t>
      </w:r>
      <w:r>
        <w:rPr>
          <w:rFonts w:ascii="微軟正黑體" w:eastAsia="微軟正黑體" w:hAnsi="微軟正黑體" w:hint="eastAsia"/>
        </w:rPr>
        <w:t>及107年</w:t>
      </w:r>
      <w:r w:rsidRPr="00F0717A">
        <w:rPr>
          <w:rFonts w:ascii="微軟正黑體" w:eastAsia="微軟正黑體" w:hAnsi="微軟正黑體" w:hint="eastAsia"/>
        </w:rPr>
        <w:t>因公教人員調增薪俸，保俸增加幅度大，較前年度</w:t>
      </w:r>
      <w:r>
        <w:rPr>
          <w:rFonts w:ascii="微軟正黑體" w:eastAsia="微軟正黑體" w:hAnsi="微軟正黑體" w:hint="eastAsia"/>
        </w:rPr>
        <w:t>分別</w:t>
      </w:r>
      <w:r w:rsidRPr="00F0717A">
        <w:rPr>
          <w:rFonts w:ascii="微軟正黑體" w:eastAsia="微軟正黑體" w:hAnsi="微軟正黑體" w:hint="eastAsia"/>
        </w:rPr>
        <w:t>增加1,295元(+3.8%)</w:t>
      </w:r>
      <w:r>
        <w:rPr>
          <w:rFonts w:ascii="微軟正黑體" w:eastAsia="微軟正黑體" w:hAnsi="微軟正黑體" w:hint="eastAsia"/>
        </w:rPr>
        <w:t>及1,163元(+3.2%)</w:t>
      </w:r>
      <w:r w:rsidRPr="00F0717A">
        <w:rPr>
          <w:rFonts w:ascii="微軟正黑體" w:eastAsia="微軟正黑體" w:hAnsi="微軟正黑體" w:hint="eastAsia"/>
        </w:rPr>
        <w:t>。</w:t>
      </w:r>
    </w:p>
    <w:p w:rsidR="00FB2640" w:rsidRPr="00F0717A" w:rsidRDefault="00FB2640" w:rsidP="00FB2640">
      <w:pPr>
        <w:pStyle w:val="af0"/>
        <w:spacing w:line="400" w:lineRule="exact"/>
        <w:ind w:leftChars="0" w:left="744"/>
        <w:rPr>
          <w:rFonts w:ascii="微軟正黑體" w:eastAsia="微軟正黑體" w:hAnsi="微軟正黑體"/>
        </w:rPr>
      </w:pPr>
      <w:r>
        <w:rPr>
          <w:noProof/>
        </w:rPr>
        <w:drawing>
          <wp:anchor distT="0" distB="0" distL="114300" distR="114300" simplePos="0" relativeHeight="252583936" behindDoc="0" locked="0" layoutInCell="1" allowOverlap="1" wp14:anchorId="4A0A652A" wp14:editId="0BD7D8DF">
            <wp:simplePos x="0" y="0"/>
            <wp:positionH relativeFrom="column">
              <wp:posOffset>123825</wp:posOffset>
            </wp:positionH>
            <wp:positionV relativeFrom="paragraph">
              <wp:posOffset>66040</wp:posOffset>
            </wp:positionV>
            <wp:extent cx="5697855" cy="2802255"/>
            <wp:effectExtent l="0" t="0" r="17145" b="17145"/>
            <wp:wrapNone/>
            <wp:docPr id="54" name="圖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beforeLines="50" w:before="180" w:line="400" w:lineRule="exact"/>
        <w:ind w:leftChars="0" w:left="743"/>
        <w:jc w:val="center"/>
        <w:rPr>
          <w:rFonts w:ascii="微軟正黑體" w:eastAsia="微軟正黑體" w:hAnsi="微軟正黑體"/>
        </w:rPr>
      </w:pPr>
      <w:r w:rsidRPr="00F0717A">
        <w:rPr>
          <w:rFonts w:ascii="微軟正黑體" w:eastAsia="微軟正黑體" w:hAnsi="微軟正黑體" w:hint="eastAsia"/>
        </w:rPr>
        <w:t>圖2.1</w:t>
      </w:r>
      <w:r>
        <w:rPr>
          <w:rFonts w:ascii="微軟正黑體" w:eastAsia="微軟正黑體" w:hAnsi="微軟正黑體" w:hint="eastAsia"/>
        </w:rPr>
        <w:t>9</w:t>
      </w:r>
      <w:r w:rsidRPr="00F0717A">
        <w:rPr>
          <w:rFonts w:ascii="微軟正黑體" w:eastAsia="微軟正黑體" w:hAnsi="微軟正黑體" w:hint="eastAsia"/>
        </w:rPr>
        <w:t xml:space="preserve">  </w:t>
      </w:r>
      <w:r w:rsidRPr="003B16C9">
        <w:rPr>
          <w:rFonts w:ascii="微軟正黑體" w:eastAsia="微軟正黑體" w:hAnsi="微軟正黑體" w:hint="eastAsia"/>
        </w:rPr>
        <w:t>99</w:t>
      </w:r>
      <w:r>
        <w:rPr>
          <w:rFonts w:ascii="微軟正黑體" w:eastAsia="微軟正黑體" w:hAnsi="微軟正黑體" w:hint="eastAsia"/>
        </w:rPr>
        <w:t>-109</w:t>
      </w:r>
      <w:r w:rsidRPr="00F0717A">
        <w:rPr>
          <w:rFonts w:ascii="微軟正黑體" w:eastAsia="微軟正黑體" w:hAnsi="微軟正黑體" w:hint="eastAsia"/>
        </w:rPr>
        <w:t>年公保被保險人平均保俸變動情形</w:t>
      </w:r>
    </w:p>
    <w:p w:rsidR="00FB2640" w:rsidRPr="00F0717A" w:rsidRDefault="00FB2640" w:rsidP="00FB2640">
      <w:pPr>
        <w:pStyle w:val="af0"/>
        <w:spacing w:line="400" w:lineRule="exact"/>
        <w:ind w:leftChars="0" w:left="744"/>
        <w:jc w:val="center"/>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Pr>
          <w:rFonts w:ascii="微軟正黑體" w:eastAsia="微軟正黑體" w:hAnsi="微軟正黑體" w:hint="eastAsia"/>
        </w:rPr>
        <w:t xml:space="preserve">(二) </w:t>
      </w:r>
      <w:r w:rsidRPr="00F0717A">
        <w:rPr>
          <w:rFonts w:ascii="微軟正黑體" w:eastAsia="微軟正黑體" w:hAnsi="微軟正黑體" w:hint="eastAsia"/>
        </w:rPr>
        <w:t>給付概況</w:t>
      </w:r>
    </w:p>
    <w:p w:rsidR="00FB2640" w:rsidRPr="00250399" w:rsidRDefault="00FB2640" w:rsidP="00FB2640">
      <w:pPr>
        <w:pStyle w:val="af0"/>
        <w:numPr>
          <w:ilvl w:val="0"/>
          <w:numId w:val="22"/>
        </w:numPr>
        <w:adjustRightInd w:val="0"/>
        <w:spacing w:beforeLines="50" w:before="180" w:afterLines="50" w:after="180" w:line="400" w:lineRule="exact"/>
        <w:ind w:leftChars="0" w:left="567"/>
        <w:textAlignment w:val="baseline"/>
        <w:rPr>
          <w:rFonts w:ascii="微軟正黑體" w:eastAsia="微軟正黑體" w:hAnsi="微軟正黑體"/>
        </w:rPr>
      </w:pPr>
      <w:r w:rsidRPr="00250399">
        <w:rPr>
          <w:rFonts w:ascii="微軟正黑體" w:eastAsia="微軟正黑體" w:hAnsi="微軟正黑體" w:hint="eastAsia"/>
        </w:rPr>
        <w:t>各給付項目及金額(含一次給付及年金給付)</w:t>
      </w:r>
    </w:p>
    <w:p w:rsidR="00FB2640" w:rsidRPr="00F0717A" w:rsidRDefault="00FB2640" w:rsidP="00FB2640">
      <w:pPr>
        <w:pStyle w:val="af0"/>
        <w:spacing w:beforeLines="50" w:before="180" w:afterLines="50" w:after="180"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公</w:t>
      </w:r>
      <w:r>
        <w:rPr>
          <w:rFonts w:ascii="微軟正黑體" w:eastAsia="微軟正黑體" w:hAnsi="微軟正黑體" w:hint="eastAsia"/>
        </w:rPr>
        <w:t>教人員保險</w:t>
      </w:r>
      <w:r w:rsidRPr="00F0717A">
        <w:rPr>
          <w:rFonts w:ascii="微軟正黑體" w:eastAsia="微軟正黑體" w:hAnsi="微軟正黑體" w:hint="eastAsia"/>
        </w:rPr>
        <w:t>給付包含養老給付、眷屬喪葬津貼、死亡給付、失能給付、育嬰留職停薪津貼(98年起增列)及生育給付(103年起增列)等6項。103年起養老及死亡給付含有一次給付及年金給付等兩種方式，104年12月2日修正公布將殘廢給付更名為失能給付。</w:t>
      </w:r>
    </w:p>
    <w:p w:rsidR="00FB2640" w:rsidRPr="00BC2A74" w:rsidRDefault="00FB2640" w:rsidP="00FB2640">
      <w:pPr>
        <w:pStyle w:val="af0"/>
        <w:numPr>
          <w:ilvl w:val="1"/>
          <w:numId w:val="22"/>
        </w:numPr>
        <w:adjustRightInd w:val="0"/>
        <w:spacing w:line="400" w:lineRule="exact"/>
        <w:ind w:leftChars="0" w:left="709"/>
        <w:textAlignment w:val="baseline"/>
        <w:rPr>
          <w:rFonts w:ascii="微軟正黑體" w:eastAsia="微軟正黑體" w:hAnsi="微軟正黑體"/>
        </w:rPr>
      </w:pPr>
      <w:r w:rsidRPr="00BC2A74">
        <w:rPr>
          <w:rFonts w:ascii="微軟正黑體" w:eastAsia="微軟正黑體" w:hAnsi="微軟正黑體" w:hint="eastAsia"/>
        </w:rPr>
        <w:t>各給付項目及金額</w:t>
      </w:r>
    </w:p>
    <w:p w:rsidR="00FB2640" w:rsidRPr="00CD19DB" w:rsidRDefault="00FB2640" w:rsidP="00FB2640">
      <w:pPr>
        <w:pStyle w:val="af0"/>
        <w:spacing w:beforeLines="30" w:before="108"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w:t>
      </w:r>
      <w:r w:rsidRPr="00C55E83">
        <w:rPr>
          <w:rFonts w:ascii="微軟正黑體" w:eastAsia="微軟正黑體" w:hAnsi="微軟正黑體" w:hint="eastAsia"/>
        </w:rPr>
        <w:t>觀察近10年各給付項目及金額之變動情形，以養老給付為最大宗</w:t>
      </w:r>
      <w:r w:rsidRPr="001B1FC6">
        <w:rPr>
          <w:rFonts w:ascii="微軟正黑體" w:eastAsia="微軟正黑體" w:hAnsi="微軟正黑體" w:hint="eastAsia"/>
        </w:rPr>
        <w:t>，</w:t>
      </w:r>
      <w:r w:rsidRPr="00CD19DB">
        <w:rPr>
          <w:rFonts w:ascii="微軟正黑體" w:eastAsia="微軟正黑體" w:hAnsi="微軟正黑體" w:hint="eastAsia"/>
        </w:rPr>
        <w:t>其中10</w:t>
      </w:r>
      <w:r w:rsidRPr="00CD19DB">
        <w:rPr>
          <w:rFonts w:ascii="微軟正黑體" w:eastAsia="微軟正黑體" w:hAnsi="微軟正黑體"/>
        </w:rPr>
        <w:t>0</w:t>
      </w:r>
      <w:r w:rsidRPr="00CD19DB">
        <w:rPr>
          <w:rFonts w:ascii="微軟正黑體" w:eastAsia="微軟正黑體" w:hAnsi="微軟正黑體" w:hint="eastAsia"/>
        </w:rPr>
        <w:t>年至103年變動幅度不大，由2</w:t>
      </w:r>
      <w:r w:rsidRPr="00CD19DB">
        <w:rPr>
          <w:rFonts w:ascii="微軟正黑體" w:eastAsia="微軟正黑體" w:hAnsi="微軟正黑體"/>
        </w:rPr>
        <w:t>39.3</w:t>
      </w:r>
      <w:r w:rsidRPr="00CD19DB">
        <w:rPr>
          <w:rFonts w:ascii="微軟正黑體" w:eastAsia="微軟正黑體" w:hAnsi="微軟正黑體" w:hint="eastAsia"/>
        </w:rPr>
        <w:t>億元降至208.7億元，因103年新增年金給付及104年擴大年金給付適用對象，1</w:t>
      </w:r>
      <w:r w:rsidRPr="00CD19DB">
        <w:rPr>
          <w:rFonts w:ascii="微軟正黑體" w:eastAsia="微軟正黑體" w:hAnsi="微軟正黑體"/>
        </w:rPr>
        <w:t>04</w:t>
      </w:r>
      <w:r w:rsidRPr="00CD19DB">
        <w:rPr>
          <w:rFonts w:ascii="微軟正黑體" w:eastAsia="微軟正黑體" w:hAnsi="微軟正黑體" w:hint="eastAsia"/>
        </w:rPr>
        <w:t>年請領養老給付總人數明顯增加，給付金額大幅增加至289.</w:t>
      </w:r>
      <w:r w:rsidRPr="00CD19DB">
        <w:rPr>
          <w:rFonts w:ascii="微軟正黑體" w:eastAsia="微軟正黑體" w:hAnsi="微軟正黑體"/>
        </w:rPr>
        <w:t>8</w:t>
      </w:r>
      <w:r w:rsidRPr="00CD19DB">
        <w:rPr>
          <w:rFonts w:ascii="微軟正黑體" w:eastAsia="微軟正黑體" w:hAnsi="微軟正黑體" w:hint="eastAsia"/>
        </w:rPr>
        <w:t>億元，較前一年度增加8</w:t>
      </w:r>
      <w:r w:rsidRPr="00CD19DB">
        <w:rPr>
          <w:rFonts w:ascii="微軟正黑體" w:eastAsia="微軟正黑體" w:hAnsi="微軟正黑體"/>
        </w:rPr>
        <w:t>1.1</w:t>
      </w:r>
      <w:r w:rsidRPr="00CD19DB">
        <w:rPr>
          <w:rFonts w:ascii="微軟正黑體" w:eastAsia="微軟正黑體" w:hAnsi="微軟正黑體" w:hint="eastAsia"/>
        </w:rPr>
        <w:t>億元(+3</w:t>
      </w:r>
      <w:r w:rsidRPr="00CD19DB">
        <w:rPr>
          <w:rFonts w:ascii="微軟正黑體" w:eastAsia="微軟正黑體" w:hAnsi="微軟正黑體"/>
        </w:rPr>
        <w:t>8.9%)</w:t>
      </w:r>
      <w:r w:rsidRPr="00CD19DB">
        <w:rPr>
          <w:rFonts w:ascii="微軟正黑體" w:eastAsia="微軟正黑體" w:hAnsi="微軟正黑體" w:hint="eastAsia"/>
        </w:rPr>
        <w:t>，再以逐漸下降趨勢，降至10</w:t>
      </w:r>
      <w:r w:rsidRPr="00CD19DB">
        <w:rPr>
          <w:rFonts w:ascii="微軟正黑體" w:eastAsia="微軟正黑體" w:hAnsi="微軟正黑體"/>
        </w:rPr>
        <w:t>9</w:t>
      </w:r>
      <w:r w:rsidRPr="00CD19DB">
        <w:rPr>
          <w:rFonts w:ascii="微軟正黑體" w:eastAsia="微軟正黑體" w:hAnsi="微軟正黑體" w:hint="eastAsia"/>
        </w:rPr>
        <w:t>年1</w:t>
      </w:r>
      <w:r w:rsidRPr="00CD19DB">
        <w:rPr>
          <w:rFonts w:ascii="微軟正黑體" w:eastAsia="微軟正黑體" w:hAnsi="微軟正黑體"/>
        </w:rPr>
        <w:t>82.7</w:t>
      </w:r>
      <w:r w:rsidRPr="00CD19DB">
        <w:rPr>
          <w:rFonts w:ascii="微軟正黑體" w:eastAsia="微軟正黑體" w:hAnsi="微軟正黑體" w:hint="eastAsia"/>
        </w:rPr>
        <w:t>億元。在養老給付的帶動下，總給付金額之變動情形與養老給付一致。</w:t>
      </w:r>
    </w:p>
    <w:p w:rsidR="00FB2640" w:rsidRDefault="00FB2640" w:rsidP="00FB2640">
      <w:pPr>
        <w:pStyle w:val="af0"/>
        <w:spacing w:beforeLines="30" w:before="108" w:line="400" w:lineRule="exact"/>
        <w:ind w:leftChars="0" w:left="743"/>
        <w:jc w:val="both"/>
        <w:rPr>
          <w:rFonts w:ascii="微軟正黑體" w:eastAsia="微軟正黑體" w:hAnsi="微軟正黑體"/>
        </w:rPr>
      </w:pPr>
    </w:p>
    <w:p w:rsidR="00FB2640" w:rsidRPr="0025402C" w:rsidRDefault="00FB2640" w:rsidP="00FB2640">
      <w:pPr>
        <w:pStyle w:val="af0"/>
        <w:spacing w:beforeLines="30" w:before="108" w:line="400" w:lineRule="exact"/>
        <w:ind w:leftChars="0" w:left="743"/>
        <w:jc w:val="both"/>
        <w:rPr>
          <w:rFonts w:ascii="微軟正黑體" w:eastAsia="微軟正黑體" w:hAnsi="微軟正黑體"/>
          <w:color w:val="FF0000"/>
        </w:rPr>
      </w:pPr>
    </w:p>
    <w:p w:rsidR="00FB2640" w:rsidRPr="00F0717A" w:rsidRDefault="00FB2640" w:rsidP="00FB2640">
      <w:pPr>
        <w:pStyle w:val="af0"/>
        <w:spacing w:beforeLines="30" w:before="108" w:line="400" w:lineRule="exact"/>
        <w:ind w:leftChars="0" w:left="743"/>
        <w:jc w:val="both"/>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r>
        <w:rPr>
          <w:noProof/>
        </w:rPr>
        <w:lastRenderedPageBreak/>
        <w:drawing>
          <wp:anchor distT="0" distB="0" distL="114300" distR="114300" simplePos="0" relativeHeight="252547072" behindDoc="0" locked="0" layoutInCell="1" allowOverlap="1" wp14:anchorId="72A7A9F7" wp14:editId="25306976">
            <wp:simplePos x="0" y="0"/>
            <wp:positionH relativeFrom="column">
              <wp:posOffset>-125730</wp:posOffset>
            </wp:positionH>
            <wp:positionV relativeFrom="paragraph">
              <wp:posOffset>-80857</wp:posOffset>
            </wp:positionV>
            <wp:extent cx="5989955" cy="4567767"/>
            <wp:effectExtent l="0" t="0" r="10795" b="23495"/>
            <wp:wrapNone/>
            <wp:docPr id="55" name="圖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r w:rsidRPr="00F0717A">
        <w:rPr>
          <w:rFonts w:ascii="微軟正黑體" w:eastAsia="微軟正黑體" w:hAnsi="微軟正黑體"/>
          <w:noProof/>
        </w:rPr>
        <mc:AlternateContent>
          <mc:Choice Requires="wps">
            <w:drawing>
              <wp:anchor distT="0" distB="0" distL="114300" distR="114300" simplePos="0" relativeHeight="252558336" behindDoc="0" locked="0" layoutInCell="1" allowOverlap="1" wp14:anchorId="4D4A89BD" wp14:editId="3F930881">
                <wp:simplePos x="0" y="0"/>
                <wp:positionH relativeFrom="column">
                  <wp:posOffset>5147310</wp:posOffset>
                </wp:positionH>
                <wp:positionV relativeFrom="paragraph">
                  <wp:posOffset>255693</wp:posOffset>
                </wp:positionV>
                <wp:extent cx="803910" cy="1403985"/>
                <wp:effectExtent l="0" t="0" r="0" b="0"/>
                <wp:wrapNone/>
                <wp:docPr id="2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403985"/>
                        </a:xfrm>
                        <a:prstGeom prst="rect">
                          <a:avLst/>
                        </a:prstGeom>
                        <a:noFill/>
                        <a:ln w="9525">
                          <a:noFill/>
                          <a:miter lim="800000"/>
                          <a:headEnd/>
                          <a:tailEnd/>
                        </a:ln>
                      </wps:spPr>
                      <wps:txbx>
                        <w:txbxContent>
                          <w:p w:rsidR="00745375" w:rsidRPr="00E80E7F" w:rsidRDefault="00745375" w:rsidP="00FB2640">
                            <w:pPr>
                              <w:rPr>
                                <w:rFonts w:ascii="微軟正黑體" w:eastAsia="微軟正黑體" w:hAnsi="微軟正黑體"/>
                                <w:sz w:val="16"/>
                                <w:szCs w:val="16"/>
                              </w:rPr>
                            </w:pPr>
                            <w:r w:rsidRPr="00E80E7F">
                              <w:rPr>
                                <w:rFonts w:ascii="微軟正黑體" w:eastAsia="微軟正黑體" w:hAnsi="微軟正黑體" w:hint="eastAsia"/>
                                <w:sz w:val="16"/>
                                <w:szCs w:val="16"/>
                              </w:rPr>
                              <w:t>(單位：億元)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05.3pt;margin-top:20.15pt;width:63.3pt;height:110.55pt;z-index:25255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" filled="f" stroked="f">
                <v:textbox style="mso-fit-shape-to-text:t">
                  <w:txbxContent>
                    <w:p w:rsidR="00745375" w:rsidRPr="00E80E7F" w:rsidRDefault="00745375" w:rsidP="00FB2640">
                      <w:pPr>
                        <w:rPr>
                          <w:rFonts w:ascii="微軟正黑體" w:eastAsia="微軟正黑體" w:hAnsi="微軟正黑體"/>
                          <w:sz w:val="16"/>
                          <w:szCs w:val="16"/>
                        </w:rPr>
                      </w:pPr>
                      <w:r w:rsidRPr="00E80E7F">
                        <w:rPr>
                          <w:rFonts w:ascii="微軟正黑體" w:eastAsia="微軟正黑體" w:hAnsi="微軟正黑體" w:hint="eastAsia"/>
                          <w:sz w:val="16"/>
                          <w:szCs w:val="16"/>
                        </w:rPr>
                        <w:t>(單位：億元)</w:t>
                      </w:r>
                    </w:p>
                  </w:txbxContent>
                </v:textbox>
              </v:shape>
            </w:pict>
          </mc:Fallback>
        </mc:AlternateContent>
      </w:r>
    </w:p>
    <w:p w:rsidR="00FB2640" w:rsidRPr="00F0717A" w:rsidRDefault="00FB2640" w:rsidP="00FB2640">
      <w:pPr>
        <w:pStyle w:val="af0"/>
        <w:spacing w:line="400" w:lineRule="exact"/>
        <w:ind w:leftChars="0" w:left="744"/>
        <w:rPr>
          <w:rFonts w:ascii="微軟正黑體" w:eastAsia="微軟正黑體" w:hAnsi="微軟正黑體"/>
        </w:rPr>
      </w:pPr>
      <w:r w:rsidRPr="00F0717A">
        <w:rPr>
          <w:rFonts w:ascii="微軟正黑體" w:eastAsia="微軟正黑體" w:hAnsi="微軟正黑體"/>
          <w:noProof/>
        </w:rPr>
        <mc:AlternateContent>
          <mc:Choice Requires="wps">
            <w:drawing>
              <wp:anchor distT="0" distB="0" distL="114300" distR="114300" simplePos="0" relativeHeight="252557312" behindDoc="0" locked="0" layoutInCell="1" allowOverlap="1" wp14:anchorId="06BA0579" wp14:editId="2970A6CF">
                <wp:simplePos x="0" y="0"/>
                <wp:positionH relativeFrom="column">
                  <wp:posOffset>-240030</wp:posOffset>
                </wp:positionH>
                <wp:positionV relativeFrom="paragraph">
                  <wp:posOffset>135043</wp:posOffset>
                </wp:positionV>
                <wp:extent cx="1070822" cy="1403985"/>
                <wp:effectExtent l="0" t="0" r="0" b="0"/>
                <wp:wrapNone/>
                <wp:docPr id="2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822" cy="1403985"/>
                        </a:xfrm>
                        <a:prstGeom prst="rect">
                          <a:avLst/>
                        </a:prstGeom>
                        <a:noFill/>
                        <a:ln w="9525">
                          <a:noFill/>
                          <a:miter lim="800000"/>
                          <a:headEnd/>
                          <a:tailEnd/>
                        </a:ln>
                      </wps:spPr>
                      <wps:txbx>
                        <w:txbxContent>
                          <w:p w:rsidR="00745375" w:rsidRPr="00F221AD" w:rsidRDefault="00745375" w:rsidP="00FB2640">
                            <w:pPr>
                              <w:ind w:firstLineChars="50" w:firstLine="100"/>
                              <w:rPr>
                                <w:rFonts w:ascii="微軟正黑體" w:eastAsia="微軟正黑體" w:hAnsi="微軟正黑體"/>
                                <w:b/>
                                <w:sz w:val="20"/>
                                <w:szCs w:val="20"/>
                                <w:shd w:val="pct15" w:color="auto" w:fill="FFFFFF"/>
                              </w:rPr>
                            </w:pPr>
                            <w:r w:rsidRPr="00F221AD">
                              <w:rPr>
                                <w:rFonts w:ascii="微軟正黑體" w:eastAsia="微軟正黑體" w:hAnsi="微軟正黑體" w:hint="eastAsia"/>
                                <w:b/>
                                <w:sz w:val="20"/>
                                <w:szCs w:val="20"/>
                                <w:shd w:val="pct15" w:color="auto" w:fill="FFFFFF"/>
                              </w:rPr>
                              <w:t xml:space="preserve"> 各給付項目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8.9pt;margin-top:10.65pt;width:84.3pt;height:110.55pt;z-index:252557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" filled="f" stroked="f">
                <v:textbox style="mso-fit-shape-to-text:t">
                  <w:txbxContent>
                    <w:p w:rsidR="00745375" w:rsidRPr="00F221AD" w:rsidRDefault="00745375" w:rsidP="00FB2640">
                      <w:pPr>
                        <w:ind w:firstLineChars="50" w:firstLine="100"/>
                        <w:rPr>
                          <w:rFonts w:ascii="微軟正黑體" w:eastAsia="微軟正黑體" w:hAnsi="微軟正黑體"/>
                          <w:b/>
                          <w:sz w:val="20"/>
                          <w:szCs w:val="20"/>
                          <w:shd w:val="pct15" w:color="auto" w:fill="FFFFFF"/>
                        </w:rPr>
                      </w:pPr>
                      <w:r w:rsidRPr="00F221AD">
                        <w:rPr>
                          <w:rFonts w:ascii="微軟正黑體" w:eastAsia="微軟正黑體" w:hAnsi="微軟正黑體" w:hint="eastAsia"/>
                          <w:b/>
                          <w:sz w:val="20"/>
                          <w:szCs w:val="20"/>
                          <w:shd w:val="pct15" w:color="auto" w:fill="FFFFFF"/>
                        </w:rPr>
                        <w:t xml:space="preserve"> 各給付項目 </w:t>
                      </w:r>
                    </w:p>
                  </w:txbxContent>
                </v:textbox>
              </v:shape>
            </w:pict>
          </mc:Fallback>
        </mc:AlternateContent>
      </w: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F0717A" w:rsidRDefault="00FB2640" w:rsidP="00FB2640">
      <w:pPr>
        <w:spacing w:line="300" w:lineRule="exact"/>
        <w:rPr>
          <w:rFonts w:ascii="微軟正黑體" w:eastAsia="微軟正黑體" w:hAnsi="微軟正黑體"/>
          <w:sz w:val="20"/>
        </w:rPr>
      </w:pPr>
    </w:p>
    <w:p w:rsidR="00FB2640" w:rsidRPr="00F0717A" w:rsidRDefault="00FB2640" w:rsidP="00FB2640">
      <w:pPr>
        <w:spacing w:line="240" w:lineRule="exact"/>
        <w:rPr>
          <w:rFonts w:ascii="微軟正黑體" w:eastAsia="微軟正黑體" w:hAnsi="微軟正黑體"/>
          <w:b/>
        </w:rPr>
      </w:pPr>
      <w:r w:rsidRPr="00F0717A">
        <w:rPr>
          <w:rFonts w:ascii="微軟正黑體" w:eastAsia="微軟正黑體" w:hAnsi="微軟正黑體"/>
          <w:noProof/>
        </w:rPr>
        <mc:AlternateContent>
          <mc:Choice Requires="wps">
            <w:drawing>
              <wp:anchor distT="0" distB="0" distL="114300" distR="114300" simplePos="0" relativeHeight="252556288" behindDoc="0" locked="0" layoutInCell="1" allowOverlap="1" wp14:anchorId="61BC2159" wp14:editId="09583E7C">
                <wp:simplePos x="0" y="0"/>
                <wp:positionH relativeFrom="column">
                  <wp:posOffset>1787525</wp:posOffset>
                </wp:positionH>
                <wp:positionV relativeFrom="paragraph">
                  <wp:posOffset>121497</wp:posOffset>
                </wp:positionV>
                <wp:extent cx="372110" cy="283210"/>
                <wp:effectExtent l="0" t="0" r="0" b="2540"/>
                <wp:wrapNone/>
                <wp:docPr id="3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83210"/>
                        </a:xfrm>
                        <a:prstGeom prst="rect">
                          <a:avLst/>
                        </a:prstGeom>
                        <a:noFill/>
                        <a:ln w="9525">
                          <a:noFill/>
                          <a:miter lim="800000"/>
                          <a:headEnd/>
                          <a:tailEnd/>
                        </a:ln>
                      </wps:spPr>
                      <wps:txbx>
                        <w:txbxContent>
                          <w:p w:rsidR="00745375" w:rsidRDefault="00745375" w:rsidP="00FB2640">
                            <w:pPr>
                              <w:spacing w:line="360" w:lineRule="exact"/>
                            </w:pP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40.75pt;margin-top:9.55pt;width:29.3pt;height:22.3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" filled="f" stroked="f">
                <v:textbox>
                  <w:txbxContent>
                    <w:p w:rsidR="00745375" w:rsidRDefault="00745375" w:rsidP="00FB2640">
                      <w:pPr>
                        <w:spacing w:line="360" w:lineRule="exact"/>
                      </w:pPr>
                      <w:r>
                        <w:rPr>
                          <w:rFonts w:hint="eastAsia"/>
                        </w:rPr>
                        <w:t>－</w:t>
                      </w:r>
                    </w:p>
                  </w:txbxContent>
                </v:textbox>
              </v:shape>
            </w:pict>
          </mc:Fallback>
        </mc:AlternateContent>
      </w:r>
      <w:r w:rsidRPr="00F0717A">
        <w:rPr>
          <w:rFonts w:ascii="微軟正黑體" w:eastAsia="微軟正黑體" w:hAnsi="微軟正黑體"/>
          <w:noProof/>
        </w:rPr>
        <mc:AlternateContent>
          <mc:Choice Requires="wps">
            <w:drawing>
              <wp:anchor distT="0" distB="0" distL="114300" distR="114300" simplePos="0" relativeHeight="252554240" behindDoc="0" locked="0" layoutInCell="1" allowOverlap="1" wp14:anchorId="1961C4C9" wp14:editId="56C70D2A">
                <wp:simplePos x="0" y="0"/>
                <wp:positionH relativeFrom="column">
                  <wp:posOffset>1266190</wp:posOffset>
                </wp:positionH>
                <wp:positionV relativeFrom="paragraph">
                  <wp:posOffset>124248</wp:posOffset>
                </wp:positionV>
                <wp:extent cx="372110" cy="270510"/>
                <wp:effectExtent l="0" t="0" r="0" b="0"/>
                <wp:wrapNone/>
                <wp:docPr id="3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0510"/>
                        </a:xfrm>
                        <a:prstGeom prst="rect">
                          <a:avLst/>
                        </a:prstGeom>
                        <a:noFill/>
                        <a:ln w="9525">
                          <a:noFill/>
                          <a:miter lim="800000"/>
                          <a:headEnd/>
                          <a:tailEnd/>
                        </a:ln>
                      </wps:spPr>
                      <wps:txbx>
                        <w:txbxContent>
                          <w:p w:rsidR="00745375" w:rsidRDefault="00745375" w:rsidP="00FB2640">
                            <w:pPr>
                              <w:spacing w:line="360" w:lineRule="exact"/>
                            </w:pP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9.7pt;margin-top:9.8pt;width:29.3pt;height:21.3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" filled="f" stroked="f">
                <v:textbox>
                  <w:txbxContent>
                    <w:p w:rsidR="00745375" w:rsidRDefault="00745375" w:rsidP="00FB2640">
                      <w:pPr>
                        <w:spacing w:line="360" w:lineRule="exact"/>
                      </w:pPr>
                      <w:r>
                        <w:rPr>
                          <w:rFonts w:hint="eastAsia"/>
                        </w:rPr>
                        <w:t>－</w:t>
                      </w:r>
                    </w:p>
                  </w:txbxContent>
                </v:textbox>
              </v:shape>
            </w:pict>
          </mc:Fallback>
        </mc:AlternateContent>
      </w:r>
      <w:r w:rsidRPr="00F0717A">
        <w:rPr>
          <w:rFonts w:ascii="微軟正黑體" w:eastAsia="微軟正黑體" w:hAnsi="微軟正黑體"/>
          <w:noProof/>
        </w:rPr>
        <mc:AlternateContent>
          <mc:Choice Requires="wps">
            <w:drawing>
              <wp:anchor distT="0" distB="0" distL="114300" distR="114300" simplePos="0" relativeHeight="252551168" behindDoc="0" locked="0" layoutInCell="1" allowOverlap="1" wp14:anchorId="2D50DC4D" wp14:editId="122039DC">
                <wp:simplePos x="0" y="0"/>
                <wp:positionH relativeFrom="column">
                  <wp:posOffset>764328</wp:posOffset>
                </wp:positionH>
                <wp:positionV relativeFrom="paragraph">
                  <wp:posOffset>118957</wp:posOffset>
                </wp:positionV>
                <wp:extent cx="372110" cy="270510"/>
                <wp:effectExtent l="0" t="0" r="0" b="0"/>
                <wp:wrapNone/>
                <wp:docPr id="3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0510"/>
                        </a:xfrm>
                        <a:prstGeom prst="rect">
                          <a:avLst/>
                        </a:prstGeom>
                        <a:noFill/>
                        <a:ln w="9525">
                          <a:noFill/>
                          <a:miter lim="800000"/>
                          <a:headEnd/>
                          <a:tailEnd/>
                        </a:ln>
                      </wps:spPr>
                      <wps:txbx>
                        <w:txbxContent>
                          <w:p w:rsidR="00745375" w:rsidRDefault="00745375" w:rsidP="00FB2640">
                            <w:pPr>
                              <w:spacing w:line="360" w:lineRule="exact"/>
                            </w:pP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0.2pt;margin-top:9.35pt;width:29.3pt;height:21.3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" filled="f" stroked="f">
                <v:textbox>
                  <w:txbxContent>
                    <w:p w:rsidR="00745375" w:rsidRDefault="00745375" w:rsidP="00FB2640">
                      <w:pPr>
                        <w:spacing w:line="360" w:lineRule="exact"/>
                      </w:pPr>
                      <w:r>
                        <w:rPr>
                          <w:rFonts w:hint="eastAsia"/>
                        </w:rPr>
                        <w:t>－</w:t>
                      </w:r>
                    </w:p>
                  </w:txbxContent>
                </v:textbox>
              </v:shape>
            </w:pict>
          </mc:Fallback>
        </mc:AlternateContent>
      </w:r>
      <w:r w:rsidRPr="00F0717A">
        <w:rPr>
          <w:rFonts w:ascii="微軟正黑體" w:eastAsia="微軟正黑體" w:hAnsi="微軟正黑體" w:hint="eastAsia"/>
          <w:b/>
        </w:rPr>
        <w:t xml:space="preserve">  </w:t>
      </w:r>
    </w:p>
    <w:p w:rsidR="00FB2640" w:rsidRDefault="00FB2640" w:rsidP="00FB2640">
      <w:pPr>
        <w:spacing w:beforeLines="50" w:before="180" w:line="240" w:lineRule="exact"/>
        <w:rPr>
          <w:rFonts w:ascii="微軟正黑體" w:eastAsia="微軟正黑體" w:hAnsi="微軟正黑體"/>
          <w:sz w:val="20"/>
        </w:rPr>
      </w:pPr>
    </w:p>
    <w:p w:rsidR="00FB2640" w:rsidRPr="00250399" w:rsidRDefault="00FB2640" w:rsidP="00FB2640">
      <w:pPr>
        <w:spacing w:beforeLines="50" w:before="180" w:line="240" w:lineRule="exact"/>
        <w:rPr>
          <w:rFonts w:ascii="微軟正黑體" w:eastAsia="微軟正黑體" w:hAnsi="微軟正黑體"/>
          <w:sz w:val="20"/>
        </w:rPr>
      </w:pPr>
      <w:r w:rsidRPr="00250399">
        <w:rPr>
          <w:rFonts w:ascii="微軟正黑體" w:eastAsia="微軟正黑體" w:hAnsi="微軟正黑體" w:hint="eastAsia"/>
          <w:sz w:val="20"/>
        </w:rPr>
        <w:t xml:space="preserve"> 註：本表養老給付自103年起列計領受遺屬一次金餘額及遺屬年金之金額。</w:t>
      </w:r>
    </w:p>
    <w:p w:rsidR="00FB2640" w:rsidRPr="00F0717A" w:rsidRDefault="00FB2640" w:rsidP="00FB2640">
      <w:pPr>
        <w:pStyle w:val="af0"/>
        <w:spacing w:beforeLines="30" w:before="108" w:line="400" w:lineRule="exact"/>
        <w:ind w:leftChars="0" w:left="743"/>
        <w:jc w:val="center"/>
        <w:rPr>
          <w:rFonts w:ascii="微軟正黑體" w:eastAsia="微軟正黑體" w:hAnsi="微軟正黑體"/>
        </w:rPr>
      </w:pPr>
      <w:r w:rsidRPr="00F0717A">
        <w:rPr>
          <w:rFonts w:ascii="微軟正黑體" w:eastAsia="微軟正黑體" w:hAnsi="微軟正黑體" w:hint="eastAsia"/>
        </w:rPr>
        <w:t>圖2.</w:t>
      </w:r>
      <w:r>
        <w:rPr>
          <w:rFonts w:ascii="微軟正黑體" w:eastAsia="微軟正黑體" w:hAnsi="微軟正黑體" w:hint="eastAsia"/>
        </w:rPr>
        <w:t>20</w:t>
      </w:r>
      <w:r w:rsidRPr="00F0717A">
        <w:rPr>
          <w:rFonts w:ascii="微軟正黑體" w:eastAsia="微軟正黑體" w:hAnsi="微軟正黑體" w:hint="eastAsia"/>
        </w:rPr>
        <w:t xml:space="preserve">  近10年公保各給付項目及金額變動情形</w:t>
      </w:r>
    </w:p>
    <w:p w:rsidR="00FB2640" w:rsidRPr="00F0717A" w:rsidRDefault="00FB2640" w:rsidP="00FB2640">
      <w:pPr>
        <w:pStyle w:val="af0"/>
        <w:spacing w:line="400" w:lineRule="exact"/>
        <w:ind w:leftChars="0" w:left="744"/>
        <w:rPr>
          <w:rFonts w:ascii="微軟正黑體" w:eastAsia="微軟正黑體" w:hAnsi="微軟正黑體"/>
        </w:rPr>
      </w:pPr>
    </w:p>
    <w:p w:rsidR="00FB2640" w:rsidRPr="00BC2A74" w:rsidRDefault="00FB2640" w:rsidP="00FB2640">
      <w:pPr>
        <w:pStyle w:val="af0"/>
        <w:numPr>
          <w:ilvl w:val="1"/>
          <w:numId w:val="22"/>
        </w:numPr>
        <w:adjustRightInd w:val="0"/>
        <w:spacing w:line="400" w:lineRule="exact"/>
        <w:ind w:leftChars="0" w:left="709"/>
        <w:textAlignment w:val="baseline"/>
        <w:rPr>
          <w:rFonts w:ascii="微軟正黑體" w:eastAsia="微軟正黑體" w:hAnsi="微軟正黑體"/>
        </w:rPr>
      </w:pPr>
      <w:r w:rsidRPr="00BC2A74">
        <w:rPr>
          <w:rFonts w:ascii="微軟正黑體" w:eastAsia="微軟正黑體" w:hAnsi="微軟正黑體" w:hint="eastAsia"/>
        </w:rPr>
        <w:t>各給付項目及金額之占比分布</w:t>
      </w:r>
    </w:p>
    <w:p w:rsidR="00FB2640" w:rsidRPr="00F0717A" w:rsidRDefault="00FB2640" w:rsidP="00FB2640">
      <w:pPr>
        <w:pStyle w:val="af0"/>
        <w:spacing w:beforeLines="30" w:before="108" w:afterLines="50" w:after="180" w:line="400" w:lineRule="exact"/>
        <w:ind w:leftChars="0" w:left="743"/>
        <w:jc w:val="both"/>
        <w:rPr>
          <w:rFonts w:ascii="微軟正黑體" w:eastAsia="微軟正黑體" w:hAnsi="微軟正黑體"/>
        </w:rPr>
      </w:pPr>
      <w:r>
        <w:rPr>
          <w:noProof/>
        </w:rPr>
        <w:drawing>
          <wp:anchor distT="0" distB="0" distL="114300" distR="114300" simplePos="0" relativeHeight="252570624" behindDoc="0" locked="0" layoutInCell="1" allowOverlap="1" wp14:anchorId="79587620" wp14:editId="51B89539">
            <wp:simplePos x="0" y="0"/>
            <wp:positionH relativeFrom="column">
              <wp:posOffset>-19897</wp:posOffset>
            </wp:positionH>
            <wp:positionV relativeFrom="paragraph">
              <wp:posOffset>629497</wp:posOffset>
            </wp:positionV>
            <wp:extent cx="5782310" cy="2834428"/>
            <wp:effectExtent l="0" t="0" r="27940" b="23495"/>
            <wp:wrapNone/>
            <wp:docPr id="56" name="圖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Pr="00F0717A">
        <w:rPr>
          <w:rFonts w:ascii="微軟正黑體" w:eastAsia="微軟正黑體" w:hAnsi="微軟正黑體" w:hint="eastAsia"/>
        </w:rPr>
        <w:t xml:space="preserve">    觀察近10年各給付項目及金額之占比變動幅度不大，10</w:t>
      </w:r>
      <w:r>
        <w:rPr>
          <w:rFonts w:ascii="微軟正黑體" w:eastAsia="微軟正黑體" w:hAnsi="微軟正黑體" w:hint="eastAsia"/>
        </w:rPr>
        <w:t>9</w:t>
      </w:r>
      <w:r w:rsidRPr="00F0717A">
        <w:rPr>
          <w:rFonts w:ascii="微軟正黑體" w:eastAsia="微軟正黑體" w:hAnsi="微軟正黑體" w:hint="eastAsia"/>
        </w:rPr>
        <w:t>年</w:t>
      </w:r>
      <w:r>
        <w:rPr>
          <w:rFonts w:ascii="微軟正黑體" w:eastAsia="微軟正黑體" w:hAnsi="微軟正黑體" w:hint="eastAsia"/>
        </w:rPr>
        <w:t>仍</w:t>
      </w:r>
      <w:r w:rsidRPr="00F0717A">
        <w:rPr>
          <w:rFonts w:ascii="微軟正黑體" w:eastAsia="微軟正黑體" w:hAnsi="微軟正黑體" w:hint="eastAsia"/>
        </w:rPr>
        <w:t>以養老給付為最大宗，占總給付金額8</w:t>
      </w:r>
      <w:r>
        <w:rPr>
          <w:rFonts w:ascii="微軟正黑體" w:eastAsia="微軟正黑體" w:hAnsi="微軟正黑體" w:hint="eastAsia"/>
        </w:rPr>
        <w:t>3.2</w:t>
      </w:r>
      <w:r w:rsidRPr="00F0717A">
        <w:rPr>
          <w:rFonts w:ascii="微軟正黑體" w:eastAsia="微軟正黑體" w:hAnsi="微軟正黑體" w:hint="eastAsia"/>
        </w:rPr>
        <w:t>%，眷屬喪葬津貼</w:t>
      </w:r>
      <w:r>
        <w:rPr>
          <w:rFonts w:ascii="微軟正黑體" w:eastAsia="微軟正黑體" w:hAnsi="微軟正黑體" w:hint="eastAsia"/>
        </w:rPr>
        <w:t>次之，占8</w:t>
      </w:r>
      <w:r>
        <w:rPr>
          <w:rFonts w:ascii="微軟正黑體" w:eastAsia="微軟正黑體" w:hAnsi="微軟正黑體"/>
        </w:rPr>
        <w:t>.5</w:t>
      </w:r>
      <w:r w:rsidRPr="00F0717A">
        <w:rPr>
          <w:rFonts w:ascii="微軟正黑體" w:eastAsia="微軟正黑體" w:hAnsi="微軟正黑體" w:hint="eastAsia"/>
        </w:rPr>
        <w:t>%。</w:t>
      </w:r>
    </w:p>
    <w:p w:rsidR="00FB2640" w:rsidRPr="00F0717A" w:rsidRDefault="00FB2640" w:rsidP="00FB2640">
      <w:pPr>
        <w:spacing w:line="400" w:lineRule="exact"/>
        <w:rPr>
          <w:rFonts w:ascii="微軟正黑體" w:eastAsia="微軟正黑體" w:hAnsi="微軟正黑體"/>
        </w:rPr>
      </w:pPr>
    </w:p>
    <w:p w:rsidR="00FB2640" w:rsidRPr="00921E23"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beforeLines="50" w:before="180" w:line="400" w:lineRule="exact"/>
        <w:rPr>
          <w:rFonts w:ascii="微軟正黑體" w:eastAsia="微軟正黑體" w:hAnsi="微軟正黑體"/>
        </w:rPr>
      </w:pPr>
    </w:p>
    <w:p w:rsidR="00FB2640" w:rsidRPr="00F0717A" w:rsidRDefault="00FB2640" w:rsidP="00FB2640">
      <w:pPr>
        <w:spacing w:beforeLines="50" w:before="180" w:line="400" w:lineRule="exact"/>
        <w:jc w:val="center"/>
        <w:rPr>
          <w:rFonts w:ascii="微軟正黑體" w:eastAsia="微軟正黑體" w:hAnsi="微軟正黑體"/>
        </w:rPr>
      </w:pPr>
      <w:r w:rsidRPr="00F0717A">
        <w:rPr>
          <w:rFonts w:ascii="微軟正黑體" w:eastAsia="微軟正黑體" w:hAnsi="微軟正黑體" w:hint="eastAsia"/>
        </w:rPr>
        <w:t>圖2.2</w:t>
      </w:r>
      <w:r>
        <w:rPr>
          <w:rFonts w:ascii="微軟正黑體" w:eastAsia="微軟正黑體" w:hAnsi="微軟正黑體" w:hint="eastAsia"/>
        </w:rPr>
        <w:t>1</w:t>
      </w:r>
      <w:r w:rsidRPr="00F0717A">
        <w:rPr>
          <w:rFonts w:ascii="微軟正黑體" w:eastAsia="微軟正黑體" w:hAnsi="微軟正黑體" w:hint="eastAsia"/>
        </w:rPr>
        <w:t xml:space="preserve">  近10年公保各給付項目及金額占比變動情形</w:t>
      </w:r>
    </w:p>
    <w:p w:rsidR="00FB2640" w:rsidRPr="006D1F5B" w:rsidRDefault="00FB2640" w:rsidP="00FB2640">
      <w:pPr>
        <w:pStyle w:val="af0"/>
        <w:numPr>
          <w:ilvl w:val="0"/>
          <w:numId w:val="22"/>
        </w:numPr>
        <w:adjustRightInd w:val="0"/>
        <w:spacing w:line="400" w:lineRule="exact"/>
        <w:ind w:leftChars="0" w:left="567" w:hanging="283"/>
        <w:textAlignment w:val="baseline"/>
        <w:rPr>
          <w:rFonts w:ascii="微軟正黑體" w:eastAsia="微軟正黑體" w:hAnsi="微軟正黑體"/>
        </w:rPr>
      </w:pPr>
      <w:r w:rsidRPr="006D1F5B">
        <w:rPr>
          <w:rFonts w:ascii="微軟正黑體" w:eastAsia="微軟正黑體" w:hAnsi="微軟正黑體" w:hint="eastAsia"/>
        </w:rPr>
        <w:lastRenderedPageBreak/>
        <w:t>養老給付領取概況(按一次給付及年金給付分)</w:t>
      </w:r>
    </w:p>
    <w:p w:rsidR="00FB2640" w:rsidRPr="00BC2A74" w:rsidRDefault="00FB2640" w:rsidP="00FB2640">
      <w:pPr>
        <w:pStyle w:val="af0"/>
        <w:numPr>
          <w:ilvl w:val="1"/>
          <w:numId w:val="22"/>
        </w:numPr>
        <w:adjustRightInd w:val="0"/>
        <w:spacing w:beforeLines="30" w:before="108" w:line="400" w:lineRule="exact"/>
        <w:ind w:leftChars="0" w:left="709"/>
        <w:textAlignment w:val="baseline"/>
        <w:rPr>
          <w:rFonts w:ascii="微軟正黑體" w:eastAsia="微軟正黑體" w:hAnsi="微軟正黑體"/>
        </w:rPr>
      </w:pPr>
      <w:r w:rsidRPr="00BC2A74">
        <w:rPr>
          <w:rFonts w:ascii="微軟正黑體" w:eastAsia="微軟正黑體" w:hAnsi="微軟正黑體" w:hint="eastAsia"/>
        </w:rPr>
        <w:t>給付領取人數</w:t>
      </w:r>
    </w:p>
    <w:p w:rsidR="00FB2640" w:rsidRPr="00F0717A" w:rsidRDefault="00FB2640" w:rsidP="00FB2640">
      <w:pPr>
        <w:pStyle w:val="af0"/>
        <w:spacing w:beforeLines="30" w:before="108" w:line="400" w:lineRule="exact"/>
        <w:ind w:leftChars="295" w:left="708"/>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年公保養老給付領取人數2萬</w:t>
      </w:r>
      <w:r>
        <w:rPr>
          <w:rFonts w:ascii="微軟正黑體" w:eastAsia="微軟正黑體" w:hAnsi="微軟正黑體" w:hint="eastAsia"/>
        </w:rPr>
        <w:t>6</w:t>
      </w:r>
      <w:r w:rsidRPr="00F0717A">
        <w:rPr>
          <w:rFonts w:ascii="微軟正黑體" w:eastAsia="微軟正黑體" w:hAnsi="微軟正黑體" w:hint="eastAsia"/>
        </w:rPr>
        <w:t>,</w:t>
      </w:r>
      <w:r>
        <w:rPr>
          <w:rFonts w:ascii="微軟正黑體" w:eastAsia="微軟正黑體" w:hAnsi="微軟正黑體" w:hint="eastAsia"/>
        </w:rPr>
        <w:t>544</w:t>
      </w:r>
      <w:r w:rsidRPr="00F0717A">
        <w:rPr>
          <w:rFonts w:ascii="微軟正黑體" w:eastAsia="微軟正黑體" w:hAnsi="微軟正黑體" w:hint="eastAsia"/>
        </w:rPr>
        <w:t>人，其中一次給付1萬</w:t>
      </w:r>
      <w:r>
        <w:rPr>
          <w:rFonts w:ascii="微軟正黑體" w:eastAsia="微軟正黑體" w:hAnsi="微軟正黑體" w:hint="eastAsia"/>
        </w:rPr>
        <w:t>811</w:t>
      </w:r>
      <w:r w:rsidRPr="00F0717A">
        <w:rPr>
          <w:rFonts w:ascii="微軟正黑體" w:eastAsia="微軟正黑體" w:hAnsi="微軟正黑體" w:hint="eastAsia"/>
        </w:rPr>
        <w:t>人、年金給付</w:t>
      </w:r>
      <w:r>
        <w:rPr>
          <w:rFonts w:ascii="微軟正黑體" w:eastAsia="微軟正黑體" w:hAnsi="微軟正黑體" w:hint="eastAsia"/>
        </w:rPr>
        <w:t>1萬5,733</w:t>
      </w:r>
      <w:r w:rsidRPr="00F0717A">
        <w:rPr>
          <w:rFonts w:ascii="微軟正黑體" w:eastAsia="微軟正黑體" w:hAnsi="微軟正黑體" w:hint="eastAsia"/>
        </w:rPr>
        <w:t>人。因公保自103年6</w:t>
      </w:r>
      <w:r>
        <w:rPr>
          <w:rFonts w:ascii="微軟正黑體" w:eastAsia="微軟正黑體" w:hAnsi="微軟正黑體" w:hint="eastAsia"/>
        </w:rPr>
        <w:t>月新增私校教職員、駐衛警</w:t>
      </w:r>
      <w:r w:rsidRPr="00F0717A">
        <w:rPr>
          <w:rFonts w:ascii="微軟正黑體" w:eastAsia="微軟正黑體" w:hAnsi="微軟正黑體" w:hint="eastAsia"/>
        </w:rPr>
        <w:t>可請領年金，並自99年1月起符合相關條件者可回溯適用；另於104</w:t>
      </w:r>
      <w:r w:rsidRPr="00B75E20">
        <w:rPr>
          <w:rFonts w:ascii="微軟正黑體" w:eastAsia="微軟正黑體" w:hAnsi="微軟正黑體" w:hint="eastAsia"/>
        </w:rPr>
        <w:t>年6</w:t>
      </w:r>
      <w:r>
        <w:rPr>
          <w:rFonts w:ascii="微軟正黑體" w:eastAsia="微軟正黑體" w:hAnsi="微軟正黑體" w:hint="eastAsia"/>
        </w:rPr>
        <w:t>月再增加「未有月退休(職、伍)</w:t>
      </w:r>
      <w:r w:rsidRPr="00F0717A">
        <w:rPr>
          <w:rFonts w:ascii="微軟正黑體" w:eastAsia="微軟正黑體" w:hAnsi="微軟正黑體" w:hint="eastAsia"/>
        </w:rPr>
        <w:t>給與</w:t>
      </w:r>
      <w:r w:rsidRPr="00446EC3">
        <w:rPr>
          <w:rFonts w:ascii="微軟正黑體" w:eastAsia="微軟正黑體" w:hAnsi="微軟正黑體" w:hint="eastAsia"/>
        </w:rPr>
        <w:t>且未適用優</w:t>
      </w:r>
      <w:r w:rsidRPr="00F0717A">
        <w:rPr>
          <w:rFonts w:ascii="微軟正黑體" w:eastAsia="微軟正黑體" w:hAnsi="微軟正黑體" w:hint="eastAsia"/>
        </w:rPr>
        <w:t>惠存款制度者」亦可請領年金，並自103年6月起符合相關條件者可回溯適用，爰103年起請領養老年</w:t>
      </w:r>
      <w:r>
        <w:rPr>
          <w:rFonts w:ascii="微軟正黑體" w:eastAsia="微軟正黑體" w:hAnsi="微軟正黑體" w:hint="eastAsia"/>
        </w:rPr>
        <w:t>年</w:t>
      </w:r>
      <w:r w:rsidRPr="00F0717A">
        <w:rPr>
          <w:rFonts w:ascii="微軟正黑體" w:eastAsia="微軟正黑體" w:hAnsi="微軟正黑體" w:hint="eastAsia"/>
        </w:rPr>
        <w:t>金人數呈現逐年增加趨勢。</w:t>
      </w:r>
    </w:p>
    <w:p w:rsidR="00FB2640" w:rsidRPr="00F0717A" w:rsidRDefault="00FB2640" w:rsidP="00FB2640">
      <w:pPr>
        <w:pStyle w:val="af0"/>
        <w:spacing w:line="400" w:lineRule="exact"/>
        <w:ind w:leftChars="0" w:left="743"/>
        <w:rPr>
          <w:rFonts w:ascii="微軟正黑體" w:eastAsia="微軟正黑體" w:hAnsi="微軟正黑體"/>
        </w:rPr>
      </w:pPr>
      <w:r>
        <w:rPr>
          <w:noProof/>
        </w:rPr>
        <w:drawing>
          <wp:anchor distT="0" distB="0" distL="114300" distR="114300" simplePos="0" relativeHeight="252584960" behindDoc="0" locked="0" layoutInCell="1" allowOverlap="1" wp14:anchorId="31417F41" wp14:editId="38BBA865">
            <wp:simplePos x="0" y="0"/>
            <wp:positionH relativeFrom="column">
              <wp:posOffset>183303</wp:posOffset>
            </wp:positionH>
            <wp:positionV relativeFrom="paragraph">
              <wp:posOffset>14817</wp:posOffset>
            </wp:positionV>
            <wp:extent cx="5604934" cy="2243666"/>
            <wp:effectExtent l="0" t="0" r="15240" b="23495"/>
            <wp:wrapNone/>
            <wp:docPr id="57" name="圖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spacing w:beforeLines="80" w:before="288" w:line="400" w:lineRule="exact"/>
        <w:rPr>
          <w:rFonts w:ascii="微軟正黑體" w:eastAsia="微軟正黑體" w:hAnsi="微軟正黑體"/>
          <w:sz w:val="20"/>
        </w:rPr>
      </w:pPr>
      <w:r w:rsidRPr="00F0717A">
        <w:rPr>
          <w:rFonts w:ascii="微軟正黑體" w:eastAsia="微軟正黑體" w:hAnsi="微軟正黑體" w:hint="eastAsia"/>
        </w:rPr>
        <w:t xml:space="preserve">   </w:t>
      </w:r>
      <w:r w:rsidRPr="00F0717A">
        <w:rPr>
          <w:rFonts w:ascii="微軟正黑體" w:eastAsia="微軟正黑體" w:hAnsi="微軟正黑體" w:hint="eastAsia"/>
          <w:sz w:val="20"/>
        </w:rPr>
        <w:t>註：年金給付係當年度12月底之實際領取人數，未包含遺屬年金。</w:t>
      </w:r>
    </w:p>
    <w:p w:rsidR="00FB2640" w:rsidRPr="00250399" w:rsidRDefault="00FB2640" w:rsidP="00FB2640">
      <w:pPr>
        <w:pStyle w:val="af0"/>
        <w:spacing w:beforeLines="30" w:before="108" w:line="400" w:lineRule="exact"/>
        <w:ind w:leftChars="0" w:left="743"/>
        <w:jc w:val="center"/>
        <w:rPr>
          <w:rFonts w:ascii="微軟正黑體" w:eastAsia="微軟正黑體" w:hAnsi="微軟正黑體"/>
        </w:rPr>
      </w:pPr>
      <w:r w:rsidRPr="00250399">
        <w:rPr>
          <w:rFonts w:ascii="微軟正黑體" w:eastAsia="微軟正黑體" w:hAnsi="微軟正黑體" w:hint="eastAsia"/>
        </w:rPr>
        <w:t>圖2.22  近10年公保養老給付請領人數變動情形</w:t>
      </w:r>
    </w:p>
    <w:p w:rsidR="00FB2640" w:rsidRPr="00250399" w:rsidRDefault="00FB2640" w:rsidP="00FB2640">
      <w:pPr>
        <w:pStyle w:val="af0"/>
        <w:spacing w:line="400" w:lineRule="exact"/>
        <w:ind w:leftChars="0" w:left="743"/>
        <w:jc w:val="center"/>
        <w:rPr>
          <w:rFonts w:ascii="微軟正黑體" w:eastAsia="微軟正黑體" w:hAnsi="微軟正黑體"/>
          <w:b/>
        </w:rPr>
      </w:pPr>
    </w:p>
    <w:p w:rsidR="00FB2640" w:rsidRPr="00250399" w:rsidRDefault="00FB2640" w:rsidP="00FB2640">
      <w:pPr>
        <w:pStyle w:val="af0"/>
        <w:numPr>
          <w:ilvl w:val="1"/>
          <w:numId w:val="22"/>
        </w:numPr>
        <w:adjustRightInd w:val="0"/>
        <w:spacing w:line="400" w:lineRule="exact"/>
        <w:ind w:leftChars="0" w:left="709"/>
        <w:textAlignment w:val="baseline"/>
        <w:rPr>
          <w:rFonts w:ascii="微軟正黑體" w:eastAsia="微軟正黑體" w:hAnsi="微軟正黑體"/>
        </w:rPr>
      </w:pPr>
      <w:r w:rsidRPr="00250399">
        <w:rPr>
          <w:rFonts w:ascii="微軟正黑體" w:eastAsia="微軟正黑體" w:hAnsi="微軟正黑體" w:hint="eastAsia"/>
        </w:rPr>
        <w:t>給付領取者之平均退</w:t>
      </w:r>
      <w:r w:rsidRPr="00256E17">
        <w:rPr>
          <w:rFonts w:ascii="微軟正黑體" w:eastAsia="微軟正黑體" w:hAnsi="微軟正黑體" w:hint="eastAsia"/>
        </w:rPr>
        <w:t>休</w:t>
      </w:r>
      <w:r w:rsidRPr="00250399">
        <w:rPr>
          <w:rFonts w:ascii="微軟正黑體" w:eastAsia="微軟正黑體" w:hAnsi="微軟正黑體" w:hint="eastAsia"/>
        </w:rPr>
        <w:t>年齡</w:t>
      </w:r>
    </w:p>
    <w:p w:rsidR="00FB2640" w:rsidRPr="00446EC3" w:rsidRDefault="00FB2640" w:rsidP="00FB2640">
      <w:pPr>
        <w:pStyle w:val="af0"/>
        <w:spacing w:beforeLines="30" w:before="108" w:line="400" w:lineRule="exact"/>
        <w:ind w:leftChars="0" w:left="743"/>
        <w:jc w:val="both"/>
        <w:rPr>
          <w:rFonts w:ascii="微軟正黑體" w:eastAsia="微軟正黑體" w:hAnsi="微軟正黑體"/>
        </w:rPr>
      </w:pPr>
      <w:r>
        <w:rPr>
          <w:rFonts w:ascii="微軟正黑體" w:eastAsia="微軟正黑體" w:hAnsi="微軟正黑體" w:hint="eastAsia"/>
        </w:rPr>
        <w:t xml:space="preserve">    109年領取公保養老給付者之平均退</w:t>
      </w:r>
      <w:r w:rsidRPr="00256E17">
        <w:rPr>
          <w:rFonts w:ascii="微軟正黑體" w:eastAsia="微軟正黑體" w:hAnsi="微軟正黑體" w:hint="eastAsia"/>
        </w:rPr>
        <w:t>休</w:t>
      </w:r>
      <w:r w:rsidRPr="00250399">
        <w:rPr>
          <w:rFonts w:ascii="微軟正黑體" w:eastAsia="微軟正黑體" w:hAnsi="微軟正黑體" w:hint="eastAsia"/>
        </w:rPr>
        <w:t>年齡，年金給付為6</w:t>
      </w:r>
      <w:r>
        <w:rPr>
          <w:rFonts w:ascii="微軟正黑體" w:eastAsia="微軟正黑體" w:hAnsi="微軟正黑體"/>
        </w:rPr>
        <w:t>1.7</w:t>
      </w:r>
      <w:r w:rsidRPr="00250399">
        <w:rPr>
          <w:rFonts w:ascii="微軟正黑體" w:eastAsia="微軟正黑體" w:hAnsi="微軟正黑體" w:hint="eastAsia"/>
        </w:rPr>
        <w:t>歲，相較一次給付</w:t>
      </w:r>
      <w:r>
        <w:rPr>
          <w:rFonts w:ascii="微軟正黑體" w:eastAsia="微軟正黑體" w:hAnsi="微軟正黑體"/>
        </w:rPr>
        <w:t>57.3</w:t>
      </w:r>
      <w:r w:rsidRPr="00250399">
        <w:rPr>
          <w:rFonts w:ascii="微軟正黑體" w:eastAsia="微軟正黑體" w:hAnsi="微軟正黑體" w:hint="eastAsia"/>
        </w:rPr>
        <w:t>歲，多出</w:t>
      </w:r>
      <w:r>
        <w:rPr>
          <w:rFonts w:ascii="微軟正黑體" w:eastAsia="微軟正黑體" w:hAnsi="微軟正黑體"/>
        </w:rPr>
        <w:t>4.4</w:t>
      </w:r>
      <w:r w:rsidRPr="00250399">
        <w:rPr>
          <w:rFonts w:ascii="微軟正黑體" w:eastAsia="微軟正黑體" w:hAnsi="微軟正黑體" w:hint="eastAsia"/>
        </w:rPr>
        <w:t>歲。觀察近10年之變動情形，一次給付自</w:t>
      </w:r>
      <w:r>
        <w:rPr>
          <w:rFonts w:ascii="微軟正黑體" w:eastAsia="微軟正黑體" w:hAnsi="微軟正黑體"/>
        </w:rPr>
        <w:t>100</w:t>
      </w:r>
      <w:r w:rsidRPr="00250399">
        <w:rPr>
          <w:rFonts w:ascii="微軟正黑體" w:eastAsia="微軟正黑體" w:hAnsi="微軟正黑體" w:hint="eastAsia"/>
        </w:rPr>
        <w:t>年55.1</w:t>
      </w:r>
      <w:r w:rsidRPr="00F0717A">
        <w:rPr>
          <w:rFonts w:ascii="微軟正黑體" w:eastAsia="微軟正黑體" w:hAnsi="微軟正黑體" w:hint="eastAsia"/>
        </w:rPr>
        <w:t>歲</w:t>
      </w:r>
      <w:r w:rsidRPr="00FF36B8">
        <w:rPr>
          <w:rFonts w:ascii="微軟正黑體" w:eastAsia="微軟正黑體" w:hAnsi="微軟正黑體" w:hint="eastAsia"/>
        </w:rPr>
        <w:t>上升</w:t>
      </w:r>
      <w:r w:rsidRPr="00F0717A">
        <w:rPr>
          <w:rFonts w:ascii="微軟正黑體" w:eastAsia="微軟正黑體" w:hAnsi="微軟正黑體" w:hint="eastAsia"/>
        </w:rPr>
        <w:t>至10</w:t>
      </w:r>
      <w:r>
        <w:rPr>
          <w:rFonts w:ascii="微軟正黑體" w:eastAsia="微軟正黑體" w:hAnsi="微軟正黑體"/>
        </w:rPr>
        <w:t>9</w:t>
      </w:r>
      <w:r w:rsidRPr="00F0717A">
        <w:rPr>
          <w:rFonts w:ascii="微軟正黑體" w:eastAsia="微軟正黑體" w:hAnsi="微軟正黑體" w:hint="eastAsia"/>
        </w:rPr>
        <w:t>年5</w:t>
      </w:r>
      <w:r>
        <w:rPr>
          <w:rFonts w:ascii="微軟正黑體" w:eastAsia="微軟正黑體" w:hAnsi="微軟正黑體"/>
        </w:rPr>
        <w:t>7.3</w:t>
      </w:r>
      <w:r w:rsidRPr="00F0717A">
        <w:rPr>
          <w:rFonts w:ascii="微軟正黑體" w:eastAsia="微軟正黑體" w:hAnsi="微軟正黑體" w:hint="eastAsia"/>
        </w:rPr>
        <w:t>歲；年金給付自103年61.2歲至10</w:t>
      </w:r>
      <w:r>
        <w:rPr>
          <w:rFonts w:ascii="微軟正黑體" w:eastAsia="微軟正黑體" w:hAnsi="微軟正黑體"/>
        </w:rPr>
        <w:t>9</w:t>
      </w:r>
      <w:r w:rsidRPr="00F0717A">
        <w:rPr>
          <w:rFonts w:ascii="微軟正黑體" w:eastAsia="微軟正黑體" w:hAnsi="微軟正黑體" w:hint="eastAsia"/>
        </w:rPr>
        <w:t>年</w:t>
      </w:r>
      <w:r>
        <w:rPr>
          <w:rFonts w:ascii="微軟正黑體" w:eastAsia="微軟正黑體" w:hAnsi="微軟正黑體" w:hint="eastAsia"/>
        </w:rPr>
        <w:t>6</w:t>
      </w:r>
      <w:r>
        <w:rPr>
          <w:rFonts w:ascii="微軟正黑體" w:eastAsia="微軟正黑體" w:hAnsi="微軟正黑體"/>
        </w:rPr>
        <w:t>1.7</w:t>
      </w:r>
      <w:r w:rsidRPr="00446EC3">
        <w:rPr>
          <w:rFonts w:ascii="微軟正黑體" w:eastAsia="微軟正黑體" w:hAnsi="微軟正黑體" w:hint="eastAsia"/>
        </w:rPr>
        <w:t>歲，呈現微幅增減趨勢。</w:t>
      </w:r>
    </w:p>
    <w:p w:rsidR="00FB2640" w:rsidRPr="00F0717A" w:rsidRDefault="00FB2640" w:rsidP="00FB2640">
      <w:pPr>
        <w:pStyle w:val="af0"/>
        <w:spacing w:beforeLines="30" w:before="108" w:line="400" w:lineRule="exact"/>
        <w:ind w:leftChars="0" w:left="743"/>
        <w:rPr>
          <w:rFonts w:ascii="微軟正黑體" w:eastAsia="微軟正黑體" w:hAnsi="微軟正黑體"/>
        </w:rPr>
      </w:pPr>
      <w:r>
        <w:rPr>
          <w:noProof/>
        </w:rPr>
        <w:drawing>
          <wp:anchor distT="0" distB="0" distL="114300" distR="114300" simplePos="0" relativeHeight="252561408" behindDoc="0" locked="0" layoutInCell="1" allowOverlap="1" wp14:anchorId="123804FC" wp14:editId="0A23E64E">
            <wp:simplePos x="0" y="0"/>
            <wp:positionH relativeFrom="column">
              <wp:posOffset>183303</wp:posOffset>
            </wp:positionH>
            <wp:positionV relativeFrom="paragraph">
              <wp:posOffset>-423</wp:posOffset>
            </wp:positionV>
            <wp:extent cx="5545667" cy="2015066"/>
            <wp:effectExtent l="0" t="0" r="17145" b="23495"/>
            <wp:wrapNone/>
            <wp:docPr id="58" name="圖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F0717A" w:rsidRDefault="00FB2640" w:rsidP="00FB2640">
      <w:pPr>
        <w:pStyle w:val="af0"/>
        <w:spacing w:line="400" w:lineRule="exact"/>
        <w:ind w:leftChars="0" w:left="743"/>
        <w:rPr>
          <w:rFonts w:ascii="微軟正黑體" w:eastAsia="微軟正黑體" w:hAnsi="微軟正黑體"/>
        </w:rPr>
      </w:pPr>
    </w:p>
    <w:p w:rsidR="00FB2640" w:rsidRPr="004A1C49" w:rsidRDefault="00FB2640" w:rsidP="00FB2640">
      <w:pPr>
        <w:spacing w:beforeLines="70" w:before="252" w:line="280" w:lineRule="exact"/>
        <w:ind w:leftChars="128" w:left="707" w:hangingChars="200" w:hanging="400"/>
        <w:rPr>
          <w:rFonts w:ascii="微軟正黑體" w:eastAsia="微軟正黑體" w:hAnsi="微軟正黑體"/>
          <w:sz w:val="20"/>
        </w:rPr>
      </w:pPr>
      <w:r w:rsidRPr="00462417">
        <w:rPr>
          <w:rFonts w:ascii="微軟正黑體" w:eastAsia="微軟正黑體" w:hAnsi="微軟正黑體" w:hint="eastAsia"/>
          <w:sz w:val="20"/>
        </w:rPr>
        <w:t>註：本表</w:t>
      </w:r>
      <w:r w:rsidRPr="0081517A">
        <w:rPr>
          <w:rFonts w:ascii="微軟正黑體" w:eastAsia="微軟正黑體" w:hAnsi="微軟正黑體" w:hint="eastAsia"/>
          <w:sz w:val="20"/>
        </w:rPr>
        <w:t>僅</w:t>
      </w:r>
      <w:r w:rsidRPr="004A1C49">
        <w:rPr>
          <w:rFonts w:ascii="微軟正黑體" w:eastAsia="微軟正黑體" w:hAnsi="微軟正黑體" w:hint="eastAsia"/>
          <w:sz w:val="20"/>
        </w:rPr>
        <w:t>含</w:t>
      </w:r>
      <w:r w:rsidRPr="00462417">
        <w:rPr>
          <w:rFonts w:ascii="微軟正黑體" w:eastAsia="微軟正黑體" w:hAnsi="微軟正黑體" w:hint="eastAsia"/>
          <w:sz w:val="20"/>
        </w:rPr>
        <w:t>退休人員</w:t>
      </w:r>
      <w:r w:rsidRPr="0081517A">
        <w:rPr>
          <w:rFonts w:ascii="微軟正黑體" w:eastAsia="微軟正黑體" w:hAnsi="微軟正黑體" w:hint="eastAsia"/>
          <w:sz w:val="20"/>
        </w:rPr>
        <w:t>。</w:t>
      </w:r>
    </w:p>
    <w:p w:rsidR="00FB2640" w:rsidRPr="00250399" w:rsidRDefault="00FB2640" w:rsidP="00FB2640">
      <w:pPr>
        <w:pStyle w:val="af0"/>
        <w:spacing w:beforeLines="30" w:before="108" w:line="400" w:lineRule="exact"/>
        <w:ind w:leftChars="0" w:left="743"/>
        <w:jc w:val="center"/>
        <w:rPr>
          <w:rFonts w:ascii="微軟正黑體" w:eastAsia="微軟正黑體" w:hAnsi="微軟正黑體"/>
        </w:rPr>
      </w:pPr>
      <w:r w:rsidRPr="00250399">
        <w:rPr>
          <w:rFonts w:ascii="微軟正黑體" w:eastAsia="微軟正黑體" w:hAnsi="微軟正黑體" w:hint="eastAsia"/>
        </w:rPr>
        <w:t>圖2.23  近10年公保養老給付領取者之平均退休年齡變動情形</w:t>
      </w:r>
    </w:p>
    <w:p w:rsidR="00FB2640" w:rsidRPr="00BC2A74" w:rsidRDefault="00FB2640" w:rsidP="00FB2640">
      <w:pPr>
        <w:pStyle w:val="af0"/>
        <w:numPr>
          <w:ilvl w:val="1"/>
          <w:numId w:val="22"/>
        </w:numPr>
        <w:adjustRightInd w:val="0"/>
        <w:spacing w:line="400" w:lineRule="exact"/>
        <w:ind w:leftChars="0" w:left="709"/>
        <w:textAlignment w:val="baseline"/>
        <w:rPr>
          <w:rFonts w:ascii="微軟正黑體" w:eastAsia="微軟正黑體" w:hAnsi="微軟正黑體"/>
        </w:rPr>
      </w:pPr>
      <w:r w:rsidRPr="00BC2A74">
        <w:rPr>
          <w:rFonts w:ascii="微軟正黑體" w:eastAsia="微軟正黑體" w:hAnsi="微軟正黑體" w:hint="eastAsia"/>
        </w:rPr>
        <w:lastRenderedPageBreak/>
        <w:t>給付領取者之保險年資分布</w:t>
      </w:r>
    </w:p>
    <w:p w:rsidR="00FB2640" w:rsidRPr="00F0717A" w:rsidRDefault="00FB2640" w:rsidP="00FB2640">
      <w:pPr>
        <w:pStyle w:val="af0"/>
        <w:spacing w:beforeLines="30" w:before="108"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hint="eastAsia"/>
        </w:rPr>
        <w:t>9年領取公保養老給付之退休人員，一次</w:t>
      </w:r>
      <w:r w:rsidRPr="00F0717A">
        <w:rPr>
          <w:rFonts w:ascii="微軟正黑體" w:eastAsia="微軟正黑體" w:hAnsi="微軟正黑體" w:hint="eastAsia"/>
        </w:rPr>
        <w:t>給付者以保險年</w:t>
      </w:r>
      <w:r w:rsidRPr="00F412C9">
        <w:rPr>
          <w:rFonts w:ascii="微軟正黑體" w:eastAsia="微軟正黑體" w:hAnsi="微軟正黑體" w:hint="eastAsia"/>
        </w:rPr>
        <w:t>資「30-34.9年」</w:t>
      </w:r>
      <w:r w:rsidRPr="00F0717A">
        <w:rPr>
          <w:rFonts w:ascii="微軟正黑體" w:eastAsia="微軟正黑體" w:hAnsi="微軟正黑體" w:hint="eastAsia"/>
        </w:rPr>
        <w:t>人數最多，達</w:t>
      </w:r>
      <w:r>
        <w:rPr>
          <w:rFonts w:ascii="微軟正黑體" w:eastAsia="微軟正黑體" w:hAnsi="微軟正黑體" w:hint="eastAsia"/>
        </w:rPr>
        <w:t>3,616</w:t>
      </w:r>
      <w:r w:rsidRPr="00F0717A">
        <w:rPr>
          <w:rFonts w:ascii="微軟正黑體" w:eastAsia="微軟正黑體" w:hAnsi="微軟正黑體" w:hint="eastAsia"/>
        </w:rPr>
        <w:t>人(占</w:t>
      </w:r>
      <w:r>
        <w:rPr>
          <w:rFonts w:ascii="微軟正黑體" w:eastAsia="微軟正黑體" w:hAnsi="微軟正黑體" w:hint="eastAsia"/>
        </w:rPr>
        <w:t>34.7</w:t>
      </w:r>
      <w:r w:rsidRPr="00F0717A">
        <w:rPr>
          <w:rFonts w:ascii="微軟正黑體" w:eastAsia="微軟正黑體" w:hAnsi="微軟正黑體" w:hint="eastAsia"/>
        </w:rPr>
        <w:t>%)</w:t>
      </w:r>
      <w:r>
        <w:rPr>
          <w:rFonts w:ascii="微軟正黑體" w:eastAsia="微軟正黑體" w:hAnsi="微軟正黑體" w:hint="eastAsia"/>
        </w:rPr>
        <w:t>；</w:t>
      </w:r>
      <w:r w:rsidRPr="00F0717A">
        <w:rPr>
          <w:rFonts w:ascii="微軟正黑體" w:eastAsia="微軟正黑體" w:hAnsi="微軟正黑體" w:hint="eastAsia"/>
        </w:rPr>
        <w:t>年金給付者以保險年資「35-39.9年」</w:t>
      </w:r>
      <w:r>
        <w:rPr>
          <w:rFonts w:ascii="微軟正黑體" w:eastAsia="微軟正黑體" w:hAnsi="微軟正黑體" w:hint="eastAsia"/>
        </w:rPr>
        <w:t>人數最</w:t>
      </w:r>
      <w:r w:rsidRPr="00F0717A">
        <w:rPr>
          <w:rFonts w:ascii="微軟正黑體" w:eastAsia="微軟正黑體" w:hAnsi="微軟正黑體" w:hint="eastAsia"/>
        </w:rPr>
        <w:t>多，為</w:t>
      </w:r>
      <w:r>
        <w:rPr>
          <w:rFonts w:ascii="微軟正黑體" w:eastAsia="微軟正黑體" w:hAnsi="微軟正黑體" w:hint="eastAsia"/>
        </w:rPr>
        <w:t>708</w:t>
      </w:r>
      <w:r w:rsidRPr="00F0717A">
        <w:rPr>
          <w:rFonts w:ascii="微軟正黑體" w:eastAsia="微軟正黑體" w:hAnsi="微軟正黑體" w:hint="eastAsia"/>
        </w:rPr>
        <w:t>人(占</w:t>
      </w:r>
      <w:r>
        <w:rPr>
          <w:rFonts w:ascii="微軟正黑體" w:eastAsia="微軟正黑體" w:hAnsi="微軟正黑體" w:hint="eastAsia"/>
        </w:rPr>
        <w:t>29.1</w:t>
      </w:r>
      <w:r w:rsidRPr="00F0717A">
        <w:rPr>
          <w:rFonts w:ascii="微軟正黑體" w:eastAsia="微軟正黑體" w:hAnsi="微軟正黑體" w:hint="eastAsia"/>
        </w:rPr>
        <w:t>%)。</w:t>
      </w:r>
    </w:p>
    <w:p w:rsidR="00FB2640" w:rsidRPr="00F0717A" w:rsidRDefault="00FB2640" w:rsidP="00FB2640">
      <w:pPr>
        <w:pStyle w:val="af0"/>
        <w:spacing w:beforeLines="30" w:before="108" w:line="400" w:lineRule="exact"/>
        <w:ind w:leftChars="0" w:left="743"/>
        <w:rPr>
          <w:rFonts w:ascii="微軟正黑體" w:eastAsia="微軟正黑體" w:hAnsi="微軟正黑體"/>
        </w:rPr>
      </w:pPr>
      <w:r>
        <w:rPr>
          <w:noProof/>
        </w:rPr>
        <w:drawing>
          <wp:anchor distT="0" distB="0" distL="114300" distR="114300" simplePos="0" relativeHeight="252585984" behindDoc="0" locked="0" layoutInCell="1" allowOverlap="1" wp14:anchorId="1E46FF00" wp14:editId="24B1737A">
            <wp:simplePos x="0" y="0"/>
            <wp:positionH relativeFrom="column">
              <wp:posOffset>217169</wp:posOffset>
            </wp:positionH>
            <wp:positionV relativeFrom="paragraph">
              <wp:posOffset>24130</wp:posOffset>
            </wp:positionV>
            <wp:extent cx="5596467" cy="2633133"/>
            <wp:effectExtent l="0" t="0" r="23495" b="15240"/>
            <wp:wrapNone/>
            <wp:docPr id="59" name="圖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spacing w:beforeLines="30" w:before="108" w:line="340" w:lineRule="exact"/>
        <w:rPr>
          <w:rFonts w:ascii="微軟正黑體" w:eastAsia="微軟正黑體" w:hAnsi="微軟正黑體"/>
          <w:sz w:val="20"/>
        </w:rPr>
      </w:pPr>
      <w:r w:rsidRPr="00F0717A">
        <w:rPr>
          <w:rFonts w:ascii="微軟正黑體" w:eastAsia="微軟正黑體" w:hAnsi="微軟正黑體" w:hint="eastAsia"/>
          <w:sz w:val="20"/>
        </w:rPr>
        <w:t xml:space="preserve">    註：年金給付人數係當年度初核給付人數。</w:t>
      </w:r>
    </w:p>
    <w:p w:rsidR="00FB2640" w:rsidRPr="00F0717A" w:rsidRDefault="00FB2640" w:rsidP="00FB2640">
      <w:pPr>
        <w:pStyle w:val="af0"/>
        <w:spacing w:beforeLines="30" w:before="108" w:line="400" w:lineRule="exact"/>
        <w:ind w:leftChars="0" w:left="0"/>
        <w:jc w:val="center"/>
        <w:rPr>
          <w:rFonts w:ascii="微軟正黑體" w:eastAsia="微軟正黑體" w:hAnsi="微軟正黑體"/>
        </w:rPr>
      </w:pPr>
      <w:r>
        <w:rPr>
          <w:rFonts w:ascii="微軟正黑體" w:eastAsia="微軟正黑體" w:hAnsi="微軟正黑體" w:hint="eastAsia"/>
        </w:rPr>
        <w:t xml:space="preserve">    </w:t>
      </w:r>
      <w:r w:rsidRPr="00F0717A">
        <w:rPr>
          <w:rFonts w:ascii="微軟正黑體" w:eastAsia="微軟正黑體" w:hAnsi="微軟正黑體" w:hint="eastAsia"/>
        </w:rPr>
        <w:t>圖2.2</w:t>
      </w:r>
      <w:r>
        <w:rPr>
          <w:rFonts w:ascii="微軟正黑體" w:eastAsia="微軟正黑體" w:hAnsi="微軟正黑體" w:hint="eastAsia"/>
        </w:rPr>
        <w:t>4</w:t>
      </w: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年公保養老給付領取者之保險年資分布(退休人員)</w:t>
      </w:r>
    </w:p>
    <w:p w:rsidR="00FB2640" w:rsidRPr="00F0717A" w:rsidRDefault="00FB2640" w:rsidP="00FB2640">
      <w:pPr>
        <w:pStyle w:val="af0"/>
        <w:spacing w:line="400" w:lineRule="exact"/>
        <w:ind w:leftChars="0" w:left="743"/>
        <w:jc w:val="center"/>
        <w:rPr>
          <w:rFonts w:ascii="微軟正黑體" w:eastAsia="微軟正黑體" w:hAnsi="微軟正黑體"/>
          <w:b/>
        </w:rPr>
      </w:pPr>
    </w:p>
    <w:p w:rsidR="00FB2640" w:rsidRPr="00250399" w:rsidRDefault="00FB2640" w:rsidP="00FB2640">
      <w:pPr>
        <w:pStyle w:val="af0"/>
        <w:numPr>
          <w:ilvl w:val="1"/>
          <w:numId w:val="22"/>
        </w:numPr>
        <w:adjustRightInd w:val="0"/>
        <w:spacing w:line="400" w:lineRule="exact"/>
        <w:ind w:leftChars="0" w:left="709"/>
        <w:textAlignment w:val="baseline"/>
        <w:rPr>
          <w:rFonts w:ascii="微軟正黑體" w:eastAsia="微軟正黑體" w:hAnsi="微軟正黑體"/>
        </w:rPr>
      </w:pPr>
      <w:r w:rsidRPr="00250399">
        <w:rPr>
          <w:rFonts w:ascii="微軟正黑體" w:eastAsia="微軟正黑體" w:hAnsi="微軟正黑體" w:hint="eastAsia"/>
        </w:rPr>
        <w:t>給付領取者之平均保險年資及給付金額(按一次給付及年金給付分)</w:t>
      </w:r>
    </w:p>
    <w:p w:rsidR="00FB2640" w:rsidRPr="00F0717A" w:rsidRDefault="00FB2640" w:rsidP="00FB2640">
      <w:pPr>
        <w:pStyle w:val="af0"/>
        <w:spacing w:beforeLines="30" w:before="108" w:line="400" w:lineRule="exact"/>
        <w:ind w:leftChars="0" w:left="743"/>
        <w:jc w:val="both"/>
        <w:rPr>
          <w:rFonts w:ascii="微軟正黑體" w:eastAsia="微軟正黑體" w:hAnsi="微軟正黑體"/>
        </w:rPr>
      </w:pPr>
      <w:r w:rsidRPr="00F0717A">
        <w:rPr>
          <w:rFonts w:ascii="微軟正黑體" w:eastAsia="微軟正黑體" w:hAnsi="微軟正黑體" w:hint="eastAsia"/>
        </w:rPr>
        <w:t xml:space="preserve">   </w:t>
      </w:r>
      <w:r w:rsidRPr="00433106">
        <w:rPr>
          <w:rFonts w:ascii="微軟正黑體" w:eastAsia="微軟正黑體" w:hAnsi="微軟正黑體" w:hint="eastAsia"/>
          <w:color w:val="FF0000"/>
        </w:rPr>
        <w:t xml:space="preserve"> </w:t>
      </w:r>
      <w:r w:rsidR="00433106" w:rsidRPr="00CB0F31">
        <w:rPr>
          <w:rFonts w:ascii="微軟正黑體" w:eastAsia="微軟正黑體" w:hAnsi="微軟正黑體" w:hint="eastAsia"/>
        </w:rPr>
        <w:t>觀察近10年</w:t>
      </w:r>
      <w:r>
        <w:rPr>
          <w:rFonts w:ascii="微軟正黑體" w:eastAsia="微軟正黑體" w:hAnsi="微軟正黑體" w:hint="eastAsia"/>
        </w:rPr>
        <w:t>公保養老給付領取者一次</w:t>
      </w:r>
      <w:r w:rsidRPr="00F0717A">
        <w:rPr>
          <w:rFonts w:ascii="微軟正黑體" w:eastAsia="微軟正黑體" w:hAnsi="微軟正黑體" w:hint="eastAsia"/>
        </w:rPr>
        <w:t>給付之平均保險年資，</w:t>
      </w:r>
      <w:r>
        <w:rPr>
          <w:rFonts w:ascii="微軟正黑體" w:eastAsia="微軟正黑體" w:hAnsi="微軟正黑體" w:hint="eastAsia"/>
        </w:rPr>
        <w:t>自100年起伏緩增至</w:t>
      </w:r>
      <w:r w:rsidRPr="00184526">
        <w:rPr>
          <w:rFonts w:ascii="微軟正黑體" w:eastAsia="微軟正黑體" w:hAnsi="微軟正黑體" w:hint="eastAsia"/>
        </w:rPr>
        <w:t>109年</w:t>
      </w:r>
      <w:r>
        <w:rPr>
          <w:rFonts w:ascii="微軟正黑體" w:eastAsia="微軟正黑體" w:hAnsi="微軟正黑體" w:hint="eastAsia"/>
        </w:rPr>
        <w:t>為29.6年；一次</w:t>
      </w:r>
      <w:r w:rsidRPr="00F0717A">
        <w:rPr>
          <w:rFonts w:ascii="微軟正黑體" w:eastAsia="微軟正黑體" w:hAnsi="微軟正黑體" w:hint="eastAsia"/>
        </w:rPr>
        <w:t>給付</w:t>
      </w:r>
      <w:r>
        <w:rPr>
          <w:rFonts w:ascii="微軟正黑體" w:eastAsia="微軟正黑體" w:hAnsi="微軟正黑體" w:hint="eastAsia"/>
        </w:rPr>
        <w:t>平均</w:t>
      </w:r>
      <w:r w:rsidRPr="00F0717A">
        <w:rPr>
          <w:rFonts w:ascii="微軟正黑體" w:eastAsia="微軟正黑體" w:hAnsi="微軟正黑體" w:hint="eastAsia"/>
        </w:rPr>
        <w:t>金額則介於13</w:t>
      </w:r>
      <w:r>
        <w:rPr>
          <w:rFonts w:ascii="微軟正黑體" w:eastAsia="微軟正黑體" w:hAnsi="微軟正黑體" w:hint="eastAsia"/>
        </w:rPr>
        <w:t>5.0</w:t>
      </w:r>
      <w:r w:rsidRPr="00F0717A">
        <w:rPr>
          <w:rFonts w:ascii="微軟正黑體" w:eastAsia="微軟正黑體" w:hAnsi="微軟正黑體" w:hint="eastAsia"/>
        </w:rPr>
        <w:t>萬至</w:t>
      </w:r>
      <w:r>
        <w:rPr>
          <w:rFonts w:ascii="微軟正黑體" w:eastAsia="微軟正黑體" w:hAnsi="微軟正黑體" w:hint="eastAsia"/>
        </w:rPr>
        <w:t>151</w:t>
      </w:r>
      <w:r w:rsidRPr="00F0717A">
        <w:rPr>
          <w:rFonts w:ascii="微軟正黑體" w:eastAsia="微軟正黑體" w:hAnsi="微軟正黑體" w:hint="eastAsia"/>
        </w:rPr>
        <w:t>.</w:t>
      </w:r>
      <w:r>
        <w:rPr>
          <w:rFonts w:ascii="微軟正黑體" w:eastAsia="微軟正黑體" w:hAnsi="微軟正黑體" w:hint="eastAsia"/>
        </w:rPr>
        <w:t>8</w:t>
      </w:r>
      <w:r w:rsidRPr="00F0717A">
        <w:rPr>
          <w:rFonts w:ascii="微軟正黑體" w:eastAsia="微軟正黑體" w:hAnsi="微軟正黑體" w:hint="eastAsia"/>
        </w:rPr>
        <w:t>萬元間。另年金給付之平均保險年資，10</w:t>
      </w:r>
      <w:r>
        <w:rPr>
          <w:rFonts w:ascii="微軟正黑體" w:eastAsia="微軟正黑體" w:hAnsi="微軟正黑體" w:hint="eastAsia"/>
        </w:rPr>
        <w:t>9</w:t>
      </w:r>
      <w:r w:rsidRPr="00F0717A">
        <w:rPr>
          <w:rFonts w:ascii="微軟正黑體" w:eastAsia="微軟正黑體" w:hAnsi="微軟正黑體" w:hint="eastAsia"/>
        </w:rPr>
        <w:t>年為</w:t>
      </w:r>
      <w:r>
        <w:rPr>
          <w:rFonts w:ascii="微軟正黑體" w:eastAsia="微軟正黑體" w:hAnsi="微軟正黑體" w:hint="eastAsia"/>
        </w:rPr>
        <w:t>32.2年，年資高於一次給付；</w:t>
      </w:r>
      <w:r w:rsidRPr="00F0717A">
        <w:rPr>
          <w:rFonts w:ascii="微軟正黑體" w:eastAsia="微軟正黑體" w:hAnsi="微軟正黑體" w:hint="eastAsia"/>
        </w:rPr>
        <w:t>平均每月給付金額</w:t>
      </w:r>
      <w:r>
        <w:rPr>
          <w:rFonts w:ascii="微軟正黑體" w:eastAsia="微軟正黑體" w:hAnsi="微軟正黑體" w:hint="eastAsia"/>
        </w:rPr>
        <w:t>18,041</w:t>
      </w:r>
      <w:r w:rsidRPr="00F0717A">
        <w:rPr>
          <w:rFonts w:ascii="微軟正黑體" w:eastAsia="微軟正黑體" w:hAnsi="微軟正黑體" w:hint="eastAsia"/>
        </w:rPr>
        <w:t>元。</w:t>
      </w:r>
    </w:p>
    <w:p w:rsidR="00FB2640" w:rsidRPr="00F0717A" w:rsidRDefault="00FB2640" w:rsidP="00FB2640">
      <w:pPr>
        <w:pStyle w:val="af0"/>
        <w:spacing w:beforeLines="30" w:before="108" w:line="400" w:lineRule="exact"/>
        <w:ind w:leftChars="0" w:left="743"/>
        <w:rPr>
          <w:rFonts w:ascii="微軟正黑體" w:eastAsia="微軟正黑體" w:hAnsi="微軟正黑體"/>
        </w:rPr>
      </w:pPr>
      <w:r>
        <w:rPr>
          <w:noProof/>
        </w:rPr>
        <w:drawing>
          <wp:anchor distT="0" distB="0" distL="114300" distR="114300" simplePos="0" relativeHeight="252587008" behindDoc="0" locked="0" layoutInCell="1" allowOverlap="1" wp14:anchorId="46A7C5F1" wp14:editId="2D61985A">
            <wp:simplePos x="0" y="0"/>
            <wp:positionH relativeFrom="column">
              <wp:posOffset>39370</wp:posOffset>
            </wp:positionH>
            <wp:positionV relativeFrom="paragraph">
              <wp:posOffset>44450</wp:posOffset>
            </wp:positionV>
            <wp:extent cx="5774055" cy="2726055"/>
            <wp:effectExtent l="0" t="0" r="17145" b="17145"/>
            <wp:wrapNone/>
            <wp:docPr id="60" name="圖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2D1FFF"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pStyle w:val="af0"/>
        <w:spacing w:beforeLines="30" w:before="108" w:line="400" w:lineRule="exact"/>
        <w:ind w:leftChars="0" w:left="743"/>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A12DB9" w:rsidRDefault="00FB2640" w:rsidP="00FB2640">
      <w:pPr>
        <w:spacing w:line="400" w:lineRule="exact"/>
        <w:rPr>
          <w:rFonts w:ascii="微軟正黑體" w:eastAsia="微軟正黑體" w:hAnsi="微軟正黑體"/>
          <w:sz w:val="20"/>
        </w:rPr>
      </w:pPr>
      <w:r w:rsidRPr="00A12DB9">
        <w:rPr>
          <w:rFonts w:ascii="微軟正黑體" w:eastAsia="微軟正黑體" w:hAnsi="微軟正黑體" w:hint="eastAsia"/>
          <w:sz w:val="20"/>
        </w:rPr>
        <w:t xml:space="preserve"> 註：本表包含退休人員、資遣人員及離職退保人員。</w:t>
      </w:r>
    </w:p>
    <w:p w:rsidR="00FB2640" w:rsidRDefault="00FB2640" w:rsidP="00FB2640">
      <w:pPr>
        <w:spacing w:beforeLines="30" w:before="108" w:line="400" w:lineRule="exact"/>
        <w:jc w:val="center"/>
        <w:rPr>
          <w:rFonts w:ascii="微軟正黑體" w:eastAsia="微軟正黑體" w:hAnsi="微軟正黑體"/>
        </w:rPr>
      </w:pPr>
      <w:r w:rsidRPr="00250399">
        <w:rPr>
          <w:rFonts w:ascii="微軟正黑體" w:eastAsia="微軟正黑體" w:hAnsi="微軟正黑體" w:hint="eastAsia"/>
        </w:rPr>
        <w:t xml:space="preserve"> 圖2.25  近10年公保養老</w:t>
      </w:r>
      <w:r>
        <w:rPr>
          <w:rFonts w:ascii="微軟正黑體" w:eastAsia="微軟正黑體" w:hAnsi="微軟正黑體" w:hint="eastAsia"/>
        </w:rPr>
        <w:t>一次</w:t>
      </w:r>
      <w:r w:rsidRPr="00250399">
        <w:rPr>
          <w:rFonts w:ascii="微軟正黑體" w:eastAsia="微軟正黑體" w:hAnsi="微軟正黑體" w:hint="eastAsia"/>
        </w:rPr>
        <w:t>給付領取者之平均保險年資及給付金額</w:t>
      </w:r>
    </w:p>
    <w:p w:rsidR="00FB2640" w:rsidRDefault="00FB2640" w:rsidP="00FB2640">
      <w:pPr>
        <w:spacing w:line="280" w:lineRule="exact"/>
        <w:ind w:left="480" w:hangingChars="200" w:hanging="480"/>
        <w:rPr>
          <w:rFonts w:ascii="微軟正黑體" w:eastAsia="微軟正黑體" w:hAnsi="微軟正黑體"/>
          <w:sz w:val="20"/>
        </w:rPr>
      </w:pPr>
      <w:r>
        <w:rPr>
          <w:noProof/>
        </w:rPr>
        <w:lastRenderedPageBreak/>
        <w:drawing>
          <wp:anchor distT="0" distB="0" distL="114300" distR="114300" simplePos="0" relativeHeight="252588032" behindDoc="0" locked="0" layoutInCell="1" allowOverlap="1" wp14:anchorId="141E7A75" wp14:editId="704C9219">
            <wp:simplePos x="0" y="0"/>
            <wp:positionH relativeFrom="column">
              <wp:posOffset>-36830</wp:posOffset>
            </wp:positionH>
            <wp:positionV relativeFrom="paragraph">
              <wp:posOffset>8043</wp:posOffset>
            </wp:positionV>
            <wp:extent cx="5850467" cy="2802467"/>
            <wp:effectExtent l="0" t="0" r="17145" b="17145"/>
            <wp:wrapNone/>
            <wp:docPr id="61" name="圖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400" w:hangingChars="200" w:hanging="400"/>
        <w:rPr>
          <w:rFonts w:ascii="微軟正黑體" w:eastAsia="微軟正黑體" w:hAnsi="微軟正黑體"/>
          <w:sz w:val="20"/>
        </w:rPr>
      </w:pPr>
    </w:p>
    <w:p w:rsidR="00FB2640" w:rsidRDefault="00FB2640" w:rsidP="00FB2640">
      <w:pPr>
        <w:spacing w:line="280" w:lineRule="exact"/>
        <w:ind w:left="500" w:hangingChars="250" w:hanging="500"/>
        <w:rPr>
          <w:rFonts w:ascii="微軟正黑體" w:eastAsia="微軟正黑體" w:hAnsi="微軟正黑體"/>
          <w:sz w:val="20"/>
        </w:rPr>
      </w:pPr>
      <w:r>
        <w:rPr>
          <w:rFonts w:ascii="微軟正黑體" w:eastAsia="微軟正黑體" w:hAnsi="微軟正黑體" w:hint="eastAsia"/>
          <w:sz w:val="20"/>
        </w:rPr>
        <w:t xml:space="preserve"> </w:t>
      </w:r>
      <w:r w:rsidRPr="00F0717A">
        <w:rPr>
          <w:rFonts w:ascii="微軟正黑體" w:eastAsia="微軟正黑體" w:hAnsi="微軟正黑體" w:hint="eastAsia"/>
          <w:sz w:val="20"/>
        </w:rPr>
        <w:t>註：本表包含退休人員、資遣人員及離職退保人員。</w:t>
      </w:r>
    </w:p>
    <w:p w:rsidR="00FB2640" w:rsidRPr="00100149" w:rsidRDefault="00FB2640" w:rsidP="00FB2640">
      <w:pPr>
        <w:spacing w:beforeLines="30" w:before="108" w:line="400" w:lineRule="exact"/>
        <w:jc w:val="center"/>
        <w:rPr>
          <w:rFonts w:ascii="微軟正黑體" w:eastAsia="微軟正黑體" w:hAnsi="微軟正黑體"/>
        </w:rPr>
      </w:pPr>
      <w:r w:rsidRPr="00250399">
        <w:rPr>
          <w:rFonts w:ascii="微軟正黑體" w:eastAsia="微軟正黑體" w:hAnsi="微軟正黑體" w:hint="eastAsia"/>
        </w:rPr>
        <w:t>圖2.2</w:t>
      </w:r>
      <w:r>
        <w:rPr>
          <w:rFonts w:ascii="微軟正黑體" w:eastAsia="微軟正黑體" w:hAnsi="微軟正黑體" w:hint="eastAsia"/>
        </w:rPr>
        <w:t>6</w:t>
      </w:r>
      <w:r w:rsidRPr="00250399">
        <w:rPr>
          <w:rFonts w:ascii="微軟正黑體" w:eastAsia="微軟正黑體" w:hAnsi="微軟正黑體" w:hint="eastAsia"/>
        </w:rPr>
        <w:t xml:space="preserve">  </w:t>
      </w:r>
      <w:r>
        <w:rPr>
          <w:rFonts w:ascii="微軟正黑體" w:eastAsia="微軟正黑體" w:hAnsi="微軟正黑體" w:hint="eastAsia"/>
        </w:rPr>
        <w:t>103-109</w:t>
      </w:r>
      <w:r w:rsidRPr="00250399">
        <w:rPr>
          <w:rFonts w:ascii="微軟正黑體" w:eastAsia="微軟正黑體" w:hAnsi="微軟正黑體" w:hint="eastAsia"/>
        </w:rPr>
        <w:t>年公保養老</w:t>
      </w:r>
      <w:r>
        <w:rPr>
          <w:rFonts w:ascii="微軟正黑體" w:eastAsia="微軟正黑體" w:hAnsi="微軟正黑體" w:hint="eastAsia"/>
        </w:rPr>
        <w:t>年金</w:t>
      </w:r>
      <w:r w:rsidRPr="00250399">
        <w:rPr>
          <w:rFonts w:ascii="微軟正黑體" w:eastAsia="微軟正黑體" w:hAnsi="微軟正黑體" w:hint="eastAsia"/>
        </w:rPr>
        <w:t>給付領取者之平均保險年資及給付金額</w:t>
      </w:r>
    </w:p>
    <w:p w:rsidR="00FB2640" w:rsidRDefault="00FB2640" w:rsidP="00FB2640">
      <w:pPr>
        <w:spacing w:line="400" w:lineRule="exact"/>
        <w:rPr>
          <w:rFonts w:ascii="微軟正黑體" w:eastAsia="微軟正黑體" w:hAnsi="微軟正黑體"/>
        </w:rPr>
      </w:pPr>
    </w:p>
    <w:p w:rsidR="00FB2640" w:rsidRPr="00BC2A74" w:rsidRDefault="00FB2640" w:rsidP="00FB2640">
      <w:pPr>
        <w:spacing w:line="400" w:lineRule="exact"/>
        <w:rPr>
          <w:rFonts w:ascii="微軟正黑體" w:eastAsia="微軟正黑體" w:hAnsi="微軟正黑體"/>
        </w:rPr>
      </w:pPr>
      <w:r>
        <w:rPr>
          <w:rFonts w:ascii="微軟正黑體" w:eastAsia="微軟正黑體" w:hAnsi="微軟正黑體" w:hint="eastAsia"/>
        </w:rPr>
        <w:t xml:space="preserve">(三) </w:t>
      </w:r>
      <w:r w:rsidRPr="00BC2A74">
        <w:rPr>
          <w:rFonts w:ascii="微軟正黑體" w:eastAsia="微軟正黑體" w:hAnsi="微軟正黑體" w:hint="eastAsia"/>
        </w:rPr>
        <w:t>財務概況</w:t>
      </w:r>
    </w:p>
    <w:p w:rsidR="00FB2640" w:rsidRPr="003A5F15" w:rsidRDefault="00FB2640" w:rsidP="00FB2640">
      <w:pPr>
        <w:pStyle w:val="af0"/>
        <w:numPr>
          <w:ilvl w:val="0"/>
          <w:numId w:val="23"/>
        </w:numPr>
        <w:adjustRightInd w:val="0"/>
        <w:spacing w:beforeLines="30" w:before="108" w:line="400" w:lineRule="exact"/>
        <w:ind w:leftChars="0" w:left="567"/>
        <w:textAlignment w:val="baseline"/>
        <w:rPr>
          <w:rFonts w:ascii="微軟正黑體" w:eastAsia="微軟正黑體" w:hAnsi="微軟正黑體"/>
        </w:rPr>
      </w:pPr>
      <w:r w:rsidRPr="003A5F15">
        <w:rPr>
          <w:rFonts w:ascii="微軟正黑體" w:eastAsia="微軟正黑體" w:hAnsi="微軟正黑體" w:hint="eastAsia"/>
        </w:rPr>
        <w:t>基金運用收益</w:t>
      </w:r>
    </w:p>
    <w:p w:rsidR="00FB2640" w:rsidRPr="00801861"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年公保基金已實現年化收益率</w:t>
      </w:r>
      <w:r>
        <w:rPr>
          <w:rFonts w:ascii="微軟正黑體" w:eastAsia="微軟正黑體" w:hAnsi="微軟正黑體"/>
        </w:rPr>
        <w:t>2.7</w:t>
      </w:r>
      <w:r w:rsidRPr="00F0717A">
        <w:rPr>
          <w:rFonts w:ascii="微軟正黑體" w:eastAsia="微軟正黑體" w:hAnsi="微軟正黑體" w:hint="eastAsia"/>
        </w:rPr>
        <w:t>%、收益數</w:t>
      </w:r>
      <w:r>
        <w:rPr>
          <w:rFonts w:ascii="微軟正黑體" w:eastAsia="微軟正黑體" w:hAnsi="微軟正黑體" w:hint="eastAsia"/>
        </w:rPr>
        <w:t>8</w:t>
      </w:r>
      <w:r>
        <w:rPr>
          <w:rFonts w:ascii="微軟正黑體" w:eastAsia="微軟正黑體" w:hAnsi="微軟正黑體"/>
        </w:rPr>
        <w:t>5.4</w:t>
      </w:r>
      <w:r w:rsidRPr="00F0717A">
        <w:rPr>
          <w:rFonts w:ascii="微軟正黑體" w:eastAsia="微軟正黑體" w:hAnsi="微軟正黑體" w:hint="eastAsia"/>
        </w:rPr>
        <w:t>億元，</w:t>
      </w:r>
      <w:r w:rsidRPr="00DD05DA">
        <w:rPr>
          <w:rFonts w:ascii="微軟正黑體" w:eastAsia="微軟正黑體" w:hAnsi="微軟正黑體" w:hint="eastAsia"/>
        </w:rPr>
        <w:t>較臺灣銀行10</w:t>
      </w:r>
      <w:r>
        <w:rPr>
          <w:rFonts w:ascii="微軟正黑體" w:eastAsia="微軟正黑體" w:hAnsi="微軟正黑體"/>
        </w:rPr>
        <w:t>9</w:t>
      </w:r>
      <w:r w:rsidRPr="00DD05DA">
        <w:rPr>
          <w:rFonts w:ascii="微軟正黑體" w:eastAsia="微軟正黑體" w:hAnsi="微軟正黑體" w:hint="eastAsia"/>
        </w:rPr>
        <w:t>年底2年期定期存款利率</w:t>
      </w:r>
      <w:r w:rsidRPr="00040581">
        <w:rPr>
          <w:rFonts w:ascii="微軟正黑體" w:eastAsia="微軟正黑體" w:hAnsi="微軟正黑體"/>
        </w:rPr>
        <w:t>0.</w:t>
      </w:r>
      <w:r>
        <w:rPr>
          <w:rFonts w:ascii="微軟正黑體" w:eastAsia="微軟正黑體" w:hAnsi="微軟正黑體" w:hint="eastAsia"/>
        </w:rPr>
        <w:t>8</w:t>
      </w:r>
      <w:r w:rsidRPr="00040581">
        <w:rPr>
          <w:rFonts w:ascii="微軟正黑體" w:eastAsia="微軟正黑體" w:hAnsi="微軟正黑體" w:hint="eastAsia"/>
        </w:rPr>
        <w:t>%，高出</w:t>
      </w:r>
      <w:r w:rsidRPr="00040581">
        <w:rPr>
          <w:rFonts w:ascii="微軟正黑體" w:eastAsia="微軟正黑體" w:hAnsi="微軟正黑體"/>
        </w:rPr>
        <w:t>1.9</w:t>
      </w:r>
      <w:r w:rsidRPr="00040581">
        <w:rPr>
          <w:rFonts w:ascii="微軟正黑體" w:eastAsia="微軟正黑體" w:hAnsi="微軟正黑體" w:hint="eastAsia"/>
        </w:rPr>
        <w:t>個百分點；</w:t>
      </w:r>
      <w:r>
        <w:rPr>
          <w:rFonts w:ascii="微軟正黑體" w:eastAsia="微軟正黑體" w:hAnsi="微軟正黑體" w:hint="eastAsia"/>
        </w:rPr>
        <w:t>惟</w:t>
      </w:r>
      <w:r w:rsidRPr="00DD05DA">
        <w:rPr>
          <w:rFonts w:ascii="微軟正黑體" w:eastAsia="微軟正黑體" w:hAnsi="微軟正黑體" w:hint="eastAsia"/>
        </w:rPr>
        <w:t>加計10</w:t>
      </w:r>
      <w:r>
        <w:rPr>
          <w:rFonts w:ascii="微軟正黑體" w:eastAsia="微軟正黑體" w:hAnsi="微軟正黑體"/>
        </w:rPr>
        <w:t>9</w:t>
      </w:r>
      <w:r w:rsidRPr="00F0717A">
        <w:rPr>
          <w:rFonts w:ascii="微軟正黑體" w:eastAsia="微軟正黑體" w:hAnsi="微軟正黑體" w:hint="eastAsia"/>
        </w:rPr>
        <w:t>年度基金投資之金融商品按公允價值評價及外幣資產或負債因匯率變動所列計之未實現損益後，其收益率</w:t>
      </w:r>
      <w:r>
        <w:rPr>
          <w:rFonts w:ascii="微軟正黑體" w:eastAsia="微軟正黑體" w:hAnsi="微軟正黑體" w:hint="eastAsia"/>
        </w:rPr>
        <w:t>升為</w:t>
      </w:r>
      <w:r>
        <w:rPr>
          <w:rFonts w:ascii="微軟正黑體" w:eastAsia="微軟正黑體" w:hAnsi="微軟正黑體"/>
        </w:rPr>
        <w:t>15.3</w:t>
      </w:r>
      <w:r w:rsidRPr="00F0717A">
        <w:rPr>
          <w:rFonts w:ascii="微軟正黑體" w:eastAsia="微軟正黑體" w:hAnsi="微軟正黑體" w:hint="eastAsia"/>
        </w:rPr>
        <w:t>%、收益數</w:t>
      </w:r>
      <w:r>
        <w:rPr>
          <w:rFonts w:ascii="微軟正黑體" w:eastAsia="微軟正黑體" w:hAnsi="微軟正黑體" w:hint="eastAsia"/>
        </w:rPr>
        <w:t>為</w:t>
      </w:r>
      <w:r>
        <w:rPr>
          <w:rFonts w:ascii="微軟正黑體" w:eastAsia="微軟正黑體" w:hAnsi="微軟正黑體"/>
        </w:rPr>
        <w:t>483.4</w:t>
      </w:r>
      <w:r w:rsidRPr="00F0717A">
        <w:rPr>
          <w:rFonts w:ascii="微軟正黑體" w:eastAsia="微軟正黑體" w:hAnsi="微軟正黑體" w:hint="eastAsia"/>
        </w:rPr>
        <w:t>億元</w:t>
      </w:r>
      <w:r>
        <w:rPr>
          <w:rFonts w:ascii="微軟正黑體" w:eastAsia="微軟正黑體" w:hAnsi="微軟正黑體" w:hint="eastAsia"/>
        </w:rPr>
        <w:t>，近10年最高</w:t>
      </w:r>
      <w:r w:rsidRPr="00801861">
        <w:rPr>
          <w:rFonts w:ascii="微軟正黑體" w:eastAsia="微軟正黑體" w:hAnsi="微軟正黑體" w:hint="eastAsia"/>
        </w:rPr>
        <w:t>。</w:t>
      </w:r>
    </w:p>
    <w:p w:rsidR="00FB2640" w:rsidRPr="00F0717A" w:rsidRDefault="00FB2640" w:rsidP="00FB2640">
      <w:pPr>
        <w:pStyle w:val="af0"/>
        <w:spacing w:line="400" w:lineRule="exact"/>
        <w:ind w:leftChars="0" w:left="386"/>
        <w:rPr>
          <w:rFonts w:ascii="微軟正黑體" w:eastAsia="微軟正黑體" w:hAnsi="微軟正黑體"/>
        </w:rPr>
      </w:pPr>
      <w:r>
        <w:rPr>
          <w:noProof/>
        </w:rPr>
        <w:drawing>
          <wp:anchor distT="0" distB="0" distL="114300" distR="114300" simplePos="0" relativeHeight="252559360" behindDoc="0" locked="0" layoutInCell="1" allowOverlap="1" wp14:anchorId="448DC0BE" wp14:editId="0D281603">
            <wp:simplePos x="0" y="0"/>
            <wp:positionH relativeFrom="column">
              <wp:posOffset>22437</wp:posOffset>
            </wp:positionH>
            <wp:positionV relativeFrom="paragraph">
              <wp:posOffset>99272</wp:posOffset>
            </wp:positionV>
            <wp:extent cx="5841365" cy="3425825"/>
            <wp:effectExtent l="0" t="0" r="26035" b="22225"/>
            <wp:wrapNone/>
            <wp:docPr id="63" name="圖表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040581"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spacing w:line="400" w:lineRule="exact"/>
        <w:jc w:val="center"/>
        <w:rPr>
          <w:rFonts w:ascii="微軟正黑體" w:eastAsia="微軟正黑體" w:hAnsi="微軟正黑體"/>
        </w:rPr>
      </w:pPr>
      <w:r w:rsidRPr="00F0717A">
        <w:rPr>
          <w:rFonts w:ascii="微軟正黑體" w:eastAsia="微軟正黑體" w:hAnsi="微軟正黑體" w:hint="eastAsia"/>
        </w:rPr>
        <w:t>圖2.2</w:t>
      </w:r>
      <w:r>
        <w:rPr>
          <w:rFonts w:ascii="微軟正黑體" w:eastAsia="微軟正黑體" w:hAnsi="微軟正黑體" w:hint="eastAsia"/>
        </w:rPr>
        <w:t>7</w:t>
      </w:r>
      <w:r w:rsidRPr="00F0717A">
        <w:rPr>
          <w:rFonts w:ascii="微軟正黑體" w:eastAsia="微軟正黑體" w:hAnsi="微軟正黑體" w:hint="eastAsia"/>
        </w:rPr>
        <w:t xml:space="preserve">  近10年公保基金運用收益變動情形</w:t>
      </w:r>
    </w:p>
    <w:p w:rsidR="00FB2640" w:rsidRPr="00BC2A74" w:rsidRDefault="00FB2640" w:rsidP="00FB2640">
      <w:pPr>
        <w:pStyle w:val="af0"/>
        <w:numPr>
          <w:ilvl w:val="0"/>
          <w:numId w:val="23"/>
        </w:numPr>
        <w:adjustRightInd w:val="0"/>
        <w:spacing w:line="400" w:lineRule="exact"/>
        <w:ind w:leftChars="0" w:left="567" w:hanging="283"/>
        <w:textAlignment w:val="baseline"/>
        <w:rPr>
          <w:rFonts w:ascii="微軟正黑體" w:eastAsia="微軟正黑體" w:hAnsi="微軟正黑體"/>
        </w:rPr>
      </w:pPr>
      <w:r w:rsidRPr="00BC2A74">
        <w:rPr>
          <w:rFonts w:ascii="微軟正黑體" w:eastAsia="微軟正黑體" w:hAnsi="微軟正黑體" w:hint="eastAsia"/>
        </w:rPr>
        <w:lastRenderedPageBreak/>
        <w:t>基金資產配置</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年公保</w:t>
      </w:r>
      <w:r>
        <w:rPr>
          <w:rFonts w:ascii="微軟正黑體" w:eastAsia="微軟正黑體" w:hAnsi="微軟正黑體" w:hint="eastAsia"/>
        </w:rPr>
        <w:t>基金準備結餘達3,989.1億元。其中基金運用規模為3</w:t>
      </w:r>
      <w:r w:rsidRPr="00F0717A">
        <w:rPr>
          <w:rFonts w:ascii="微軟正黑體" w:eastAsia="微軟正黑體" w:hAnsi="微軟正黑體" w:hint="eastAsia"/>
        </w:rPr>
        <w:t>,</w:t>
      </w:r>
      <w:r>
        <w:rPr>
          <w:rFonts w:ascii="微軟正黑體" w:eastAsia="微軟正黑體" w:hAnsi="微軟正黑體"/>
        </w:rPr>
        <w:t>257</w:t>
      </w:r>
      <w:r>
        <w:rPr>
          <w:rFonts w:ascii="微軟正黑體" w:eastAsia="微軟正黑體" w:hAnsi="微軟正黑體" w:hint="eastAsia"/>
        </w:rPr>
        <w:t>.</w:t>
      </w:r>
      <w:r>
        <w:rPr>
          <w:rFonts w:ascii="微軟正黑體" w:eastAsia="微軟正黑體" w:hAnsi="微軟正黑體"/>
        </w:rPr>
        <w:t>5</w:t>
      </w:r>
      <w:r w:rsidRPr="00F0717A">
        <w:rPr>
          <w:rFonts w:ascii="微軟正黑體" w:eastAsia="微軟正黑體" w:hAnsi="微軟正黑體" w:hint="eastAsia"/>
        </w:rPr>
        <w:t>億元，較上一年度增加</w:t>
      </w:r>
      <w:r w:rsidRPr="003B16C9">
        <w:rPr>
          <w:rFonts w:ascii="微軟正黑體" w:eastAsia="微軟正黑體" w:hAnsi="微軟正黑體" w:hint="eastAsia"/>
        </w:rPr>
        <w:t>1</w:t>
      </w:r>
      <w:r w:rsidRPr="003B16C9">
        <w:rPr>
          <w:rFonts w:ascii="微軟正黑體" w:eastAsia="微軟正黑體" w:hAnsi="微軟正黑體"/>
        </w:rPr>
        <w:t>78.0</w:t>
      </w:r>
      <w:r w:rsidRPr="00F0717A">
        <w:rPr>
          <w:rFonts w:ascii="微軟正黑體" w:eastAsia="微軟正黑體" w:hAnsi="微軟正黑體" w:hint="eastAsia"/>
        </w:rPr>
        <w:t>億元，資產配置以「</w:t>
      </w:r>
      <w:r w:rsidRPr="00F0717A">
        <w:rPr>
          <w:rFonts w:ascii="微軟正黑體" w:eastAsia="微軟正黑體" w:hAnsi="微軟正黑體"/>
        </w:rPr>
        <w:t>國內股票及ETF</w:t>
      </w:r>
      <w:r w:rsidRPr="00F0717A">
        <w:rPr>
          <w:rFonts w:ascii="微軟正黑體" w:eastAsia="微軟正黑體" w:hAnsi="微軟正黑體" w:hint="eastAsia"/>
        </w:rPr>
        <w:t>」</w:t>
      </w:r>
      <w:r>
        <w:rPr>
          <w:rFonts w:ascii="微軟正黑體" w:eastAsia="微軟正黑體" w:hAnsi="微軟正黑體"/>
        </w:rPr>
        <w:t>851.1</w:t>
      </w:r>
      <w:r w:rsidRPr="00F0717A">
        <w:rPr>
          <w:rFonts w:ascii="微軟正黑體" w:eastAsia="微軟正黑體" w:hAnsi="微軟正黑體" w:hint="eastAsia"/>
        </w:rPr>
        <w:t>億元為最多，占2</w:t>
      </w:r>
      <w:r>
        <w:rPr>
          <w:rFonts w:ascii="微軟正黑體" w:eastAsia="微軟正黑體" w:hAnsi="微軟正黑體"/>
        </w:rPr>
        <w:t>6.1</w:t>
      </w:r>
      <w:r w:rsidRPr="00F0717A">
        <w:rPr>
          <w:rFonts w:ascii="微軟正黑體" w:eastAsia="微軟正黑體" w:hAnsi="微軟正黑體" w:hint="eastAsia"/>
        </w:rPr>
        <w:t>%，其次為「</w:t>
      </w:r>
      <w:r w:rsidRPr="00F0717A">
        <w:rPr>
          <w:rFonts w:ascii="微軟正黑體" w:eastAsia="微軟正黑體" w:hAnsi="微軟正黑體"/>
        </w:rPr>
        <w:t>國外受益憑證</w:t>
      </w:r>
      <w:r>
        <w:rPr>
          <w:rFonts w:ascii="微軟正黑體" w:eastAsia="微軟正黑體" w:hAnsi="微軟正黑體" w:hint="eastAsia"/>
        </w:rPr>
        <w:t>及</w:t>
      </w:r>
      <w:r w:rsidRPr="00F0717A">
        <w:rPr>
          <w:rFonts w:ascii="微軟正黑體" w:eastAsia="微軟正黑體" w:hAnsi="微軟正黑體"/>
        </w:rPr>
        <w:t>ETF</w:t>
      </w:r>
      <w:r w:rsidRPr="00F0717A">
        <w:rPr>
          <w:rFonts w:ascii="微軟正黑體" w:eastAsia="微軟正黑體" w:hAnsi="微軟正黑體" w:hint="eastAsia"/>
        </w:rPr>
        <w:t>」</w:t>
      </w:r>
      <w:r>
        <w:rPr>
          <w:rFonts w:ascii="微軟正黑體" w:eastAsia="微軟正黑體" w:hAnsi="微軟正黑體" w:hint="eastAsia"/>
        </w:rPr>
        <w:t>8</w:t>
      </w:r>
      <w:r>
        <w:rPr>
          <w:rFonts w:ascii="微軟正黑體" w:eastAsia="微軟正黑體" w:hAnsi="微軟正黑體"/>
        </w:rPr>
        <w:t>40.4</w:t>
      </w:r>
      <w:r w:rsidRPr="00F0717A">
        <w:rPr>
          <w:rFonts w:ascii="微軟正黑體" w:eastAsia="微軟正黑體" w:hAnsi="微軟正黑體" w:hint="eastAsia"/>
        </w:rPr>
        <w:t>億元，占</w:t>
      </w:r>
      <w:r>
        <w:rPr>
          <w:rFonts w:ascii="微軟正黑體" w:eastAsia="微軟正黑體" w:hAnsi="微軟正黑體" w:hint="eastAsia"/>
        </w:rPr>
        <w:t>2</w:t>
      </w:r>
      <w:r>
        <w:rPr>
          <w:rFonts w:ascii="微軟正黑體" w:eastAsia="微軟正黑體" w:hAnsi="微軟正黑體"/>
        </w:rPr>
        <w:t>5.8</w:t>
      </w:r>
      <w:r w:rsidRPr="00F0717A">
        <w:rPr>
          <w:rFonts w:ascii="微軟正黑體" w:eastAsia="微軟正黑體" w:hAnsi="微軟正黑體" w:hint="eastAsia"/>
        </w:rPr>
        <w:t>%，再次為「</w:t>
      </w:r>
      <w:r w:rsidRPr="00F0717A">
        <w:rPr>
          <w:rFonts w:ascii="微軟正黑體" w:eastAsia="微軟正黑體" w:hAnsi="微軟正黑體"/>
        </w:rPr>
        <w:t>新臺幣存款</w:t>
      </w:r>
      <w:r w:rsidRPr="00F0717A">
        <w:rPr>
          <w:rFonts w:ascii="微軟正黑體" w:eastAsia="微軟正黑體" w:hAnsi="微軟正黑體" w:hint="eastAsia"/>
        </w:rPr>
        <w:t>」3</w:t>
      </w:r>
      <w:r>
        <w:rPr>
          <w:rFonts w:ascii="微軟正黑體" w:eastAsia="微軟正黑體" w:hAnsi="微軟正黑體"/>
        </w:rPr>
        <w:t>55.9</w:t>
      </w:r>
      <w:r w:rsidRPr="00F0717A">
        <w:rPr>
          <w:rFonts w:ascii="微軟正黑體" w:eastAsia="微軟正黑體" w:hAnsi="微軟正黑體" w:hint="eastAsia"/>
        </w:rPr>
        <w:t>億元，占1</w:t>
      </w:r>
      <w:r>
        <w:rPr>
          <w:rFonts w:ascii="微軟正黑體" w:eastAsia="微軟正黑體" w:hAnsi="微軟正黑體"/>
        </w:rPr>
        <w:t>0.9</w:t>
      </w:r>
      <w:r w:rsidRPr="00F0717A">
        <w:rPr>
          <w:rFonts w:ascii="微軟正黑體" w:eastAsia="微軟正黑體" w:hAnsi="微軟正黑體" w:hint="eastAsia"/>
        </w:rPr>
        <w:t>%。</w:t>
      </w:r>
    </w:p>
    <w:p w:rsidR="00FB2640" w:rsidRPr="00F0717A" w:rsidRDefault="00FB2640" w:rsidP="00FB2640">
      <w:pPr>
        <w:pStyle w:val="af0"/>
        <w:spacing w:line="400" w:lineRule="exact"/>
        <w:ind w:leftChars="0" w:left="386"/>
        <w:rPr>
          <w:rFonts w:ascii="微軟正黑體" w:eastAsia="微軟正黑體" w:hAnsi="微軟正黑體"/>
        </w:rPr>
      </w:pPr>
      <w:r>
        <w:rPr>
          <w:noProof/>
        </w:rPr>
        <w:drawing>
          <wp:anchor distT="0" distB="0" distL="114300" distR="114300" simplePos="0" relativeHeight="252577792" behindDoc="0" locked="0" layoutInCell="1" allowOverlap="1" wp14:anchorId="55E13486" wp14:editId="3BA8E4CD">
            <wp:simplePos x="0" y="0"/>
            <wp:positionH relativeFrom="column">
              <wp:posOffset>241935</wp:posOffset>
            </wp:positionH>
            <wp:positionV relativeFrom="paragraph">
              <wp:posOffset>66040</wp:posOffset>
            </wp:positionV>
            <wp:extent cx="5528310" cy="3547110"/>
            <wp:effectExtent l="0" t="0" r="15240" b="15240"/>
            <wp:wrapNone/>
            <wp:docPr id="256" name="圖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1A31F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spacing w:line="400" w:lineRule="exact"/>
        <w:jc w:val="center"/>
        <w:rPr>
          <w:rFonts w:ascii="微軟正黑體" w:eastAsia="微軟正黑體" w:hAnsi="微軟正黑體"/>
        </w:rPr>
      </w:pPr>
    </w:p>
    <w:p w:rsidR="00FB2640" w:rsidRPr="00F0717A" w:rsidRDefault="00FB2640" w:rsidP="00FB2640">
      <w:pPr>
        <w:spacing w:beforeLines="30" w:before="108" w:line="400" w:lineRule="exact"/>
        <w:jc w:val="center"/>
        <w:rPr>
          <w:rFonts w:ascii="微軟正黑體" w:eastAsia="微軟正黑體" w:hAnsi="微軟正黑體"/>
        </w:rPr>
      </w:pPr>
      <w:r w:rsidRPr="00F0717A">
        <w:rPr>
          <w:rFonts w:ascii="微軟正黑體" w:eastAsia="微軟正黑體" w:hAnsi="微軟正黑體" w:hint="eastAsia"/>
        </w:rPr>
        <w:t>圖2.2</w:t>
      </w:r>
      <w:r>
        <w:rPr>
          <w:rFonts w:ascii="微軟正黑體" w:eastAsia="微軟正黑體" w:hAnsi="微軟正黑體" w:hint="eastAsia"/>
        </w:rPr>
        <w:t>8</w:t>
      </w: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年公保基金資產配置情形</w:t>
      </w:r>
    </w:p>
    <w:p w:rsidR="00FB2640" w:rsidRPr="00F0717A" w:rsidRDefault="00FB2640" w:rsidP="00FB2640">
      <w:pPr>
        <w:spacing w:line="400" w:lineRule="exact"/>
        <w:rPr>
          <w:rFonts w:ascii="微軟正黑體" w:eastAsia="微軟正黑體" w:hAnsi="微軟正黑體"/>
          <w:b/>
        </w:rPr>
      </w:pPr>
    </w:p>
    <w:p w:rsidR="00FB2640" w:rsidRPr="00706B92" w:rsidRDefault="00FB2640" w:rsidP="00FB2640">
      <w:pPr>
        <w:pStyle w:val="af0"/>
        <w:numPr>
          <w:ilvl w:val="0"/>
          <w:numId w:val="23"/>
        </w:numPr>
        <w:adjustRightInd w:val="0"/>
        <w:spacing w:beforeLines="30" w:before="108" w:line="400" w:lineRule="exact"/>
        <w:ind w:leftChars="0" w:left="567"/>
        <w:textAlignment w:val="baseline"/>
        <w:rPr>
          <w:rFonts w:ascii="微軟正黑體" w:eastAsia="微軟正黑體" w:hAnsi="微軟正黑體"/>
        </w:rPr>
      </w:pPr>
      <w:r w:rsidRPr="00706B92">
        <w:rPr>
          <w:rFonts w:ascii="微軟正黑體" w:eastAsia="微軟正黑體" w:hAnsi="微軟正黑體" w:hint="eastAsia"/>
        </w:rPr>
        <w:t>精算報告</w:t>
      </w:r>
    </w:p>
    <w:p w:rsidR="00FB2640" w:rsidRPr="00F0717A" w:rsidRDefault="00FB2640" w:rsidP="00FB2640">
      <w:pPr>
        <w:spacing w:beforeLines="30" w:before="108" w:line="400" w:lineRule="exact"/>
        <w:ind w:left="567"/>
        <w:jc w:val="both"/>
        <w:rPr>
          <w:rFonts w:ascii="微軟正黑體" w:eastAsia="微軟正黑體" w:hAnsi="微軟正黑體"/>
        </w:rPr>
      </w:pPr>
      <w:r w:rsidRPr="00F0717A">
        <w:rPr>
          <w:rFonts w:ascii="微軟正黑體" w:eastAsia="微軟正黑體" w:hAnsi="微軟正黑體" w:hint="eastAsia"/>
        </w:rPr>
        <w:t xml:space="preserve">    「公教人員保險法」第8條規定，保險費率應由承保機關委託精算機構，至少每3年辦理一次精算，每次精算50年，爰該保險自88年以來已實施</w:t>
      </w:r>
      <w:r w:rsidR="006C1A89" w:rsidRPr="00CB0F31">
        <w:rPr>
          <w:rFonts w:ascii="微軟正黑體" w:eastAsia="微軟正黑體" w:hAnsi="微軟正黑體" w:hint="eastAsia"/>
        </w:rPr>
        <w:t>8</w:t>
      </w:r>
      <w:r w:rsidRPr="007031E6">
        <w:rPr>
          <w:rFonts w:ascii="微軟正黑體" w:eastAsia="微軟正黑體" w:hAnsi="微軟正黑體" w:hint="eastAsia"/>
        </w:rPr>
        <w:t>次</w:t>
      </w:r>
      <w:r w:rsidRPr="00F0717A">
        <w:rPr>
          <w:rFonts w:ascii="微軟正黑體" w:eastAsia="微軟正黑體" w:hAnsi="微軟正黑體" w:hint="eastAsia"/>
        </w:rPr>
        <w:t>財務精算。</w:t>
      </w:r>
    </w:p>
    <w:p w:rsidR="00FB2640" w:rsidRPr="00425853" w:rsidRDefault="00FB2640" w:rsidP="00FB2640">
      <w:pPr>
        <w:spacing w:beforeLines="30" w:before="108" w:line="400" w:lineRule="exact"/>
        <w:ind w:left="567"/>
        <w:jc w:val="both"/>
        <w:rPr>
          <w:rFonts w:ascii="微軟正黑體" w:eastAsia="微軟正黑體" w:hAnsi="微軟正黑體"/>
          <w:color w:val="000000" w:themeColor="text1"/>
        </w:rPr>
      </w:pPr>
      <w:r w:rsidRPr="0060092E">
        <w:rPr>
          <w:rFonts w:ascii="微軟正黑體" w:eastAsia="微軟正黑體" w:hAnsi="微軟正黑體" w:hint="eastAsia"/>
        </w:rPr>
        <w:t xml:space="preserve">   </w:t>
      </w:r>
      <w:r w:rsidRPr="00CD19DB">
        <w:rPr>
          <w:rFonts w:ascii="微軟正黑體" w:eastAsia="微軟正黑體" w:hAnsi="微軟正黑體" w:hint="eastAsia"/>
        </w:rPr>
        <w:t xml:space="preserve"> 109</w:t>
      </w:r>
      <w:r w:rsidRPr="00CD19DB">
        <w:rPr>
          <w:rFonts w:ascii="微軟正黑體" w:eastAsia="微軟正黑體" w:hAnsi="微軟正黑體"/>
        </w:rPr>
        <w:t>年完成之</w:t>
      </w:r>
      <w:r w:rsidRPr="00CD19DB">
        <w:rPr>
          <w:rFonts w:ascii="微軟正黑體" w:eastAsia="微軟正黑體" w:hAnsi="微軟正黑體" w:hint="eastAsia"/>
        </w:rPr>
        <w:t>公教人員</w:t>
      </w:r>
      <w:r w:rsidRPr="00CD19DB">
        <w:rPr>
          <w:rFonts w:ascii="微軟正黑體" w:eastAsia="微軟正黑體" w:hAnsi="微軟正黑體"/>
        </w:rPr>
        <w:t>保險</w:t>
      </w:r>
      <w:r w:rsidRPr="00CD19DB">
        <w:rPr>
          <w:rFonts w:ascii="微軟正黑體" w:eastAsia="微軟正黑體" w:hAnsi="微軟正黑體" w:hint="eastAsia"/>
        </w:rPr>
        <w:t>第8次保險費率精</w:t>
      </w:r>
      <w:r w:rsidRPr="00CD19DB">
        <w:rPr>
          <w:rFonts w:ascii="微軟正黑體" w:eastAsia="微軟正黑體" w:hAnsi="微軟正黑體"/>
        </w:rPr>
        <w:t>算結果顯示，整體</w:t>
      </w:r>
      <w:r w:rsidRPr="00CD19DB">
        <w:rPr>
          <w:rFonts w:ascii="微軟正黑體" w:eastAsia="微軟正黑體" w:hAnsi="微軟正黑體" w:hint="eastAsia"/>
        </w:rPr>
        <w:t>平準費率為8.11%(含適用年金制度者10.16%，不適用年金制度者7.83%)，預</w:t>
      </w:r>
      <w:r w:rsidRPr="0060092E">
        <w:rPr>
          <w:rFonts w:ascii="微軟正黑體" w:eastAsia="微軟正黑體" w:hAnsi="微軟正黑體" w:hint="eastAsia"/>
        </w:rPr>
        <w:t>計50年內準</w:t>
      </w:r>
      <w:r w:rsidRPr="00F0717A">
        <w:rPr>
          <w:rFonts w:ascii="微軟正黑體" w:eastAsia="微軟正黑體" w:hAnsi="微軟正黑體" w:hint="eastAsia"/>
        </w:rPr>
        <w:t>備金累積餘額不會虧損。</w:t>
      </w:r>
    </w:p>
    <w:p w:rsidR="00FB2640" w:rsidRDefault="00FB2640" w:rsidP="00FB2640">
      <w:pPr>
        <w:spacing w:beforeLines="30" w:before="108" w:line="400" w:lineRule="exact"/>
        <w:ind w:left="567"/>
        <w:jc w:val="both"/>
        <w:rPr>
          <w:rFonts w:ascii="微軟正黑體" w:eastAsia="微軟正黑體" w:hAnsi="微軟正黑體"/>
        </w:rPr>
      </w:pPr>
    </w:p>
    <w:p w:rsidR="00FB2640" w:rsidRDefault="00FB2640" w:rsidP="00FB2640">
      <w:pPr>
        <w:spacing w:beforeLines="30" w:before="108" w:line="400" w:lineRule="exact"/>
        <w:ind w:left="567"/>
        <w:jc w:val="both"/>
        <w:rPr>
          <w:rFonts w:ascii="微軟正黑體" w:eastAsia="微軟正黑體" w:hAnsi="微軟正黑體"/>
        </w:rPr>
      </w:pPr>
    </w:p>
    <w:p w:rsidR="00FB2640" w:rsidRDefault="00FB2640" w:rsidP="00FB2640">
      <w:pPr>
        <w:spacing w:beforeLines="30" w:before="108" w:line="400" w:lineRule="exact"/>
        <w:ind w:left="567"/>
        <w:jc w:val="both"/>
        <w:rPr>
          <w:rFonts w:ascii="微軟正黑體" w:eastAsia="微軟正黑體" w:hAnsi="微軟正黑體"/>
        </w:rPr>
      </w:pPr>
    </w:p>
    <w:p w:rsidR="00FB2640" w:rsidRDefault="00FB2640" w:rsidP="00FB2640">
      <w:pPr>
        <w:spacing w:beforeLines="30" w:before="108" w:line="400" w:lineRule="exact"/>
        <w:ind w:left="567"/>
        <w:jc w:val="both"/>
        <w:rPr>
          <w:rFonts w:ascii="微軟正黑體" w:eastAsia="微軟正黑體" w:hAnsi="微軟正黑體"/>
        </w:rPr>
      </w:pPr>
    </w:p>
    <w:p w:rsidR="00FB2640" w:rsidRPr="00962573" w:rsidRDefault="00FB2640" w:rsidP="00FB2640">
      <w:pPr>
        <w:spacing w:beforeLines="30" w:before="108" w:line="400" w:lineRule="exact"/>
        <w:jc w:val="both"/>
        <w:rPr>
          <w:rFonts w:ascii="微軟正黑體" w:eastAsia="微軟正黑體" w:hAnsi="微軟正黑體"/>
        </w:rPr>
      </w:pPr>
    </w:p>
    <w:p w:rsidR="00FB2640" w:rsidRDefault="00FB2640" w:rsidP="00FB2640">
      <w:pPr>
        <w:spacing w:beforeLines="50" w:before="180" w:afterLines="30" w:after="108" w:line="400" w:lineRule="exact"/>
        <w:jc w:val="center"/>
        <w:rPr>
          <w:rFonts w:ascii="微軟正黑體" w:eastAsia="微軟正黑體" w:hAnsi="微軟正黑體"/>
        </w:rPr>
      </w:pPr>
      <w:r w:rsidRPr="00F0717A">
        <w:rPr>
          <w:rFonts w:ascii="微軟正黑體" w:eastAsia="微軟正黑體" w:hAnsi="微軟正黑體" w:hint="eastAsia"/>
        </w:rPr>
        <w:lastRenderedPageBreak/>
        <w:t>表2.10  公保最近一次精算結果摘要</w:t>
      </w:r>
    </w:p>
    <w:tbl>
      <w:tblPr>
        <w:tblStyle w:val="a5"/>
        <w:tblW w:w="0" w:type="auto"/>
        <w:tblInd w:w="392" w:type="dxa"/>
        <w:tblLook w:val="04A0" w:firstRow="1" w:lastRow="0" w:firstColumn="1" w:lastColumn="0" w:noHBand="0" w:noVBand="1"/>
      </w:tblPr>
      <w:tblGrid>
        <w:gridCol w:w="1843"/>
        <w:gridCol w:w="3402"/>
        <w:gridCol w:w="3489"/>
      </w:tblGrid>
      <w:tr w:rsidR="00FB2640" w:rsidRPr="00F0717A" w:rsidTr="008F1977">
        <w:tc>
          <w:tcPr>
            <w:tcW w:w="5245" w:type="dxa"/>
            <w:gridSpan w:val="2"/>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資料時間</w:t>
            </w:r>
          </w:p>
        </w:tc>
        <w:tc>
          <w:tcPr>
            <w:tcW w:w="3489" w:type="dxa"/>
          </w:tcPr>
          <w:p w:rsidR="00FB2640" w:rsidRPr="0060092E" w:rsidRDefault="00FB2640" w:rsidP="008F1977">
            <w:pPr>
              <w:spacing w:line="360" w:lineRule="exact"/>
              <w:jc w:val="center"/>
              <w:rPr>
                <w:rFonts w:ascii="微軟正黑體" w:eastAsia="微軟正黑體" w:hAnsi="微軟正黑體"/>
                <w:sz w:val="22"/>
                <w:szCs w:val="22"/>
              </w:rPr>
            </w:pPr>
            <w:r w:rsidRPr="0060092E">
              <w:rPr>
                <w:rFonts w:ascii="微軟正黑體" w:eastAsia="微軟正黑體" w:hAnsi="微軟正黑體" w:hint="eastAsia"/>
                <w:sz w:val="22"/>
                <w:szCs w:val="22"/>
              </w:rPr>
              <w:t>10</w:t>
            </w:r>
            <w:r>
              <w:rPr>
                <w:rFonts w:ascii="微軟正黑體" w:eastAsia="微軟正黑體" w:hAnsi="微軟正黑體" w:hint="eastAsia"/>
                <w:sz w:val="22"/>
                <w:szCs w:val="22"/>
              </w:rPr>
              <w:t>8</w:t>
            </w:r>
            <w:r w:rsidRPr="0060092E">
              <w:rPr>
                <w:rFonts w:ascii="微軟正黑體" w:eastAsia="微軟正黑體" w:hAnsi="微軟正黑體" w:hint="eastAsia"/>
                <w:sz w:val="22"/>
                <w:szCs w:val="22"/>
              </w:rPr>
              <w:t>年12月31日</w:t>
            </w:r>
          </w:p>
        </w:tc>
      </w:tr>
      <w:tr w:rsidR="00FB2640" w:rsidRPr="00F0717A" w:rsidTr="008F1977">
        <w:tc>
          <w:tcPr>
            <w:tcW w:w="5245" w:type="dxa"/>
            <w:gridSpan w:val="2"/>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完成報告時間</w:t>
            </w:r>
          </w:p>
        </w:tc>
        <w:tc>
          <w:tcPr>
            <w:tcW w:w="3489" w:type="dxa"/>
          </w:tcPr>
          <w:p w:rsidR="00FB2640" w:rsidRPr="0060092E" w:rsidRDefault="00FB2640" w:rsidP="008F1977">
            <w:pPr>
              <w:spacing w:line="360" w:lineRule="exact"/>
              <w:jc w:val="center"/>
              <w:rPr>
                <w:rFonts w:ascii="微軟正黑體" w:eastAsia="微軟正黑體" w:hAnsi="微軟正黑體"/>
                <w:sz w:val="22"/>
                <w:szCs w:val="22"/>
              </w:rPr>
            </w:pPr>
            <w:r w:rsidRPr="0060092E">
              <w:rPr>
                <w:rFonts w:ascii="微軟正黑體" w:eastAsia="微軟正黑體" w:hAnsi="微軟正黑體" w:hint="eastAsia"/>
                <w:sz w:val="22"/>
                <w:szCs w:val="22"/>
              </w:rPr>
              <w:t>10</w:t>
            </w:r>
            <w:r>
              <w:rPr>
                <w:rFonts w:ascii="微軟正黑體" w:eastAsia="微軟正黑體" w:hAnsi="微軟正黑體" w:hint="eastAsia"/>
                <w:sz w:val="22"/>
                <w:szCs w:val="22"/>
              </w:rPr>
              <w:t>9</w:t>
            </w:r>
            <w:r w:rsidRPr="0060092E">
              <w:rPr>
                <w:rFonts w:ascii="微軟正黑體" w:eastAsia="微軟正黑體" w:hAnsi="微軟正黑體" w:hint="eastAsia"/>
                <w:sz w:val="22"/>
                <w:szCs w:val="22"/>
              </w:rPr>
              <w:t>年</w:t>
            </w:r>
            <w:r>
              <w:rPr>
                <w:rFonts w:ascii="微軟正黑體" w:eastAsia="微軟正黑體" w:hAnsi="微軟正黑體" w:hint="eastAsia"/>
                <w:sz w:val="22"/>
                <w:szCs w:val="22"/>
              </w:rPr>
              <w:t>12</w:t>
            </w:r>
            <w:r w:rsidRPr="0060092E">
              <w:rPr>
                <w:rFonts w:ascii="微軟正黑體" w:eastAsia="微軟正黑體" w:hAnsi="微軟正黑體" w:hint="eastAsia"/>
                <w:sz w:val="22"/>
                <w:szCs w:val="22"/>
              </w:rPr>
              <w:t>月</w:t>
            </w:r>
          </w:p>
        </w:tc>
      </w:tr>
      <w:tr w:rsidR="00FB2640" w:rsidRPr="00F0717A" w:rsidTr="008F1977">
        <w:tc>
          <w:tcPr>
            <w:tcW w:w="1843" w:type="dxa"/>
            <w:vMerge w:val="restart"/>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精算假設</w:t>
            </w:r>
          </w:p>
        </w:tc>
        <w:tc>
          <w:tcPr>
            <w:tcW w:w="3402"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當時費率</w:t>
            </w:r>
          </w:p>
        </w:tc>
        <w:tc>
          <w:tcPr>
            <w:tcW w:w="3489" w:type="dxa"/>
          </w:tcPr>
          <w:p w:rsidR="00FB2640" w:rsidRDefault="00FB2640" w:rsidP="008F1977">
            <w:pPr>
              <w:spacing w:line="36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8.84%</w:t>
            </w:r>
          </w:p>
          <w:p w:rsidR="00FB2640" w:rsidRPr="0060092E" w:rsidRDefault="00FB2640" w:rsidP="008F1977">
            <w:pPr>
              <w:spacing w:line="360" w:lineRule="exact"/>
              <w:jc w:val="center"/>
              <w:rPr>
                <w:rFonts w:ascii="微軟正黑體" w:eastAsia="微軟正黑體" w:hAnsi="微軟正黑體" w:cs="新細明體"/>
                <w:sz w:val="22"/>
                <w:szCs w:val="22"/>
              </w:rPr>
            </w:pPr>
            <w:r w:rsidRPr="007A30BB">
              <w:rPr>
                <w:rFonts w:ascii="微軟正黑體" w:eastAsia="微軟正黑體" w:hAnsi="微軟正黑體" w:cs="新細明體" w:hint="eastAsia"/>
                <w:sz w:val="22"/>
                <w:szCs w:val="22"/>
              </w:rPr>
              <w:t>(含適用年金制度者1</w:t>
            </w:r>
            <w:r>
              <w:rPr>
                <w:rFonts w:ascii="微軟正黑體" w:eastAsia="微軟正黑體" w:hAnsi="微軟正黑體" w:cs="新細明體" w:hint="eastAsia"/>
                <w:sz w:val="22"/>
                <w:szCs w:val="22"/>
              </w:rPr>
              <w:t>2.53</w:t>
            </w:r>
            <w:r w:rsidRPr="007A30BB">
              <w:rPr>
                <w:rFonts w:ascii="微軟正黑體" w:eastAsia="微軟正黑體" w:hAnsi="微軟正黑體" w:cs="新細明體" w:hint="eastAsia"/>
                <w:sz w:val="22"/>
                <w:szCs w:val="22"/>
              </w:rPr>
              <w:t>%，及不適用年金制度者8.</w:t>
            </w:r>
            <w:r>
              <w:rPr>
                <w:rFonts w:ascii="微軟正黑體" w:eastAsia="微軟正黑體" w:hAnsi="微軟正黑體" w:cs="新細明體" w:hint="eastAsia"/>
                <w:sz w:val="22"/>
                <w:szCs w:val="22"/>
              </w:rPr>
              <w:t>28</w:t>
            </w:r>
            <w:r w:rsidRPr="007A30BB">
              <w:rPr>
                <w:rFonts w:ascii="微軟正黑體" w:eastAsia="微軟正黑體" w:hAnsi="微軟正黑體" w:cs="新細明體" w:hint="eastAsia"/>
                <w:sz w:val="22"/>
                <w:szCs w:val="22"/>
              </w:rPr>
              <w:t>%)</w:t>
            </w:r>
          </w:p>
        </w:tc>
      </w:tr>
      <w:tr w:rsidR="00FB2640" w:rsidRPr="00F0717A" w:rsidTr="008F1977">
        <w:tc>
          <w:tcPr>
            <w:tcW w:w="1843" w:type="dxa"/>
            <w:vMerge/>
            <w:vAlign w:val="center"/>
          </w:tcPr>
          <w:p w:rsidR="00FB2640" w:rsidRPr="00F0717A" w:rsidRDefault="00FB2640" w:rsidP="008F1977">
            <w:pPr>
              <w:spacing w:line="400" w:lineRule="exact"/>
              <w:jc w:val="center"/>
              <w:rPr>
                <w:rFonts w:ascii="微軟正黑體" w:eastAsia="微軟正黑體" w:hAnsi="微軟正黑體"/>
                <w:sz w:val="22"/>
                <w:szCs w:val="22"/>
              </w:rPr>
            </w:pPr>
          </w:p>
        </w:tc>
        <w:tc>
          <w:tcPr>
            <w:tcW w:w="3402" w:type="dxa"/>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待遇調整率</w:t>
            </w:r>
          </w:p>
        </w:tc>
        <w:tc>
          <w:tcPr>
            <w:tcW w:w="3489" w:type="dxa"/>
          </w:tcPr>
          <w:p w:rsidR="00FB2640" w:rsidRPr="0060092E" w:rsidRDefault="00FB2640" w:rsidP="008F1977">
            <w:pPr>
              <w:spacing w:line="360" w:lineRule="exact"/>
              <w:jc w:val="center"/>
              <w:rPr>
                <w:rFonts w:ascii="微軟正黑體" w:eastAsia="微軟正黑體" w:hAnsi="微軟正黑體"/>
                <w:sz w:val="22"/>
                <w:szCs w:val="22"/>
              </w:rPr>
            </w:pPr>
            <w:r w:rsidRPr="0060092E">
              <w:rPr>
                <w:rFonts w:ascii="微軟正黑體" w:eastAsia="微軟正黑體" w:hAnsi="微軟正黑體" w:hint="eastAsia"/>
                <w:sz w:val="22"/>
                <w:szCs w:val="22"/>
              </w:rPr>
              <w:t>0.</w:t>
            </w:r>
            <w:r>
              <w:rPr>
                <w:rFonts w:ascii="微軟正黑體" w:eastAsia="微軟正黑體" w:hAnsi="微軟正黑體" w:hint="eastAsia"/>
                <w:sz w:val="22"/>
                <w:szCs w:val="22"/>
              </w:rPr>
              <w:t>5</w:t>
            </w:r>
            <w:r w:rsidRPr="0060092E">
              <w:rPr>
                <w:rFonts w:ascii="微軟正黑體" w:eastAsia="微軟正黑體" w:hAnsi="微軟正黑體" w:hint="eastAsia"/>
                <w:sz w:val="22"/>
                <w:szCs w:val="22"/>
              </w:rPr>
              <w:t>%</w:t>
            </w:r>
          </w:p>
        </w:tc>
      </w:tr>
      <w:tr w:rsidR="00FB2640" w:rsidRPr="00F0717A" w:rsidTr="008F1977">
        <w:tc>
          <w:tcPr>
            <w:tcW w:w="1843" w:type="dxa"/>
            <w:vMerge/>
            <w:vAlign w:val="center"/>
          </w:tcPr>
          <w:p w:rsidR="00FB2640" w:rsidRPr="00F0717A" w:rsidRDefault="00FB2640" w:rsidP="008F1977">
            <w:pPr>
              <w:spacing w:line="400" w:lineRule="exact"/>
              <w:jc w:val="center"/>
              <w:rPr>
                <w:rFonts w:ascii="微軟正黑體" w:eastAsia="微軟正黑體" w:hAnsi="微軟正黑體"/>
                <w:sz w:val="22"/>
                <w:szCs w:val="22"/>
              </w:rPr>
            </w:pPr>
          </w:p>
        </w:tc>
        <w:tc>
          <w:tcPr>
            <w:tcW w:w="3402" w:type="dxa"/>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折現率</w:t>
            </w:r>
          </w:p>
        </w:tc>
        <w:tc>
          <w:tcPr>
            <w:tcW w:w="3489" w:type="dxa"/>
          </w:tcPr>
          <w:p w:rsidR="00FB2640" w:rsidRPr="0060092E" w:rsidRDefault="00FB2640" w:rsidP="008F1977">
            <w:pPr>
              <w:spacing w:line="360" w:lineRule="exact"/>
              <w:jc w:val="center"/>
              <w:rPr>
                <w:rFonts w:ascii="微軟正黑體" w:eastAsia="微軟正黑體" w:hAnsi="微軟正黑體"/>
                <w:sz w:val="22"/>
                <w:szCs w:val="22"/>
              </w:rPr>
            </w:pPr>
            <w:r>
              <w:rPr>
                <w:rFonts w:ascii="微軟正黑體" w:eastAsia="微軟正黑體" w:hAnsi="微軟正黑體" w:hint="eastAsia"/>
                <w:sz w:val="22"/>
                <w:szCs w:val="22"/>
              </w:rPr>
              <w:t>3.75</w:t>
            </w:r>
            <w:r w:rsidRPr="0060092E">
              <w:rPr>
                <w:rFonts w:ascii="微軟正黑體" w:eastAsia="微軟正黑體" w:hAnsi="微軟正黑體" w:hint="eastAsia"/>
                <w:sz w:val="22"/>
                <w:szCs w:val="22"/>
              </w:rPr>
              <w:t>%</w:t>
            </w:r>
          </w:p>
        </w:tc>
      </w:tr>
      <w:tr w:rsidR="00FB2640" w:rsidRPr="00F0717A" w:rsidTr="008F1977">
        <w:trPr>
          <w:trHeight w:val="992"/>
        </w:trPr>
        <w:tc>
          <w:tcPr>
            <w:tcW w:w="1843" w:type="dxa"/>
            <w:vMerge w:val="restart"/>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精算結果</w:t>
            </w:r>
          </w:p>
        </w:tc>
        <w:tc>
          <w:tcPr>
            <w:tcW w:w="3402"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平準費率</w:t>
            </w:r>
          </w:p>
        </w:tc>
        <w:tc>
          <w:tcPr>
            <w:tcW w:w="3489" w:type="dxa"/>
            <w:vAlign w:val="center"/>
          </w:tcPr>
          <w:p w:rsidR="00FB2640" w:rsidRPr="0060092E" w:rsidRDefault="00FB2640" w:rsidP="008F1977">
            <w:pPr>
              <w:spacing w:line="360" w:lineRule="exact"/>
              <w:jc w:val="center"/>
              <w:rPr>
                <w:rFonts w:ascii="微軟正黑體" w:eastAsia="微軟正黑體" w:hAnsi="微軟正黑體"/>
                <w:sz w:val="22"/>
                <w:szCs w:val="22"/>
              </w:rPr>
            </w:pPr>
            <w:r>
              <w:rPr>
                <w:rFonts w:ascii="微軟正黑體" w:eastAsia="微軟正黑體" w:hAnsi="微軟正黑體" w:hint="eastAsia"/>
                <w:sz w:val="22"/>
                <w:szCs w:val="22"/>
              </w:rPr>
              <w:t>8.11</w:t>
            </w:r>
            <w:r w:rsidRPr="0060092E">
              <w:rPr>
                <w:rFonts w:ascii="微軟正黑體" w:eastAsia="微軟正黑體" w:hAnsi="微軟正黑體" w:hint="eastAsia"/>
                <w:sz w:val="22"/>
                <w:szCs w:val="22"/>
              </w:rPr>
              <w:t>%</w:t>
            </w:r>
          </w:p>
          <w:p w:rsidR="00FB2640" w:rsidRPr="0060092E" w:rsidRDefault="00FB2640" w:rsidP="008F1977">
            <w:pPr>
              <w:spacing w:line="360" w:lineRule="exact"/>
              <w:jc w:val="center"/>
              <w:rPr>
                <w:rFonts w:ascii="微軟正黑體" w:eastAsia="微軟正黑體" w:hAnsi="微軟正黑體"/>
                <w:sz w:val="22"/>
                <w:szCs w:val="22"/>
              </w:rPr>
            </w:pPr>
            <w:r>
              <w:rPr>
                <w:rFonts w:ascii="微軟正黑體" w:eastAsia="微軟正黑體" w:hAnsi="微軟正黑體" w:hint="eastAsia"/>
                <w:sz w:val="22"/>
                <w:szCs w:val="22"/>
              </w:rPr>
              <w:t>(含</w:t>
            </w:r>
            <w:r w:rsidRPr="00962573">
              <w:rPr>
                <w:rFonts w:ascii="微軟正黑體" w:eastAsia="微軟正黑體" w:hAnsi="微軟正黑體" w:hint="eastAsia"/>
                <w:sz w:val="22"/>
                <w:szCs w:val="22"/>
              </w:rPr>
              <w:t>適用年金制度者</w:t>
            </w:r>
            <w:r>
              <w:rPr>
                <w:rFonts w:ascii="微軟正黑體" w:eastAsia="微軟正黑體" w:hAnsi="微軟正黑體" w:hint="eastAsia"/>
                <w:sz w:val="22"/>
                <w:szCs w:val="22"/>
              </w:rPr>
              <w:t>10.16%，    及</w:t>
            </w:r>
            <w:r w:rsidRPr="00962573">
              <w:rPr>
                <w:rFonts w:ascii="微軟正黑體" w:eastAsia="微軟正黑體" w:hAnsi="微軟正黑體" w:hint="eastAsia"/>
                <w:sz w:val="22"/>
                <w:szCs w:val="22"/>
              </w:rPr>
              <w:t>不適用年金制度者</w:t>
            </w:r>
            <w:r>
              <w:rPr>
                <w:rFonts w:ascii="微軟正黑體" w:eastAsia="微軟正黑體" w:hAnsi="微軟正黑體" w:hint="eastAsia"/>
                <w:sz w:val="22"/>
                <w:szCs w:val="22"/>
              </w:rPr>
              <w:t>7.83%</w:t>
            </w:r>
            <w:r w:rsidRPr="00962573">
              <w:rPr>
                <w:rFonts w:ascii="微軟正黑體" w:eastAsia="微軟正黑體" w:hAnsi="微軟正黑體" w:hint="eastAsia"/>
                <w:sz w:val="22"/>
                <w:szCs w:val="22"/>
              </w:rPr>
              <w:t>)</w:t>
            </w:r>
          </w:p>
        </w:tc>
      </w:tr>
      <w:tr w:rsidR="00FB2640" w:rsidRPr="00F0717A" w:rsidTr="008F1977">
        <w:trPr>
          <w:trHeight w:val="695"/>
        </w:trPr>
        <w:tc>
          <w:tcPr>
            <w:tcW w:w="1843" w:type="dxa"/>
            <w:vMerge/>
          </w:tcPr>
          <w:p w:rsidR="00FB2640" w:rsidRPr="00F0717A" w:rsidRDefault="00FB2640" w:rsidP="008F1977">
            <w:pPr>
              <w:spacing w:line="400" w:lineRule="exact"/>
              <w:rPr>
                <w:rFonts w:ascii="微軟正黑體" w:eastAsia="微軟正黑體" w:hAnsi="微軟正黑體"/>
                <w:sz w:val="22"/>
                <w:szCs w:val="22"/>
              </w:rPr>
            </w:pPr>
          </w:p>
        </w:tc>
        <w:tc>
          <w:tcPr>
            <w:tcW w:w="3402"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準備金累積餘額虧損年度</w:t>
            </w:r>
          </w:p>
        </w:tc>
        <w:tc>
          <w:tcPr>
            <w:tcW w:w="3489" w:type="dxa"/>
            <w:vAlign w:val="center"/>
          </w:tcPr>
          <w:p w:rsidR="00771F29" w:rsidRDefault="00FB2640" w:rsidP="00771F29">
            <w:pPr>
              <w:spacing w:line="360" w:lineRule="exact"/>
              <w:jc w:val="center"/>
              <w:rPr>
                <w:rFonts w:ascii="微軟正黑體" w:eastAsia="微軟正黑體" w:hAnsi="微軟正黑體"/>
                <w:sz w:val="22"/>
                <w:szCs w:val="22"/>
              </w:rPr>
            </w:pPr>
            <w:r w:rsidRPr="0060092E">
              <w:rPr>
                <w:rFonts w:ascii="微軟正黑體" w:eastAsia="微軟正黑體" w:hAnsi="微軟正黑體" w:hint="eastAsia"/>
                <w:sz w:val="22"/>
                <w:szCs w:val="22"/>
              </w:rPr>
              <w:t>50年內準備金累積餘額</w:t>
            </w:r>
          </w:p>
          <w:p w:rsidR="00FB2640" w:rsidRPr="0060092E" w:rsidRDefault="00FB2640" w:rsidP="00771F29">
            <w:pPr>
              <w:spacing w:line="360" w:lineRule="exact"/>
              <w:jc w:val="center"/>
              <w:rPr>
                <w:rFonts w:ascii="微軟正黑體" w:eastAsia="微軟正黑體" w:hAnsi="微軟正黑體"/>
                <w:sz w:val="22"/>
                <w:szCs w:val="22"/>
              </w:rPr>
            </w:pPr>
            <w:r w:rsidRPr="0060092E">
              <w:rPr>
                <w:rFonts w:ascii="微軟正黑體" w:eastAsia="微軟正黑體" w:hAnsi="微軟正黑體" w:hint="eastAsia"/>
                <w:sz w:val="22"/>
                <w:szCs w:val="22"/>
              </w:rPr>
              <w:t>不會虧損</w:t>
            </w:r>
          </w:p>
        </w:tc>
      </w:tr>
    </w:tbl>
    <w:p w:rsidR="00FB2640" w:rsidRPr="00250399" w:rsidRDefault="00FB2640" w:rsidP="00FB2640">
      <w:pPr>
        <w:spacing w:beforeLines="50" w:before="180" w:afterLines="30" w:after="108" w:line="400" w:lineRule="exact"/>
        <w:jc w:val="center"/>
        <w:rPr>
          <w:rFonts w:ascii="微軟正黑體" w:eastAsia="微軟正黑體" w:hAnsi="微軟正黑體"/>
        </w:rPr>
      </w:pPr>
    </w:p>
    <w:p w:rsidR="00FB2640" w:rsidRDefault="00FB2640" w:rsidP="00FB2640">
      <w:pPr>
        <w:spacing w:line="400" w:lineRule="exact"/>
        <w:jc w:val="both"/>
        <w:rPr>
          <w:rFonts w:ascii="微軟正黑體" w:eastAsia="微軟正黑體" w:hAnsi="微軟正黑體"/>
        </w:rPr>
      </w:pPr>
      <w:r>
        <w:rPr>
          <w:rFonts w:ascii="微軟正黑體" w:eastAsia="微軟正黑體" w:hAnsi="微軟正黑體" w:hint="eastAsia"/>
        </w:rPr>
        <w:t xml:space="preserve">(四) </w:t>
      </w:r>
      <w:r w:rsidRPr="00F0717A">
        <w:rPr>
          <w:rFonts w:ascii="微軟正黑體" w:eastAsia="微軟正黑體" w:hAnsi="微軟正黑體" w:hint="eastAsia"/>
        </w:rPr>
        <w:t>制度動態</w:t>
      </w:r>
    </w:p>
    <w:p w:rsidR="00FB2640" w:rsidRPr="00A346B7" w:rsidRDefault="00FB2640" w:rsidP="00FB2640">
      <w:pPr>
        <w:adjustRightInd w:val="0"/>
        <w:spacing w:beforeLines="30" w:before="108" w:line="400" w:lineRule="exact"/>
        <w:ind w:leftChars="236" w:left="566"/>
        <w:jc w:val="both"/>
        <w:textAlignment w:val="baseline"/>
        <w:rPr>
          <w:rFonts w:ascii="微軟正黑體" w:eastAsia="微軟正黑體" w:hAnsi="微軟正黑體"/>
        </w:rPr>
      </w:pPr>
      <w:r>
        <w:rPr>
          <w:rFonts w:ascii="微軟正黑體" w:eastAsia="微軟正黑體" w:hAnsi="微軟正黑體" w:hint="eastAsia"/>
          <w:bCs/>
        </w:rPr>
        <w:t xml:space="preserve">    </w:t>
      </w:r>
      <w:r w:rsidRPr="00A346B7">
        <w:rPr>
          <w:rFonts w:ascii="微軟正黑體" w:eastAsia="微軟正黑體" w:hAnsi="微軟正黑體" w:hint="eastAsia"/>
          <w:bCs/>
        </w:rPr>
        <w:t>110年10月28日考試院會同行政院重行釐定，自111年1月1日起，公教人員保險適用年金制度者之費率自12.53%調降為10.16%；不適用年金制度者之費率自8.28%調降為7.83%</w:t>
      </w:r>
      <w:r w:rsidRPr="00A346B7">
        <w:rPr>
          <w:rFonts w:ascii="微軟正黑體" w:eastAsia="微軟正黑體" w:hAnsi="微軟正黑體"/>
          <w:bCs/>
        </w:rPr>
        <w:t>。</w:t>
      </w:r>
    </w:p>
    <w:p w:rsidR="00FB2640" w:rsidRDefault="00FB2640" w:rsidP="00FB2640">
      <w:pPr>
        <w:spacing w:beforeLines="30" w:before="108" w:line="400" w:lineRule="exact"/>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r w:rsidRPr="00F0717A">
        <w:rPr>
          <w:rFonts w:ascii="微軟正黑體" w:eastAsia="微軟正黑體" w:hAnsi="微軟正黑體" w:hint="eastAsia"/>
        </w:rPr>
        <w:t>＜資料來源＞</w:t>
      </w:r>
    </w:p>
    <w:p w:rsidR="00FB2640" w:rsidRPr="00E12929" w:rsidRDefault="00FB2640" w:rsidP="00FB2640">
      <w:pPr>
        <w:pStyle w:val="af0"/>
        <w:numPr>
          <w:ilvl w:val="0"/>
          <w:numId w:val="14"/>
        </w:numPr>
        <w:adjustRightInd w:val="0"/>
        <w:spacing w:line="400" w:lineRule="exact"/>
        <w:ind w:leftChars="0"/>
        <w:textAlignment w:val="baseline"/>
        <w:rPr>
          <w:rFonts w:ascii="微軟正黑體" w:eastAsia="微軟正黑體" w:hAnsi="微軟正黑體"/>
        </w:rPr>
      </w:pPr>
      <w:r w:rsidRPr="00E12929">
        <w:rPr>
          <w:rFonts w:ascii="微軟正黑體" w:eastAsia="微軟正黑體" w:hAnsi="微軟正黑體"/>
        </w:rPr>
        <w:t>臺灣銀行網站統計資料-公教人員保險統計</w:t>
      </w:r>
      <w:r w:rsidRPr="00E12929">
        <w:rPr>
          <w:rFonts w:ascii="微軟正黑體" w:eastAsia="微軟正黑體" w:hAnsi="微軟正黑體" w:hint="eastAsia"/>
        </w:rPr>
        <w:t>年刊</w:t>
      </w:r>
      <w:r w:rsidRPr="00E12929">
        <w:rPr>
          <w:rFonts w:ascii="微軟正黑體" w:eastAsia="微軟正黑體" w:hAnsi="微軟正黑體"/>
        </w:rPr>
        <w:t>(資料期間：109年1月至12月)</w:t>
      </w:r>
      <w:r w:rsidRPr="00E12929">
        <w:rPr>
          <w:rFonts w:ascii="微軟正黑體" w:eastAsia="微軟正黑體" w:hAnsi="微軟正黑體" w:hint="eastAsia"/>
        </w:rPr>
        <w:t>。</w:t>
      </w:r>
    </w:p>
    <w:p w:rsidR="00FB2640" w:rsidRPr="00E937EA" w:rsidRDefault="00FB2640" w:rsidP="00FB2640">
      <w:pPr>
        <w:pStyle w:val="af0"/>
        <w:numPr>
          <w:ilvl w:val="0"/>
          <w:numId w:val="14"/>
        </w:numPr>
        <w:adjustRightInd w:val="0"/>
        <w:spacing w:line="400" w:lineRule="exact"/>
        <w:ind w:leftChars="0"/>
        <w:textAlignment w:val="baseline"/>
        <w:rPr>
          <w:rFonts w:ascii="微軟正黑體" w:eastAsia="微軟正黑體" w:hAnsi="微軟正黑體"/>
        </w:rPr>
      </w:pPr>
      <w:r w:rsidRPr="00E937EA">
        <w:rPr>
          <w:rFonts w:ascii="微軟正黑體" w:eastAsia="微軟正黑體" w:hAnsi="微軟正黑體" w:hint="eastAsia"/>
        </w:rPr>
        <w:t>《公教人員</w:t>
      </w:r>
      <w:r w:rsidRPr="00E937EA">
        <w:rPr>
          <w:rFonts w:ascii="微軟正黑體" w:eastAsia="微軟正黑體" w:hAnsi="微軟正黑體"/>
        </w:rPr>
        <w:t>保險</w:t>
      </w:r>
      <w:r w:rsidRPr="00E937EA">
        <w:rPr>
          <w:rFonts w:ascii="微軟正黑體" w:eastAsia="微軟正黑體" w:hAnsi="微軟正黑體" w:hint="eastAsia"/>
        </w:rPr>
        <w:t>第8次保險費率精</w:t>
      </w:r>
      <w:r w:rsidRPr="00E937EA">
        <w:rPr>
          <w:rFonts w:ascii="微軟正黑體" w:eastAsia="微軟正黑體" w:hAnsi="微軟正黑體"/>
        </w:rPr>
        <w:t>算</w:t>
      </w:r>
      <w:r w:rsidRPr="00E937EA">
        <w:rPr>
          <w:rFonts w:ascii="微軟正黑體" w:eastAsia="微軟正黑體" w:hAnsi="微軟正黑體" w:hint="eastAsia"/>
        </w:rPr>
        <w:t>》，財政部109年度委託研究。</w:t>
      </w:r>
    </w:p>
    <w:p w:rsidR="00FB2640" w:rsidRDefault="00FB2640" w:rsidP="00FB2640">
      <w:pPr>
        <w:pStyle w:val="af0"/>
        <w:numPr>
          <w:ilvl w:val="0"/>
          <w:numId w:val="14"/>
        </w:numPr>
        <w:adjustRightInd w:val="0"/>
        <w:spacing w:line="400" w:lineRule="exact"/>
        <w:ind w:leftChars="0"/>
        <w:textAlignment w:val="baseline"/>
        <w:rPr>
          <w:rFonts w:ascii="微軟正黑體" w:eastAsia="微軟正黑體" w:hAnsi="微軟正黑體"/>
        </w:rPr>
      </w:pPr>
      <w:r>
        <w:rPr>
          <w:rFonts w:ascii="微軟正黑體" w:eastAsia="微軟正黑體" w:hAnsi="微軟正黑體" w:hint="eastAsia"/>
        </w:rPr>
        <w:t>銓敘部提供資料</w:t>
      </w:r>
      <w:r w:rsidRPr="00F0717A">
        <w:rPr>
          <w:rFonts w:ascii="微軟正黑體" w:eastAsia="微軟正黑體" w:hAnsi="微軟正黑體" w:hint="eastAsia"/>
        </w:rPr>
        <w:t>。</w:t>
      </w:r>
    </w:p>
    <w:p w:rsidR="00FB2640" w:rsidRPr="00F0717A" w:rsidRDefault="00FB2640" w:rsidP="00FB2640">
      <w:pPr>
        <w:spacing w:beforeLines="50" w:before="180" w:line="400" w:lineRule="exact"/>
        <w:rPr>
          <w:rFonts w:ascii="微軟正黑體" w:eastAsia="微軟正黑體" w:hAnsi="微軟正黑體"/>
        </w:rPr>
      </w:pPr>
      <w:r w:rsidRPr="00F0717A">
        <w:rPr>
          <w:rFonts w:ascii="微軟正黑體" w:eastAsia="微軟正黑體" w:hAnsi="微軟正黑體" w:hint="eastAsia"/>
        </w:rPr>
        <w:t xml:space="preserve"> (圖表均由本文自行繪製)</w:t>
      </w:r>
    </w:p>
    <w:p w:rsidR="00FB2640" w:rsidRPr="00F0717A" w:rsidRDefault="00FB2640" w:rsidP="00FB2640"/>
    <w:p w:rsidR="00FB2640" w:rsidRPr="00F0717A" w:rsidRDefault="00FB2640" w:rsidP="00FB2640"/>
    <w:p w:rsidR="00FB2640" w:rsidRPr="00F0717A" w:rsidRDefault="00FB2640" w:rsidP="00FB2640">
      <w:r w:rsidRPr="00F0717A">
        <w:br w:type="page"/>
      </w:r>
    </w:p>
    <w:p w:rsidR="00FB2640" w:rsidRPr="00F0717A" w:rsidRDefault="00FB2640" w:rsidP="00FB2640">
      <w:pPr>
        <w:spacing w:line="400" w:lineRule="exact"/>
        <w:rPr>
          <w:rFonts w:ascii="微軟正黑體" w:eastAsia="微軟正黑體" w:hAnsi="微軟正黑體"/>
          <w:b/>
          <w:sz w:val="28"/>
          <w:szCs w:val="28"/>
        </w:rPr>
      </w:pPr>
      <w:bookmarkStart w:id="5" w:name="第一章第二節參"/>
      <w:r>
        <w:rPr>
          <w:rFonts w:ascii="微軟正黑體" w:eastAsia="微軟正黑體" w:hAnsi="微軟正黑體" w:hint="eastAsia"/>
          <w:b/>
          <w:sz w:val="28"/>
          <w:szCs w:val="28"/>
        </w:rPr>
        <w:lastRenderedPageBreak/>
        <w:t>三</w:t>
      </w:r>
      <w:r w:rsidRPr="00F0717A">
        <w:rPr>
          <w:rFonts w:ascii="微軟正黑體" w:eastAsia="微軟正黑體" w:hAnsi="微軟正黑體" w:hint="eastAsia"/>
          <w:b/>
          <w:sz w:val="28"/>
          <w:szCs w:val="28"/>
        </w:rPr>
        <w:t>、農民健康保險</w:t>
      </w:r>
    </w:p>
    <w:bookmarkEnd w:id="5"/>
    <w:p w:rsidR="00FB2640" w:rsidRPr="00F0717A" w:rsidRDefault="00FB2640" w:rsidP="00FB2640">
      <w:pPr>
        <w:spacing w:beforeLines="50" w:before="180" w:line="400" w:lineRule="exact"/>
        <w:rPr>
          <w:rFonts w:ascii="微軟正黑體" w:eastAsia="微軟正黑體" w:hAnsi="微軟正黑體"/>
        </w:rPr>
      </w:pPr>
      <w:r>
        <w:rPr>
          <w:rFonts w:ascii="微軟正黑體" w:eastAsia="微軟正黑體" w:hAnsi="微軟正黑體" w:hint="eastAsia"/>
        </w:rPr>
        <w:t xml:space="preserve">(一) </w:t>
      </w:r>
      <w:r w:rsidRPr="00F0717A">
        <w:rPr>
          <w:rFonts w:ascii="微軟正黑體" w:eastAsia="微軟正黑體" w:hAnsi="微軟正黑體" w:hint="eastAsia"/>
        </w:rPr>
        <w:t>納保概況</w:t>
      </w:r>
    </w:p>
    <w:p w:rsidR="00FB2640" w:rsidRPr="00F34FE3" w:rsidRDefault="00FB2640" w:rsidP="00FB2640">
      <w:pPr>
        <w:pStyle w:val="af0"/>
        <w:numPr>
          <w:ilvl w:val="0"/>
          <w:numId w:val="24"/>
        </w:numPr>
        <w:adjustRightInd w:val="0"/>
        <w:spacing w:beforeLines="30" w:before="108" w:afterLines="30" w:after="108" w:line="400" w:lineRule="exact"/>
        <w:ind w:leftChars="0" w:left="567"/>
        <w:textAlignment w:val="baseline"/>
        <w:rPr>
          <w:rFonts w:ascii="微軟正黑體" w:eastAsia="微軟正黑體" w:hAnsi="微軟正黑體"/>
        </w:rPr>
      </w:pPr>
      <w:r w:rsidRPr="00F34FE3">
        <w:rPr>
          <w:rFonts w:ascii="微軟正黑體" w:eastAsia="微軟正黑體" w:hAnsi="微軟正黑體" w:hint="eastAsia"/>
        </w:rPr>
        <w:t>被保險人人數</w:t>
      </w:r>
    </w:p>
    <w:p w:rsidR="00FB2640" w:rsidRPr="00F0717A" w:rsidRDefault="00FB2640" w:rsidP="00FB2640">
      <w:pPr>
        <w:pStyle w:val="af0"/>
        <w:spacing w:beforeLines="30" w:before="108" w:afterLines="30" w:after="108" w:line="400" w:lineRule="exact"/>
        <w:ind w:leftChars="0" w:left="567"/>
        <w:jc w:val="both"/>
        <w:rPr>
          <w:rFonts w:ascii="微軟正黑體" w:eastAsia="微軟正黑體" w:hAnsi="微軟正黑體"/>
        </w:rPr>
      </w:pPr>
      <w:r>
        <w:rPr>
          <w:noProof/>
        </w:rPr>
        <w:drawing>
          <wp:anchor distT="0" distB="0" distL="114300" distR="114300" simplePos="0" relativeHeight="252589056" behindDoc="0" locked="0" layoutInCell="1" allowOverlap="1" wp14:anchorId="595E6A6E" wp14:editId="1625F5A0">
            <wp:simplePos x="0" y="0"/>
            <wp:positionH relativeFrom="column">
              <wp:posOffset>200237</wp:posOffset>
            </wp:positionH>
            <wp:positionV relativeFrom="paragraph">
              <wp:posOffset>806450</wp:posOffset>
            </wp:positionV>
            <wp:extent cx="5554133" cy="2734733"/>
            <wp:effectExtent l="0" t="0" r="27940" b="27940"/>
            <wp:wrapNone/>
            <wp:docPr id="257" name="圖表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Pr="00F0717A">
        <w:rPr>
          <w:rFonts w:ascii="微軟正黑體" w:eastAsia="微軟正黑體" w:hAnsi="微軟正黑體" w:hint="eastAsia"/>
        </w:rPr>
        <w:t xml:space="preserve">    農保被保險人人數自</w:t>
      </w:r>
      <w:r>
        <w:rPr>
          <w:rFonts w:ascii="微軟正黑體" w:eastAsia="微軟正黑體" w:hAnsi="微軟正黑體" w:hint="eastAsia"/>
        </w:rPr>
        <w:t>100</w:t>
      </w:r>
      <w:r w:rsidRPr="00F0717A">
        <w:rPr>
          <w:rFonts w:ascii="微軟正黑體" w:eastAsia="微軟正黑體" w:hAnsi="微軟正黑體" w:hint="eastAsia"/>
        </w:rPr>
        <w:t>年</w:t>
      </w:r>
      <w:r>
        <w:rPr>
          <w:rFonts w:ascii="微軟正黑體" w:eastAsia="微軟正黑體" w:hAnsi="微軟正黑體" w:hint="eastAsia"/>
        </w:rPr>
        <w:t>147</w:t>
      </w:r>
      <w:r w:rsidRPr="00F0717A">
        <w:rPr>
          <w:rFonts w:ascii="微軟正黑體" w:eastAsia="微軟正黑體" w:hAnsi="微軟正黑體" w:hint="eastAsia"/>
        </w:rPr>
        <w:t>萬</w:t>
      </w:r>
      <w:r>
        <w:rPr>
          <w:rFonts w:ascii="微軟正黑體" w:eastAsia="微軟正黑體" w:hAnsi="微軟正黑體" w:hint="eastAsia"/>
        </w:rPr>
        <w:t>9,148人，</w:t>
      </w:r>
      <w:r w:rsidRPr="00F0717A">
        <w:rPr>
          <w:rFonts w:ascii="微軟正黑體" w:eastAsia="微軟正黑體" w:hAnsi="微軟正黑體" w:hint="eastAsia"/>
        </w:rPr>
        <w:t>逐年降至10</w:t>
      </w:r>
      <w:r>
        <w:rPr>
          <w:rFonts w:ascii="微軟正黑體" w:eastAsia="微軟正黑體" w:hAnsi="微軟正黑體" w:hint="eastAsia"/>
        </w:rPr>
        <w:t>9</w:t>
      </w:r>
      <w:r w:rsidRPr="00F0717A">
        <w:rPr>
          <w:rFonts w:ascii="微軟正黑體" w:eastAsia="微軟正黑體" w:hAnsi="微軟正黑體" w:hint="eastAsia"/>
        </w:rPr>
        <w:t>年為</w:t>
      </w:r>
      <w:r>
        <w:rPr>
          <w:rFonts w:ascii="微軟正黑體" w:eastAsia="微軟正黑體" w:hAnsi="微軟正黑體" w:hint="eastAsia"/>
        </w:rPr>
        <w:t>104</w:t>
      </w:r>
      <w:r w:rsidRPr="00F0717A">
        <w:rPr>
          <w:rFonts w:ascii="微軟正黑體" w:eastAsia="微軟正黑體" w:hAnsi="微軟正黑體" w:hint="eastAsia"/>
        </w:rPr>
        <w:t>萬</w:t>
      </w:r>
      <w:r>
        <w:rPr>
          <w:rFonts w:ascii="微軟正黑體" w:eastAsia="微軟正黑體" w:hAnsi="微軟正黑體" w:hint="eastAsia"/>
        </w:rPr>
        <w:t>6,201</w:t>
      </w:r>
      <w:r w:rsidRPr="00F0717A">
        <w:rPr>
          <w:rFonts w:ascii="微軟正黑體" w:eastAsia="微軟正黑體" w:hAnsi="微軟正黑體" w:hint="eastAsia"/>
        </w:rPr>
        <w:t>人，其中</w:t>
      </w:r>
      <w:r>
        <w:rPr>
          <w:rFonts w:ascii="微軟正黑體" w:eastAsia="微軟正黑體" w:hAnsi="微軟正黑體" w:hint="eastAsia"/>
        </w:rPr>
        <w:t>100</w:t>
      </w:r>
      <w:r w:rsidRPr="00F0717A">
        <w:rPr>
          <w:rFonts w:ascii="微軟正黑體" w:eastAsia="微軟正黑體" w:hAnsi="微軟正黑體" w:hint="eastAsia"/>
        </w:rPr>
        <w:t>年至10</w:t>
      </w:r>
      <w:r>
        <w:rPr>
          <w:rFonts w:ascii="微軟正黑體" w:eastAsia="微軟正黑體" w:hAnsi="微軟正黑體" w:hint="eastAsia"/>
        </w:rPr>
        <w:t>2</w:t>
      </w:r>
      <w:r w:rsidRPr="00F0717A">
        <w:rPr>
          <w:rFonts w:ascii="微軟正黑體" w:eastAsia="微軟正黑體" w:hAnsi="微軟正黑體" w:hint="eastAsia"/>
        </w:rPr>
        <w:t>年，平均每年減少</w:t>
      </w:r>
      <w:r>
        <w:rPr>
          <w:rFonts w:ascii="微軟正黑體" w:eastAsia="微軟正黑體" w:hAnsi="微軟正黑體" w:hint="eastAsia"/>
        </w:rPr>
        <w:t>約2.7</w:t>
      </w:r>
      <w:r w:rsidRPr="00F0717A">
        <w:rPr>
          <w:rFonts w:ascii="微軟正黑體" w:eastAsia="微軟正黑體" w:hAnsi="微軟正黑體" w:hint="eastAsia"/>
        </w:rPr>
        <w:t>萬人，10</w:t>
      </w:r>
      <w:r>
        <w:rPr>
          <w:rFonts w:ascii="微軟正黑體" w:eastAsia="微軟正黑體" w:hAnsi="微軟正黑體" w:hint="eastAsia"/>
        </w:rPr>
        <w:t>3</w:t>
      </w:r>
      <w:r w:rsidRPr="00F0717A">
        <w:rPr>
          <w:rFonts w:ascii="微軟正黑體" w:eastAsia="微軟正黑體" w:hAnsi="微軟正黑體" w:hint="eastAsia"/>
        </w:rPr>
        <w:t>年至10</w:t>
      </w:r>
      <w:r>
        <w:rPr>
          <w:rFonts w:ascii="微軟正黑體" w:eastAsia="微軟正黑體" w:hAnsi="微軟正黑體" w:hint="eastAsia"/>
        </w:rPr>
        <w:t>9</w:t>
      </w:r>
      <w:r w:rsidRPr="00F0717A">
        <w:rPr>
          <w:rFonts w:ascii="微軟正黑體" w:eastAsia="微軟正黑體" w:hAnsi="微軟正黑體" w:hint="eastAsia"/>
        </w:rPr>
        <w:t>年，平均每年減少</w:t>
      </w:r>
      <w:r>
        <w:rPr>
          <w:rFonts w:ascii="微軟正黑體" w:eastAsia="微軟正黑體" w:hAnsi="微軟正黑體" w:hint="eastAsia"/>
        </w:rPr>
        <w:t>約</w:t>
      </w:r>
      <w:r w:rsidRPr="00F0717A">
        <w:rPr>
          <w:rFonts w:ascii="微軟正黑體" w:eastAsia="微軟正黑體" w:hAnsi="微軟正黑體" w:hint="eastAsia"/>
        </w:rPr>
        <w:t>5.</w:t>
      </w:r>
      <w:r>
        <w:rPr>
          <w:rFonts w:ascii="微軟正黑體" w:eastAsia="微軟正黑體" w:hAnsi="微軟正黑體" w:hint="eastAsia"/>
        </w:rPr>
        <w:t>1</w:t>
      </w:r>
      <w:r w:rsidRPr="00F0717A">
        <w:rPr>
          <w:rFonts w:ascii="微軟正黑體" w:eastAsia="微軟正黑體" w:hAnsi="微軟正黑體" w:hint="eastAsia"/>
        </w:rPr>
        <w:t>萬人，下降趨勢加快。</w:t>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2E0BB4"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beforeLines="80" w:before="288" w:line="400" w:lineRule="exact"/>
        <w:jc w:val="center"/>
        <w:rPr>
          <w:rFonts w:ascii="微軟正黑體" w:eastAsia="微軟正黑體" w:hAnsi="微軟正黑體"/>
        </w:rPr>
      </w:pPr>
      <w:r w:rsidRPr="00F0717A">
        <w:rPr>
          <w:rFonts w:ascii="微軟正黑體" w:eastAsia="微軟正黑體" w:hAnsi="微軟正黑體" w:hint="eastAsia"/>
        </w:rPr>
        <w:t>圖2.2</w:t>
      </w:r>
      <w:r>
        <w:rPr>
          <w:rFonts w:ascii="微軟正黑體" w:eastAsia="微軟正黑體" w:hAnsi="微軟正黑體" w:hint="eastAsia"/>
        </w:rPr>
        <w:t>9</w:t>
      </w:r>
      <w:r w:rsidRPr="00F0717A">
        <w:rPr>
          <w:rFonts w:ascii="微軟正黑體" w:eastAsia="微軟正黑體" w:hAnsi="微軟正黑體" w:hint="eastAsia"/>
        </w:rPr>
        <w:t xml:space="preserve">  近10年農保被保險人人數</w:t>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2D2047" w:rsidRDefault="00FB2640" w:rsidP="00FB2640">
      <w:pPr>
        <w:pStyle w:val="af0"/>
        <w:numPr>
          <w:ilvl w:val="0"/>
          <w:numId w:val="24"/>
        </w:numPr>
        <w:adjustRightInd w:val="0"/>
        <w:spacing w:beforeLines="30" w:before="108" w:afterLines="30" w:after="108" w:line="400" w:lineRule="exact"/>
        <w:ind w:leftChars="0" w:left="567"/>
        <w:textAlignment w:val="baseline"/>
        <w:rPr>
          <w:rFonts w:ascii="微軟正黑體" w:eastAsia="微軟正黑體" w:hAnsi="微軟正黑體"/>
        </w:rPr>
      </w:pPr>
      <w:r w:rsidRPr="002D2047">
        <w:rPr>
          <w:rFonts w:ascii="微軟正黑體" w:eastAsia="微軟正黑體" w:hAnsi="微軟正黑體" w:hint="eastAsia"/>
        </w:rPr>
        <w:t>被保險人年齡及性別分布</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年農保被保險人65歲以上計有6</w:t>
      </w:r>
      <w:r>
        <w:rPr>
          <w:rFonts w:ascii="微軟正黑體" w:eastAsia="微軟正黑體" w:hAnsi="微軟正黑體" w:hint="eastAsia"/>
        </w:rPr>
        <w:t>1</w:t>
      </w:r>
      <w:r w:rsidRPr="00F0717A">
        <w:rPr>
          <w:rFonts w:ascii="微軟正黑體" w:eastAsia="微軟正黑體" w:hAnsi="微軟正黑體" w:hint="eastAsia"/>
        </w:rPr>
        <w:t>萬</w:t>
      </w:r>
      <w:r>
        <w:rPr>
          <w:rFonts w:ascii="微軟正黑體" w:eastAsia="微軟正黑體" w:hAnsi="微軟正黑體" w:hint="eastAsia"/>
        </w:rPr>
        <w:t>9,452</w:t>
      </w:r>
      <w:r w:rsidRPr="00F0717A">
        <w:rPr>
          <w:rFonts w:ascii="微軟正黑體" w:eastAsia="微軟正黑體" w:hAnsi="微軟正黑體" w:hint="eastAsia"/>
        </w:rPr>
        <w:t>人，占全體被保險人5</w:t>
      </w:r>
      <w:r>
        <w:rPr>
          <w:rFonts w:ascii="微軟正黑體" w:eastAsia="微軟正黑體" w:hAnsi="微軟正黑體" w:hint="eastAsia"/>
        </w:rPr>
        <w:t>9.2</w:t>
      </w:r>
      <w:r w:rsidRPr="00F0717A">
        <w:rPr>
          <w:rFonts w:ascii="微軟正黑體" w:eastAsia="微軟正黑體" w:hAnsi="微軟正黑體" w:hint="eastAsia"/>
        </w:rPr>
        <w:t>%，其中以「</w:t>
      </w:r>
      <w:r>
        <w:rPr>
          <w:rFonts w:ascii="微軟正黑體" w:eastAsia="微軟正黑體" w:hAnsi="微軟正黑體" w:hint="eastAsia"/>
        </w:rPr>
        <w:t>80-84</w:t>
      </w:r>
      <w:r w:rsidRPr="00F0717A">
        <w:rPr>
          <w:rFonts w:ascii="微軟正黑體" w:eastAsia="微軟正黑體" w:hAnsi="微軟正黑體" w:hint="eastAsia"/>
        </w:rPr>
        <w:t>歲」最多，計1</w:t>
      </w:r>
      <w:r>
        <w:rPr>
          <w:rFonts w:ascii="微軟正黑體" w:eastAsia="微軟正黑體" w:hAnsi="微軟正黑體" w:hint="eastAsia"/>
        </w:rPr>
        <w:t>3</w:t>
      </w:r>
      <w:r w:rsidRPr="00F0717A">
        <w:rPr>
          <w:rFonts w:ascii="微軟正黑體" w:eastAsia="微軟正黑體" w:hAnsi="微軟正黑體" w:hint="eastAsia"/>
        </w:rPr>
        <w:t>萬</w:t>
      </w:r>
      <w:r>
        <w:rPr>
          <w:rFonts w:ascii="微軟正黑體" w:eastAsia="微軟正黑體" w:hAnsi="微軟正黑體" w:hint="eastAsia"/>
        </w:rPr>
        <w:t>7,648</w:t>
      </w:r>
      <w:r w:rsidRPr="00F0717A">
        <w:rPr>
          <w:rFonts w:ascii="微軟正黑體" w:eastAsia="微軟正黑體" w:hAnsi="微軟正黑體" w:hint="eastAsia"/>
        </w:rPr>
        <w:t>人，占全體被保險人1</w:t>
      </w:r>
      <w:r>
        <w:rPr>
          <w:rFonts w:ascii="微軟正黑體" w:eastAsia="微軟正黑體" w:hAnsi="微軟正黑體" w:hint="eastAsia"/>
        </w:rPr>
        <w:t>3.2</w:t>
      </w:r>
      <w:r w:rsidRPr="00F0717A">
        <w:rPr>
          <w:rFonts w:ascii="微軟正黑體" w:eastAsia="微軟正黑體" w:hAnsi="微軟正黑體" w:hint="eastAsia"/>
        </w:rPr>
        <w:t>%。</w:t>
      </w:r>
      <w:r w:rsidRPr="00B301B3">
        <w:rPr>
          <w:rFonts w:ascii="微軟正黑體" w:eastAsia="微軟正黑體" w:hAnsi="微軟正黑體" w:hint="eastAsia"/>
        </w:rPr>
        <w:t>全體被保險人平均年齡6</w:t>
      </w:r>
      <w:r>
        <w:rPr>
          <w:rFonts w:ascii="微軟正黑體" w:eastAsia="微軟正黑體" w:hAnsi="微軟正黑體" w:hint="eastAsia"/>
        </w:rPr>
        <w:t>7.6歲，且呈</w:t>
      </w:r>
      <w:r w:rsidRPr="00B301B3">
        <w:rPr>
          <w:rFonts w:ascii="微軟正黑體" w:eastAsia="微軟正黑體" w:hAnsi="微軟正黑體" w:hint="eastAsia"/>
        </w:rPr>
        <w:t>逐年增加趨勢，顯示被保險人年齡偏高。</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以性別觀之，10</w:t>
      </w:r>
      <w:r>
        <w:rPr>
          <w:rFonts w:ascii="微軟正黑體" w:eastAsia="微軟正黑體" w:hAnsi="微軟正黑體" w:hint="eastAsia"/>
        </w:rPr>
        <w:t>9</w:t>
      </w:r>
      <w:r w:rsidRPr="00F0717A">
        <w:rPr>
          <w:rFonts w:ascii="微軟正黑體" w:eastAsia="微軟正黑體" w:hAnsi="微軟正黑體" w:hint="eastAsia"/>
        </w:rPr>
        <w:t>年農保男性被保險人</w:t>
      </w:r>
      <w:r>
        <w:rPr>
          <w:rFonts w:ascii="微軟正黑體" w:eastAsia="微軟正黑體" w:hAnsi="微軟正黑體" w:hint="eastAsia"/>
        </w:rPr>
        <w:t>51</w:t>
      </w:r>
      <w:r w:rsidRPr="00F0717A">
        <w:rPr>
          <w:rFonts w:ascii="微軟正黑體" w:eastAsia="微軟正黑體" w:hAnsi="微軟正黑體" w:hint="eastAsia"/>
        </w:rPr>
        <w:t>萬</w:t>
      </w:r>
      <w:r>
        <w:rPr>
          <w:rFonts w:ascii="微軟正黑體" w:eastAsia="微軟正黑體" w:hAnsi="微軟正黑體" w:hint="eastAsia"/>
        </w:rPr>
        <w:t>2,918</w:t>
      </w:r>
      <w:r w:rsidRPr="00F0717A">
        <w:rPr>
          <w:rFonts w:ascii="微軟正黑體" w:eastAsia="微軟正黑體" w:hAnsi="微軟正黑體" w:hint="eastAsia"/>
        </w:rPr>
        <w:t>人，占全體被保險人49</w:t>
      </w:r>
      <w:r>
        <w:rPr>
          <w:rFonts w:ascii="微軟正黑體" w:eastAsia="微軟正黑體" w:hAnsi="微軟正黑體" w:hint="eastAsia"/>
        </w:rPr>
        <w:t>.0</w:t>
      </w:r>
      <w:r w:rsidRPr="00F0717A">
        <w:rPr>
          <w:rFonts w:ascii="微軟正黑體" w:eastAsia="微軟正黑體" w:hAnsi="微軟正黑體" w:hint="eastAsia"/>
        </w:rPr>
        <w:t>%，女性</w:t>
      </w:r>
      <w:r>
        <w:rPr>
          <w:rFonts w:ascii="微軟正黑體" w:eastAsia="微軟正黑體" w:hAnsi="微軟正黑體" w:hint="eastAsia"/>
        </w:rPr>
        <w:t>53</w:t>
      </w:r>
      <w:r w:rsidRPr="00F0717A">
        <w:rPr>
          <w:rFonts w:ascii="微軟正黑體" w:eastAsia="微軟正黑體" w:hAnsi="微軟正黑體" w:hint="eastAsia"/>
        </w:rPr>
        <w:t>萬</w:t>
      </w:r>
      <w:r>
        <w:rPr>
          <w:rFonts w:ascii="微軟正黑體" w:eastAsia="微軟正黑體" w:hAnsi="微軟正黑體" w:hint="eastAsia"/>
        </w:rPr>
        <w:t>3,283</w:t>
      </w:r>
      <w:r w:rsidRPr="00F0717A">
        <w:rPr>
          <w:rFonts w:ascii="微軟正黑體" w:eastAsia="微軟正黑體" w:hAnsi="微軟正黑體" w:hint="eastAsia"/>
        </w:rPr>
        <w:t>人，占5</w:t>
      </w:r>
      <w:r>
        <w:rPr>
          <w:rFonts w:ascii="微軟正黑體" w:eastAsia="微軟正黑體" w:hAnsi="微軟正黑體" w:hint="eastAsia"/>
        </w:rPr>
        <w:t>1.0</w:t>
      </w:r>
      <w:r w:rsidRPr="00F0717A">
        <w:rPr>
          <w:rFonts w:ascii="微軟正黑體" w:eastAsia="微軟正黑體" w:hAnsi="微軟正黑體" w:hint="eastAsia"/>
        </w:rPr>
        <w:t>%。並以65歲為分界點，65歲以下之各年齡層均以男性人數較多，65歲以上則以女性人數較多。男性被保險人平均年齡6</w:t>
      </w:r>
      <w:r>
        <w:rPr>
          <w:rFonts w:ascii="微軟正黑體" w:eastAsia="微軟正黑體" w:hAnsi="微軟正黑體" w:hint="eastAsia"/>
        </w:rPr>
        <w:t>5.8</w:t>
      </w:r>
      <w:r w:rsidRPr="00F0717A">
        <w:rPr>
          <w:rFonts w:ascii="微軟正黑體" w:eastAsia="微軟正黑體" w:hAnsi="微軟正黑體" w:hint="eastAsia"/>
        </w:rPr>
        <w:t>歲，女性被保險人6</w:t>
      </w:r>
      <w:r>
        <w:rPr>
          <w:rFonts w:ascii="微軟正黑體" w:eastAsia="微軟正黑體" w:hAnsi="微軟正黑體" w:hint="eastAsia"/>
        </w:rPr>
        <w:t>9.2</w:t>
      </w:r>
      <w:r w:rsidRPr="00F0717A">
        <w:rPr>
          <w:rFonts w:ascii="微軟正黑體" w:eastAsia="微軟正黑體" w:hAnsi="微軟正黑體" w:hint="eastAsia"/>
        </w:rPr>
        <w:t>歲。</w:t>
      </w:r>
    </w:p>
    <w:p w:rsidR="00FB2640" w:rsidRPr="00F0717A" w:rsidRDefault="00FB2640" w:rsidP="00FB2640">
      <w:pPr>
        <w:pStyle w:val="af0"/>
        <w:spacing w:line="400" w:lineRule="exact"/>
        <w:ind w:leftChars="0" w:left="384"/>
        <w:rPr>
          <w:rFonts w:ascii="微軟正黑體" w:eastAsia="微軟正黑體" w:hAnsi="微軟正黑體"/>
        </w:rPr>
      </w:pPr>
    </w:p>
    <w:p w:rsidR="00FB2640" w:rsidRPr="00F0717A" w:rsidRDefault="00FB2640" w:rsidP="00FB2640">
      <w:pPr>
        <w:pStyle w:val="af0"/>
        <w:spacing w:line="400" w:lineRule="exact"/>
        <w:ind w:leftChars="0" w:left="384"/>
        <w:rPr>
          <w:rFonts w:ascii="微軟正黑體" w:eastAsia="微軟正黑體" w:hAnsi="微軟正黑體"/>
        </w:rPr>
      </w:pPr>
    </w:p>
    <w:p w:rsidR="00FB2640" w:rsidRPr="00300316" w:rsidRDefault="00FB2640" w:rsidP="00FB2640">
      <w:pPr>
        <w:pStyle w:val="af0"/>
        <w:spacing w:line="400" w:lineRule="exact"/>
        <w:ind w:leftChars="0" w:left="384"/>
        <w:rPr>
          <w:rFonts w:ascii="微軟正黑體" w:eastAsia="微軟正黑體" w:hAnsi="微軟正黑體"/>
        </w:rPr>
      </w:pPr>
    </w:p>
    <w:p w:rsidR="00FB2640" w:rsidRPr="00F0717A" w:rsidRDefault="00FB2640" w:rsidP="00FB2640">
      <w:pPr>
        <w:pStyle w:val="af0"/>
        <w:spacing w:line="400" w:lineRule="exact"/>
        <w:ind w:leftChars="0" w:left="384"/>
        <w:rPr>
          <w:rFonts w:ascii="微軟正黑體" w:eastAsia="微軟正黑體" w:hAnsi="微軟正黑體"/>
        </w:rPr>
      </w:pPr>
    </w:p>
    <w:p w:rsidR="00FB2640" w:rsidRPr="00F0717A" w:rsidRDefault="00FB2640" w:rsidP="00FB2640">
      <w:pPr>
        <w:pStyle w:val="af0"/>
        <w:spacing w:line="400" w:lineRule="exact"/>
        <w:ind w:leftChars="0" w:left="384"/>
        <w:rPr>
          <w:rFonts w:ascii="微軟正黑體" w:eastAsia="微軟正黑體" w:hAnsi="微軟正黑體"/>
        </w:rPr>
      </w:pPr>
    </w:p>
    <w:p w:rsidR="00FB2640" w:rsidRPr="00F0717A" w:rsidRDefault="00FB2640" w:rsidP="00FB2640">
      <w:pPr>
        <w:pStyle w:val="af0"/>
        <w:spacing w:line="400" w:lineRule="exact"/>
        <w:ind w:leftChars="0" w:left="384"/>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pStyle w:val="af0"/>
        <w:spacing w:line="400" w:lineRule="exact"/>
        <w:ind w:leftChars="0" w:left="384"/>
        <w:rPr>
          <w:rFonts w:ascii="微軟正黑體" w:eastAsia="微軟正黑體" w:hAnsi="微軟正黑體"/>
        </w:rPr>
      </w:pPr>
      <w:r>
        <w:rPr>
          <w:noProof/>
        </w:rPr>
        <w:lastRenderedPageBreak/>
        <w:drawing>
          <wp:anchor distT="0" distB="0" distL="114300" distR="114300" simplePos="0" relativeHeight="252590080" behindDoc="0" locked="0" layoutInCell="1" allowOverlap="1" wp14:anchorId="494CB1AC" wp14:editId="1E48F651">
            <wp:simplePos x="0" y="0"/>
            <wp:positionH relativeFrom="column">
              <wp:posOffset>-189230</wp:posOffset>
            </wp:positionH>
            <wp:positionV relativeFrom="paragraph">
              <wp:posOffset>-423</wp:posOffset>
            </wp:positionV>
            <wp:extent cx="6121400" cy="3031066"/>
            <wp:effectExtent l="0" t="0" r="12700" b="17145"/>
            <wp:wrapNone/>
            <wp:docPr id="262" name="圖表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384"/>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jc w:val="center"/>
        <w:rPr>
          <w:rFonts w:ascii="微軟正黑體" w:eastAsia="微軟正黑體" w:hAnsi="微軟正黑體"/>
        </w:rPr>
      </w:pPr>
      <w:r w:rsidRPr="00F0717A">
        <w:rPr>
          <w:rFonts w:ascii="微軟正黑體" w:eastAsia="微軟正黑體" w:hAnsi="微軟正黑體" w:hint="eastAsia"/>
        </w:rPr>
        <w:t>圖</w:t>
      </w:r>
      <w:r>
        <w:rPr>
          <w:rFonts w:ascii="微軟正黑體" w:eastAsia="微軟正黑體" w:hAnsi="微軟正黑體" w:hint="eastAsia"/>
        </w:rPr>
        <w:t xml:space="preserve">2.30 </w:t>
      </w: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年農保被保險人性別及年齡別分布情形</w:t>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numPr>
          <w:ilvl w:val="0"/>
          <w:numId w:val="24"/>
        </w:numPr>
        <w:adjustRightInd w:val="0"/>
        <w:spacing w:line="400" w:lineRule="exact"/>
        <w:ind w:leftChars="0" w:left="567" w:hanging="386"/>
        <w:textAlignment w:val="baseline"/>
        <w:rPr>
          <w:rFonts w:ascii="微軟正黑體" w:eastAsia="微軟正黑體" w:hAnsi="微軟正黑體"/>
        </w:rPr>
      </w:pPr>
      <w:r w:rsidRPr="00F0717A">
        <w:rPr>
          <w:rFonts w:ascii="微軟正黑體" w:eastAsia="微軟正黑體" w:hAnsi="微軟正黑體" w:hint="eastAsia"/>
        </w:rPr>
        <w:t>被保險人身分概況</w:t>
      </w:r>
    </w:p>
    <w:p w:rsidR="00FB2640" w:rsidRPr="00F0717A" w:rsidRDefault="00FB2640" w:rsidP="00FB2640">
      <w:pPr>
        <w:pStyle w:val="af0"/>
        <w:spacing w:beforeLines="30" w:before="108" w:line="400" w:lineRule="exact"/>
        <w:ind w:leftChars="0" w:left="567"/>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年農保被保險人以「自耕農」身分最多，達</w:t>
      </w:r>
      <w:r>
        <w:rPr>
          <w:rFonts w:ascii="微軟正黑體" w:eastAsia="微軟正黑體" w:hAnsi="微軟正黑體" w:hint="eastAsia"/>
        </w:rPr>
        <w:t>92</w:t>
      </w:r>
      <w:r w:rsidRPr="00F0717A">
        <w:rPr>
          <w:rFonts w:ascii="微軟正黑體" w:eastAsia="微軟正黑體" w:hAnsi="微軟正黑體" w:hint="eastAsia"/>
        </w:rPr>
        <w:t>萬</w:t>
      </w:r>
      <w:r>
        <w:rPr>
          <w:rFonts w:ascii="微軟正黑體" w:eastAsia="微軟正黑體" w:hAnsi="微軟正黑體" w:hint="eastAsia"/>
        </w:rPr>
        <w:t>2,807</w:t>
      </w:r>
      <w:r w:rsidRPr="00F0717A">
        <w:rPr>
          <w:rFonts w:ascii="微軟正黑體" w:eastAsia="微軟正黑體" w:hAnsi="微軟正黑體" w:hint="eastAsia"/>
        </w:rPr>
        <w:t>人，占全體被保險人8</w:t>
      </w:r>
      <w:r>
        <w:rPr>
          <w:rFonts w:ascii="微軟正黑體" w:eastAsia="微軟正黑體" w:hAnsi="微軟正黑體" w:hint="eastAsia"/>
        </w:rPr>
        <w:t>8.2</w:t>
      </w:r>
      <w:r w:rsidRPr="00F0717A">
        <w:rPr>
          <w:rFonts w:ascii="微軟正黑體" w:eastAsia="微軟正黑體" w:hAnsi="微軟正黑體" w:hint="eastAsia"/>
        </w:rPr>
        <w:t>%，其次為「</w:t>
      </w:r>
      <w:r>
        <w:rPr>
          <w:rFonts w:ascii="微軟正黑體" w:eastAsia="微軟正黑體" w:hAnsi="微軟正黑體" w:hint="eastAsia"/>
        </w:rPr>
        <w:t>佃農</w:t>
      </w:r>
      <w:r w:rsidRPr="00F0717A">
        <w:rPr>
          <w:rFonts w:ascii="微軟正黑體" w:eastAsia="微軟正黑體" w:hAnsi="微軟正黑體" w:hint="eastAsia"/>
        </w:rPr>
        <w:t>」</w:t>
      </w:r>
      <w:r>
        <w:rPr>
          <w:rFonts w:ascii="微軟正黑體" w:eastAsia="微軟正黑體" w:hAnsi="微軟正黑體" w:hint="eastAsia"/>
        </w:rPr>
        <w:t>4</w:t>
      </w:r>
      <w:r w:rsidRPr="00F0717A">
        <w:rPr>
          <w:rFonts w:ascii="微軟正黑體" w:eastAsia="微軟正黑體" w:hAnsi="微軟正黑體" w:hint="eastAsia"/>
        </w:rPr>
        <w:t>萬</w:t>
      </w:r>
      <w:r>
        <w:rPr>
          <w:rFonts w:ascii="微軟正黑體" w:eastAsia="微軟正黑體" w:hAnsi="微軟正黑體" w:hint="eastAsia"/>
        </w:rPr>
        <w:t>8,006</w:t>
      </w:r>
      <w:r w:rsidRPr="00F0717A">
        <w:rPr>
          <w:rFonts w:ascii="微軟正黑體" w:eastAsia="微軟正黑體" w:hAnsi="微軟正黑體" w:hint="eastAsia"/>
        </w:rPr>
        <w:t>人，占</w:t>
      </w:r>
      <w:r>
        <w:rPr>
          <w:rFonts w:ascii="微軟正黑體" w:eastAsia="微軟正黑體" w:hAnsi="微軟正黑體" w:hint="eastAsia"/>
        </w:rPr>
        <w:t>4.6</w:t>
      </w:r>
      <w:r w:rsidRPr="00F0717A">
        <w:rPr>
          <w:rFonts w:ascii="微軟正黑體" w:eastAsia="微軟正黑體" w:hAnsi="微軟正黑體" w:hint="eastAsia"/>
        </w:rPr>
        <w:t>%</w:t>
      </w:r>
      <w:r>
        <w:rPr>
          <w:rFonts w:ascii="微軟正黑體" w:eastAsia="微軟正黑體" w:hAnsi="微軟正黑體" w:hint="eastAsia"/>
        </w:rPr>
        <w:t>，</w:t>
      </w:r>
      <w:r w:rsidRPr="002414D9">
        <w:rPr>
          <w:rFonts w:ascii="微軟正黑體" w:eastAsia="微軟正黑體" w:hAnsi="微軟正黑體" w:hint="eastAsia"/>
        </w:rPr>
        <w:t>再次為「</w:t>
      </w:r>
      <w:r>
        <w:rPr>
          <w:rFonts w:ascii="微軟正黑體" w:eastAsia="微軟正黑體" w:hAnsi="微軟正黑體" w:hint="eastAsia"/>
        </w:rPr>
        <w:t>配偶</w:t>
      </w:r>
      <w:r w:rsidRPr="002414D9">
        <w:rPr>
          <w:rFonts w:ascii="微軟正黑體" w:eastAsia="微軟正黑體" w:hAnsi="微軟正黑體" w:hint="eastAsia"/>
        </w:rPr>
        <w:t>」4</w:t>
      </w:r>
      <w:r w:rsidRPr="00F0717A">
        <w:rPr>
          <w:rFonts w:ascii="微軟正黑體" w:eastAsia="微軟正黑體" w:hAnsi="微軟正黑體" w:hint="eastAsia"/>
        </w:rPr>
        <w:t>萬</w:t>
      </w:r>
      <w:r>
        <w:rPr>
          <w:rFonts w:ascii="微軟正黑體" w:eastAsia="微軟正黑體" w:hAnsi="微軟正黑體" w:hint="eastAsia"/>
        </w:rPr>
        <w:t>1</w:t>
      </w:r>
      <w:r w:rsidRPr="00F0717A">
        <w:rPr>
          <w:rFonts w:ascii="微軟正黑體" w:eastAsia="微軟正黑體" w:hAnsi="微軟正黑體" w:hint="eastAsia"/>
        </w:rPr>
        <w:t>,</w:t>
      </w:r>
      <w:r>
        <w:rPr>
          <w:rFonts w:ascii="微軟正黑體" w:eastAsia="微軟正黑體" w:hAnsi="微軟正黑體" w:hint="eastAsia"/>
        </w:rPr>
        <w:t>981</w:t>
      </w:r>
      <w:r w:rsidRPr="00F0717A">
        <w:rPr>
          <w:rFonts w:ascii="微軟正黑體" w:eastAsia="微軟正黑體" w:hAnsi="微軟正黑體" w:hint="eastAsia"/>
        </w:rPr>
        <w:t>人，占4.</w:t>
      </w:r>
      <w:r>
        <w:rPr>
          <w:rFonts w:ascii="微軟正黑體" w:eastAsia="微軟正黑體" w:hAnsi="微軟正黑體" w:hint="eastAsia"/>
        </w:rPr>
        <w:t>0</w:t>
      </w:r>
      <w:r w:rsidRPr="00F0717A">
        <w:rPr>
          <w:rFonts w:ascii="微軟正黑體" w:eastAsia="微軟正黑體" w:hAnsi="微軟正黑體" w:hint="eastAsia"/>
        </w:rPr>
        <w:t>%。</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91104" behindDoc="0" locked="0" layoutInCell="1" allowOverlap="1" wp14:anchorId="701E4B4D" wp14:editId="553BCCEC">
            <wp:simplePos x="0" y="0"/>
            <wp:positionH relativeFrom="column">
              <wp:posOffset>39370</wp:posOffset>
            </wp:positionH>
            <wp:positionV relativeFrom="paragraph">
              <wp:posOffset>70485</wp:posOffset>
            </wp:positionV>
            <wp:extent cx="5765800" cy="3521710"/>
            <wp:effectExtent l="0" t="0" r="25400" b="21590"/>
            <wp:wrapNone/>
            <wp:docPr id="263" name="圖表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D4037C"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sz w:val="20"/>
        </w:rPr>
      </w:pPr>
      <w:r>
        <w:rPr>
          <w:rFonts w:ascii="微軟正黑體" w:eastAsia="微軟正黑體" w:hAnsi="微軟正黑體" w:hint="eastAsia"/>
          <w:sz w:val="20"/>
        </w:rPr>
        <w:t xml:space="preserve"> </w:t>
      </w:r>
      <w:r w:rsidRPr="00F0717A">
        <w:rPr>
          <w:rFonts w:ascii="微軟正黑體" w:eastAsia="微軟正黑體" w:hAnsi="微軟正黑體" w:hint="eastAsia"/>
          <w:sz w:val="20"/>
        </w:rPr>
        <w:t>註：「其他」包含農校或專著發明者</w:t>
      </w:r>
      <w:r>
        <w:rPr>
          <w:rFonts w:ascii="微軟正黑體" w:eastAsia="微軟正黑體" w:hAnsi="微軟正黑體" w:hint="eastAsia"/>
          <w:sz w:val="20"/>
        </w:rPr>
        <w:t>、</w:t>
      </w:r>
      <w:r w:rsidRPr="00F0717A">
        <w:rPr>
          <w:rFonts w:ascii="微軟正黑體" w:eastAsia="微軟正黑體" w:hAnsi="微軟正黑體" w:hint="eastAsia"/>
          <w:sz w:val="20"/>
        </w:rPr>
        <w:t>農林牧場員工</w:t>
      </w:r>
      <w:r>
        <w:rPr>
          <w:rFonts w:ascii="微軟正黑體" w:eastAsia="微軟正黑體" w:hAnsi="微軟正黑體" w:hint="eastAsia"/>
          <w:sz w:val="20"/>
        </w:rPr>
        <w:t>、</w:t>
      </w:r>
      <w:r w:rsidRPr="002442F7">
        <w:rPr>
          <w:rFonts w:ascii="微軟正黑體" w:eastAsia="微軟正黑體" w:hAnsi="微軟正黑體" w:hint="eastAsia"/>
          <w:sz w:val="20"/>
        </w:rPr>
        <w:t>蜂農及實耕者。</w:t>
      </w:r>
    </w:p>
    <w:p w:rsidR="00FB2640" w:rsidRPr="00F0717A" w:rsidRDefault="00FB2640" w:rsidP="00FB2640">
      <w:pPr>
        <w:spacing w:beforeLines="30" w:before="108" w:line="400" w:lineRule="exact"/>
        <w:jc w:val="center"/>
        <w:rPr>
          <w:rFonts w:ascii="微軟正黑體" w:eastAsia="微軟正黑體" w:hAnsi="微軟正黑體"/>
        </w:rPr>
      </w:pPr>
      <w:r w:rsidRPr="00F0717A">
        <w:rPr>
          <w:rFonts w:ascii="微軟正黑體" w:eastAsia="微軟正黑體" w:hAnsi="微軟正黑體" w:hint="eastAsia"/>
        </w:rPr>
        <w:t>圖2.</w:t>
      </w:r>
      <w:r>
        <w:rPr>
          <w:rFonts w:ascii="微軟正黑體" w:eastAsia="微軟正黑體" w:hAnsi="微軟正黑體" w:hint="eastAsia"/>
        </w:rPr>
        <w:t>31</w:t>
      </w: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年農保被保險人身分別概況</w:t>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pStyle w:val="af0"/>
        <w:spacing w:line="400" w:lineRule="exact"/>
        <w:ind w:leftChars="0" w:left="386"/>
        <w:jc w:val="both"/>
        <w:rPr>
          <w:rFonts w:ascii="微軟正黑體" w:eastAsia="微軟正黑體" w:hAnsi="微軟正黑體"/>
        </w:rPr>
      </w:pPr>
      <w:r w:rsidRPr="00F0717A">
        <w:rPr>
          <w:rFonts w:ascii="微軟正黑體" w:eastAsia="微軟正黑體" w:hAnsi="微軟正黑體" w:hint="eastAsia"/>
        </w:rPr>
        <w:lastRenderedPageBreak/>
        <w:t xml:space="preserve">    以性別及農會會員身分觀之，10</w:t>
      </w:r>
      <w:r>
        <w:rPr>
          <w:rFonts w:ascii="微軟正黑體" w:eastAsia="微軟正黑體" w:hAnsi="微軟正黑體" w:hint="eastAsia"/>
        </w:rPr>
        <w:t>9</w:t>
      </w:r>
      <w:r w:rsidRPr="00F0717A">
        <w:rPr>
          <w:rFonts w:ascii="微軟正黑體" w:eastAsia="微軟正黑體" w:hAnsi="微軟正黑體" w:hint="eastAsia"/>
        </w:rPr>
        <w:t>年「農會會員」及「非農會會員」人數約各半，「農會會員」計</w:t>
      </w:r>
      <w:r>
        <w:rPr>
          <w:rFonts w:ascii="微軟正黑體" w:eastAsia="微軟正黑體" w:hAnsi="微軟正黑體" w:hint="eastAsia"/>
        </w:rPr>
        <w:t>51</w:t>
      </w:r>
      <w:r w:rsidRPr="00F0717A">
        <w:rPr>
          <w:rFonts w:ascii="微軟正黑體" w:eastAsia="微軟正黑體" w:hAnsi="微軟正黑體" w:hint="eastAsia"/>
        </w:rPr>
        <w:t>萬</w:t>
      </w:r>
      <w:r>
        <w:rPr>
          <w:rFonts w:ascii="微軟正黑體" w:eastAsia="微軟正黑體" w:hAnsi="微軟正黑體" w:hint="eastAsia"/>
        </w:rPr>
        <w:t>9,608</w:t>
      </w:r>
      <w:r w:rsidRPr="00F0717A">
        <w:rPr>
          <w:rFonts w:ascii="微軟正黑體" w:eastAsia="微軟正黑體" w:hAnsi="微軟正黑體" w:hint="eastAsia"/>
        </w:rPr>
        <w:t>人，占全體</w:t>
      </w:r>
      <w:r>
        <w:rPr>
          <w:rFonts w:ascii="微軟正黑體" w:eastAsia="微軟正黑體" w:hAnsi="微軟正黑體" w:hint="eastAsia"/>
        </w:rPr>
        <w:t>49.6</w:t>
      </w:r>
      <w:r w:rsidRPr="00F0717A">
        <w:rPr>
          <w:rFonts w:ascii="微軟正黑體" w:eastAsia="微軟正黑體" w:hAnsi="微軟正黑體" w:hint="eastAsia"/>
        </w:rPr>
        <w:t>%，其中男性</w:t>
      </w:r>
      <w:r>
        <w:rPr>
          <w:rFonts w:ascii="微軟正黑體" w:eastAsia="微軟正黑體" w:hAnsi="微軟正黑體" w:hint="eastAsia"/>
        </w:rPr>
        <w:t>32</w:t>
      </w:r>
      <w:r w:rsidRPr="00F0717A">
        <w:rPr>
          <w:rFonts w:ascii="微軟正黑體" w:eastAsia="微軟正黑體" w:hAnsi="微軟正黑體" w:hint="eastAsia"/>
        </w:rPr>
        <w:t>萬</w:t>
      </w:r>
      <w:r>
        <w:rPr>
          <w:rFonts w:ascii="微軟正黑體" w:eastAsia="微軟正黑體" w:hAnsi="微軟正黑體" w:hint="eastAsia"/>
        </w:rPr>
        <w:t>7,862</w:t>
      </w:r>
      <w:r w:rsidRPr="00F0717A">
        <w:rPr>
          <w:rFonts w:ascii="微軟正黑體" w:eastAsia="微軟正黑體" w:hAnsi="微軟正黑體" w:hint="eastAsia"/>
        </w:rPr>
        <w:t>人，多於女性</w:t>
      </w:r>
      <w:r>
        <w:rPr>
          <w:rFonts w:ascii="微軟正黑體" w:eastAsia="微軟正黑體" w:hAnsi="微軟正黑體" w:hint="eastAsia"/>
        </w:rPr>
        <w:t>的19</w:t>
      </w:r>
      <w:r w:rsidRPr="00F0717A">
        <w:rPr>
          <w:rFonts w:ascii="微軟正黑體" w:eastAsia="微軟正黑體" w:hAnsi="微軟正黑體" w:hint="eastAsia"/>
        </w:rPr>
        <w:t>萬</w:t>
      </w:r>
      <w:r>
        <w:rPr>
          <w:rFonts w:ascii="微軟正黑體" w:eastAsia="微軟正黑體" w:hAnsi="微軟正黑體" w:hint="eastAsia"/>
        </w:rPr>
        <w:t>1,746</w:t>
      </w:r>
      <w:r w:rsidRPr="00F0717A">
        <w:rPr>
          <w:rFonts w:ascii="微軟正黑體" w:eastAsia="微軟正黑體" w:hAnsi="微軟正黑體" w:hint="eastAsia"/>
        </w:rPr>
        <w:t>人；「非農會會員」計5</w:t>
      </w:r>
      <w:r>
        <w:rPr>
          <w:rFonts w:ascii="微軟正黑體" w:eastAsia="微軟正黑體" w:hAnsi="微軟正黑體" w:hint="eastAsia"/>
        </w:rPr>
        <w:t>2</w:t>
      </w:r>
      <w:r w:rsidRPr="00F0717A">
        <w:rPr>
          <w:rFonts w:ascii="微軟正黑體" w:eastAsia="微軟正黑體" w:hAnsi="微軟正黑體" w:hint="eastAsia"/>
        </w:rPr>
        <w:t>萬</w:t>
      </w:r>
      <w:r>
        <w:rPr>
          <w:rFonts w:ascii="微軟正黑體" w:eastAsia="微軟正黑體" w:hAnsi="微軟正黑體" w:hint="eastAsia"/>
        </w:rPr>
        <w:t>6</w:t>
      </w:r>
      <w:r w:rsidRPr="00F0717A">
        <w:rPr>
          <w:rFonts w:ascii="微軟正黑體" w:eastAsia="微軟正黑體" w:hAnsi="微軟正黑體" w:hint="eastAsia"/>
        </w:rPr>
        <w:t>,</w:t>
      </w:r>
      <w:r>
        <w:rPr>
          <w:rFonts w:ascii="微軟正黑體" w:eastAsia="微軟正黑體" w:hAnsi="微軟正黑體" w:hint="eastAsia"/>
        </w:rPr>
        <w:t>593</w:t>
      </w:r>
      <w:r w:rsidRPr="00F0717A">
        <w:rPr>
          <w:rFonts w:ascii="微軟正黑體" w:eastAsia="微軟正黑體" w:hAnsi="微軟正黑體" w:hint="eastAsia"/>
        </w:rPr>
        <w:t>人，占全體</w:t>
      </w:r>
      <w:r>
        <w:rPr>
          <w:rFonts w:ascii="微軟正黑體" w:eastAsia="微軟正黑體" w:hAnsi="微軟正黑體" w:hint="eastAsia"/>
        </w:rPr>
        <w:t>50.4</w:t>
      </w:r>
      <w:r w:rsidRPr="00F0717A">
        <w:rPr>
          <w:rFonts w:ascii="微軟正黑體" w:eastAsia="微軟正黑體" w:hAnsi="微軟正黑體" w:hint="eastAsia"/>
        </w:rPr>
        <w:t>%，其中女性</w:t>
      </w:r>
      <w:r>
        <w:rPr>
          <w:rFonts w:ascii="微軟正黑體" w:eastAsia="微軟正黑體" w:hAnsi="微軟正黑體" w:hint="eastAsia"/>
        </w:rPr>
        <w:t>34</w:t>
      </w:r>
      <w:r w:rsidRPr="00F0717A">
        <w:rPr>
          <w:rFonts w:ascii="微軟正黑體" w:eastAsia="微軟正黑體" w:hAnsi="微軟正黑體" w:hint="eastAsia"/>
        </w:rPr>
        <w:t>萬</w:t>
      </w:r>
      <w:r>
        <w:rPr>
          <w:rFonts w:ascii="微軟正黑體" w:eastAsia="微軟正黑體" w:hAnsi="微軟正黑體" w:hint="eastAsia"/>
        </w:rPr>
        <w:t>1,537</w:t>
      </w:r>
      <w:r w:rsidRPr="00F0717A">
        <w:rPr>
          <w:rFonts w:ascii="微軟正黑體" w:eastAsia="微軟正黑體" w:hAnsi="微軟正黑體" w:hint="eastAsia"/>
        </w:rPr>
        <w:t>人，多於男性</w:t>
      </w:r>
      <w:r>
        <w:rPr>
          <w:rFonts w:ascii="微軟正黑體" w:eastAsia="微軟正黑體" w:hAnsi="微軟正黑體" w:hint="eastAsia"/>
        </w:rPr>
        <w:t>的18</w:t>
      </w:r>
      <w:r w:rsidRPr="00F0717A">
        <w:rPr>
          <w:rFonts w:ascii="微軟正黑體" w:eastAsia="微軟正黑體" w:hAnsi="微軟正黑體" w:hint="eastAsia"/>
        </w:rPr>
        <w:t>萬</w:t>
      </w:r>
      <w:r>
        <w:rPr>
          <w:rFonts w:ascii="微軟正黑體" w:eastAsia="微軟正黑體" w:hAnsi="微軟正黑體" w:hint="eastAsia"/>
        </w:rPr>
        <w:t>5,056</w:t>
      </w:r>
      <w:r w:rsidRPr="00F0717A">
        <w:rPr>
          <w:rFonts w:ascii="微軟正黑體" w:eastAsia="微軟正黑體" w:hAnsi="微軟正黑體" w:hint="eastAsia"/>
        </w:rPr>
        <w:t>人。</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92128" behindDoc="0" locked="0" layoutInCell="1" allowOverlap="1" wp14:anchorId="72314EA0" wp14:editId="68A2489C">
            <wp:simplePos x="0" y="0"/>
            <wp:positionH relativeFrom="column">
              <wp:posOffset>124037</wp:posOffset>
            </wp:positionH>
            <wp:positionV relativeFrom="paragraph">
              <wp:posOffset>24130</wp:posOffset>
            </wp:positionV>
            <wp:extent cx="5596466" cy="3141133"/>
            <wp:effectExtent l="0" t="0" r="23495" b="21590"/>
            <wp:wrapNone/>
            <wp:docPr id="264" name="圖表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2443BF"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beforeLines="70" w:before="252" w:line="400" w:lineRule="exact"/>
        <w:ind w:leftChars="0" w:left="386"/>
        <w:jc w:val="center"/>
        <w:rPr>
          <w:rFonts w:ascii="微軟正黑體" w:eastAsia="微軟正黑體" w:hAnsi="微軟正黑體"/>
        </w:rPr>
      </w:pPr>
      <w:r w:rsidRPr="00F0717A">
        <w:rPr>
          <w:rFonts w:ascii="微軟正黑體" w:eastAsia="微軟正黑體" w:hAnsi="微軟正黑體" w:hint="eastAsia"/>
        </w:rPr>
        <w:t>圖</w:t>
      </w:r>
      <w:r>
        <w:rPr>
          <w:rFonts w:ascii="微軟正黑體" w:eastAsia="微軟正黑體" w:hAnsi="微軟正黑體" w:hint="eastAsia"/>
        </w:rPr>
        <w:t>2.32  109</w:t>
      </w:r>
      <w:r w:rsidRPr="00F0717A">
        <w:rPr>
          <w:rFonts w:ascii="微軟正黑體" w:eastAsia="微軟正黑體" w:hAnsi="微軟正黑體" w:hint="eastAsia"/>
        </w:rPr>
        <w:t>年農保被保險人身分別概況(按性別及農會會員分)</w:t>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Pr>
          <w:rFonts w:ascii="微軟正黑體" w:eastAsia="微軟正黑體" w:hAnsi="微軟正黑體" w:hint="eastAsia"/>
        </w:rPr>
        <w:t xml:space="preserve">(二) </w:t>
      </w:r>
      <w:r w:rsidRPr="00F0717A">
        <w:rPr>
          <w:rFonts w:ascii="微軟正黑體" w:eastAsia="微軟正黑體" w:hAnsi="微軟正黑體" w:hint="eastAsia"/>
        </w:rPr>
        <w:t>給付概況</w:t>
      </w:r>
    </w:p>
    <w:p w:rsidR="00FB2640" w:rsidRPr="00F0717A" w:rsidRDefault="00FB2640" w:rsidP="00FB2640">
      <w:pPr>
        <w:spacing w:beforeLines="30" w:before="108" w:line="400" w:lineRule="exact"/>
        <w:jc w:val="both"/>
        <w:rPr>
          <w:rFonts w:ascii="微軟正黑體" w:eastAsia="微軟正黑體" w:hAnsi="微軟正黑體"/>
        </w:rPr>
      </w:pPr>
      <w:r w:rsidRPr="00F0717A">
        <w:rPr>
          <w:rFonts w:ascii="微軟正黑體" w:eastAsia="微軟正黑體" w:hAnsi="微軟正黑體" w:hint="eastAsia"/>
        </w:rPr>
        <w:t xml:space="preserve">    農民健康保險給付包含生育給付、身心障礙給付及喪葬津貼等3項，10</w:t>
      </w:r>
      <w:r>
        <w:rPr>
          <w:rFonts w:ascii="微軟正黑體" w:eastAsia="微軟正黑體" w:hAnsi="微軟正黑體" w:hint="eastAsia"/>
        </w:rPr>
        <w:t>9</w:t>
      </w:r>
      <w:r w:rsidRPr="00F0717A">
        <w:rPr>
          <w:rFonts w:ascii="微軟正黑體" w:eastAsia="微軟正黑體" w:hAnsi="微軟正黑體" w:hint="eastAsia"/>
        </w:rPr>
        <w:t>年農保給付總件數4萬</w:t>
      </w:r>
      <w:r>
        <w:rPr>
          <w:rFonts w:ascii="微軟正黑體" w:eastAsia="微軟正黑體" w:hAnsi="微軟正黑體" w:hint="eastAsia"/>
        </w:rPr>
        <w:t>2,309</w:t>
      </w:r>
      <w:r w:rsidRPr="00F0717A">
        <w:rPr>
          <w:rFonts w:ascii="微軟正黑體" w:eastAsia="微軟正黑體" w:hAnsi="微軟正黑體" w:hint="eastAsia"/>
        </w:rPr>
        <w:t>件，給付總金額</w:t>
      </w:r>
      <w:r>
        <w:rPr>
          <w:rFonts w:ascii="微軟正黑體" w:eastAsia="微軟正黑體" w:hAnsi="微軟正黑體" w:hint="eastAsia"/>
        </w:rPr>
        <w:t>68.</w:t>
      </w:r>
      <w:r w:rsidR="006E668E" w:rsidRPr="00CB0F31">
        <w:rPr>
          <w:rFonts w:ascii="微軟正黑體" w:eastAsia="微軟正黑體" w:hAnsi="微軟正黑體" w:hint="eastAsia"/>
        </w:rPr>
        <w:t>6</w:t>
      </w:r>
      <w:r w:rsidRPr="00F0717A">
        <w:rPr>
          <w:rFonts w:ascii="微軟正黑體" w:eastAsia="微軟正黑體" w:hAnsi="微軟正黑體" w:hint="eastAsia"/>
        </w:rPr>
        <w:t>億元。觀察近10年之各給付項目件數及金額變動情形，普遍呈現下降趨勢。</w:t>
      </w:r>
    </w:p>
    <w:p w:rsidR="00FB2640" w:rsidRPr="00F0717A" w:rsidRDefault="00FB2640" w:rsidP="00FB2640">
      <w:pPr>
        <w:spacing w:beforeLines="30" w:before="108" w:line="400" w:lineRule="exact"/>
        <w:jc w:val="both"/>
        <w:rPr>
          <w:rFonts w:ascii="微軟正黑體" w:eastAsia="微軟正黑體" w:hAnsi="微軟正黑體"/>
        </w:rPr>
      </w:pPr>
      <w:r w:rsidRPr="00F0717A">
        <w:rPr>
          <w:rFonts w:ascii="微軟正黑體" w:eastAsia="微軟正黑體" w:hAnsi="微軟正黑體" w:hint="eastAsia"/>
        </w:rPr>
        <w:t xml:space="preserve">    以件數觀之，「</w:t>
      </w:r>
      <w:r>
        <w:rPr>
          <w:rFonts w:ascii="微軟正黑體" w:eastAsia="微軟正黑體" w:hAnsi="微軟正黑體" w:hint="eastAsia"/>
        </w:rPr>
        <w:t>生育給付</w:t>
      </w:r>
      <w:r w:rsidRPr="00F0717A">
        <w:rPr>
          <w:rFonts w:ascii="微軟正黑體" w:eastAsia="微軟正黑體" w:hAnsi="微軟正黑體" w:hint="eastAsia"/>
        </w:rPr>
        <w:t>」減少幅度最大，自</w:t>
      </w:r>
      <w:r>
        <w:rPr>
          <w:rFonts w:ascii="微軟正黑體" w:eastAsia="微軟正黑體" w:hAnsi="微軟正黑體" w:hint="eastAsia"/>
        </w:rPr>
        <w:t>100</w:t>
      </w:r>
      <w:r w:rsidRPr="00F0717A">
        <w:rPr>
          <w:rFonts w:ascii="微軟正黑體" w:eastAsia="微軟正黑體" w:hAnsi="微軟正黑體" w:hint="eastAsia"/>
        </w:rPr>
        <w:t>年</w:t>
      </w:r>
      <w:r>
        <w:rPr>
          <w:rFonts w:ascii="微軟正黑體" w:eastAsia="微軟正黑體" w:hAnsi="微軟正黑體" w:hint="eastAsia"/>
        </w:rPr>
        <w:t>5,101</w:t>
      </w:r>
      <w:r w:rsidRPr="00F0717A">
        <w:rPr>
          <w:rFonts w:ascii="微軟正黑體" w:eastAsia="微軟正黑體" w:hAnsi="微軟正黑體" w:hint="eastAsia"/>
        </w:rPr>
        <w:t>件降至10</w:t>
      </w:r>
      <w:r>
        <w:rPr>
          <w:rFonts w:ascii="微軟正黑體" w:eastAsia="微軟正黑體" w:hAnsi="微軟正黑體" w:hint="eastAsia"/>
        </w:rPr>
        <w:t>9</w:t>
      </w:r>
      <w:r w:rsidRPr="00F0717A">
        <w:rPr>
          <w:rFonts w:ascii="微軟正黑體" w:eastAsia="微軟正黑體" w:hAnsi="微軟正黑體" w:hint="eastAsia"/>
        </w:rPr>
        <w:t>年</w:t>
      </w:r>
      <w:r>
        <w:rPr>
          <w:rFonts w:ascii="微軟正黑體" w:eastAsia="微軟正黑體" w:hAnsi="微軟正黑體" w:hint="eastAsia"/>
        </w:rPr>
        <w:t>2,181</w:t>
      </w:r>
      <w:r w:rsidRPr="00F0717A">
        <w:rPr>
          <w:rFonts w:ascii="微軟正黑體" w:eastAsia="微軟正黑體" w:hAnsi="微軟正黑體" w:hint="eastAsia"/>
        </w:rPr>
        <w:t>件，減少</w:t>
      </w:r>
      <w:r>
        <w:rPr>
          <w:rFonts w:ascii="微軟正黑體" w:eastAsia="微軟正黑體" w:hAnsi="微軟正黑體" w:hint="eastAsia"/>
        </w:rPr>
        <w:t>57.2%(-2</w:t>
      </w:r>
      <w:r w:rsidRPr="00F0717A">
        <w:rPr>
          <w:rFonts w:ascii="微軟正黑體" w:eastAsia="微軟正黑體" w:hAnsi="微軟正黑體" w:hint="eastAsia"/>
        </w:rPr>
        <w:t>,</w:t>
      </w:r>
      <w:r>
        <w:rPr>
          <w:rFonts w:ascii="微軟正黑體" w:eastAsia="微軟正黑體" w:hAnsi="微軟正黑體" w:hint="eastAsia"/>
        </w:rPr>
        <w:t>920</w:t>
      </w:r>
      <w:r w:rsidRPr="00F0717A">
        <w:rPr>
          <w:rFonts w:ascii="微軟正黑體" w:eastAsia="微軟正黑體" w:hAnsi="微軟正黑體" w:hint="eastAsia"/>
        </w:rPr>
        <w:t>件</w:t>
      </w:r>
      <w:r>
        <w:rPr>
          <w:rFonts w:ascii="微軟正黑體" w:eastAsia="微軟正黑體" w:hAnsi="微軟正黑體" w:hint="eastAsia"/>
        </w:rPr>
        <w:t>)，「身心障礙給付」次之</w:t>
      </w:r>
      <w:r w:rsidRPr="00F0717A">
        <w:rPr>
          <w:rFonts w:ascii="微軟正黑體" w:eastAsia="微軟正黑體" w:hAnsi="微軟正黑體" w:hint="eastAsia"/>
        </w:rPr>
        <w:t>，自</w:t>
      </w:r>
      <w:r>
        <w:rPr>
          <w:rFonts w:ascii="微軟正黑體" w:eastAsia="微軟正黑體" w:hAnsi="微軟正黑體" w:hint="eastAsia"/>
        </w:rPr>
        <w:t>100</w:t>
      </w:r>
      <w:r w:rsidRPr="00F0717A">
        <w:rPr>
          <w:rFonts w:ascii="微軟正黑體" w:eastAsia="微軟正黑體" w:hAnsi="微軟正黑體" w:hint="eastAsia"/>
        </w:rPr>
        <w:t>年2萬</w:t>
      </w:r>
      <w:r>
        <w:rPr>
          <w:rFonts w:ascii="微軟正黑體" w:eastAsia="微軟正黑體" w:hAnsi="微軟正黑體" w:hint="eastAsia"/>
        </w:rPr>
        <w:t>867</w:t>
      </w:r>
      <w:r w:rsidRPr="00F0717A">
        <w:rPr>
          <w:rFonts w:ascii="微軟正黑體" w:eastAsia="微軟正黑體" w:hAnsi="微軟正黑體" w:hint="eastAsia"/>
        </w:rPr>
        <w:t>件降至10</w:t>
      </w:r>
      <w:r>
        <w:rPr>
          <w:rFonts w:ascii="微軟正黑體" w:eastAsia="微軟正黑體" w:hAnsi="微軟正黑體" w:hint="eastAsia"/>
        </w:rPr>
        <w:t>9</w:t>
      </w:r>
      <w:r w:rsidRPr="00F0717A">
        <w:rPr>
          <w:rFonts w:ascii="微軟正黑體" w:eastAsia="微軟正黑體" w:hAnsi="微軟正黑體" w:hint="eastAsia"/>
        </w:rPr>
        <w:t>年1萬</w:t>
      </w:r>
      <w:r>
        <w:rPr>
          <w:rFonts w:ascii="微軟正黑體" w:eastAsia="微軟正黑體" w:hAnsi="微軟正黑體" w:hint="eastAsia"/>
        </w:rPr>
        <w:t>1</w:t>
      </w:r>
      <w:r w:rsidRPr="00F0717A">
        <w:rPr>
          <w:rFonts w:ascii="微軟正黑體" w:eastAsia="微軟正黑體" w:hAnsi="微軟正黑體" w:hint="eastAsia"/>
        </w:rPr>
        <w:t>,</w:t>
      </w:r>
      <w:r>
        <w:rPr>
          <w:rFonts w:ascii="微軟正黑體" w:eastAsia="微軟正黑體" w:hAnsi="微軟正黑體" w:hint="eastAsia"/>
        </w:rPr>
        <w:t>114</w:t>
      </w:r>
      <w:r w:rsidRPr="00F0717A">
        <w:rPr>
          <w:rFonts w:ascii="微軟正黑體" w:eastAsia="微軟正黑體" w:hAnsi="微軟正黑體" w:hint="eastAsia"/>
        </w:rPr>
        <w:t>件，減少</w:t>
      </w:r>
      <w:r>
        <w:rPr>
          <w:rFonts w:ascii="微軟正黑體" w:eastAsia="微軟正黑體" w:hAnsi="微軟正黑體" w:hint="eastAsia"/>
        </w:rPr>
        <w:t>46.7%(-9</w:t>
      </w:r>
      <w:r w:rsidRPr="00F0717A">
        <w:rPr>
          <w:rFonts w:ascii="微軟正黑體" w:eastAsia="微軟正黑體" w:hAnsi="微軟正黑體" w:hint="eastAsia"/>
        </w:rPr>
        <w:t>,</w:t>
      </w:r>
      <w:r>
        <w:rPr>
          <w:rFonts w:ascii="微軟正黑體" w:eastAsia="微軟正黑體" w:hAnsi="微軟正黑體" w:hint="eastAsia"/>
        </w:rPr>
        <w:t>753</w:t>
      </w:r>
      <w:r w:rsidRPr="00F0717A">
        <w:rPr>
          <w:rFonts w:ascii="微軟正黑體" w:eastAsia="微軟正黑體" w:hAnsi="微軟正黑體" w:hint="eastAsia"/>
        </w:rPr>
        <w:t>件)；而「喪葬津貼」則自</w:t>
      </w:r>
      <w:r>
        <w:rPr>
          <w:rFonts w:ascii="微軟正黑體" w:eastAsia="微軟正黑體" w:hAnsi="微軟正黑體" w:hint="eastAsia"/>
        </w:rPr>
        <w:t>100</w:t>
      </w:r>
      <w:r w:rsidRPr="00F0717A">
        <w:rPr>
          <w:rFonts w:ascii="微軟正黑體" w:eastAsia="微軟正黑體" w:hAnsi="微軟正黑體" w:hint="eastAsia"/>
        </w:rPr>
        <w:t>年</w:t>
      </w:r>
      <w:r>
        <w:rPr>
          <w:rFonts w:ascii="微軟正黑體" w:eastAsia="微軟正黑體" w:hAnsi="微軟正黑體" w:hint="eastAsia"/>
        </w:rPr>
        <w:t>3</w:t>
      </w:r>
      <w:r w:rsidRPr="00F0717A">
        <w:rPr>
          <w:rFonts w:ascii="微軟正黑體" w:eastAsia="微軟正黑體" w:hAnsi="微軟正黑體" w:hint="eastAsia"/>
        </w:rPr>
        <w:t>萬</w:t>
      </w:r>
      <w:r>
        <w:rPr>
          <w:rFonts w:ascii="微軟正黑體" w:eastAsia="微軟正黑體" w:hAnsi="微軟正黑體" w:hint="eastAsia"/>
        </w:rPr>
        <w:t>891</w:t>
      </w:r>
      <w:r w:rsidRPr="00F0717A">
        <w:rPr>
          <w:rFonts w:ascii="微軟正黑體" w:eastAsia="微軟正黑體" w:hAnsi="微軟正黑體" w:hint="eastAsia"/>
        </w:rPr>
        <w:t>件</w:t>
      </w:r>
      <w:r>
        <w:rPr>
          <w:rFonts w:ascii="微軟正黑體" w:eastAsia="微軟正黑體" w:hAnsi="微軟正黑體" w:hint="eastAsia"/>
        </w:rPr>
        <w:t>降</w:t>
      </w:r>
      <w:r w:rsidRPr="00F0717A">
        <w:rPr>
          <w:rFonts w:ascii="微軟正黑體" w:eastAsia="微軟正黑體" w:hAnsi="微軟正黑體" w:hint="eastAsia"/>
        </w:rPr>
        <w:t>至10</w:t>
      </w:r>
      <w:r>
        <w:rPr>
          <w:rFonts w:ascii="微軟正黑體" w:eastAsia="微軟正黑體" w:hAnsi="微軟正黑體" w:hint="eastAsia"/>
        </w:rPr>
        <w:t>9</w:t>
      </w:r>
      <w:r w:rsidRPr="00F0717A">
        <w:rPr>
          <w:rFonts w:ascii="微軟正黑體" w:eastAsia="微軟正黑體" w:hAnsi="微軟正黑體" w:hint="eastAsia"/>
        </w:rPr>
        <w:t>年</w:t>
      </w:r>
      <w:r>
        <w:rPr>
          <w:rFonts w:ascii="微軟正黑體" w:eastAsia="微軟正黑體" w:hAnsi="微軟正黑體" w:hint="eastAsia"/>
        </w:rPr>
        <w:t>2</w:t>
      </w:r>
      <w:r w:rsidRPr="00F0717A">
        <w:rPr>
          <w:rFonts w:ascii="微軟正黑體" w:eastAsia="微軟正黑體" w:hAnsi="微軟正黑體" w:hint="eastAsia"/>
        </w:rPr>
        <w:t>萬</w:t>
      </w:r>
      <w:r>
        <w:rPr>
          <w:rFonts w:ascii="微軟正黑體" w:eastAsia="微軟正黑體" w:hAnsi="微軟正黑體" w:hint="eastAsia"/>
        </w:rPr>
        <w:t>9,014件，減少6.1%(-1,877</w:t>
      </w:r>
      <w:r w:rsidRPr="00F0717A">
        <w:rPr>
          <w:rFonts w:ascii="微軟正黑體" w:eastAsia="微軟正黑體" w:hAnsi="微軟正黑體" w:hint="eastAsia"/>
        </w:rPr>
        <w:t>件)。</w:t>
      </w:r>
    </w:p>
    <w:p w:rsidR="00FB2640" w:rsidRPr="00F0717A" w:rsidRDefault="00FB2640" w:rsidP="00FB2640">
      <w:pPr>
        <w:spacing w:beforeLines="30" w:before="108" w:line="400" w:lineRule="exact"/>
        <w:jc w:val="both"/>
        <w:rPr>
          <w:rFonts w:ascii="微軟正黑體" w:eastAsia="微軟正黑體" w:hAnsi="微軟正黑體"/>
        </w:rPr>
      </w:pPr>
      <w:r w:rsidRPr="00F0717A">
        <w:rPr>
          <w:rFonts w:ascii="微軟正黑體" w:eastAsia="微軟正黑體" w:hAnsi="微軟正黑體" w:hint="eastAsia"/>
        </w:rPr>
        <w:t xml:space="preserve">    以給付金額及占比觀之，「喪葬津貼」為農保主要給付項目，近10年給付金額所占比率均超過50.0%以上，10</w:t>
      </w:r>
      <w:r>
        <w:rPr>
          <w:rFonts w:ascii="微軟正黑體" w:eastAsia="微軟正黑體" w:hAnsi="微軟正黑體" w:hint="eastAsia"/>
        </w:rPr>
        <w:t>9</w:t>
      </w:r>
      <w:r w:rsidRPr="00F0717A">
        <w:rPr>
          <w:rFonts w:ascii="微軟正黑體" w:eastAsia="微軟正黑體" w:hAnsi="微軟正黑體" w:hint="eastAsia"/>
        </w:rPr>
        <w:t>年給付金額</w:t>
      </w:r>
      <w:r>
        <w:rPr>
          <w:rFonts w:ascii="微軟正黑體" w:eastAsia="微軟正黑體" w:hAnsi="微軟正黑體" w:hint="eastAsia"/>
        </w:rPr>
        <w:t>44.4</w:t>
      </w:r>
      <w:r w:rsidRPr="00F0717A">
        <w:rPr>
          <w:rFonts w:ascii="微軟正黑體" w:eastAsia="微軟正黑體" w:hAnsi="微軟正黑體" w:hint="eastAsia"/>
        </w:rPr>
        <w:t>億元，占6</w:t>
      </w:r>
      <w:r>
        <w:rPr>
          <w:rFonts w:ascii="微軟正黑體" w:eastAsia="微軟正黑體" w:hAnsi="微軟正黑體" w:hint="eastAsia"/>
        </w:rPr>
        <w:t>4.7</w:t>
      </w:r>
      <w:r w:rsidRPr="00F0717A">
        <w:rPr>
          <w:rFonts w:ascii="微軟正黑體" w:eastAsia="微軟正黑體" w:hAnsi="微軟正黑體" w:hint="eastAsia"/>
        </w:rPr>
        <w:t>%。「身心障礙給付」及「生育給付」給付金額及占比則呈現減少趨勢，10</w:t>
      </w:r>
      <w:r>
        <w:rPr>
          <w:rFonts w:ascii="微軟正黑體" w:eastAsia="微軟正黑體" w:hAnsi="微軟正黑體" w:hint="eastAsia"/>
        </w:rPr>
        <w:t>9</w:t>
      </w:r>
      <w:r w:rsidRPr="00F0717A">
        <w:rPr>
          <w:rFonts w:ascii="微軟正黑體" w:eastAsia="微軟正黑體" w:hAnsi="微軟正黑體" w:hint="eastAsia"/>
        </w:rPr>
        <w:t>年分別為</w:t>
      </w:r>
      <w:r>
        <w:rPr>
          <w:rFonts w:ascii="微軟正黑體" w:eastAsia="微軟正黑體" w:hAnsi="微軟正黑體" w:hint="eastAsia"/>
        </w:rPr>
        <w:t>23.8</w:t>
      </w:r>
      <w:r w:rsidRPr="00F0717A">
        <w:rPr>
          <w:rFonts w:ascii="微軟正黑體" w:eastAsia="微軟正黑體" w:hAnsi="微軟正黑體" w:hint="eastAsia"/>
        </w:rPr>
        <w:t>億元(占</w:t>
      </w:r>
      <w:r>
        <w:rPr>
          <w:rFonts w:ascii="微軟正黑體" w:eastAsia="微軟正黑體" w:hAnsi="微軟正黑體" w:hint="eastAsia"/>
        </w:rPr>
        <w:t>34</w:t>
      </w:r>
      <w:r w:rsidRPr="00F0717A">
        <w:rPr>
          <w:rFonts w:ascii="微軟正黑體" w:eastAsia="微軟正黑體" w:hAnsi="微軟正黑體" w:hint="eastAsia"/>
        </w:rPr>
        <w:t>.</w:t>
      </w:r>
      <w:r>
        <w:rPr>
          <w:rFonts w:ascii="微軟正黑體" w:eastAsia="微軟正黑體" w:hAnsi="微軟正黑體" w:hint="eastAsia"/>
        </w:rPr>
        <w:t>7</w:t>
      </w:r>
      <w:r w:rsidRPr="00F0717A">
        <w:rPr>
          <w:rFonts w:ascii="微軟正黑體" w:eastAsia="微軟正黑體" w:hAnsi="微軟正黑體" w:hint="eastAsia"/>
        </w:rPr>
        <w:t>%)及0.</w:t>
      </w:r>
      <w:r>
        <w:rPr>
          <w:rFonts w:ascii="微軟正黑體" w:eastAsia="微軟正黑體" w:hAnsi="微軟正黑體" w:hint="eastAsia"/>
        </w:rPr>
        <w:t>4</w:t>
      </w:r>
      <w:r w:rsidRPr="00F0717A">
        <w:rPr>
          <w:rFonts w:ascii="微軟正黑體" w:eastAsia="微軟正黑體" w:hAnsi="微軟正黑體" w:hint="eastAsia"/>
        </w:rPr>
        <w:t>億元(占0.</w:t>
      </w:r>
      <w:r>
        <w:rPr>
          <w:rFonts w:ascii="微軟正黑體" w:eastAsia="微軟正黑體" w:hAnsi="微軟正黑體" w:hint="eastAsia"/>
        </w:rPr>
        <w:t>6</w:t>
      </w:r>
      <w:r w:rsidRPr="00F0717A">
        <w:rPr>
          <w:rFonts w:ascii="微軟正黑體" w:eastAsia="微軟正黑體" w:hAnsi="微軟正黑體" w:hint="eastAsia"/>
        </w:rPr>
        <w:t>%)。</w:t>
      </w:r>
    </w:p>
    <w:p w:rsidR="00FB2640" w:rsidRPr="00F0717A" w:rsidRDefault="00FB2640" w:rsidP="00FB2640">
      <w:pPr>
        <w:spacing w:beforeLines="30" w:before="108" w:line="400" w:lineRule="exact"/>
        <w:jc w:val="both"/>
        <w:rPr>
          <w:rFonts w:ascii="微軟正黑體" w:eastAsia="微軟正黑體" w:hAnsi="微軟正黑體"/>
        </w:rPr>
      </w:pPr>
    </w:p>
    <w:p w:rsidR="00FB2640" w:rsidRDefault="00FB2640" w:rsidP="00FB2640">
      <w:pPr>
        <w:spacing w:beforeLines="30" w:before="108" w:line="400" w:lineRule="exact"/>
        <w:jc w:val="both"/>
        <w:rPr>
          <w:rFonts w:ascii="微軟正黑體" w:eastAsia="微軟正黑體" w:hAnsi="微軟正黑體"/>
        </w:rPr>
      </w:pPr>
    </w:p>
    <w:p w:rsidR="00FB2640" w:rsidRPr="00F0717A" w:rsidRDefault="00FB2640" w:rsidP="00FB2640">
      <w:pPr>
        <w:spacing w:beforeLines="30" w:before="108" w:line="400" w:lineRule="exact"/>
        <w:jc w:val="both"/>
        <w:rPr>
          <w:rFonts w:ascii="微軟正黑體" w:eastAsia="微軟正黑體" w:hAnsi="微軟正黑體"/>
        </w:rPr>
      </w:pPr>
    </w:p>
    <w:p w:rsidR="00FB2640" w:rsidRPr="00F0717A" w:rsidRDefault="00FB2640" w:rsidP="00FB2640">
      <w:pPr>
        <w:spacing w:beforeLines="30" w:before="108" w:line="400" w:lineRule="exact"/>
        <w:jc w:val="both"/>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93152" behindDoc="0" locked="0" layoutInCell="1" allowOverlap="1" wp14:anchorId="34C86582" wp14:editId="06EB0818">
            <wp:simplePos x="0" y="0"/>
            <wp:positionH relativeFrom="column">
              <wp:posOffset>-3175</wp:posOffset>
            </wp:positionH>
            <wp:positionV relativeFrom="paragraph">
              <wp:posOffset>-26035</wp:posOffset>
            </wp:positionV>
            <wp:extent cx="5765800" cy="3657600"/>
            <wp:effectExtent l="0" t="0" r="25400" b="19050"/>
            <wp:wrapNone/>
            <wp:docPr id="265" name="圖表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beforeLines="50" w:before="180" w:line="400" w:lineRule="exact"/>
        <w:jc w:val="center"/>
        <w:rPr>
          <w:rFonts w:ascii="微軟正黑體" w:eastAsia="微軟正黑體" w:hAnsi="微軟正黑體"/>
        </w:rPr>
      </w:pPr>
      <w:r w:rsidRPr="00F0717A">
        <w:rPr>
          <w:rFonts w:ascii="微軟正黑體" w:eastAsia="微軟正黑體" w:hAnsi="微軟正黑體" w:hint="eastAsia"/>
        </w:rPr>
        <w:t>圖2.3</w:t>
      </w:r>
      <w:r>
        <w:rPr>
          <w:rFonts w:ascii="微軟正黑體" w:eastAsia="微軟正黑體" w:hAnsi="微軟正黑體" w:hint="eastAsia"/>
        </w:rPr>
        <w:t>3</w:t>
      </w:r>
      <w:r w:rsidRPr="00F0717A">
        <w:rPr>
          <w:rFonts w:ascii="微軟正黑體" w:eastAsia="微軟正黑體" w:hAnsi="微軟正黑體" w:hint="eastAsia"/>
        </w:rPr>
        <w:t xml:space="preserve">  近10年農保各項給付件數及金額變動情形</w:t>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afterLines="30" w:after="108" w:line="400" w:lineRule="exact"/>
        <w:jc w:val="center"/>
        <w:rPr>
          <w:rFonts w:ascii="微軟正黑體" w:eastAsia="微軟正黑體" w:hAnsi="微軟正黑體"/>
        </w:rPr>
      </w:pPr>
      <w:r w:rsidRPr="00F0717A">
        <w:rPr>
          <w:rFonts w:ascii="微軟正黑體" w:eastAsia="微軟正黑體" w:hAnsi="微軟正黑體" w:hint="eastAsia"/>
        </w:rPr>
        <w:t>表2.11  近10年農保各項給付件數及金額</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877"/>
        <w:gridCol w:w="680"/>
        <w:gridCol w:w="807"/>
        <w:gridCol w:w="737"/>
        <w:gridCol w:w="567"/>
        <w:gridCol w:w="567"/>
        <w:gridCol w:w="850"/>
        <w:gridCol w:w="709"/>
        <w:gridCol w:w="709"/>
        <w:gridCol w:w="851"/>
        <w:gridCol w:w="709"/>
        <w:gridCol w:w="709"/>
      </w:tblGrid>
      <w:tr w:rsidR="00FB2640" w:rsidRPr="00F0717A" w:rsidTr="008F1977">
        <w:tc>
          <w:tcPr>
            <w:tcW w:w="575" w:type="dxa"/>
            <w:vMerge w:val="restart"/>
            <w:vAlign w:val="center"/>
          </w:tcPr>
          <w:p w:rsidR="00FB2640" w:rsidRPr="00F0717A" w:rsidRDefault="00FB2640" w:rsidP="008F1977">
            <w:pPr>
              <w:spacing w:line="280" w:lineRule="exact"/>
              <w:jc w:val="center"/>
              <w:rPr>
                <w:rFonts w:eastAsia="微軟正黑體"/>
                <w:sz w:val="22"/>
                <w:szCs w:val="22"/>
              </w:rPr>
            </w:pPr>
            <w:r w:rsidRPr="00F0717A">
              <w:rPr>
                <w:rFonts w:eastAsia="微軟正黑體"/>
                <w:sz w:val="22"/>
                <w:szCs w:val="22"/>
              </w:rPr>
              <w:t>年度</w:t>
            </w:r>
          </w:p>
        </w:tc>
        <w:tc>
          <w:tcPr>
            <w:tcW w:w="2364" w:type="dxa"/>
            <w:gridSpan w:val="3"/>
            <w:tcBorders>
              <w:right w:val="double" w:sz="4" w:space="0" w:color="auto"/>
            </w:tcBorders>
          </w:tcPr>
          <w:p w:rsidR="00FB2640" w:rsidRPr="00F0717A" w:rsidRDefault="00FB2640" w:rsidP="008F1977">
            <w:pPr>
              <w:spacing w:line="400" w:lineRule="exact"/>
              <w:jc w:val="center"/>
              <w:rPr>
                <w:rFonts w:eastAsia="微軟正黑體"/>
                <w:b/>
                <w:sz w:val="22"/>
                <w:szCs w:val="22"/>
              </w:rPr>
            </w:pPr>
            <w:r w:rsidRPr="00F0717A">
              <w:rPr>
                <w:rFonts w:eastAsia="微軟正黑體" w:hint="eastAsia"/>
                <w:b/>
                <w:sz w:val="22"/>
                <w:szCs w:val="22"/>
              </w:rPr>
              <w:t>總</w:t>
            </w:r>
            <w:r w:rsidRPr="00F0717A">
              <w:rPr>
                <w:rFonts w:eastAsia="微軟正黑體" w:hint="eastAsia"/>
                <w:b/>
                <w:sz w:val="22"/>
                <w:szCs w:val="22"/>
              </w:rPr>
              <w:t xml:space="preserve">  </w:t>
            </w:r>
            <w:r w:rsidRPr="00F0717A">
              <w:rPr>
                <w:rFonts w:eastAsia="微軟正黑體" w:hint="eastAsia"/>
                <w:b/>
                <w:sz w:val="22"/>
                <w:szCs w:val="22"/>
              </w:rPr>
              <w:t>計</w:t>
            </w:r>
          </w:p>
        </w:tc>
        <w:tc>
          <w:tcPr>
            <w:tcW w:w="1871" w:type="dxa"/>
            <w:gridSpan w:val="3"/>
            <w:tcBorders>
              <w:left w:val="double" w:sz="4" w:space="0" w:color="auto"/>
            </w:tcBorders>
          </w:tcPr>
          <w:p w:rsidR="00FB2640" w:rsidRPr="00F0717A" w:rsidRDefault="00FB2640" w:rsidP="008F1977">
            <w:pPr>
              <w:spacing w:line="400" w:lineRule="exact"/>
              <w:jc w:val="center"/>
              <w:rPr>
                <w:rFonts w:eastAsia="微軟正黑體"/>
                <w:sz w:val="22"/>
                <w:szCs w:val="22"/>
              </w:rPr>
            </w:pPr>
            <w:r w:rsidRPr="00F0717A">
              <w:rPr>
                <w:rFonts w:eastAsia="微軟正黑體" w:hint="eastAsia"/>
                <w:sz w:val="22"/>
                <w:szCs w:val="22"/>
              </w:rPr>
              <w:t>生育給付</w:t>
            </w:r>
          </w:p>
        </w:tc>
        <w:tc>
          <w:tcPr>
            <w:tcW w:w="2268" w:type="dxa"/>
            <w:gridSpan w:val="3"/>
          </w:tcPr>
          <w:p w:rsidR="00FB2640" w:rsidRPr="00F0717A" w:rsidRDefault="00FB2640" w:rsidP="008F1977">
            <w:pPr>
              <w:spacing w:line="400" w:lineRule="exact"/>
              <w:jc w:val="center"/>
              <w:rPr>
                <w:rFonts w:eastAsia="微軟正黑體"/>
                <w:sz w:val="22"/>
                <w:szCs w:val="22"/>
              </w:rPr>
            </w:pPr>
            <w:r w:rsidRPr="00F0717A">
              <w:rPr>
                <w:rFonts w:eastAsia="微軟正黑體" w:hint="eastAsia"/>
                <w:sz w:val="22"/>
                <w:szCs w:val="22"/>
              </w:rPr>
              <w:t>身心障礙給付</w:t>
            </w:r>
          </w:p>
        </w:tc>
        <w:tc>
          <w:tcPr>
            <w:tcW w:w="2269" w:type="dxa"/>
            <w:gridSpan w:val="3"/>
          </w:tcPr>
          <w:p w:rsidR="00FB2640" w:rsidRPr="00F0717A" w:rsidRDefault="00FB2640" w:rsidP="008F1977">
            <w:pPr>
              <w:spacing w:line="400" w:lineRule="exact"/>
              <w:jc w:val="center"/>
              <w:rPr>
                <w:rFonts w:eastAsia="微軟正黑體"/>
                <w:sz w:val="22"/>
                <w:szCs w:val="22"/>
              </w:rPr>
            </w:pPr>
            <w:r w:rsidRPr="00F0717A">
              <w:rPr>
                <w:rFonts w:eastAsia="微軟正黑體" w:hint="eastAsia"/>
                <w:sz w:val="22"/>
                <w:szCs w:val="22"/>
              </w:rPr>
              <w:t>喪葬津貼</w:t>
            </w:r>
          </w:p>
        </w:tc>
      </w:tr>
      <w:tr w:rsidR="00FB2640" w:rsidRPr="00F0717A" w:rsidTr="008F1977">
        <w:trPr>
          <w:trHeight w:val="808"/>
        </w:trPr>
        <w:tc>
          <w:tcPr>
            <w:tcW w:w="575" w:type="dxa"/>
            <w:vMerge/>
          </w:tcPr>
          <w:p w:rsidR="00FB2640" w:rsidRPr="00F0717A" w:rsidRDefault="00FB2640" w:rsidP="008F1977">
            <w:pPr>
              <w:spacing w:line="400" w:lineRule="exact"/>
              <w:rPr>
                <w:rFonts w:eastAsia="微軟正黑體"/>
              </w:rPr>
            </w:pPr>
          </w:p>
        </w:tc>
        <w:tc>
          <w:tcPr>
            <w:tcW w:w="877" w:type="dxa"/>
            <w:vAlign w:val="center"/>
          </w:tcPr>
          <w:p w:rsidR="00FB2640" w:rsidRPr="00A67972" w:rsidRDefault="00FB2640" w:rsidP="008F1977">
            <w:pPr>
              <w:spacing w:line="280" w:lineRule="exact"/>
              <w:jc w:val="center"/>
              <w:rPr>
                <w:rFonts w:eastAsia="微軟正黑體"/>
                <w:b/>
                <w:sz w:val="22"/>
                <w:szCs w:val="22"/>
              </w:rPr>
            </w:pPr>
            <w:r w:rsidRPr="00F0717A">
              <w:rPr>
                <w:rFonts w:eastAsia="微軟正黑體" w:hint="eastAsia"/>
                <w:b/>
                <w:sz w:val="22"/>
                <w:szCs w:val="22"/>
              </w:rPr>
              <w:t>件數</w:t>
            </w:r>
          </w:p>
        </w:tc>
        <w:tc>
          <w:tcPr>
            <w:tcW w:w="680" w:type="dxa"/>
            <w:vAlign w:val="center"/>
          </w:tcPr>
          <w:p w:rsidR="00FB2640" w:rsidRPr="00A67972" w:rsidRDefault="00FB2640" w:rsidP="008F1977">
            <w:pPr>
              <w:spacing w:line="280" w:lineRule="exact"/>
              <w:jc w:val="center"/>
              <w:rPr>
                <w:rFonts w:eastAsia="微軟正黑體"/>
                <w:b/>
                <w:sz w:val="22"/>
                <w:szCs w:val="22"/>
              </w:rPr>
            </w:pPr>
            <w:r w:rsidRPr="00F0717A">
              <w:rPr>
                <w:rFonts w:eastAsia="微軟正黑體" w:hint="eastAsia"/>
                <w:b/>
                <w:sz w:val="22"/>
                <w:szCs w:val="22"/>
              </w:rPr>
              <w:t>金額</w:t>
            </w:r>
          </w:p>
        </w:tc>
        <w:tc>
          <w:tcPr>
            <w:tcW w:w="807" w:type="dxa"/>
            <w:tcBorders>
              <w:right w:val="double" w:sz="4" w:space="0" w:color="auto"/>
            </w:tcBorders>
            <w:vAlign w:val="center"/>
          </w:tcPr>
          <w:p w:rsidR="00FB2640" w:rsidRPr="00A67972" w:rsidRDefault="00FB2640" w:rsidP="008F1977">
            <w:pPr>
              <w:spacing w:line="280" w:lineRule="exact"/>
              <w:jc w:val="center"/>
              <w:rPr>
                <w:rFonts w:ascii="微軟正黑體" w:eastAsia="微軟正黑體" w:hAnsi="微軟正黑體"/>
                <w:b/>
                <w:sz w:val="22"/>
                <w:szCs w:val="22"/>
              </w:rPr>
            </w:pPr>
            <w:r w:rsidRPr="00F0717A">
              <w:rPr>
                <w:rFonts w:ascii="微軟正黑體" w:eastAsia="微軟正黑體" w:hAnsi="微軟正黑體" w:hint="eastAsia"/>
                <w:b/>
                <w:sz w:val="22"/>
                <w:szCs w:val="22"/>
              </w:rPr>
              <w:t>金額占</w:t>
            </w:r>
            <w:r w:rsidRPr="00E61842">
              <w:rPr>
                <w:rFonts w:ascii="微軟正黑體" w:eastAsia="微軟正黑體" w:hAnsi="微軟正黑體" w:hint="eastAsia"/>
                <w:b/>
                <w:sz w:val="22"/>
                <w:szCs w:val="22"/>
              </w:rPr>
              <w:t>比</w:t>
            </w:r>
          </w:p>
        </w:tc>
        <w:tc>
          <w:tcPr>
            <w:tcW w:w="737" w:type="dxa"/>
            <w:tcBorders>
              <w:left w:val="double" w:sz="4" w:space="0" w:color="auto"/>
            </w:tcBorders>
            <w:vAlign w:val="center"/>
          </w:tcPr>
          <w:p w:rsidR="00FB2640" w:rsidRPr="00A67972" w:rsidRDefault="00FB2640" w:rsidP="008F1977">
            <w:pPr>
              <w:spacing w:line="280" w:lineRule="exact"/>
              <w:jc w:val="center"/>
              <w:rPr>
                <w:rFonts w:eastAsia="微軟正黑體"/>
                <w:sz w:val="22"/>
                <w:szCs w:val="22"/>
              </w:rPr>
            </w:pPr>
            <w:r w:rsidRPr="00F0717A">
              <w:rPr>
                <w:rFonts w:eastAsia="微軟正黑體" w:hint="eastAsia"/>
                <w:sz w:val="22"/>
                <w:szCs w:val="22"/>
              </w:rPr>
              <w:t>件數</w:t>
            </w:r>
          </w:p>
        </w:tc>
        <w:tc>
          <w:tcPr>
            <w:tcW w:w="567" w:type="dxa"/>
            <w:vAlign w:val="center"/>
          </w:tcPr>
          <w:p w:rsidR="00FB2640" w:rsidRPr="00F0717A" w:rsidRDefault="00FB2640" w:rsidP="008F1977">
            <w:pPr>
              <w:spacing w:line="280" w:lineRule="exact"/>
              <w:ind w:leftChars="-55" w:left="-132" w:rightChars="-35" w:right="-84"/>
              <w:jc w:val="center"/>
              <w:rPr>
                <w:rFonts w:eastAsia="微軟正黑體"/>
                <w:sz w:val="22"/>
                <w:szCs w:val="22"/>
              </w:rPr>
            </w:pPr>
            <w:r w:rsidRPr="00F0717A">
              <w:rPr>
                <w:rFonts w:eastAsia="微軟正黑體" w:hint="eastAsia"/>
                <w:sz w:val="22"/>
                <w:szCs w:val="22"/>
              </w:rPr>
              <w:t>金額</w:t>
            </w:r>
          </w:p>
        </w:tc>
        <w:tc>
          <w:tcPr>
            <w:tcW w:w="567" w:type="dxa"/>
            <w:vAlign w:val="center"/>
          </w:tcPr>
          <w:p w:rsidR="00FB2640" w:rsidRPr="00F0717A" w:rsidRDefault="00FB2640" w:rsidP="008F1977">
            <w:pPr>
              <w:spacing w:line="280" w:lineRule="exact"/>
              <w:ind w:leftChars="-55" w:left="-132" w:rightChars="-35" w:right="-84"/>
              <w:jc w:val="center"/>
              <w:rPr>
                <w:rFonts w:eastAsia="微軟正黑體"/>
                <w:sz w:val="22"/>
                <w:szCs w:val="22"/>
              </w:rPr>
            </w:pPr>
            <w:r w:rsidRPr="00E61842">
              <w:rPr>
                <w:rFonts w:eastAsia="微軟正黑體" w:hint="eastAsia"/>
                <w:sz w:val="22"/>
                <w:szCs w:val="22"/>
              </w:rPr>
              <w:t>金額占</w:t>
            </w:r>
            <w:r w:rsidRPr="00E61842">
              <w:rPr>
                <w:rFonts w:ascii="微軟正黑體" w:eastAsia="微軟正黑體" w:hAnsi="微軟正黑體" w:hint="eastAsia"/>
                <w:sz w:val="22"/>
                <w:szCs w:val="22"/>
              </w:rPr>
              <w:t>比</w:t>
            </w:r>
          </w:p>
        </w:tc>
        <w:tc>
          <w:tcPr>
            <w:tcW w:w="850" w:type="dxa"/>
            <w:vAlign w:val="center"/>
          </w:tcPr>
          <w:p w:rsidR="00FB2640" w:rsidRPr="00F0717A" w:rsidRDefault="00FB2640" w:rsidP="008F1977">
            <w:pPr>
              <w:spacing w:line="280" w:lineRule="exact"/>
              <w:jc w:val="center"/>
              <w:rPr>
                <w:rFonts w:eastAsia="微軟正黑體"/>
                <w:sz w:val="22"/>
                <w:szCs w:val="22"/>
              </w:rPr>
            </w:pPr>
            <w:r w:rsidRPr="00F0717A">
              <w:rPr>
                <w:rFonts w:eastAsia="微軟正黑體" w:hint="eastAsia"/>
                <w:sz w:val="22"/>
                <w:szCs w:val="22"/>
              </w:rPr>
              <w:t>件數</w:t>
            </w:r>
          </w:p>
        </w:tc>
        <w:tc>
          <w:tcPr>
            <w:tcW w:w="709" w:type="dxa"/>
            <w:vAlign w:val="center"/>
          </w:tcPr>
          <w:p w:rsidR="00FB2640" w:rsidRPr="00A67972" w:rsidRDefault="00FB2640" w:rsidP="008F1977">
            <w:pPr>
              <w:spacing w:line="280" w:lineRule="exact"/>
              <w:jc w:val="center"/>
              <w:rPr>
                <w:rFonts w:eastAsia="微軟正黑體"/>
                <w:sz w:val="22"/>
                <w:szCs w:val="22"/>
              </w:rPr>
            </w:pPr>
            <w:r w:rsidRPr="00A67972">
              <w:rPr>
                <w:rFonts w:eastAsia="微軟正黑體" w:hint="eastAsia"/>
                <w:sz w:val="22"/>
                <w:szCs w:val="22"/>
              </w:rPr>
              <w:t>金額</w:t>
            </w:r>
          </w:p>
        </w:tc>
        <w:tc>
          <w:tcPr>
            <w:tcW w:w="709" w:type="dxa"/>
            <w:vAlign w:val="center"/>
          </w:tcPr>
          <w:p w:rsidR="00FB2640" w:rsidRPr="00F0717A" w:rsidRDefault="00FB2640" w:rsidP="008F1977">
            <w:pPr>
              <w:spacing w:line="280" w:lineRule="exact"/>
              <w:jc w:val="center"/>
              <w:rPr>
                <w:rFonts w:eastAsia="微軟正黑體"/>
                <w:sz w:val="22"/>
                <w:szCs w:val="22"/>
              </w:rPr>
            </w:pPr>
            <w:r w:rsidRPr="00F0717A">
              <w:rPr>
                <w:rFonts w:eastAsia="微軟正黑體" w:hint="eastAsia"/>
                <w:sz w:val="22"/>
                <w:szCs w:val="22"/>
              </w:rPr>
              <w:t>金額占</w:t>
            </w:r>
            <w:r w:rsidRPr="00E61842">
              <w:rPr>
                <w:rFonts w:ascii="微軟正黑體" w:eastAsia="微軟正黑體" w:hAnsi="微軟正黑體" w:hint="eastAsia"/>
                <w:sz w:val="22"/>
                <w:szCs w:val="22"/>
              </w:rPr>
              <w:t>比</w:t>
            </w:r>
          </w:p>
        </w:tc>
        <w:tc>
          <w:tcPr>
            <w:tcW w:w="851" w:type="dxa"/>
            <w:vAlign w:val="center"/>
          </w:tcPr>
          <w:p w:rsidR="00FB2640" w:rsidRPr="00F0717A" w:rsidRDefault="00FB2640" w:rsidP="008F1977">
            <w:pPr>
              <w:spacing w:line="280" w:lineRule="exact"/>
              <w:jc w:val="center"/>
              <w:rPr>
                <w:rFonts w:eastAsia="微軟正黑體"/>
                <w:sz w:val="22"/>
                <w:szCs w:val="22"/>
              </w:rPr>
            </w:pPr>
            <w:r w:rsidRPr="00F0717A">
              <w:rPr>
                <w:rFonts w:eastAsia="微軟正黑體" w:hint="eastAsia"/>
                <w:sz w:val="22"/>
                <w:szCs w:val="22"/>
              </w:rPr>
              <w:t>件數</w:t>
            </w:r>
          </w:p>
        </w:tc>
        <w:tc>
          <w:tcPr>
            <w:tcW w:w="709" w:type="dxa"/>
            <w:vAlign w:val="center"/>
          </w:tcPr>
          <w:p w:rsidR="00FB2640" w:rsidRPr="00F0717A" w:rsidRDefault="00FB2640" w:rsidP="008F1977">
            <w:pPr>
              <w:spacing w:line="280" w:lineRule="exact"/>
              <w:jc w:val="center"/>
              <w:rPr>
                <w:rFonts w:eastAsia="微軟正黑體"/>
                <w:sz w:val="22"/>
                <w:szCs w:val="22"/>
              </w:rPr>
            </w:pPr>
            <w:r w:rsidRPr="00F0717A">
              <w:rPr>
                <w:rFonts w:eastAsia="微軟正黑體" w:hint="eastAsia"/>
                <w:sz w:val="22"/>
                <w:szCs w:val="22"/>
              </w:rPr>
              <w:t>金額</w:t>
            </w:r>
          </w:p>
        </w:tc>
        <w:tc>
          <w:tcPr>
            <w:tcW w:w="709" w:type="dxa"/>
            <w:vAlign w:val="center"/>
          </w:tcPr>
          <w:p w:rsidR="00FB2640" w:rsidRPr="00F0717A" w:rsidRDefault="00FB2640" w:rsidP="008F1977">
            <w:pPr>
              <w:spacing w:line="280" w:lineRule="exact"/>
              <w:jc w:val="center"/>
              <w:rPr>
                <w:rFonts w:eastAsia="微軟正黑體"/>
                <w:sz w:val="22"/>
                <w:szCs w:val="22"/>
              </w:rPr>
            </w:pPr>
            <w:r w:rsidRPr="00F0717A">
              <w:rPr>
                <w:rFonts w:eastAsia="微軟正黑體" w:hint="eastAsia"/>
                <w:sz w:val="22"/>
                <w:szCs w:val="22"/>
              </w:rPr>
              <w:t>金額占</w:t>
            </w:r>
            <w:r w:rsidRPr="00E61842">
              <w:rPr>
                <w:rFonts w:ascii="微軟正黑體" w:eastAsia="微軟正黑體" w:hAnsi="微軟正黑體" w:hint="eastAsia"/>
                <w:sz w:val="22"/>
                <w:szCs w:val="22"/>
              </w:rPr>
              <w:t>比</w:t>
            </w:r>
          </w:p>
        </w:tc>
      </w:tr>
      <w:tr w:rsidR="00FB2640" w:rsidRPr="00F0717A" w:rsidTr="008F1977">
        <w:trPr>
          <w:trHeight w:val="282"/>
        </w:trPr>
        <w:tc>
          <w:tcPr>
            <w:tcW w:w="575" w:type="dxa"/>
            <w:vMerge/>
            <w:vAlign w:val="center"/>
          </w:tcPr>
          <w:p w:rsidR="00FB2640" w:rsidRPr="00F0717A" w:rsidRDefault="00FB2640" w:rsidP="008F1977">
            <w:pPr>
              <w:spacing w:line="400" w:lineRule="exact"/>
              <w:jc w:val="center"/>
              <w:rPr>
                <w:rFonts w:ascii="微軟正黑體" w:eastAsia="微軟正黑體" w:hAnsi="微軟正黑體"/>
                <w:sz w:val="20"/>
              </w:rPr>
            </w:pPr>
          </w:p>
        </w:tc>
        <w:tc>
          <w:tcPr>
            <w:tcW w:w="877" w:type="dxa"/>
            <w:vAlign w:val="center"/>
          </w:tcPr>
          <w:p w:rsidR="00FB2640" w:rsidRPr="00A67972" w:rsidRDefault="00FB2640" w:rsidP="008F1977">
            <w:pPr>
              <w:spacing w:line="320" w:lineRule="exact"/>
              <w:jc w:val="center"/>
              <w:rPr>
                <w:rFonts w:ascii="微軟正黑體" w:eastAsia="微軟正黑體" w:hAnsi="微軟正黑體"/>
                <w:b/>
                <w:bCs/>
                <w:sz w:val="20"/>
              </w:rPr>
            </w:pPr>
            <w:r w:rsidRPr="00A67972">
              <w:rPr>
                <w:rFonts w:ascii="微軟正黑體" w:eastAsia="微軟正黑體" w:hAnsi="微軟正黑體" w:hint="eastAsia"/>
                <w:b/>
                <w:bCs/>
                <w:sz w:val="20"/>
              </w:rPr>
              <w:t>件</w:t>
            </w:r>
          </w:p>
        </w:tc>
        <w:tc>
          <w:tcPr>
            <w:tcW w:w="680" w:type="dxa"/>
            <w:vAlign w:val="center"/>
          </w:tcPr>
          <w:p w:rsidR="00FB2640" w:rsidRPr="00A67972" w:rsidRDefault="00FB2640" w:rsidP="008F1977">
            <w:pPr>
              <w:spacing w:line="320" w:lineRule="exact"/>
              <w:jc w:val="center"/>
              <w:rPr>
                <w:rFonts w:ascii="微軟正黑體" w:eastAsia="微軟正黑體" w:hAnsi="微軟正黑體"/>
                <w:b/>
                <w:bCs/>
                <w:sz w:val="20"/>
              </w:rPr>
            </w:pPr>
            <w:r w:rsidRPr="00A67972">
              <w:rPr>
                <w:rFonts w:ascii="微軟正黑體" w:eastAsia="微軟正黑體" w:hAnsi="微軟正黑體" w:hint="eastAsia"/>
                <w:b/>
                <w:bCs/>
                <w:sz w:val="20"/>
              </w:rPr>
              <w:t>億元</w:t>
            </w:r>
          </w:p>
        </w:tc>
        <w:tc>
          <w:tcPr>
            <w:tcW w:w="807" w:type="dxa"/>
            <w:tcBorders>
              <w:right w:val="double" w:sz="4" w:space="0" w:color="auto"/>
            </w:tcBorders>
            <w:vAlign w:val="center"/>
          </w:tcPr>
          <w:p w:rsidR="00FB2640" w:rsidRPr="00A67972" w:rsidRDefault="00FB2640" w:rsidP="008F1977">
            <w:pPr>
              <w:spacing w:line="320" w:lineRule="exact"/>
              <w:jc w:val="center"/>
              <w:rPr>
                <w:rFonts w:ascii="微軟正黑體" w:eastAsia="微軟正黑體" w:hAnsi="微軟正黑體"/>
                <w:b/>
                <w:sz w:val="20"/>
              </w:rPr>
            </w:pPr>
            <w:r w:rsidRPr="00A67972">
              <w:rPr>
                <w:rFonts w:ascii="微軟正黑體" w:eastAsia="微軟正黑體" w:hAnsi="微軟正黑體" w:hint="eastAsia"/>
                <w:b/>
                <w:sz w:val="20"/>
              </w:rPr>
              <w:t>%</w:t>
            </w:r>
          </w:p>
        </w:tc>
        <w:tc>
          <w:tcPr>
            <w:tcW w:w="737" w:type="dxa"/>
            <w:tcBorders>
              <w:left w:val="double" w:sz="4" w:space="0" w:color="auto"/>
            </w:tcBorders>
            <w:vAlign w:val="center"/>
          </w:tcPr>
          <w:p w:rsidR="00FB2640" w:rsidRPr="00A67972" w:rsidRDefault="00FB2640" w:rsidP="008F1977">
            <w:pPr>
              <w:spacing w:line="320" w:lineRule="exact"/>
              <w:jc w:val="center"/>
              <w:rPr>
                <w:rFonts w:ascii="微軟正黑體" w:eastAsia="微軟正黑體" w:hAnsi="微軟正黑體"/>
                <w:bCs/>
                <w:sz w:val="20"/>
              </w:rPr>
            </w:pPr>
            <w:r w:rsidRPr="00A67972">
              <w:rPr>
                <w:rFonts w:ascii="微軟正黑體" w:eastAsia="微軟正黑體" w:hAnsi="微軟正黑體" w:hint="eastAsia"/>
                <w:bCs/>
                <w:sz w:val="20"/>
              </w:rPr>
              <w:t>件</w:t>
            </w:r>
          </w:p>
        </w:tc>
        <w:tc>
          <w:tcPr>
            <w:tcW w:w="567" w:type="dxa"/>
            <w:vAlign w:val="center"/>
          </w:tcPr>
          <w:p w:rsidR="00FB2640" w:rsidRPr="00A67972" w:rsidRDefault="00FB2640" w:rsidP="008F1977">
            <w:pPr>
              <w:spacing w:line="320" w:lineRule="exact"/>
              <w:ind w:leftChars="-55" w:left="-132" w:rightChars="-35" w:right="-84" w:firstLineChars="66" w:firstLine="132"/>
              <w:jc w:val="both"/>
              <w:rPr>
                <w:rFonts w:ascii="微軟正黑體" w:eastAsia="微軟正黑體" w:hAnsi="微軟正黑體"/>
                <w:bCs/>
                <w:sz w:val="20"/>
              </w:rPr>
            </w:pPr>
            <w:r w:rsidRPr="00A67972">
              <w:rPr>
                <w:rFonts w:ascii="微軟正黑體" w:eastAsia="微軟正黑體" w:hAnsi="微軟正黑體" w:hint="eastAsia"/>
                <w:bCs/>
                <w:sz w:val="20"/>
              </w:rPr>
              <w:t>億元</w:t>
            </w:r>
          </w:p>
        </w:tc>
        <w:tc>
          <w:tcPr>
            <w:tcW w:w="567" w:type="dxa"/>
            <w:vAlign w:val="center"/>
          </w:tcPr>
          <w:p w:rsidR="00FB2640" w:rsidRPr="00A67972" w:rsidRDefault="00FB2640" w:rsidP="008F1977">
            <w:pPr>
              <w:spacing w:line="320" w:lineRule="exact"/>
              <w:jc w:val="center"/>
              <w:rPr>
                <w:rFonts w:ascii="微軟正黑體" w:eastAsia="微軟正黑體" w:hAnsi="微軟正黑體"/>
                <w:sz w:val="20"/>
              </w:rPr>
            </w:pPr>
            <w:r w:rsidRPr="00A67972">
              <w:rPr>
                <w:rFonts w:ascii="微軟正黑體" w:eastAsia="微軟正黑體" w:hAnsi="微軟正黑體" w:hint="eastAsia"/>
                <w:sz w:val="20"/>
              </w:rPr>
              <w:t>%</w:t>
            </w:r>
          </w:p>
        </w:tc>
        <w:tc>
          <w:tcPr>
            <w:tcW w:w="850" w:type="dxa"/>
            <w:vAlign w:val="center"/>
          </w:tcPr>
          <w:p w:rsidR="00FB2640" w:rsidRPr="00A67972" w:rsidRDefault="00FB2640" w:rsidP="008F1977">
            <w:pPr>
              <w:spacing w:line="320" w:lineRule="exact"/>
              <w:jc w:val="center"/>
              <w:rPr>
                <w:rFonts w:ascii="微軟正黑體" w:eastAsia="微軟正黑體" w:hAnsi="微軟正黑體"/>
                <w:bCs/>
                <w:sz w:val="20"/>
              </w:rPr>
            </w:pPr>
            <w:r w:rsidRPr="00A67972">
              <w:rPr>
                <w:rFonts w:ascii="微軟正黑體" w:eastAsia="微軟正黑體" w:hAnsi="微軟正黑體" w:hint="eastAsia"/>
                <w:bCs/>
                <w:sz w:val="20"/>
              </w:rPr>
              <w:t>件</w:t>
            </w:r>
          </w:p>
        </w:tc>
        <w:tc>
          <w:tcPr>
            <w:tcW w:w="709" w:type="dxa"/>
            <w:vAlign w:val="center"/>
          </w:tcPr>
          <w:p w:rsidR="00FB2640" w:rsidRPr="00A67972" w:rsidRDefault="00FB2640" w:rsidP="008F1977">
            <w:pPr>
              <w:spacing w:line="320" w:lineRule="exact"/>
              <w:jc w:val="center"/>
              <w:rPr>
                <w:rFonts w:ascii="微軟正黑體" w:eastAsia="微軟正黑體" w:hAnsi="微軟正黑體"/>
                <w:bCs/>
                <w:sz w:val="20"/>
              </w:rPr>
            </w:pPr>
            <w:r w:rsidRPr="00A67972">
              <w:rPr>
                <w:rFonts w:ascii="微軟正黑體" w:eastAsia="微軟正黑體" w:hAnsi="微軟正黑體" w:hint="eastAsia"/>
                <w:bCs/>
                <w:sz w:val="20"/>
              </w:rPr>
              <w:t>億元</w:t>
            </w:r>
          </w:p>
        </w:tc>
        <w:tc>
          <w:tcPr>
            <w:tcW w:w="709" w:type="dxa"/>
            <w:vAlign w:val="center"/>
          </w:tcPr>
          <w:p w:rsidR="00FB2640" w:rsidRPr="00A67972" w:rsidRDefault="00FB2640" w:rsidP="008F1977">
            <w:pPr>
              <w:spacing w:line="320" w:lineRule="exact"/>
              <w:jc w:val="center"/>
              <w:rPr>
                <w:rFonts w:ascii="微軟正黑體" w:eastAsia="微軟正黑體" w:hAnsi="微軟正黑體"/>
                <w:sz w:val="20"/>
              </w:rPr>
            </w:pPr>
            <w:r w:rsidRPr="00A67972">
              <w:rPr>
                <w:rFonts w:ascii="微軟正黑體" w:eastAsia="微軟正黑體" w:hAnsi="微軟正黑體" w:hint="eastAsia"/>
                <w:sz w:val="20"/>
              </w:rPr>
              <w:t>%</w:t>
            </w:r>
          </w:p>
        </w:tc>
        <w:tc>
          <w:tcPr>
            <w:tcW w:w="851" w:type="dxa"/>
            <w:vAlign w:val="center"/>
          </w:tcPr>
          <w:p w:rsidR="00FB2640" w:rsidRPr="00A67972" w:rsidRDefault="00FB2640" w:rsidP="008F1977">
            <w:pPr>
              <w:spacing w:line="320" w:lineRule="exact"/>
              <w:jc w:val="center"/>
              <w:rPr>
                <w:rFonts w:ascii="微軟正黑體" w:eastAsia="微軟正黑體" w:hAnsi="微軟正黑體"/>
                <w:bCs/>
                <w:sz w:val="20"/>
              </w:rPr>
            </w:pPr>
            <w:r w:rsidRPr="00A67972">
              <w:rPr>
                <w:rFonts w:ascii="微軟正黑體" w:eastAsia="微軟正黑體" w:hAnsi="微軟正黑體" w:hint="eastAsia"/>
                <w:bCs/>
                <w:sz w:val="20"/>
              </w:rPr>
              <w:t>件</w:t>
            </w:r>
          </w:p>
        </w:tc>
        <w:tc>
          <w:tcPr>
            <w:tcW w:w="709" w:type="dxa"/>
            <w:vAlign w:val="center"/>
          </w:tcPr>
          <w:p w:rsidR="00FB2640" w:rsidRPr="00A67972" w:rsidRDefault="00FB2640" w:rsidP="008F1977">
            <w:pPr>
              <w:spacing w:line="320" w:lineRule="exact"/>
              <w:jc w:val="center"/>
              <w:rPr>
                <w:rFonts w:ascii="微軟正黑體" w:eastAsia="微軟正黑體" w:hAnsi="微軟正黑體"/>
                <w:bCs/>
                <w:sz w:val="20"/>
              </w:rPr>
            </w:pPr>
            <w:r w:rsidRPr="00A67972">
              <w:rPr>
                <w:rFonts w:ascii="微軟正黑體" w:eastAsia="微軟正黑體" w:hAnsi="微軟正黑體" w:hint="eastAsia"/>
                <w:bCs/>
                <w:sz w:val="20"/>
              </w:rPr>
              <w:t>億元</w:t>
            </w:r>
          </w:p>
        </w:tc>
        <w:tc>
          <w:tcPr>
            <w:tcW w:w="709" w:type="dxa"/>
            <w:vAlign w:val="center"/>
          </w:tcPr>
          <w:p w:rsidR="00FB2640" w:rsidRPr="00A67972" w:rsidRDefault="00FB2640" w:rsidP="008F1977">
            <w:pPr>
              <w:spacing w:line="320" w:lineRule="exact"/>
              <w:jc w:val="center"/>
              <w:rPr>
                <w:rFonts w:ascii="微軟正黑體" w:eastAsia="微軟正黑體" w:hAnsi="微軟正黑體"/>
                <w:sz w:val="20"/>
              </w:rPr>
            </w:pPr>
            <w:r w:rsidRPr="00A67972">
              <w:rPr>
                <w:rFonts w:ascii="微軟正黑體" w:eastAsia="微軟正黑體" w:hAnsi="微軟正黑體" w:hint="eastAsia"/>
                <w:sz w:val="20"/>
              </w:rPr>
              <w:t>%</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sidRPr="00F0717A">
              <w:rPr>
                <w:rFonts w:ascii="微軟正黑體" w:eastAsia="微軟正黑體" w:hAnsi="微軟正黑體" w:hint="eastAsia"/>
                <w:sz w:val="20"/>
              </w:rPr>
              <w:t>100</w:t>
            </w:r>
          </w:p>
        </w:tc>
        <w:tc>
          <w:tcPr>
            <w:tcW w:w="877"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56,859</w:t>
            </w:r>
          </w:p>
        </w:tc>
        <w:tc>
          <w:tcPr>
            <w:tcW w:w="680"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84.9</w:t>
            </w:r>
          </w:p>
        </w:tc>
        <w:tc>
          <w:tcPr>
            <w:tcW w:w="807" w:type="dxa"/>
            <w:tcBorders>
              <w:righ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b/>
                <w:sz w:val="20"/>
              </w:rPr>
            </w:pPr>
            <w:r w:rsidRPr="00F0717A">
              <w:rPr>
                <w:rFonts w:ascii="微軟正黑體" w:eastAsia="微軟正黑體" w:hAnsi="微軟正黑體" w:hint="eastAsia"/>
                <w:b/>
                <w:sz w:val="20"/>
              </w:rPr>
              <w:t>100.0</w:t>
            </w:r>
          </w:p>
        </w:tc>
        <w:tc>
          <w:tcPr>
            <w:tcW w:w="737" w:type="dxa"/>
            <w:tcBorders>
              <w:lef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5,101</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1.1</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w:t>
            </w:r>
            <w:r>
              <w:rPr>
                <w:rFonts w:ascii="微軟正黑體" w:eastAsia="微軟正黑體" w:hAnsi="微軟正黑體" w:hint="eastAsia"/>
                <w:sz w:val="20"/>
              </w:rPr>
              <w:t>3</w:t>
            </w:r>
          </w:p>
        </w:tc>
        <w:tc>
          <w:tcPr>
            <w:tcW w:w="850"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20,867</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36.6</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43.1</w:t>
            </w:r>
          </w:p>
        </w:tc>
        <w:tc>
          <w:tcPr>
            <w:tcW w:w="851"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30,891</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47.3</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55.6</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sidRPr="00F0717A">
              <w:rPr>
                <w:rFonts w:ascii="微軟正黑體" w:eastAsia="微軟正黑體" w:hAnsi="微軟正黑體" w:hint="eastAsia"/>
                <w:sz w:val="20"/>
              </w:rPr>
              <w:t>101</w:t>
            </w:r>
          </w:p>
        </w:tc>
        <w:tc>
          <w:tcPr>
            <w:tcW w:w="877"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56,234</w:t>
            </w:r>
          </w:p>
        </w:tc>
        <w:tc>
          <w:tcPr>
            <w:tcW w:w="680"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87.1</w:t>
            </w:r>
          </w:p>
        </w:tc>
        <w:tc>
          <w:tcPr>
            <w:tcW w:w="807" w:type="dxa"/>
            <w:tcBorders>
              <w:righ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b/>
                <w:sz w:val="20"/>
              </w:rPr>
            </w:pPr>
            <w:r w:rsidRPr="00F0717A">
              <w:rPr>
                <w:rFonts w:ascii="微軟正黑體" w:eastAsia="微軟正黑體" w:hAnsi="微軟正黑體" w:hint="eastAsia"/>
                <w:b/>
                <w:sz w:val="20"/>
              </w:rPr>
              <w:t>100.0</w:t>
            </w:r>
          </w:p>
        </w:tc>
        <w:tc>
          <w:tcPr>
            <w:tcW w:w="737" w:type="dxa"/>
            <w:tcBorders>
              <w:lef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5,314</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1.1</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1.3</w:t>
            </w:r>
          </w:p>
        </w:tc>
        <w:tc>
          <w:tcPr>
            <w:tcW w:w="850"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20,166</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38.9</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44.7</w:t>
            </w:r>
          </w:p>
        </w:tc>
        <w:tc>
          <w:tcPr>
            <w:tcW w:w="851"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30,754</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47.1</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54.0</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sidRPr="00F0717A">
              <w:rPr>
                <w:rFonts w:ascii="微軟正黑體" w:eastAsia="微軟正黑體" w:hAnsi="微軟正黑體" w:hint="eastAsia"/>
                <w:sz w:val="20"/>
              </w:rPr>
              <w:t>102</w:t>
            </w:r>
          </w:p>
        </w:tc>
        <w:tc>
          <w:tcPr>
            <w:tcW w:w="877"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52,457</w:t>
            </w:r>
          </w:p>
        </w:tc>
        <w:tc>
          <w:tcPr>
            <w:tcW w:w="680"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81.8</w:t>
            </w:r>
          </w:p>
        </w:tc>
        <w:tc>
          <w:tcPr>
            <w:tcW w:w="807" w:type="dxa"/>
            <w:tcBorders>
              <w:righ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b/>
                <w:sz w:val="20"/>
              </w:rPr>
            </w:pPr>
            <w:r w:rsidRPr="00F0717A">
              <w:rPr>
                <w:rFonts w:ascii="微軟正黑體" w:eastAsia="微軟正黑體" w:hAnsi="微軟正黑體" w:hint="eastAsia"/>
                <w:b/>
                <w:sz w:val="20"/>
              </w:rPr>
              <w:t>100.0</w:t>
            </w:r>
          </w:p>
        </w:tc>
        <w:tc>
          <w:tcPr>
            <w:tcW w:w="737" w:type="dxa"/>
            <w:tcBorders>
              <w:lef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4,347</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0.9</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1.1</w:t>
            </w:r>
          </w:p>
        </w:tc>
        <w:tc>
          <w:tcPr>
            <w:tcW w:w="850"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17,654</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34.3</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41.9</w:t>
            </w:r>
          </w:p>
        </w:tc>
        <w:tc>
          <w:tcPr>
            <w:tcW w:w="851"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30,456</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46.6</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57.0</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sidRPr="00F0717A">
              <w:rPr>
                <w:rFonts w:ascii="微軟正黑體" w:eastAsia="微軟正黑體" w:hAnsi="微軟正黑體" w:hint="eastAsia"/>
                <w:sz w:val="20"/>
              </w:rPr>
              <w:t>103</w:t>
            </w:r>
          </w:p>
        </w:tc>
        <w:tc>
          <w:tcPr>
            <w:tcW w:w="877"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52,379</w:t>
            </w:r>
          </w:p>
        </w:tc>
        <w:tc>
          <w:tcPr>
            <w:tcW w:w="680"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82.3</w:t>
            </w:r>
          </w:p>
        </w:tc>
        <w:tc>
          <w:tcPr>
            <w:tcW w:w="807" w:type="dxa"/>
            <w:tcBorders>
              <w:righ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b/>
                <w:sz w:val="20"/>
              </w:rPr>
            </w:pPr>
            <w:r w:rsidRPr="00F0717A">
              <w:rPr>
                <w:rFonts w:ascii="微軟正黑體" w:eastAsia="微軟正黑體" w:hAnsi="微軟正黑體" w:hint="eastAsia"/>
                <w:b/>
                <w:sz w:val="20"/>
              </w:rPr>
              <w:t>100.0</w:t>
            </w:r>
          </w:p>
        </w:tc>
        <w:tc>
          <w:tcPr>
            <w:tcW w:w="737" w:type="dxa"/>
            <w:tcBorders>
              <w:lef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3,853</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0.8</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1.0</w:t>
            </w:r>
          </w:p>
        </w:tc>
        <w:tc>
          <w:tcPr>
            <w:tcW w:w="850"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16,771</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32.9</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40.0</w:t>
            </w:r>
          </w:p>
        </w:tc>
        <w:tc>
          <w:tcPr>
            <w:tcW w:w="851"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31,755</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48.6</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59.0</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sidRPr="00F0717A">
              <w:rPr>
                <w:rFonts w:ascii="微軟正黑體" w:eastAsia="微軟正黑體" w:hAnsi="微軟正黑體" w:hint="eastAsia"/>
                <w:sz w:val="20"/>
              </w:rPr>
              <w:t>104</w:t>
            </w:r>
          </w:p>
        </w:tc>
        <w:tc>
          <w:tcPr>
            <w:tcW w:w="877"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49,058</w:t>
            </w:r>
          </w:p>
        </w:tc>
        <w:tc>
          <w:tcPr>
            <w:tcW w:w="680"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76.7</w:t>
            </w:r>
          </w:p>
        </w:tc>
        <w:tc>
          <w:tcPr>
            <w:tcW w:w="807" w:type="dxa"/>
            <w:tcBorders>
              <w:righ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b/>
                <w:sz w:val="20"/>
              </w:rPr>
            </w:pPr>
            <w:r w:rsidRPr="00F0717A">
              <w:rPr>
                <w:rFonts w:ascii="微軟正黑體" w:eastAsia="微軟正黑體" w:hAnsi="微軟正黑體" w:hint="eastAsia"/>
                <w:b/>
                <w:sz w:val="20"/>
              </w:rPr>
              <w:t>100.0</w:t>
            </w:r>
          </w:p>
        </w:tc>
        <w:tc>
          <w:tcPr>
            <w:tcW w:w="737" w:type="dxa"/>
            <w:tcBorders>
              <w:lef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3,682</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0.8</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1.0</w:t>
            </w:r>
          </w:p>
        </w:tc>
        <w:tc>
          <w:tcPr>
            <w:tcW w:w="850"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14,507</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28.7</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37.4</w:t>
            </w:r>
          </w:p>
        </w:tc>
        <w:tc>
          <w:tcPr>
            <w:tcW w:w="851"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30,869</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47.2</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61.6</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sidRPr="00F0717A">
              <w:rPr>
                <w:rFonts w:ascii="微軟正黑體" w:eastAsia="微軟正黑體" w:hAnsi="微軟正黑體" w:hint="eastAsia"/>
                <w:sz w:val="20"/>
              </w:rPr>
              <w:t>105</w:t>
            </w:r>
          </w:p>
        </w:tc>
        <w:tc>
          <w:tcPr>
            <w:tcW w:w="877"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47,194</w:t>
            </w:r>
          </w:p>
        </w:tc>
        <w:tc>
          <w:tcPr>
            <w:tcW w:w="680" w:type="dxa"/>
            <w:vAlign w:val="center"/>
          </w:tcPr>
          <w:p w:rsidR="00FB2640" w:rsidRPr="00F0717A" w:rsidRDefault="00FB2640" w:rsidP="008F1977">
            <w:pPr>
              <w:spacing w:line="400" w:lineRule="exact"/>
              <w:jc w:val="center"/>
              <w:rPr>
                <w:rFonts w:ascii="微軟正黑體" w:eastAsia="微軟正黑體" w:hAnsi="微軟正黑體" w:cs="新細明體"/>
                <w:b/>
                <w:bCs/>
                <w:sz w:val="20"/>
              </w:rPr>
            </w:pPr>
            <w:r w:rsidRPr="00F0717A">
              <w:rPr>
                <w:rFonts w:ascii="微軟正黑體" w:eastAsia="微軟正黑體" w:hAnsi="微軟正黑體" w:hint="eastAsia"/>
                <w:b/>
                <w:bCs/>
                <w:sz w:val="20"/>
              </w:rPr>
              <w:t>75.0</w:t>
            </w:r>
          </w:p>
        </w:tc>
        <w:tc>
          <w:tcPr>
            <w:tcW w:w="807" w:type="dxa"/>
            <w:tcBorders>
              <w:righ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b/>
                <w:sz w:val="20"/>
              </w:rPr>
            </w:pPr>
            <w:r w:rsidRPr="00F0717A">
              <w:rPr>
                <w:rFonts w:ascii="微軟正黑體" w:eastAsia="微軟正黑體" w:hAnsi="微軟正黑體" w:hint="eastAsia"/>
                <w:b/>
                <w:sz w:val="20"/>
              </w:rPr>
              <w:t>100.0</w:t>
            </w:r>
          </w:p>
        </w:tc>
        <w:tc>
          <w:tcPr>
            <w:tcW w:w="737" w:type="dxa"/>
            <w:tcBorders>
              <w:lef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3,046</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0.6</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0.8</w:t>
            </w:r>
          </w:p>
        </w:tc>
        <w:tc>
          <w:tcPr>
            <w:tcW w:w="850"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12,773</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26.3</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35.</w:t>
            </w:r>
            <w:r>
              <w:rPr>
                <w:rFonts w:ascii="微軟正黑體" w:eastAsia="微軟正黑體" w:hAnsi="微軟正黑體" w:hint="eastAsia"/>
                <w:sz w:val="20"/>
              </w:rPr>
              <w:t>2</w:t>
            </w:r>
          </w:p>
        </w:tc>
        <w:tc>
          <w:tcPr>
            <w:tcW w:w="851"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31,375</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48.0</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sidRPr="00F0717A">
              <w:rPr>
                <w:rFonts w:ascii="微軟正黑體" w:eastAsia="微軟正黑體" w:hAnsi="微軟正黑體" w:hint="eastAsia"/>
                <w:sz w:val="20"/>
              </w:rPr>
              <w:t>64.0</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sidRPr="00F0717A">
              <w:rPr>
                <w:rFonts w:ascii="微軟正黑體" w:eastAsia="微軟正黑體" w:hAnsi="微軟正黑體" w:hint="eastAsia"/>
                <w:sz w:val="20"/>
              </w:rPr>
              <w:t>10</w:t>
            </w:r>
            <w:r>
              <w:rPr>
                <w:rFonts w:ascii="微軟正黑體" w:eastAsia="微軟正黑體" w:hAnsi="微軟正黑體" w:hint="eastAsia"/>
                <w:sz w:val="20"/>
              </w:rPr>
              <w:t>6</w:t>
            </w:r>
          </w:p>
        </w:tc>
        <w:tc>
          <w:tcPr>
            <w:tcW w:w="877" w:type="dxa"/>
            <w:vAlign w:val="center"/>
          </w:tcPr>
          <w:p w:rsidR="00FB2640" w:rsidRPr="00861B85" w:rsidRDefault="00FB2640" w:rsidP="008F1977">
            <w:pPr>
              <w:spacing w:line="400" w:lineRule="exact"/>
              <w:jc w:val="center"/>
              <w:rPr>
                <w:rFonts w:ascii="微軟正黑體" w:eastAsia="微軟正黑體" w:hAnsi="微軟正黑體"/>
                <w:b/>
                <w:sz w:val="20"/>
                <w:szCs w:val="20"/>
              </w:rPr>
            </w:pPr>
            <w:r w:rsidRPr="00861B85">
              <w:rPr>
                <w:rFonts w:ascii="微軟正黑體" w:eastAsia="微軟正黑體" w:hAnsi="微軟正黑體"/>
                <w:b/>
                <w:sz w:val="20"/>
                <w:szCs w:val="20"/>
              </w:rPr>
              <w:t>46,386</w:t>
            </w:r>
          </w:p>
        </w:tc>
        <w:tc>
          <w:tcPr>
            <w:tcW w:w="680" w:type="dxa"/>
            <w:vAlign w:val="center"/>
          </w:tcPr>
          <w:p w:rsidR="00FB2640" w:rsidRPr="00861B85" w:rsidRDefault="00FB2640" w:rsidP="008F1977">
            <w:pPr>
              <w:spacing w:line="400" w:lineRule="exact"/>
              <w:jc w:val="center"/>
              <w:rPr>
                <w:rFonts w:ascii="微軟正黑體" w:eastAsia="微軟正黑體" w:hAnsi="微軟正黑體"/>
                <w:b/>
                <w:sz w:val="20"/>
                <w:szCs w:val="20"/>
              </w:rPr>
            </w:pPr>
            <w:r w:rsidRPr="00861B85">
              <w:rPr>
                <w:rFonts w:ascii="微軟正黑體" w:eastAsia="微軟正黑體" w:hAnsi="微軟正黑體"/>
                <w:b/>
                <w:sz w:val="20"/>
                <w:szCs w:val="20"/>
              </w:rPr>
              <w:t>74.4</w:t>
            </w:r>
          </w:p>
        </w:tc>
        <w:tc>
          <w:tcPr>
            <w:tcW w:w="807" w:type="dxa"/>
            <w:tcBorders>
              <w:righ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b/>
                <w:sz w:val="20"/>
              </w:rPr>
            </w:pPr>
            <w:r>
              <w:rPr>
                <w:rFonts w:ascii="微軟正黑體" w:eastAsia="微軟正黑體" w:hAnsi="微軟正黑體" w:hint="eastAsia"/>
                <w:b/>
                <w:sz w:val="20"/>
              </w:rPr>
              <w:t>100.0</w:t>
            </w:r>
          </w:p>
        </w:tc>
        <w:tc>
          <w:tcPr>
            <w:tcW w:w="737" w:type="dxa"/>
            <w:tcBorders>
              <w:lef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2,781</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0.6</w:t>
            </w:r>
          </w:p>
        </w:tc>
        <w:tc>
          <w:tcPr>
            <w:tcW w:w="567"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0.8</w:t>
            </w:r>
          </w:p>
        </w:tc>
        <w:tc>
          <w:tcPr>
            <w:tcW w:w="850"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12,595</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26.4</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35.5</w:t>
            </w:r>
          </w:p>
        </w:tc>
        <w:tc>
          <w:tcPr>
            <w:tcW w:w="851"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31,010</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47.5</w:t>
            </w:r>
          </w:p>
        </w:tc>
        <w:tc>
          <w:tcPr>
            <w:tcW w:w="709" w:type="dxa"/>
            <w:vAlign w:val="center"/>
          </w:tcPr>
          <w:p w:rsidR="00FB2640" w:rsidRPr="00F0717A" w:rsidRDefault="00FB2640" w:rsidP="008F1977">
            <w:pPr>
              <w:spacing w:line="400" w:lineRule="exact"/>
              <w:jc w:val="center"/>
              <w:rPr>
                <w:rFonts w:ascii="微軟正黑體" w:eastAsia="微軟正黑體" w:hAnsi="微軟正黑體" w:cs="新細明體"/>
                <w:sz w:val="20"/>
              </w:rPr>
            </w:pPr>
            <w:r>
              <w:rPr>
                <w:rFonts w:ascii="微軟正黑體" w:eastAsia="微軟正黑體" w:hAnsi="微軟正黑體" w:cs="新細明體" w:hint="eastAsia"/>
                <w:sz w:val="20"/>
              </w:rPr>
              <w:t>63.7</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sidRPr="00F0717A">
              <w:rPr>
                <w:rFonts w:ascii="微軟正黑體" w:eastAsia="微軟正黑體" w:hAnsi="微軟正黑體" w:hint="eastAsia"/>
                <w:sz w:val="20"/>
              </w:rPr>
              <w:t>10</w:t>
            </w:r>
            <w:r>
              <w:rPr>
                <w:rFonts w:ascii="微軟正黑體" w:eastAsia="微軟正黑體" w:hAnsi="微軟正黑體" w:hint="eastAsia"/>
                <w:sz w:val="20"/>
              </w:rPr>
              <w:t>7</w:t>
            </w:r>
          </w:p>
        </w:tc>
        <w:tc>
          <w:tcPr>
            <w:tcW w:w="877" w:type="dxa"/>
            <w:vAlign w:val="center"/>
          </w:tcPr>
          <w:p w:rsidR="00FB2640" w:rsidRPr="0099725C" w:rsidRDefault="00FB2640" w:rsidP="008F1977">
            <w:pPr>
              <w:spacing w:line="400" w:lineRule="exact"/>
              <w:jc w:val="center"/>
              <w:rPr>
                <w:rFonts w:ascii="微軟正黑體" w:eastAsia="微軟正黑體" w:hAnsi="微軟正黑體" w:cs="新細明體"/>
                <w:b/>
                <w:bCs/>
                <w:sz w:val="20"/>
                <w:szCs w:val="20"/>
              </w:rPr>
            </w:pPr>
            <w:r w:rsidRPr="0099725C">
              <w:rPr>
                <w:rFonts w:ascii="微軟正黑體" w:eastAsia="微軟正黑體" w:hAnsi="微軟正黑體" w:hint="eastAsia"/>
                <w:b/>
                <w:bCs/>
                <w:sz w:val="20"/>
                <w:szCs w:val="20"/>
              </w:rPr>
              <w:t>45,518</w:t>
            </w:r>
          </w:p>
        </w:tc>
        <w:tc>
          <w:tcPr>
            <w:tcW w:w="680" w:type="dxa"/>
            <w:vAlign w:val="center"/>
          </w:tcPr>
          <w:p w:rsidR="00FB2640" w:rsidRPr="0099725C" w:rsidRDefault="00FB2640" w:rsidP="008F1977">
            <w:pPr>
              <w:spacing w:line="400" w:lineRule="exact"/>
              <w:jc w:val="center"/>
              <w:rPr>
                <w:rFonts w:ascii="微軟正黑體" w:eastAsia="微軟正黑體" w:hAnsi="微軟正黑體" w:cs="新細明體"/>
                <w:b/>
                <w:bCs/>
                <w:sz w:val="20"/>
                <w:szCs w:val="20"/>
              </w:rPr>
            </w:pPr>
            <w:r w:rsidRPr="0099725C">
              <w:rPr>
                <w:rFonts w:ascii="微軟正黑體" w:eastAsia="微軟正黑體" w:hAnsi="微軟正黑體" w:hint="eastAsia"/>
                <w:b/>
                <w:bCs/>
                <w:sz w:val="20"/>
                <w:szCs w:val="20"/>
              </w:rPr>
              <w:t>73.7</w:t>
            </w:r>
          </w:p>
        </w:tc>
        <w:tc>
          <w:tcPr>
            <w:tcW w:w="807" w:type="dxa"/>
            <w:tcBorders>
              <w:right w:val="double" w:sz="4" w:space="0" w:color="auto"/>
            </w:tcBorders>
            <w:vAlign w:val="center"/>
          </w:tcPr>
          <w:p w:rsidR="00FB2640" w:rsidRPr="00F0717A" w:rsidRDefault="00FB2640" w:rsidP="008F1977">
            <w:pPr>
              <w:spacing w:line="400" w:lineRule="exact"/>
              <w:jc w:val="center"/>
              <w:rPr>
                <w:rFonts w:ascii="微軟正黑體" w:eastAsia="微軟正黑體" w:hAnsi="微軟正黑體"/>
                <w:b/>
                <w:sz w:val="20"/>
              </w:rPr>
            </w:pPr>
            <w:r>
              <w:rPr>
                <w:rFonts w:ascii="微軟正黑體" w:eastAsia="微軟正黑體" w:hAnsi="微軟正黑體" w:hint="eastAsia"/>
                <w:b/>
                <w:sz w:val="20"/>
              </w:rPr>
              <w:t>100.0</w:t>
            </w:r>
          </w:p>
        </w:tc>
        <w:tc>
          <w:tcPr>
            <w:tcW w:w="737" w:type="dxa"/>
            <w:tcBorders>
              <w:left w:val="double" w:sz="4" w:space="0" w:color="auto"/>
            </w:tcBorders>
            <w:vAlign w:val="center"/>
          </w:tcPr>
          <w:p w:rsidR="00FB2640" w:rsidRPr="0099725C" w:rsidRDefault="00FB2640" w:rsidP="008F1977">
            <w:pPr>
              <w:spacing w:line="400" w:lineRule="exact"/>
              <w:jc w:val="center"/>
              <w:rPr>
                <w:rFonts w:ascii="微軟正黑體" w:eastAsia="微軟正黑體" w:hAnsi="微軟正黑體" w:cs="新細明體"/>
                <w:sz w:val="20"/>
                <w:szCs w:val="20"/>
              </w:rPr>
            </w:pPr>
            <w:r>
              <w:rPr>
                <w:rFonts w:ascii="微軟正黑體" w:eastAsia="微軟正黑體" w:hAnsi="微軟正黑體" w:cs="新細明體" w:hint="eastAsia"/>
                <w:sz w:val="20"/>
                <w:szCs w:val="20"/>
              </w:rPr>
              <w:t>2,459</w:t>
            </w:r>
          </w:p>
        </w:tc>
        <w:tc>
          <w:tcPr>
            <w:tcW w:w="567" w:type="dxa"/>
            <w:vAlign w:val="center"/>
          </w:tcPr>
          <w:p w:rsidR="00FB2640" w:rsidRPr="0099725C" w:rsidRDefault="00FB2640" w:rsidP="008F1977">
            <w:pPr>
              <w:spacing w:line="400" w:lineRule="exact"/>
              <w:jc w:val="center"/>
              <w:rPr>
                <w:rFonts w:ascii="微軟正黑體" w:eastAsia="微軟正黑體" w:hAnsi="微軟正黑體" w:cs="新細明體"/>
                <w:sz w:val="20"/>
                <w:szCs w:val="20"/>
              </w:rPr>
            </w:pPr>
            <w:r>
              <w:rPr>
                <w:rFonts w:ascii="微軟正黑體" w:eastAsia="微軟正黑體" w:hAnsi="微軟正黑體" w:cs="新細明體" w:hint="eastAsia"/>
                <w:sz w:val="20"/>
                <w:szCs w:val="20"/>
              </w:rPr>
              <w:t>0.5</w:t>
            </w:r>
          </w:p>
        </w:tc>
        <w:tc>
          <w:tcPr>
            <w:tcW w:w="567" w:type="dxa"/>
            <w:vAlign w:val="center"/>
          </w:tcPr>
          <w:p w:rsidR="00FB2640" w:rsidRPr="0099725C" w:rsidRDefault="00FB2640" w:rsidP="008F1977">
            <w:pPr>
              <w:spacing w:line="400" w:lineRule="exact"/>
              <w:jc w:val="center"/>
              <w:rPr>
                <w:rFonts w:ascii="微軟正黑體" w:eastAsia="微軟正黑體" w:hAnsi="微軟正黑體" w:cs="新細明體"/>
                <w:sz w:val="20"/>
                <w:szCs w:val="20"/>
              </w:rPr>
            </w:pPr>
            <w:r>
              <w:rPr>
                <w:rFonts w:ascii="微軟正黑體" w:eastAsia="微軟正黑體" w:hAnsi="微軟正黑體" w:cs="新細明體" w:hint="eastAsia"/>
                <w:sz w:val="20"/>
                <w:szCs w:val="20"/>
              </w:rPr>
              <w:t>0.7</w:t>
            </w:r>
          </w:p>
        </w:tc>
        <w:tc>
          <w:tcPr>
            <w:tcW w:w="850" w:type="dxa"/>
            <w:vAlign w:val="center"/>
          </w:tcPr>
          <w:p w:rsidR="00FB2640" w:rsidRPr="0099725C" w:rsidRDefault="00FB2640" w:rsidP="008F1977">
            <w:pPr>
              <w:spacing w:line="400" w:lineRule="exact"/>
              <w:jc w:val="center"/>
              <w:rPr>
                <w:rFonts w:ascii="微軟正黑體" w:eastAsia="微軟正黑體" w:hAnsi="微軟正黑體" w:cs="新細明體"/>
                <w:sz w:val="20"/>
                <w:szCs w:val="20"/>
              </w:rPr>
            </w:pPr>
            <w:r>
              <w:rPr>
                <w:rFonts w:ascii="微軟正黑體" w:eastAsia="微軟正黑體" w:hAnsi="微軟正黑體" w:cs="新細明體" w:hint="eastAsia"/>
                <w:sz w:val="20"/>
                <w:szCs w:val="20"/>
              </w:rPr>
              <w:t>12,481</w:t>
            </w:r>
          </w:p>
        </w:tc>
        <w:tc>
          <w:tcPr>
            <w:tcW w:w="709" w:type="dxa"/>
            <w:vAlign w:val="center"/>
          </w:tcPr>
          <w:p w:rsidR="00FB2640" w:rsidRPr="0099725C" w:rsidRDefault="00FB2640" w:rsidP="008F1977">
            <w:pPr>
              <w:spacing w:line="400" w:lineRule="exact"/>
              <w:jc w:val="center"/>
              <w:rPr>
                <w:rFonts w:ascii="微軟正黑體" w:eastAsia="微軟正黑體" w:hAnsi="微軟正黑體" w:cs="新細明體"/>
                <w:sz w:val="20"/>
                <w:szCs w:val="20"/>
              </w:rPr>
            </w:pPr>
            <w:r>
              <w:rPr>
                <w:rFonts w:ascii="微軟正黑體" w:eastAsia="微軟正黑體" w:hAnsi="微軟正黑體" w:cs="新細明體" w:hint="eastAsia"/>
                <w:sz w:val="20"/>
                <w:szCs w:val="20"/>
              </w:rPr>
              <w:t>26.4</w:t>
            </w:r>
          </w:p>
        </w:tc>
        <w:tc>
          <w:tcPr>
            <w:tcW w:w="709" w:type="dxa"/>
            <w:vAlign w:val="center"/>
          </w:tcPr>
          <w:p w:rsidR="00FB2640" w:rsidRPr="0099725C" w:rsidRDefault="00FB2640" w:rsidP="008F1977">
            <w:pPr>
              <w:spacing w:line="400" w:lineRule="exact"/>
              <w:jc w:val="center"/>
              <w:rPr>
                <w:rFonts w:ascii="微軟正黑體" w:eastAsia="微軟正黑體" w:hAnsi="微軟正黑體" w:cs="新細明體"/>
                <w:bCs/>
                <w:sz w:val="20"/>
                <w:szCs w:val="20"/>
              </w:rPr>
            </w:pPr>
            <w:r w:rsidRPr="0099725C">
              <w:rPr>
                <w:rFonts w:ascii="微軟正黑體" w:eastAsia="微軟正黑體" w:hAnsi="微軟正黑體" w:cs="新細明體" w:hint="eastAsia"/>
                <w:bCs/>
                <w:sz w:val="20"/>
                <w:szCs w:val="20"/>
              </w:rPr>
              <w:t>35.8</w:t>
            </w:r>
          </w:p>
        </w:tc>
        <w:tc>
          <w:tcPr>
            <w:tcW w:w="851" w:type="dxa"/>
            <w:vAlign w:val="center"/>
          </w:tcPr>
          <w:p w:rsidR="00FB2640" w:rsidRPr="0099725C" w:rsidRDefault="00FB2640" w:rsidP="008F1977">
            <w:pPr>
              <w:spacing w:line="400" w:lineRule="exact"/>
              <w:jc w:val="center"/>
              <w:rPr>
                <w:rFonts w:ascii="微軟正黑體" w:eastAsia="微軟正黑體" w:hAnsi="微軟正黑體" w:cs="新細明體"/>
                <w:bCs/>
                <w:sz w:val="20"/>
                <w:szCs w:val="20"/>
              </w:rPr>
            </w:pPr>
            <w:r w:rsidRPr="0099725C">
              <w:rPr>
                <w:rFonts w:ascii="微軟正黑體" w:eastAsia="微軟正黑體" w:hAnsi="微軟正黑體" w:cs="新細明體" w:hint="eastAsia"/>
                <w:bCs/>
                <w:sz w:val="20"/>
                <w:szCs w:val="20"/>
              </w:rPr>
              <w:t>30,578</w:t>
            </w:r>
          </w:p>
        </w:tc>
        <w:tc>
          <w:tcPr>
            <w:tcW w:w="709" w:type="dxa"/>
            <w:vAlign w:val="center"/>
          </w:tcPr>
          <w:p w:rsidR="00FB2640" w:rsidRPr="0099725C" w:rsidRDefault="00FB2640" w:rsidP="008F1977">
            <w:pPr>
              <w:spacing w:line="400" w:lineRule="exact"/>
              <w:jc w:val="center"/>
              <w:rPr>
                <w:rFonts w:ascii="微軟正黑體" w:eastAsia="微軟正黑體" w:hAnsi="微軟正黑體" w:cs="新細明體"/>
                <w:sz w:val="20"/>
                <w:szCs w:val="20"/>
              </w:rPr>
            </w:pPr>
            <w:r>
              <w:rPr>
                <w:rFonts w:ascii="微軟正黑體" w:eastAsia="微軟正黑體" w:hAnsi="微軟正黑體" w:cs="新細明體" w:hint="eastAsia"/>
                <w:sz w:val="20"/>
                <w:szCs w:val="20"/>
              </w:rPr>
              <w:t>46.8</w:t>
            </w:r>
          </w:p>
        </w:tc>
        <w:tc>
          <w:tcPr>
            <w:tcW w:w="709" w:type="dxa"/>
            <w:vAlign w:val="center"/>
          </w:tcPr>
          <w:p w:rsidR="00FB2640" w:rsidRPr="0099725C" w:rsidRDefault="00FB2640" w:rsidP="008F1977">
            <w:pPr>
              <w:spacing w:line="400" w:lineRule="exact"/>
              <w:jc w:val="center"/>
              <w:rPr>
                <w:rFonts w:ascii="微軟正黑體" w:eastAsia="微軟正黑體" w:hAnsi="微軟正黑體" w:cs="新細明體"/>
                <w:sz w:val="20"/>
                <w:szCs w:val="20"/>
              </w:rPr>
            </w:pPr>
            <w:r>
              <w:rPr>
                <w:rFonts w:ascii="微軟正黑體" w:eastAsia="微軟正黑體" w:hAnsi="微軟正黑體" w:cs="新細明體" w:hint="eastAsia"/>
                <w:sz w:val="20"/>
                <w:szCs w:val="20"/>
              </w:rPr>
              <w:t>63.5</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Pr>
                <w:rFonts w:ascii="微軟正黑體" w:eastAsia="微軟正黑體" w:hAnsi="微軟正黑體" w:hint="eastAsia"/>
                <w:sz w:val="20"/>
              </w:rPr>
              <w:t>108</w:t>
            </w:r>
          </w:p>
        </w:tc>
        <w:tc>
          <w:tcPr>
            <w:tcW w:w="877" w:type="dxa"/>
            <w:vAlign w:val="center"/>
          </w:tcPr>
          <w:p w:rsidR="00FB2640" w:rsidRPr="002F18DA" w:rsidRDefault="00FB2640" w:rsidP="008F1977">
            <w:pPr>
              <w:spacing w:line="400" w:lineRule="exact"/>
              <w:jc w:val="center"/>
              <w:rPr>
                <w:rFonts w:ascii="微軟正黑體" w:eastAsia="微軟正黑體" w:hAnsi="微軟正黑體"/>
                <w:b/>
                <w:bCs/>
                <w:sz w:val="20"/>
                <w:szCs w:val="20"/>
              </w:rPr>
            </w:pPr>
            <w:r w:rsidRPr="002F18DA">
              <w:rPr>
                <w:rFonts w:ascii="微軟正黑體" w:eastAsia="微軟正黑體" w:hAnsi="微軟正黑體"/>
                <w:b/>
                <w:bCs/>
                <w:sz w:val="20"/>
                <w:szCs w:val="20"/>
              </w:rPr>
              <w:t>45,001</w:t>
            </w:r>
          </w:p>
        </w:tc>
        <w:tc>
          <w:tcPr>
            <w:tcW w:w="680" w:type="dxa"/>
            <w:vAlign w:val="center"/>
          </w:tcPr>
          <w:p w:rsidR="00FB2640" w:rsidRPr="002F18DA" w:rsidRDefault="00FB2640" w:rsidP="008F1977">
            <w:pPr>
              <w:spacing w:line="400" w:lineRule="exact"/>
              <w:jc w:val="center"/>
              <w:rPr>
                <w:rFonts w:ascii="微軟正黑體" w:eastAsia="微軟正黑體" w:hAnsi="微軟正黑體"/>
                <w:b/>
                <w:bCs/>
                <w:sz w:val="20"/>
                <w:szCs w:val="20"/>
              </w:rPr>
            </w:pPr>
            <w:r w:rsidRPr="002F18DA">
              <w:rPr>
                <w:rFonts w:ascii="微軟正黑體" w:eastAsia="微軟正黑體" w:hAnsi="微軟正黑體"/>
                <w:b/>
                <w:bCs/>
                <w:sz w:val="20"/>
                <w:szCs w:val="20"/>
              </w:rPr>
              <w:t>74.0</w:t>
            </w:r>
          </w:p>
        </w:tc>
        <w:tc>
          <w:tcPr>
            <w:tcW w:w="807" w:type="dxa"/>
            <w:tcBorders>
              <w:right w:val="double" w:sz="4" w:space="0" w:color="auto"/>
            </w:tcBorders>
            <w:vAlign w:val="center"/>
          </w:tcPr>
          <w:p w:rsidR="00FB2640" w:rsidRPr="002F18DA" w:rsidRDefault="00FB2640" w:rsidP="008F1977">
            <w:pPr>
              <w:spacing w:line="400" w:lineRule="exact"/>
              <w:jc w:val="center"/>
              <w:rPr>
                <w:rFonts w:ascii="微軟正黑體" w:eastAsia="微軟正黑體" w:hAnsi="微軟正黑體"/>
                <w:b/>
                <w:bCs/>
                <w:sz w:val="20"/>
                <w:szCs w:val="20"/>
              </w:rPr>
            </w:pPr>
            <w:r>
              <w:rPr>
                <w:rFonts w:ascii="微軟正黑體" w:eastAsia="微軟正黑體" w:hAnsi="微軟正黑體" w:hint="eastAsia"/>
                <w:b/>
                <w:bCs/>
                <w:sz w:val="20"/>
                <w:szCs w:val="20"/>
              </w:rPr>
              <w:t>100.0</w:t>
            </w:r>
          </w:p>
        </w:tc>
        <w:tc>
          <w:tcPr>
            <w:tcW w:w="737" w:type="dxa"/>
            <w:tcBorders>
              <w:left w:val="double" w:sz="4" w:space="0" w:color="auto"/>
            </w:tcBorders>
            <w:vAlign w:val="center"/>
          </w:tcPr>
          <w:p w:rsidR="00FB2640" w:rsidRPr="002F18DA" w:rsidRDefault="00FB2640" w:rsidP="008F1977">
            <w:pPr>
              <w:spacing w:line="400" w:lineRule="exact"/>
              <w:jc w:val="center"/>
              <w:rPr>
                <w:rFonts w:ascii="微軟正黑體" w:eastAsia="微軟正黑體" w:hAnsi="微軟正黑體" w:cs="新細明體"/>
                <w:sz w:val="20"/>
                <w:szCs w:val="20"/>
              </w:rPr>
            </w:pPr>
            <w:r w:rsidRPr="002F18DA">
              <w:rPr>
                <w:rFonts w:ascii="微軟正黑體" w:eastAsia="微軟正黑體" w:hAnsi="微軟正黑體" w:hint="eastAsia"/>
                <w:sz w:val="20"/>
                <w:szCs w:val="20"/>
              </w:rPr>
              <w:t>2,246</w:t>
            </w:r>
          </w:p>
        </w:tc>
        <w:tc>
          <w:tcPr>
            <w:tcW w:w="567" w:type="dxa"/>
            <w:vAlign w:val="center"/>
          </w:tcPr>
          <w:p w:rsidR="00FB2640" w:rsidRPr="002F18DA" w:rsidRDefault="00FB2640" w:rsidP="008F1977">
            <w:pPr>
              <w:spacing w:line="400" w:lineRule="exact"/>
              <w:jc w:val="center"/>
              <w:rPr>
                <w:rFonts w:ascii="微軟正黑體" w:eastAsia="微軟正黑體" w:hAnsi="微軟正黑體" w:cs="新細明體"/>
                <w:sz w:val="20"/>
                <w:szCs w:val="20"/>
              </w:rPr>
            </w:pPr>
            <w:r w:rsidRPr="002F18DA">
              <w:rPr>
                <w:rFonts w:ascii="微軟正黑體" w:eastAsia="微軟正黑體" w:hAnsi="微軟正黑體" w:hint="eastAsia"/>
                <w:sz w:val="20"/>
                <w:szCs w:val="20"/>
              </w:rPr>
              <w:t>0.5</w:t>
            </w:r>
          </w:p>
        </w:tc>
        <w:tc>
          <w:tcPr>
            <w:tcW w:w="567" w:type="dxa"/>
            <w:vAlign w:val="center"/>
          </w:tcPr>
          <w:p w:rsidR="00FB2640" w:rsidRPr="00AF5786" w:rsidRDefault="00FB2640" w:rsidP="008F1977">
            <w:pPr>
              <w:spacing w:line="400" w:lineRule="exact"/>
              <w:jc w:val="center"/>
              <w:rPr>
                <w:rFonts w:ascii="微軟正黑體" w:eastAsia="微軟正黑體" w:hAnsi="微軟正黑體"/>
                <w:bCs/>
                <w:sz w:val="20"/>
                <w:szCs w:val="20"/>
              </w:rPr>
            </w:pPr>
            <w:r w:rsidRPr="00AF5786">
              <w:rPr>
                <w:rFonts w:ascii="微軟正黑體" w:eastAsia="微軟正黑體" w:hAnsi="微軟正黑體" w:hint="eastAsia"/>
                <w:bCs/>
                <w:sz w:val="20"/>
                <w:szCs w:val="20"/>
              </w:rPr>
              <w:t>0.7</w:t>
            </w:r>
          </w:p>
        </w:tc>
        <w:tc>
          <w:tcPr>
            <w:tcW w:w="850" w:type="dxa"/>
            <w:vAlign w:val="center"/>
          </w:tcPr>
          <w:p w:rsidR="00FB2640" w:rsidRPr="00AF5786" w:rsidRDefault="00FB2640" w:rsidP="008F1977">
            <w:pPr>
              <w:spacing w:line="400" w:lineRule="exact"/>
              <w:jc w:val="center"/>
              <w:rPr>
                <w:rFonts w:ascii="微軟正黑體" w:eastAsia="微軟正黑體" w:hAnsi="微軟正黑體"/>
                <w:sz w:val="20"/>
                <w:szCs w:val="20"/>
              </w:rPr>
            </w:pPr>
            <w:r w:rsidRPr="00AF5786">
              <w:rPr>
                <w:rFonts w:ascii="微軟正黑體" w:eastAsia="微軟正黑體" w:hAnsi="微軟正黑體"/>
                <w:sz w:val="20"/>
                <w:szCs w:val="20"/>
              </w:rPr>
              <w:t>12,806</w:t>
            </w:r>
          </w:p>
        </w:tc>
        <w:tc>
          <w:tcPr>
            <w:tcW w:w="709" w:type="dxa"/>
            <w:vAlign w:val="center"/>
          </w:tcPr>
          <w:p w:rsidR="00FB2640" w:rsidRPr="00AF5786" w:rsidRDefault="00FB2640" w:rsidP="008F1977">
            <w:pPr>
              <w:spacing w:line="400" w:lineRule="exact"/>
              <w:jc w:val="center"/>
              <w:rPr>
                <w:rFonts w:ascii="微軟正黑體" w:eastAsia="微軟正黑體" w:hAnsi="微軟正黑體"/>
                <w:sz w:val="20"/>
                <w:szCs w:val="20"/>
              </w:rPr>
            </w:pPr>
            <w:r w:rsidRPr="00AF5786">
              <w:rPr>
                <w:rFonts w:ascii="微軟正黑體" w:eastAsia="微軟正黑體" w:hAnsi="微軟正黑體"/>
                <w:sz w:val="20"/>
                <w:szCs w:val="20"/>
              </w:rPr>
              <w:t>27.7</w:t>
            </w:r>
          </w:p>
        </w:tc>
        <w:tc>
          <w:tcPr>
            <w:tcW w:w="709" w:type="dxa"/>
            <w:vAlign w:val="center"/>
          </w:tcPr>
          <w:p w:rsidR="00FB2640" w:rsidRPr="00AF5786" w:rsidRDefault="00FB2640" w:rsidP="008F1977">
            <w:pPr>
              <w:spacing w:line="400" w:lineRule="exact"/>
              <w:jc w:val="center"/>
              <w:rPr>
                <w:rFonts w:ascii="微軟正黑體" w:eastAsia="微軟正黑體" w:hAnsi="微軟正黑體"/>
                <w:bCs/>
                <w:sz w:val="20"/>
                <w:szCs w:val="20"/>
              </w:rPr>
            </w:pPr>
            <w:r w:rsidRPr="00AF5786">
              <w:rPr>
                <w:rFonts w:ascii="微軟正黑體" w:eastAsia="微軟正黑體" w:hAnsi="微軟正黑體" w:hint="eastAsia"/>
                <w:bCs/>
                <w:sz w:val="20"/>
                <w:szCs w:val="20"/>
              </w:rPr>
              <w:t>37.4</w:t>
            </w:r>
          </w:p>
        </w:tc>
        <w:tc>
          <w:tcPr>
            <w:tcW w:w="851" w:type="dxa"/>
            <w:vAlign w:val="center"/>
          </w:tcPr>
          <w:p w:rsidR="00FB2640" w:rsidRPr="00AF5786" w:rsidRDefault="00FB2640" w:rsidP="008F1977">
            <w:pPr>
              <w:spacing w:line="400" w:lineRule="exact"/>
              <w:jc w:val="center"/>
              <w:rPr>
                <w:rFonts w:ascii="微軟正黑體" w:eastAsia="微軟正黑體" w:hAnsi="微軟正黑體"/>
                <w:sz w:val="20"/>
                <w:szCs w:val="20"/>
              </w:rPr>
            </w:pPr>
            <w:r w:rsidRPr="00AF5786">
              <w:rPr>
                <w:rFonts w:ascii="微軟正黑體" w:eastAsia="微軟正黑體" w:hAnsi="微軟正黑體" w:hint="eastAsia"/>
                <w:sz w:val="20"/>
                <w:szCs w:val="20"/>
              </w:rPr>
              <w:t>29,949</w:t>
            </w:r>
          </w:p>
        </w:tc>
        <w:tc>
          <w:tcPr>
            <w:tcW w:w="709" w:type="dxa"/>
            <w:vAlign w:val="center"/>
          </w:tcPr>
          <w:p w:rsidR="00FB2640" w:rsidRPr="00AF5786" w:rsidRDefault="00FB2640" w:rsidP="008F1977">
            <w:pPr>
              <w:spacing w:line="400" w:lineRule="exact"/>
              <w:jc w:val="center"/>
              <w:rPr>
                <w:rFonts w:ascii="微軟正黑體" w:eastAsia="微軟正黑體" w:hAnsi="微軟正黑體"/>
                <w:sz w:val="20"/>
                <w:szCs w:val="20"/>
              </w:rPr>
            </w:pPr>
            <w:r w:rsidRPr="00AF5786">
              <w:rPr>
                <w:rFonts w:ascii="微軟正黑體" w:eastAsia="微軟正黑體" w:hAnsi="微軟正黑體" w:hint="eastAsia"/>
                <w:sz w:val="20"/>
                <w:szCs w:val="20"/>
              </w:rPr>
              <w:t>45.8</w:t>
            </w:r>
          </w:p>
        </w:tc>
        <w:tc>
          <w:tcPr>
            <w:tcW w:w="709" w:type="dxa"/>
            <w:vAlign w:val="center"/>
          </w:tcPr>
          <w:p w:rsidR="00FB2640" w:rsidRPr="00AF5786" w:rsidRDefault="00FB2640" w:rsidP="008F1977">
            <w:pPr>
              <w:spacing w:line="400" w:lineRule="exact"/>
              <w:jc w:val="center"/>
              <w:rPr>
                <w:rFonts w:ascii="微軟正黑體" w:eastAsia="微軟正黑體" w:hAnsi="微軟正黑體"/>
                <w:bCs/>
                <w:sz w:val="20"/>
                <w:szCs w:val="20"/>
              </w:rPr>
            </w:pPr>
            <w:r>
              <w:rPr>
                <w:rFonts w:ascii="微軟正黑體" w:eastAsia="微軟正黑體" w:hAnsi="微軟正黑體" w:hint="eastAsia"/>
                <w:bCs/>
                <w:sz w:val="20"/>
                <w:szCs w:val="20"/>
              </w:rPr>
              <w:t>61.9</w:t>
            </w:r>
          </w:p>
        </w:tc>
      </w:tr>
      <w:tr w:rsidR="00FB2640" w:rsidRPr="00F0717A" w:rsidTr="008F1977">
        <w:trPr>
          <w:trHeight w:val="454"/>
        </w:trPr>
        <w:tc>
          <w:tcPr>
            <w:tcW w:w="575" w:type="dxa"/>
            <w:vAlign w:val="center"/>
          </w:tcPr>
          <w:p w:rsidR="00FB2640" w:rsidRPr="00F0717A" w:rsidRDefault="00FB2640" w:rsidP="008F1977">
            <w:pPr>
              <w:spacing w:line="400" w:lineRule="exact"/>
              <w:jc w:val="center"/>
              <w:rPr>
                <w:rFonts w:ascii="微軟正黑體" w:eastAsia="微軟正黑體" w:hAnsi="微軟正黑體"/>
                <w:sz w:val="20"/>
              </w:rPr>
            </w:pPr>
            <w:r>
              <w:rPr>
                <w:rFonts w:ascii="微軟正黑體" w:eastAsia="微軟正黑體" w:hAnsi="微軟正黑體" w:hint="eastAsia"/>
                <w:sz w:val="20"/>
              </w:rPr>
              <w:t>109</w:t>
            </w:r>
          </w:p>
        </w:tc>
        <w:tc>
          <w:tcPr>
            <w:tcW w:w="877" w:type="dxa"/>
            <w:vAlign w:val="center"/>
          </w:tcPr>
          <w:p w:rsidR="00FB2640" w:rsidRPr="002F18DA" w:rsidRDefault="00FB2640" w:rsidP="008F1977">
            <w:pPr>
              <w:spacing w:line="400" w:lineRule="exact"/>
              <w:jc w:val="center"/>
              <w:rPr>
                <w:rFonts w:ascii="微軟正黑體" w:eastAsia="微軟正黑體" w:hAnsi="微軟正黑體"/>
                <w:b/>
                <w:bCs/>
                <w:sz w:val="20"/>
                <w:szCs w:val="20"/>
              </w:rPr>
            </w:pPr>
            <w:r w:rsidRPr="002F18DA">
              <w:rPr>
                <w:rFonts w:ascii="微軟正黑體" w:eastAsia="微軟正黑體" w:hAnsi="微軟正黑體"/>
                <w:b/>
                <w:bCs/>
                <w:sz w:val="20"/>
                <w:szCs w:val="20"/>
              </w:rPr>
              <w:t>42,309</w:t>
            </w:r>
          </w:p>
        </w:tc>
        <w:tc>
          <w:tcPr>
            <w:tcW w:w="680" w:type="dxa"/>
            <w:vAlign w:val="center"/>
          </w:tcPr>
          <w:p w:rsidR="00FB2640" w:rsidRPr="002F18DA" w:rsidRDefault="00FB2640" w:rsidP="008F1977">
            <w:pPr>
              <w:spacing w:line="400" w:lineRule="exact"/>
              <w:jc w:val="center"/>
              <w:rPr>
                <w:rFonts w:ascii="微軟正黑體" w:eastAsia="微軟正黑體" w:hAnsi="微軟正黑體"/>
                <w:b/>
                <w:bCs/>
                <w:sz w:val="20"/>
                <w:szCs w:val="20"/>
              </w:rPr>
            </w:pPr>
            <w:r w:rsidRPr="002F18DA">
              <w:rPr>
                <w:rFonts w:ascii="微軟正黑體" w:eastAsia="微軟正黑體" w:hAnsi="微軟正黑體"/>
                <w:b/>
                <w:bCs/>
                <w:sz w:val="20"/>
                <w:szCs w:val="20"/>
              </w:rPr>
              <w:t>68.</w:t>
            </w:r>
            <w:r>
              <w:rPr>
                <w:rFonts w:ascii="微軟正黑體" w:eastAsia="微軟正黑體" w:hAnsi="微軟正黑體" w:hint="eastAsia"/>
                <w:b/>
                <w:bCs/>
                <w:sz w:val="20"/>
                <w:szCs w:val="20"/>
              </w:rPr>
              <w:t>6</w:t>
            </w:r>
          </w:p>
        </w:tc>
        <w:tc>
          <w:tcPr>
            <w:tcW w:w="807" w:type="dxa"/>
            <w:tcBorders>
              <w:right w:val="double" w:sz="4" w:space="0" w:color="auto"/>
            </w:tcBorders>
            <w:vAlign w:val="center"/>
          </w:tcPr>
          <w:p w:rsidR="00FB2640" w:rsidRPr="002F18DA" w:rsidRDefault="00FB2640" w:rsidP="008F1977">
            <w:pPr>
              <w:spacing w:line="400" w:lineRule="exact"/>
              <w:jc w:val="center"/>
              <w:rPr>
                <w:rFonts w:ascii="微軟正黑體" w:eastAsia="微軟正黑體" w:hAnsi="微軟正黑體"/>
                <w:b/>
                <w:bCs/>
                <w:sz w:val="20"/>
                <w:szCs w:val="20"/>
              </w:rPr>
            </w:pPr>
            <w:r>
              <w:rPr>
                <w:rFonts w:ascii="微軟正黑體" w:eastAsia="微軟正黑體" w:hAnsi="微軟正黑體" w:hint="eastAsia"/>
                <w:b/>
                <w:bCs/>
                <w:sz w:val="20"/>
                <w:szCs w:val="20"/>
              </w:rPr>
              <w:t>100.0</w:t>
            </w:r>
          </w:p>
        </w:tc>
        <w:tc>
          <w:tcPr>
            <w:tcW w:w="737" w:type="dxa"/>
            <w:tcBorders>
              <w:left w:val="double" w:sz="4" w:space="0" w:color="auto"/>
            </w:tcBorders>
            <w:vAlign w:val="center"/>
          </w:tcPr>
          <w:p w:rsidR="00FB2640" w:rsidRPr="002F18DA" w:rsidRDefault="00FB2640" w:rsidP="008F1977">
            <w:pPr>
              <w:spacing w:line="400" w:lineRule="exact"/>
              <w:jc w:val="center"/>
              <w:rPr>
                <w:rFonts w:ascii="微軟正黑體" w:eastAsia="微軟正黑體" w:hAnsi="微軟正黑體" w:cs="新細明體"/>
                <w:sz w:val="20"/>
                <w:szCs w:val="20"/>
              </w:rPr>
            </w:pPr>
            <w:r w:rsidRPr="002F18DA">
              <w:rPr>
                <w:rFonts w:ascii="微軟正黑體" w:eastAsia="微軟正黑體" w:hAnsi="微軟正黑體" w:hint="eastAsia"/>
                <w:sz w:val="20"/>
                <w:szCs w:val="20"/>
              </w:rPr>
              <w:t>2,181</w:t>
            </w:r>
          </w:p>
        </w:tc>
        <w:tc>
          <w:tcPr>
            <w:tcW w:w="567" w:type="dxa"/>
            <w:vAlign w:val="center"/>
          </w:tcPr>
          <w:p w:rsidR="00FB2640" w:rsidRPr="002F18DA" w:rsidRDefault="00FB2640" w:rsidP="008F1977">
            <w:pPr>
              <w:spacing w:line="400" w:lineRule="exact"/>
              <w:jc w:val="center"/>
              <w:rPr>
                <w:rFonts w:ascii="微軟正黑體" w:eastAsia="微軟正黑體" w:hAnsi="微軟正黑體" w:cs="新細明體"/>
                <w:sz w:val="20"/>
                <w:szCs w:val="20"/>
              </w:rPr>
            </w:pPr>
            <w:r w:rsidRPr="002F18DA">
              <w:rPr>
                <w:rFonts w:ascii="微軟正黑體" w:eastAsia="微軟正黑體" w:hAnsi="微軟正黑體" w:hint="eastAsia"/>
                <w:sz w:val="20"/>
                <w:szCs w:val="20"/>
              </w:rPr>
              <w:t>0.4</w:t>
            </w:r>
          </w:p>
        </w:tc>
        <w:tc>
          <w:tcPr>
            <w:tcW w:w="567" w:type="dxa"/>
            <w:vAlign w:val="center"/>
          </w:tcPr>
          <w:p w:rsidR="00FB2640" w:rsidRPr="00AF5786" w:rsidRDefault="00FB2640" w:rsidP="008F1977">
            <w:pPr>
              <w:spacing w:line="400" w:lineRule="exact"/>
              <w:jc w:val="center"/>
              <w:rPr>
                <w:rFonts w:ascii="微軟正黑體" w:eastAsia="微軟正黑體" w:hAnsi="微軟正黑體"/>
                <w:bCs/>
                <w:sz w:val="20"/>
                <w:szCs w:val="20"/>
              </w:rPr>
            </w:pPr>
            <w:r w:rsidRPr="00AF5786">
              <w:rPr>
                <w:rFonts w:ascii="微軟正黑體" w:eastAsia="微軟正黑體" w:hAnsi="微軟正黑體" w:hint="eastAsia"/>
                <w:bCs/>
                <w:sz w:val="20"/>
                <w:szCs w:val="20"/>
              </w:rPr>
              <w:t>0.6</w:t>
            </w:r>
          </w:p>
        </w:tc>
        <w:tc>
          <w:tcPr>
            <w:tcW w:w="850" w:type="dxa"/>
            <w:vAlign w:val="center"/>
          </w:tcPr>
          <w:p w:rsidR="00FB2640" w:rsidRPr="00AF5786" w:rsidRDefault="00FB2640" w:rsidP="008F1977">
            <w:pPr>
              <w:spacing w:line="400" w:lineRule="exact"/>
              <w:jc w:val="center"/>
              <w:rPr>
                <w:rFonts w:ascii="微軟正黑體" w:eastAsia="微軟正黑體" w:hAnsi="微軟正黑體"/>
                <w:sz w:val="20"/>
                <w:szCs w:val="20"/>
              </w:rPr>
            </w:pPr>
            <w:r w:rsidRPr="00AF5786">
              <w:rPr>
                <w:rFonts w:ascii="微軟正黑體" w:eastAsia="微軟正黑體" w:hAnsi="微軟正黑體"/>
                <w:sz w:val="20"/>
                <w:szCs w:val="20"/>
              </w:rPr>
              <w:t>11,114</w:t>
            </w:r>
          </w:p>
        </w:tc>
        <w:tc>
          <w:tcPr>
            <w:tcW w:w="709" w:type="dxa"/>
            <w:vAlign w:val="center"/>
          </w:tcPr>
          <w:p w:rsidR="00FB2640" w:rsidRPr="00AF5786" w:rsidRDefault="00FB2640" w:rsidP="008F1977">
            <w:pPr>
              <w:spacing w:line="400" w:lineRule="exact"/>
              <w:jc w:val="center"/>
              <w:rPr>
                <w:rFonts w:ascii="微軟正黑體" w:eastAsia="微軟正黑體" w:hAnsi="微軟正黑體"/>
                <w:sz w:val="20"/>
                <w:szCs w:val="20"/>
              </w:rPr>
            </w:pPr>
            <w:r w:rsidRPr="00AF5786">
              <w:rPr>
                <w:rFonts w:ascii="微軟正黑體" w:eastAsia="微軟正黑體" w:hAnsi="微軟正黑體"/>
                <w:sz w:val="20"/>
                <w:szCs w:val="20"/>
              </w:rPr>
              <w:t>23.8</w:t>
            </w:r>
          </w:p>
        </w:tc>
        <w:tc>
          <w:tcPr>
            <w:tcW w:w="709" w:type="dxa"/>
            <w:vAlign w:val="center"/>
          </w:tcPr>
          <w:p w:rsidR="00FB2640" w:rsidRPr="00AF5786" w:rsidRDefault="00FB2640" w:rsidP="008F1977">
            <w:pPr>
              <w:spacing w:line="400" w:lineRule="exact"/>
              <w:jc w:val="center"/>
              <w:rPr>
                <w:rFonts w:ascii="微軟正黑體" w:eastAsia="微軟正黑體" w:hAnsi="微軟正黑體"/>
                <w:bCs/>
                <w:sz w:val="20"/>
                <w:szCs w:val="20"/>
              </w:rPr>
            </w:pPr>
            <w:r w:rsidRPr="00AF5786">
              <w:rPr>
                <w:rFonts w:ascii="微軟正黑體" w:eastAsia="微軟正黑體" w:hAnsi="微軟正黑體" w:hint="eastAsia"/>
                <w:bCs/>
                <w:sz w:val="20"/>
                <w:szCs w:val="20"/>
              </w:rPr>
              <w:t>34.</w:t>
            </w:r>
            <w:r>
              <w:rPr>
                <w:rFonts w:ascii="微軟正黑體" w:eastAsia="微軟正黑體" w:hAnsi="微軟正黑體" w:hint="eastAsia"/>
                <w:bCs/>
                <w:sz w:val="20"/>
                <w:szCs w:val="20"/>
              </w:rPr>
              <w:t>7</w:t>
            </w:r>
          </w:p>
        </w:tc>
        <w:tc>
          <w:tcPr>
            <w:tcW w:w="851" w:type="dxa"/>
            <w:vAlign w:val="center"/>
          </w:tcPr>
          <w:p w:rsidR="00FB2640" w:rsidRPr="00AF5786" w:rsidRDefault="00FB2640" w:rsidP="008F1977">
            <w:pPr>
              <w:spacing w:line="400" w:lineRule="exact"/>
              <w:jc w:val="center"/>
              <w:rPr>
                <w:rFonts w:ascii="微軟正黑體" w:eastAsia="微軟正黑體" w:hAnsi="微軟正黑體"/>
                <w:sz w:val="20"/>
                <w:szCs w:val="20"/>
              </w:rPr>
            </w:pPr>
            <w:r w:rsidRPr="00AF5786">
              <w:rPr>
                <w:rFonts w:ascii="微軟正黑體" w:eastAsia="微軟正黑體" w:hAnsi="微軟正黑體" w:hint="eastAsia"/>
                <w:sz w:val="20"/>
                <w:szCs w:val="20"/>
              </w:rPr>
              <w:t>29,014</w:t>
            </w:r>
          </w:p>
        </w:tc>
        <w:tc>
          <w:tcPr>
            <w:tcW w:w="709" w:type="dxa"/>
            <w:vAlign w:val="center"/>
          </w:tcPr>
          <w:p w:rsidR="00FB2640" w:rsidRPr="00AF5786" w:rsidRDefault="00FB2640" w:rsidP="008F1977">
            <w:pPr>
              <w:spacing w:line="400" w:lineRule="exact"/>
              <w:jc w:val="center"/>
              <w:rPr>
                <w:rFonts w:ascii="微軟正黑體" w:eastAsia="微軟正黑體" w:hAnsi="微軟正黑體"/>
                <w:sz w:val="20"/>
                <w:szCs w:val="20"/>
              </w:rPr>
            </w:pPr>
            <w:r w:rsidRPr="00AF5786">
              <w:rPr>
                <w:rFonts w:ascii="微軟正黑體" w:eastAsia="微軟正黑體" w:hAnsi="微軟正黑體" w:hint="eastAsia"/>
                <w:sz w:val="20"/>
                <w:szCs w:val="20"/>
              </w:rPr>
              <w:t>44.4</w:t>
            </w:r>
          </w:p>
        </w:tc>
        <w:tc>
          <w:tcPr>
            <w:tcW w:w="709" w:type="dxa"/>
            <w:vAlign w:val="center"/>
          </w:tcPr>
          <w:p w:rsidR="00FB2640" w:rsidRPr="00AF5786" w:rsidRDefault="00FB2640" w:rsidP="008F1977">
            <w:pPr>
              <w:spacing w:line="400" w:lineRule="exact"/>
              <w:jc w:val="center"/>
              <w:rPr>
                <w:rFonts w:ascii="微軟正黑體" w:eastAsia="微軟正黑體" w:hAnsi="微軟正黑體"/>
                <w:bCs/>
                <w:sz w:val="20"/>
                <w:szCs w:val="20"/>
              </w:rPr>
            </w:pPr>
            <w:r>
              <w:rPr>
                <w:rFonts w:ascii="微軟正黑體" w:eastAsia="微軟正黑體" w:hAnsi="微軟正黑體" w:hint="eastAsia"/>
                <w:bCs/>
                <w:sz w:val="20"/>
                <w:szCs w:val="20"/>
              </w:rPr>
              <w:t>64.7</w:t>
            </w:r>
          </w:p>
        </w:tc>
      </w:tr>
    </w:tbl>
    <w:p w:rsidR="00FB2640" w:rsidRPr="00F0717A" w:rsidRDefault="00FB2640" w:rsidP="00FB2640">
      <w:pPr>
        <w:tabs>
          <w:tab w:val="left" w:pos="1547"/>
        </w:tabs>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Pr>
          <w:rFonts w:ascii="微軟正黑體" w:eastAsia="微軟正黑體" w:hAnsi="微軟正黑體" w:hint="eastAsia"/>
        </w:rPr>
        <w:lastRenderedPageBreak/>
        <w:t xml:space="preserve">(三) </w:t>
      </w:r>
      <w:r w:rsidRPr="00F0717A">
        <w:rPr>
          <w:rFonts w:ascii="微軟正黑體" w:eastAsia="微軟正黑體" w:hAnsi="微軟正黑體" w:hint="eastAsia"/>
        </w:rPr>
        <w:t>財務概況</w:t>
      </w:r>
    </w:p>
    <w:p w:rsidR="00FB2640" w:rsidRPr="005837A9" w:rsidRDefault="00FB2640" w:rsidP="00FB2640">
      <w:pPr>
        <w:pStyle w:val="af0"/>
        <w:numPr>
          <w:ilvl w:val="0"/>
          <w:numId w:val="25"/>
        </w:numPr>
        <w:adjustRightInd w:val="0"/>
        <w:spacing w:beforeLines="30" w:before="108" w:line="400" w:lineRule="exact"/>
        <w:ind w:leftChars="0" w:left="567"/>
        <w:textAlignment w:val="baseline"/>
        <w:rPr>
          <w:rFonts w:ascii="微軟正黑體" w:eastAsia="微軟正黑體" w:hAnsi="微軟正黑體"/>
        </w:rPr>
      </w:pPr>
      <w:r w:rsidRPr="005837A9">
        <w:rPr>
          <w:rFonts w:ascii="微軟正黑體" w:eastAsia="微軟正黑體" w:hAnsi="微軟正黑體" w:hint="eastAsia"/>
        </w:rPr>
        <w:t>財務虧損情形</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農民健康保險自開辦以來，即處於財務虧損狀態，近10年平均每年虧損約3</w:t>
      </w:r>
      <w:r>
        <w:rPr>
          <w:rFonts w:ascii="微軟正黑體" w:eastAsia="微軟正黑體" w:hAnsi="微軟正黑體" w:hint="eastAsia"/>
        </w:rPr>
        <w:t>9</w:t>
      </w:r>
      <w:r w:rsidRPr="00F0717A">
        <w:rPr>
          <w:rFonts w:ascii="微軟正黑體" w:eastAsia="微軟正黑體" w:hAnsi="微軟正黑體" w:hint="eastAsia"/>
        </w:rPr>
        <w:t>億元</w:t>
      </w:r>
      <w:r>
        <w:rPr>
          <w:rFonts w:ascii="微軟正黑體" w:eastAsia="微軟正黑體" w:hAnsi="微軟正黑體" w:hint="eastAsia"/>
        </w:rPr>
        <w:t>，</w:t>
      </w:r>
      <w:r w:rsidRPr="00F0717A">
        <w:rPr>
          <w:rFonts w:ascii="微軟正黑體" w:eastAsia="微軟正黑體" w:hAnsi="微軟正黑體" w:hint="eastAsia"/>
        </w:rPr>
        <w:t>至10</w:t>
      </w:r>
      <w:r>
        <w:rPr>
          <w:rFonts w:ascii="微軟正黑體" w:eastAsia="微軟正黑體" w:hAnsi="微軟正黑體" w:hint="eastAsia"/>
        </w:rPr>
        <w:t>9</w:t>
      </w:r>
      <w:r w:rsidRPr="00F0717A">
        <w:rPr>
          <w:rFonts w:ascii="微軟正黑體" w:eastAsia="微軟正黑體" w:hAnsi="微軟正黑體" w:hint="eastAsia"/>
        </w:rPr>
        <w:t>年累積虧損總計1,</w:t>
      </w:r>
      <w:r>
        <w:rPr>
          <w:rFonts w:ascii="微軟正黑體" w:eastAsia="微軟正黑體" w:hAnsi="微軟正黑體" w:hint="eastAsia"/>
        </w:rPr>
        <w:t>675.9億元</w:t>
      </w:r>
      <w:r w:rsidRPr="00F0717A">
        <w:rPr>
          <w:rFonts w:ascii="微軟正黑體" w:eastAsia="微軟正黑體" w:hAnsi="微軟正黑體" w:hint="eastAsia"/>
        </w:rPr>
        <w:t>。政府依法每年編列預算撥補虧損，至10</w:t>
      </w:r>
      <w:r>
        <w:rPr>
          <w:rFonts w:ascii="微軟正黑體" w:eastAsia="微軟正黑體" w:hAnsi="微軟正黑體" w:hint="eastAsia"/>
        </w:rPr>
        <w:t>9</w:t>
      </w:r>
      <w:r w:rsidRPr="00F0717A">
        <w:rPr>
          <w:rFonts w:ascii="微軟正黑體" w:eastAsia="微軟正黑體" w:hAnsi="微軟正黑體" w:hint="eastAsia"/>
        </w:rPr>
        <w:t>年底止，已撥補虧損數1,</w:t>
      </w:r>
      <w:r>
        <w:rPr>
          <w:rFonts w:ascii="微軟正黑體" w:eastAsia="微軟正黑體" w:hAnsi="微軟正黑體" w:hint="eastAsia"/>
        </w:rPr>
        <w:t>638.6</w:t>
      </w:r>
      <w:r w:rsidRPr="00F0717A">
        <w:rPr>
          <w:rFonts w:ascii="微軟正黑體" w:eastAsia="微軟正黑體" w:hAnsi="微軟正黑體" w:hint="eastAsia"/>
        </w:rPr>
        <w:t>億元，尚餘</w:t>
      </w:r>
      <w:r>
        <w:rPr>
          <w:rFonts w:ascii="微軟正黑體" w:eastAsia="微軟正黑體" w:hAnsi="微軟正黑體" w:hint="eastAsia"/>
        </w:rPr>
        <w:t>37.3</w:t>
      </w:r>
      <w:r w:rsidRPr="00F0717A">
        <w:rPr>
          <w:rFonts w:ascii="微軟正黑體" w:eastAsia="微軟正黑體" w:hAnsi="微軟正黑體" w:hint="eastAsia"/>
        </w:rPr>
        <w:t>億元待撥補。</w:t>
      </w:r>
    </w:p>
    <w:p w:rsidR="00FB2640" w:rsidRPr="00F0717A" w:rsidRDefault="00FB2640" w:rsidP="00FB2640">
      <w:pPr>
        <w:pStyle w:val="af0"/>
        <w:spacing w:beforeLines="50" w:before="180" w:afterLines="30" w:after="108" w:line="400" w:lineRule="exact"/>
        <w:ind w:leftChars="0" w:left="386"/>
        <w:jc w:val="center"/>
        <w:rPr>
          <w:rFonts w:ascii="微軟正黑體" w:eastAsia="微軟正黑體" w:hAnsi="微軟正黑體"/>
          <w:sz w:val="20"/>
          <w:szCs w:val="20"/>
        </w:rPr>
      </w:pPr>
      <w:r w:rsidRPr="00F0717A">
        <w:rPr>
          <w:rFonts w:ascii="微軟正黑體" w:eastAsia="微軟正黑體" w:hAnsi="微軟正黑體" w:hint="eastAsia"/>
        </w:rPr>
        <w:t xml:space="preserve">               表2.12  歷年農保財務虧損情形         </w:t>
      </w:r>
      <w:r>
        <w:rPr>
          <w:rFonts w:ascii="微軟正黑體" w:eastAsia="微軟正黑體" w:hAnsi="微軟正黑體" w:hint="eastAsia"/>
        </w:rPr>
        <w:t xml:space="preserve">  </w:t>
      </w:r>
      <w:r w:rsidRPr="00F0717A">
        <w:rPr>
          <w:rFonts w:ascii="微軟正黑體" w:eastAsia="微軟正黑體" w:hAnsi="微軟正黑體" w:hint="eastAsia"/>
          <w:sz w:val="20"/>
          <w:szCs w:val="20"/>
        </w:rPr>
        <w:t>單位：億元</w:t>
      </w:r>
    </w:p>
    <w:tbl>
      <w:tblPr>
        <w:tblStyle w:val="a5"/>
        <w:tblW w:w="8563" w:type="dxa"/>
        <w:jc w:val="center"/>
        <w:tblLook w:val="04A0" w:firstRow="1" w:lastRow="0" w:firstColumn="1" w:lastColumn="0" w:noHBand="0" w:noVBand="1"/>
      </w:tblPr>
      <w:tblGrid>
        <w:gridCol w:w="2354"/>
        <w:gridCol w:w="1928"/>
        <w:gridCol w:w="2353"/>
        <w:gridCol w:w="1928"/>
      </w:tblGrid>
      <w:tr w:rsidR="00FB2640" w:rsidRPr="00F0717A" w:rsidTr="008F1977">
        <w:trPr>
          <w:jc w:val="center"/>
        </w:trPr>
        <w:tc>
          <w:tcPr>
            <w:tcW w:w="2354" w:type="dxa"/>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年度</w:t>
            </w:r>
          </w:p>
        </w:tc>
        <w:tc>
          <w:tcPr>
            <w:tcW w:w="1928" w:type="dxa"/>
            <w:tcBorders>
              <w:right w:val="doub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虧損數</w:t>
            </w:r>
          </w:p>
        </w:tc>
        <w:tc>
          <w:tcPr>
            <w:tcW w:w="2353" w:type="dxa"/>
            <w:tcBorders>
              <w:left w:val="doub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年度</w:t>
            </w:r>
          </w:p>
        </w:tc>
        <w:tc>
          <w:tcPr>
            <w:tcW w:w="1928" w:type="dxa"/>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虧損數</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79</w:t>
            </w:r>
            <w:r w:rsidRPr="00F0717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37.4</w:t>
            </w:r>
          </w:p>
        </w:tc>
        <w:tc>
          <w:tcPr>
            <w:tcW w:w="2353" w:type="dxa"/>
            <w:tcBorders>
              <w:left w:val="doub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101年</w:t>
            </w:r>
          </w:p>
        </w:tc>
        <w:tc>
          <w:tcPr>
            <w:tcW w:w="1928" w:type="dxa"/>
            <w:vAlign w:val="center"/>
          </w:tcPr>
          <w:p w:rsidR="00FB2640" w:rsidRPr="00F0717A" w:rsidRDefault="00FB2640" w:rsidP="008F1977">
            <w:pPr>
              <w:spacing w:line="40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42.</w:t>
            </w:r>
            <w:r>
              <w:rPr>
                <w:rFonts w:ascii="微軟正黑體" w:eastAsia="微軟正黑體" w:hAnsi="微軟正黑體" w:hint="eastAsia"/>
                <w:sz w:val="22"/>
                <w:szCs w:val="22"/>
              </w:rPr>
              <w:t>9</w:t>
            </w:r>
            <w:r w:rsidRPr="00F0717A">
              <w:rPr>
                <w:rFonts w:ascii="微軟正黑體" w:eastAsia="微軟正黑體" w:hAnsi="微軟正黑體"/>
                <w:sz w:val="22"/>
                <w:szCs w:val="22"/>
              </w:rPr>
              <w:t xml:space="preserve"> </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80</w:t>
            </w:r>
            <w:r w:rsidRPr="00F0717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67.</w:t>
            </w:r>
            <w:r>
              <w:rPr>
                <w:rFonts w:ascii="微軟正黑體" w:eastAsia="微軟正黑體" w:hAnsi="微軟正黑體" w:hint="eastAsia"/>
                <w:sz w:val="22"/>
                <w:szCs w:val="22"/>
              </w:rPr>
              <w:t>3</w:t>
            </w:r>
          </w:p>
        </w:tc>
        <w:tc>
          <w:tcPr>
            <w:tcW w:w="2353" w:type="dxa"/>
            <w:tcBorders>
              <w:left w:val="doub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102年</w:t>
            </w:r>
          </w:p>
        </w:tc>
        <w:tc>
          <w:tcPr>
            <w:tcW w:w="1928" w:type="dxa"/>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38.</w:t>
            </w:r>
            <w:r>
              <w:rPr>
                <w:rFonts w:ascii="微軟正黑體" w:eastAsia="微軟正黑體" w:hAnsi="微軟正黑體" w:hint="eastAsia"/>
                <w:sz w:val="22"/>
                <w:szCs w:val="22"/>
              </w:rPr>
              <w:t>3</w:t>
            </w:r>
            <w:r w:rsidRPr="00F0717A">
              <w:rPr>
                <w:rFonts w:ascii="微軟正黑體" w:eastAsia="微軟正黑體" w:hAnsi="微軟正黑體"/>
                <w:sz w:val="22"/>
                <w:szCs w:val="22"/>
              </w:rPr>
              <w:t xml:space="preserve"> </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81</w:t>
            </w:r>
            <w:r w:rsidRPr="00F0717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118.4</w:t>
            </w:r>
          </w:p>
        </w:tc>
        <w:tc>
          <w:tcPr>
            <w:tcW w:w="2353" w:type="dxa"/>
            <w:tcBorders>
              <w:left w:val="doub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103年</w:t>
            </w:r>
          </w:p>
        </w:tc>
        <w:tc>
          <w:tcPr>
            <w:tcW w:w="1928" w:type="dxa"/>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40.2</w:t>
            </w:r>
            <w:r w:rsidRPr="00F0717A">
              <w:rPr>
                <w:rFonts w:ascii="微軟正黑體" w:eastAsia="微軟正黑體" w:hAnsi="微軟正黑體"/>
                <w:sz w:val="22"/>
                <w:szCs w:val="22"/>
              </w:rPr>
              <w:t xml:space="preserve"> </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82</w:t>
            </w:r>
            <w:r w:rsidRPr="00F0717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136.6</w:t>
            </w:r>
          </w:p>
        </w:tc>
        <w:tc>
          <w:tcPr>
            <w:tcW w:w="2353" w:type="dxa"/>
            <w:tcBorders>
              <w:left w:val="double" w:sz="4" w:space="0" w:color="auto"/>
            </w:tcBorders>
            <w:vAlign w:val="center"/>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104年</w:t>
            </w:r>
          </w:p>
        </w:tc>
        <w:tc>
          <w:tcPr>
            <w:tcW w:w="1928" w:type="dxa"/>
            <w:vAlign w:val="center"/>
          </w:tcPr>
          <w:p w:rsidR="00FB2640" w:rsidRPr="00F0717A" w:rsidRDefault="00FB2640" w:rsidP="008F1977">
            <w:pPr>
              <w:pStyle w:val="af0"/>
              <w:spacing w:line="400" w:lineRule="exact"/>
              <w:ind w:leftChars="0" w:left="0"/>
              <w:jc w:val="right"/>
              <w:rPr>
                <w:rFonts w:ascii="微軟正黑體" w:eastAsia="微軟正黑體" w:hAnsi="微軟正黑體"/>
                <w:sz w:val="22"/>
                <w:szCs w:val="22"/>
              </w:rPr>
            </w:pPr>
            <w:r>
              <w:rPr>
                <w:rFonts w:ascii="微軟正黑體" w:eastAsia="微軟正黑體" w:hAnsi="微軟正黑體"/>
                <w:sz w:val="22"/>
                <w:szCs w:val="22"/>
              </w:rPr>
              <w:t>36.1</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83</w:t>
            </w:r>
            <w:r w:rsidRPr="00F0717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169.2</w:t>
            </w:r>
          </w:p>
        </w:tc>
        <w:tc>
          <w:tcPr>
            <w:tcW w:w="2353" w:type="dxa"/>
            <w:tcBorders>
              <w:left w:val="double" w:sz="4" w:space="0" w:color="auto"/>
            </w:tcBorders>
            <w:vAlign w:val="center"/>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105年</w:t>
            </w:r>
          </w:p>
        </w:tc>
        <w:tc>
          <w:tcPr>
            <w:tcW w:w="1928" w:type="dxa"/>
            <w:vAlign w:val="center"/>
          </w:tcPr>
          <w:p w:rsidR="00FB2640" w:rsidRPr="00F0717A" w:rsidRDefault="00FB2640" w:rsidP="008F1977">
            <w:pPr>
              <w:spacing w:line="400" w:lineRule="exact"/>
              <w:jc w:val="right"/>
              <w:rPr>
                <w:rFonts w:ascii="微軟正黑體" w:eastAsia="微軟正黑體" w:hAnsi="微軟正黑體"/>
                <w:sz w:val="22"/>
                <w:szCs w:val="22"/>
              </w:rPr>
            </w:pPr>
            <w:r w:rsidRPr="00F0717A">
              <w:rPr>
                <w:rFonts w:ascii="微軟正黑體" w:eastAsia="微軟正黑體" w:hAnsi="微軟正黑體"/>
                <w:sz w:val="22"/>
                <w:szCs w:val="22"/>
              </w:rPr>
              <w:t>3</w:t>
            </w:r>
            <w:r w:rsidRPr="00892451">
              <w:rPr>
                <w:rFonts w:ascii="微軟正黑體" w:eastAsia="微軟正黑體" w:hAnsi="微軟正黑體"/>
                <w:sz w:val="22"/>
                <w:szCs w:val="22"/>
              </w:rPr>
              <w:t>6.</w:t>
            </w:r>
            <w:r>
              <w:rPr>
                <w:rFonts w:ascii="微軟正黑體" w:eastAsia="微軟正黑體" w:hAnsi="微軟正黑體" w:hint="eastAsia"/>
                <w:sz w:val="22"/>
                <w:szCs w:val="22"/>
              </w:rPr>
              <w:t>4</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84</w:t>
            </w:r>
            <w:r w:rsidRPr="00F0717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14</w:t>
            </w:r>
            <w:r>
              <w:rPr>
                <w:rFonts w:ascii="微軟正黑體" w:eastAsia="微軟正黑體" w:hAnsi="微軟正黑體" w:hint="eastAsia"/>
                <w:sz w:val="22"/>
                <w:szCs w:val="22"/>
              </w:rPr>
              <w:t>7.0</w:t>
            </w:r>
          </w:p>
        </w:tc>
        <w:tc>
          <w:tcPr>
            <w:tcW w:w="2353" w:type="dxa"/>
            <w:tcBorders>
              <w:left w:val="doub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w:t>
            </w:r>
            <w:r>
              <w:rPr>
                <w:rFonts w:ascii="微軟正黑體" w:eastAsia="微軟正黑體" w:hAnsi="微軟正黑體" w:hint="eastAsia"/>
                <w:sz w:val="22"/>
                <w:szCs w:val="22"/>
              </w:rPr>
              <w:t>6</w:t>
            </w:r>
            <w:r w:rsidRPr="00F0717A">
              <w:rPr>
                <w:rFonts w:ascii="微軟正黑體" w:eastAsia="微軟正黑體" w:hAnsi="微軟正黑體" w:hint="eastAsia"/>
                <w:sz w:val="22"/>
                <w:szCs w:val="22"/>
              </w:rPr>
              <w:t>年</w:t>
            </w:r>
          </w:p>
        </w:tc>
        <w:tc>
          <w:tcPr>
            <w:tcW w:w="1928" w:type="dxa"/>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hint="eastAsia"/>
                <w:sz w:val="22"/>
                <w:szCs w:val="22"/>
              </w:rPr>
              <w:t>37.8</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85</w:t>
            </w:r>
            <w:r w:rsidRPr="00F0717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0.</w:t>
            </w:r>
            <w:r>
              <w:rPr>
                <w:rFonts w:ascii="微軟正黑體" w:eastAsia="微軟正黑體" w:hAnsi="微軟正黑體" w:hint="eastAsia"/>
                <w:sz w:val="22"/>
                <w:szCs w:val="22"/>
              </w:rPr>
              <w:t>9</w:t>
            </w:r>
          </w:p>
        </w:tc>
        <w:tc>
          <w:tcPr>
            <w:tcW w:w="2353" w:type="dxa"/>
            <w:tcBorders>
              <w:left w:val="doub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w:t>
            </w:r>
            <w:r>
              <w:rPr>
                <w:rFonts w:ascii="微軟正黑體" w:eastAsia="微軟正黑體" w:hAnsi="微軟正黑體" w:hint="eastAsia"/>
                <w:sz w:val="22"/>
                <w:szCs w:val="22"/>
              </w:rPr>
              <w:t>7</w:t>
            </w:r>
            <w:r w:rsidRPr="00F0717A">
              <w:rPr>
                <w:rFonts w:ascii="微軟正黑體" w:eastAsia="微軟正黑體" w:hAnsi="微軟正黑體" w:hint="eastAsia"/>
                <w:sz w:val="22"/>
                <w:szCs w:val="22"/>
              </w:rPr>
              <w:t>年</w:t>
            </w:r>
          </w:p>
        </w:tc>
        <w:tc>
          <w:tcPr>
            <w:tcW w:w="1928" w:type="dxa"/>
            <w:vAlign w:val="center"/>
          </w:tcPr>
          <w:p w:rsidR="00FB2640" w:rsidRPr="005A5620"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39.</w:t>
            </w:r>
            <w:r>
              <w:rPr>
                <w:rFonts w:ascii="微軟正黑體" w:eastAsia="微軟正黑體" w:hAnsi="微軟正黑體" w:hint="eastAsia"/>
                <w:sz w:val="22"/>
                <w:szCs w:val="22"/>
              </w:rPr>
              <w:t>1</w:t>
            </w:r>
            <w:r w:rsidRPr="005A5620">
              <w:rPr>
                <w:rFonts w:ascii="微軟正黑體" w:eastAsia="微軟正黑體" w:hAnsi="微軟正黑體"/>
                <w:sz w:val="22"/>
                <w:szCs w:val="22"/>
              </w:rPr>
              <w:t xml:space="preserve"> </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86</w:t>
            </w:r>
            <w:r w:rsidRPr="00F0717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6.1</w:t>
            </w:r>
          </w:p>
        </w:tc>
        <w:tc>
          <w:tcPr>
            <w:tcW w:w="2353" w:type="dxa"/>
            <w:tcBorders>
              <w:left w:val="doub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Pr>
                <w:rFonts w:ascii="微軟正黑體" w:eastAsia="微軟正黑體" w:hAnsi="微軟正黑體" w:hint="eastAsia"/>
                <w:sz w:val="22"/>
                <w:szCs w:val="22"/>
              </w:rPr>
              <w:t>108年</w:t>
            </w:r>
          </w:p>
        </w:tc>
        <w:tc>
          <w:tcPr>
            <w:tcW w:w="1928" w:type="dxa"/>
            <w:vAlign w:val="center"/>
          </w:tcPr>
          <w:p w:rsidR="00FB2640" w:rsidRPr="005A5620"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40.7</w:t>
            </w:r>
            <w:r w:rsidRPr="005A5620">
              <w:rPr>
                <w:rFonts w:ascii="微軟正黑體" w:eastAsia="微軟正黑體" w:hAnsi="微軟正黑體"/>
                <w:sz w:val="22"/>
                <w:szCs w:val="22"/>
              </w:rPr>
              <w:t xml:space="preserve"> </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87</w:t>
            </w:r>
            <w:r w:rsidRPr="00F0717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30.</w:t>
            </w:r>
            <w:r>
              <w:rPr>
                <w:rFonts w:ascii="微軟正黑體" w:eastAsia="微軟正黑體" w:hAnsi="微軟正黑體" w:hint="eastAsia"/>
                <w:sz w:val="22"/>
                <w:szCs w:val="22"/>
              </w:rPr>
              <w:t>6</w:t>
            </w:r>
          </w:p>
        </w:tc>
        <w:tc>
          <w:tcPr>
            <w:tcW w:w="2353" w:type="dxa"/>
            <w:tcBorders>
              <w:left w:val="double" w:sz="4" w:space="0" w:color="auto"/>
              <w:bottom w:val="thinThickSmallGap" w:sz="12"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w:t>
            </w:r>
            <w:r>
              <w:rPr>
                <w:rFonts w:ascii="微軟正黑體" w:eastAsia="微軟正黑體" w:hAnsi="微軟正黑體" w:hint="eastAsia"/>
                <w:sz w:val="22"/>
                <w:szCs w:val="22"/>
              </w:rPr>
              <w:t>9</w:t>
            </w:r>
            <w:r w:rsidRPr="00F0717A">
              <w:rPr>
                <w:rFonts w:ascii="微軟正黑體" w:eastAsia="微軟正黑體" w:hAnsi="微軟正黑體" w:hint="eastAsia"/>
                <w:sz w:val="22"/>
                <w:szCs w:val="22"/>
              </w:rPr>
              <w:t>年</w:t>
            </w:r>
          </w:p>
        </w:tc>
        <w:tc>
          <w:tcPr>
            <w:tcW w:w="1928" w:type="dxa"/>
            <w:tcBorders>
              <w:bottom w:val="thinThickSmallGap" w:sz="12" w:space="0" w:color="auto"/>
            </w:tcBorders>
            <w:vAlign w:val="center"/>
          </w:tcPr>
          <w:p w:rsidR="00FB2640" w:rsidRPr="005A5620"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36.6</w:t>
            </w:r>
            <w:r w:rsidRPr="005A5620">
              <w:rPr>
                <w:rFonts w:ascii="微軟正黑體" w:eastAsia="微軟正黑體" w:hAnsi="微軟正黑體"/>
                <w:sz w:val="22"/>
                <w:szCs w:val="22"/>
              </w:rPr>
              <w:t xml:space="preserve"> </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sz w:val="22"/>
                <w:szCs w:val="22"/>
              </w:rPr>
              <w:t>88</w:t>
            </w:r>
            <w:r w:rsidRPr="00F0717A">
              <w:rPr>
                <w:rFonts w:ascii="微軟正黑體" w:eastAsia="微軟正黑體" w:hAnsi="微軟正黑體" w:hint="eastAsia"/>
                <w:sz w:val="22"/>
                <w:szCs w:val="22"/>
              </w:rPr>
              <w:t>年</w:t>
            </w:r>
            <w:r w:rsidRPr="00F0717A">
              <w:rPr>
                <w:rFonts w:ascii="微軟正黑體" w:eastAsia="微軟正黑體" w:hAnsi="微軟正黑體"/>
                <w:sz w:val="22"/>
                <w:szCs w:val="22"/>
              </w:rPr>
              <w:t>(</w:t>
            </w:r>
            <w:r w:rsidRPr="00F0717A">
              <w:rPr>
                <w:rFonts w:ascii="微軟正黑體" w:eastAsia="微軟正黑體" w:hAnsi="微軟正黑體" w:hint="eastAsia"/>
                <w:sz w:val="22"/>
                <w:szCs w:val="22"/>
              </w:rPr>
              <w:t>上半年</w:t>
            </w:r>
            <w:r w:rsidRPr="00F0717A">
              <w:rPr>
                <w:rFonts w:ascii="微軟正黑體" w:eastAsia="微軟正黑體" w:hAnsi="微軟正黑體"/>
                <w:sz w:val="22"/>
                <w:szCs w:val="22"/>
              </w:rPr>
              <w:t>)</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42.3</w:t>
            </w:r>
          </w:p>
        </w:tc>
        <w:tc>
          <w:tcPr>
            <w:tcW w:w="2353" w:type="dxa"/>
            <w:tcBorders>
              <w:top w:val="thinThickSmallGap" w:sz="12" w:space="0" w:color="auto"/>
              <w:left w:val="doub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b/>
                <w:sz w:val="22"/>
                <w:szCs w:val="22"/>
              </w:rPr>
            </w:pPr>
            <w:r w:rsidRPr="00F0717A">
              <w:rPr>
                <w:rFonts w:ascii="微軟正黑體" w:eastAsia="微軟正黑體" w:hAnsi="微軟正黑體" w:hint="eastAsia"/>
                <w:b/>
                <w:sz w:val="22"/>
                <w:szCs w:val="22"/>
              </w:rPr>
              <w:t>合計</w:t>
            </w:r>
          </w:p>
        </w:tc>
        <w:tc>
          <w:tcPr>
            <w:tcW w:w="1928" w:type="dxa"/>
            <w:tcBorders>
              <w:top w:val="thinThickSmallGap" w:sz="12" w:space="0" w:color="auto"/>
            </w:tcBorders>
            <w:vAlign w:val="center"/>
          </w:tcPr>
          <w:p w:rsidR="00FB2640" w:rsidRPr="005A5620"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1,675.</w:t>
            </w:r>
            <w:r>
              <w:rPr>
                <w:rFonts w:ascii="微軟正黑體" w:eastAsia="微軟正黑體" w:hAnsi="微軟正黑體" w:hint="eastAsia"/>
                <w:sz w:val="22"/>
                <w:szCs w:val="22"/>
              </w:rPr>
              <w:t>9</w:t>
            </w:r>
            <w:r w:rsidRPr="005A5620">
              <w:rPr>
                <w:rFonts w:ascii="微軟正黑體" w:eastAsia="微軟正黑體" w:hAnsi="微軟正黑體"/>
                <w:sz w:val="22"/>
                <w:szCs w:val="22"/>
              </w:rPr>
              <w:t xml:space="preserve"> </w:t>
            </w:r>
          </w:p>
        </w:tc>
      </w:tr>
      <w:tr w:rsidR="00FB2640" w:rsidRPr="00F0717A" w:rsidTr="008F1977">
        <w:trPr>
          <w:jc w:val="center"/>
        </w:trPr>
        <w:tc>
          <w:tcPr>
            <w:tcW w:w="2354" w:type="dxa"/>
            <w:vAlign w:val="center"/>
          </w:tcPr>
          <w:p w:rsidR="00FB2640" w:rsidRPr="0032133A" w:rsidRDefault="00FB2640" w:rsidP="008F1977">
            <w:pPr>
              <w:spacing w:line="320" w:lineRule="exact"/>
              <w:jc w:val="center"/>
              <w:rPr>
                <w:rFonts w:ascii="微軟正黑體" w:eastAsia="微軟正黑體" w:hAnsi="微軟正黑體"/>
                <w:sz w:val="22"/>
                <w:szCs w:val="22"/>
              </w:rPr>
            </w:pPr>
            <w:r w:rsidRPr="0032133A">
              <w:rPr>
                <w:rFonts w:ascii="微軟正黑體" w:eastAsia="微軟正黑體" w:hAnsi="微軟正黑體"/>
                <w:sz w:val="22"/>
                <w:szCs w:val="22"/>
              </w:rPr>
              <w:t>88</w:t>
            </w:r>
            <w:r w:rsidRPr="0032133A">
              <w:rPr>
                <w:rFonts w:ascii="微軟正黑體" w:eastAsia="微軟正黑體" w:hAnsi="微軟正黑體" w:hint="eastAsia"/>
                <w:sz w:val="22"/>
                <w:szCs w:val="22"/>
              </w:rPr>
              <w:t>年</w:t>
            </w:r>
            <w:r w:rsidRPr="0032133A">
              <w:rPr>
                <w:rFonts w:ascii="微軟正黑體" w:eastAsia="微軟正黑體" w:hAnsi="微軟正黑體"/>
                <w:sz w:val="22"/>
                <w:szCs w:val="22"/>
              </w:rPr>
              <w:t>(</w:t>
            </w:r>
            <w:r w:rsidRPr="0032133A">
              <w:rPr>
                <w:rFonts w:ascii="微軟正黑體" w:eastAsia="微軟正黑體" w:hAnsi="微軟正黑體" w:hint="eastAsia"/>
                <w:sz w:val="22"/>
                <w:szCs w:val="22"/>
              </w:rPr>
              <w:t>下半年</w:t>
            </w:r>
            <w:r w:rsidRPr="0032133A">
              <w:rPr>
                <w:rFonts w:ascii="微軟正黑體" w:eastAsia="微軟正黑體" w:hAnsi="微軟正黑體"/>
                <w:sz w:val="22"/>
                <w:szCs w:val="22"/>
              </w:rPr>
              <w:t>)</w:t>
            </w:r>
            <w:r w:rsidRPr="0032133A">
              <w:rPr>
                <w:rFonts w:ascii="微軟正黑體" w:eastAsia="微軟正黑體" w:hAnsi="微軟正黑體" w:hint="eastAsia"/>
                <w:sz w:val="22"/>
                <w:szCs w:val="22"/>
              </w:rPr>
              <w:t>及</w:t>
            </w:r>
            <w:r w:rsidRPr="0032133A">
              <w:rPr>
                <w:rFonts w:ascii="微軟正黑體" w:eastAsia="微軟正黑體" w:hAnsi="微軟正黑體"/>
                <w:sz w:val="22"/>
                <w:szCs w:val="22"/>
              </w:rPr>
              <w:t>89</w:t>
            </w:r>
            <w:r w:rsidRPr="0032133A">
              <w:rPr>
                <w:rFonts w:ascii="微軟正黑體" w:eastAsia="微軟正黑體" w:hAnsi="微軟正黑體" w:hint="eastAsia"/>
                <w:sz w:val="22"/>
                <w:szCs w:val="22"/>
              </w:rPr>
              <w:t>年</w:t>
            </w:r>
          </w:p>
        </w:tc>
        <w:tc>
          <w:tcPr>
            <w:tcW w:w="1928" w:type="dxa"/>
            <w:tcBorders>
              <w:right w:val="double" w:sz="4" w:space="0" w:color="auto"/>
            </w:tcBorders>
            <w:vAlign w:val="center"/>
          </w:tcPr>
          <w:p w:rsidR="00FB2640" w:rsidRPr="00F0717A" w:rsidRDefault="00FB2640" w:rsidP="008F1977">
            <w:pPr>
              <w:pStyle w:val="af0"/>
              <w:spacing w:line="400" w:lineRule="exact"/>
              <w:ind w:leftChars="0" w:left="0"/>
              <w:jc w:val="right"/>
              <w:rPr>
                <w:rFonts w:ascii="微軟正黑體" w:eastAsia="微軟正黑體" w:hAnsi="微軟正黑體"/>
                <w:sz w:val="22"/>
                <w:szCs w:val="22"/>
              </w:rPr>
            </w:pPr>
            <w:r>
              <w:rPr>
                <w:rFonts w:ascii="微軟正黑體" w:eastAsia="微軟正黑體" w:hAnsi="微軟正黑體"/>
                <w:sz w:val="22"/>
                <w:szCs w:val="22"/>
              </w:rPr>
              <w:t>125.</w:t>
            </w:r>
            <w:r>
              <w:rPr>
                <w:rFonts w:ascii="微軟正黑體" w:eastAsia="微軟正黑體" w:hAnsi="微軟正黑體" w:hint="eastAsia"/>
                <w:sz w:val="22"/>
                <w:szCs w:val="22"/>
              </w:rPr>
              <w:t>8</w:t>
            </w:r>
          </w:p>
        </w:tc>
        <w:tc>
          <w:tcPr>
            <w:tcW w:w="2353" w:type="dxa"/>
            <w:tcBorders>
              <w:left w:val="double" w:sz="4" w:space="0" w:color="auto"/>
              <w:bottom w:val="sing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b/>
                <w:sz w:val="22"/>
                <w:szCs w:val="22"/>
              </w:rPr>
            </w:pPr>
            <w:r w:rsidRPr="00F0717A">
              <w:rPr>
                <w:rFonts w:ascii="微軟正黑體" w:eastAsia="微軟正黑體" w:hAnsi="微軟正黑體" w:hint="eastAsia"/>
                <w:b/>
                <w:sz w:val="22"/>
                <w:szCs w:val="22"/>
              </w:rPr>
              <w:t>已撥補金額</w:t>
            </w:r>
          </w:p>
        </w:tc>
        <w:tc>
          <w:tcPr>
            <w:tcW w:w="1928" w:type="dxa"/>
            <w:tcBorders>
              <w:bottom w:val="single" w:sz="4" w:space="0" w:color="auto"/>
            </w:tcBorders>
            <w:vAlign w:val="center"/>
          </w:tcPr>
          <w:p w:rsidR="00FB2640" w:rsidRPr="005A5620"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1,638.</w:t>
            </w:r>
            <w:r>
              <w:rPr>
                <w:rFonts w:ascii="微軟正黑體" w:eastAsia="微軟正黑體" w:hAnsi="微軟正黑體" w:hint="eastAsia"/>
                <w:sz w:val="22"/>
                <w:szCs w:val="22"/>
              </w:rPr>
              <w:t>6</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90年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77.</w:t>
            </w:r>
            <w:r>
              <w:rPr>
                <w:rFonts w:ascii="微軟正黑體" w:eastAsia="微軟正黑體" w:hAnsi="微軟正黑體" w:hint="eastAsia"/>
                <w:sz w:val="22"/>
                <w:szCs w:val="22"/>
              </w:rPr>
              <w:t>9</w:t>
            </w:r>
          </w:p>
        </w:tc>
        <w:tc>
          <w:tcPr>
            <w:tcW w:w="2353" w:type="dxa"/>
            <w:tcBorders>
              <w:left w:val="double" w:sz="4" w:space="0" w:color="auto"/>
              <w:bottom w:val="single" w:sz="4" w:space="0" w:color="auto"/>
            </w:tcBorders>
          </w:tcPr>
          <w:p w:rsidR="00FB2640" w:rsidRPr="00F0717A" w:rsidRDefault="00FB2640" w:rsidP="008F1977">
            <w:pPr>
              <w:pStyle w:val="af0"/>
              <w:spacing w:line="400" w:lineRule="exact"/>
              <w:ind w:leftChars="0" w:left="0"/>
              <w:jc w:val="center"/>
              <w:rPr>
                <w:rFonts w:ascii="微軟正黑體" w:eastAsia="微軟正黑體" w:hAnsi="微軟正黑體"/>
                <w:b/>
                <w:sz w:val="22"/>
                <w:szCs w:val="22"/>
              </w:rPr>
            </w:pPr>
            <w:r w:rsidRPr="00F0717A">
              <w:rPr>
                <w:rFonts w:ascii="微軟正黑體" w:eastAsia="微軟正黑體" w:hAnsi="微軟正黑體" w:hint="eastAsia"/>
                <w:b/>
                <w:sz w:val="22"/>
                <w:szCs w:val="22"/>
              </w:rPr>
              <w:t>待撥補金額</w:t>
            </w:r>
          </w:p>
        </w:tc>
        <w:tc>
          <w:tcPr>
            <w:tcW w:w="1928" w:type="dxa"/>
            <w:tcBorders>
              <w:bottom w:val="single" w:sz="4" w:space="0" w:color="auto"/>
            </w:tcBorders>
            <w:vAlign w:val="center"/>
          </w:tcPr>
          <w:p w:rsidR="00FB2640" w:rsidRPr="005A5620"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hint="eastAsia"/>
                <w:sz w:val="22"/>
                <w:szCs w:val="22"/>
              </w:rPr>
              <w:t>37.3</w:t>
            </w: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91年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35.</w:t>
            </w:r>
            <w:r>
              <w:rPr>
                <w:rFonts w:ascii="微軟正黑體" w:eastAsia="微軟正黑體" w:hAnsi="微軟正黑體" w:hint="eastAsia"/>
                <w:sz w:val="22"/>
                <w:szCs w:val="22"/>
              </w:rPr>
              <w:t>1</w:t>
            </w:r>
          </w:p>
        </w:tc>
        <w:tc>
          <w:tcPr>
            <w:tcW w:w="4281" w:type="dxa"/>
            <w:gridSpan w:val="2"/>
            <w:vMerge w:val="restart"/>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sz w:val="22"/>
                <w:szCs w:val="22"/>
              </w:rPr>
            </w:pP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92年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27.</w:t>
            </w:r>
            <w:r>
              <w:rPr>
                <w:rFonts w:ascii="微軟正黑體" w:eastAsia="微軟正黑體" w:hAnsi="微軟正黑體" w:hint="eastAsia"/>
                <w:sz w:val="22"/>
                <w:szCs w:val="22"/>
              </w:rPr>
              <w:t>1</w:t>
            </w:r>
          </w:p>
        </w:tc>
        <w:tc>
          <w:tcPr>
            <w:tcW w:w="4281" w:type="dxa"/>
            <w:gridSpan w:val="2"/>
            <w:vMerge/>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sz w:val="22"/>
                <w:szCs w:val="22"/>
              </w:rPr>
            </w:pPr>
          </w:p>
        </w:tc>
      </w:tr>
      <w:tr w:rsidR="00FB2640" w:rsidRPr="00F0717A" w:rsidTr="008F1977">
        <w:trPr>
          <w:jc w:val="center"/>
        </w:trPr>
        <w:tc>
          <w:tcPr>
            <w:tcW w:w="2354" w:type="dxa"/>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93年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41.5</w:t>
            </w:r>
          </w:p>
        </w:tc>
        <w:tc>
          <w:tcPr>
            <w:tcW w:w="4281" w:type="dxa"/>
            <w:gridSpan w:val="2"/>
            <w:vMerge/>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b/>
                <w:bCs/>
                <w:sz w:val="22"/>
                <w:szCs w:val="22"/>
              </w:rPr>
            </w:pPr>
          </w:p>
        </w:tc>
      </w:tr>
      <w:tr w:rsidR="00FB2640" w:rsidRPr="00F0717A" w:rsidTr="008F1977">
        <w:trPr>
          <w:jc w:val="center"/>
        </w:trPr>
        <w:tc>
          <w:tcPr>
            <w:tcW w:w="2354" w:type="dxa"/>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94年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38.2</w:t>
            </w:r>
            <w:r w:rsidRPr="00F0717A">
              <w:rPr>
                <w:rFonts w:ascii="微軟正黑體" w:eastAsia="微軟正黑體" w:hAnsi="微軟正黑體"/>
                <w:sz w:val="22"/>
                <w:szCs w:val="22"/>
              </w:rPr>
              <w:t xml:space="preserve"> </w:t>
            </w:r>
          </w:p>
        </w:tc>
        <w:tc>
          <w:tcPr>
            <w:tcW w:w="4281" w:type="dxa"/>
            <w:gridSpan w:val="2"/>
            <w:vMerge/>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b/>
                <w:bCs/>
                <w:sz w:val="22"/>
                <w:szCs w:val="22"/>
              </w:rPr>
            </w:pPr>
          </w:p>
        </w:tc>
      </w:tr>
      <w:tr w:rsidR="00FB2640" w:rsidRPr="00F0717A" w:rsidTr="008F1977">
        <w:trPr>
          <w:jc w:val="center"/>
        </w:trPr>
        <w:tc>
          <w:tcPr>
            <w:tcW w:w="2354" w:type="dxa"/>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95年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35.2</w:t>
            </w:r>
            <w:r w:rsidRPr="00F0717A">
              <w:rPr>
                <w:rFonts w:ascii="微軟正黑體" w:eastAsia="微軟正黑體" w:hAnsi="微軟正黑體"/>
                <w:sz w:val="22"/>
                <w:szCs w:val="22"/>
              </w:rPr>
              <w:t xml:space="preserve"> </w:t>
            </w:r>
          </w:p>
        </w:tc>
        <w:tc>
          <w:tcPr>
            <w:tcW w:w="4281" w:type="dxa"/>
            <w:gridSpan w:val="2"/>
            <w:vMerge/>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b/>
                <w:bCs/>
                <w:sz w:val="22"/>
                <w:szCs w:val="22"/>
              </w:rPr>
            </w:pPr>
          </w:p>
        </w:tc>
      </w:tr>
      <w:tr w:rsidR="00FB2640" w:rsidRPr="00F0717A" w:rsidTr="008F1977">
        <w:trPr>
          <w:jc w:val="center"/>
        </w:trPr>
        <w:tc>
          <w:tcPr>
            <w:tcW w:w="2354" w:type="dxa"/>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96年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35.2</w:t>
            </w:r>
            <w:r w:rsidRPr="00F0717A">
              <w:rPr>
                <w:rFonts w:ascii="微軟正黑體" w:eastAsia="微軟正黑體" w:hAnsi="微軟正黑體"/>
                <w:sz w:val="22"/>
                <w:szCs w:val="22"/>
              </w:rPr>
              <w:t xml:space="preserve"> </w:t>
            </w:r>
          </w:p>
        </w:tc>
        <w:tc>
          <w:tcPr>
            <w:tcW w:w="4281" w:type="dxa"/>
            <w:gridSpan w:val="2"/>
            <w:vMerge/>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b/>
                <w:bCs/>
                <w:sz w:val="22"/>
                <w:szCs w:val="22"/>
              </w:rPr>
            </w:pPr>
          </w:p>
        </w:tc>
      </w:tr>
      <w:tr w:rsidR="00FB2640" w:rsidRPr="00F0717A" w:rsidTr="008F1977">
        <w:trPr>
          <w:jc w:val="center"/>
        </w:trPr>
        <w:tc>
          <w:tcPr>
            <w:tcW w:w="2354" w:type="dxa"/>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97年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39.2</w:t>
            </w:r>
            <w:r w:rsidRPr="00F0717A">
              <w:rPr>
                <w:rFonts w:ascii="微軟正黑體" w:eastAsia="微軟正黑體" w:hAnsi="微軟正黑體"/>
                <w:sz w:val="22"/>
                <w:szCs w:val="22"/>
              </w:rPr>
              <w:t xml:space="preserve"> </w:t>
            </w:r>
          </w:p>
        </w:tc>
        <w:tc>
          <w:tcPr>
            <w:tcW w:w="4281" w:type="dxa"/>
            <w:gridSpan w:val="2"/>
            <w:vMerge/>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b/>
                <w:bCs/>
                <w:sz w:val="22"/>
                <w:szCs w:val="22"/>
              </w:rPr>
            </w:pPr>
          </w:p>
        </w:tc>
      </w:tr>
      <w:tr w:rsidR="00FB2640" w:rsidRPr="00F0717A" w:rsidTr="008F1977">
        <w:trPr>
          <w:jc w:val="center"/>
        </w:trPr>
        <w:tc>
          <w:tcPr>
            <w:tcW w:w="2354" w:type="dxa"/>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98年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39.</w:t>
            </w:r>
            <w:r>
              <w:rPr>
                <w:rFonts w:ascii="微軟正黑體" w:eastAsia="微軟正黑體" w:hAnsi="微軟正黑體" w:hint="eastAsia"/>
                <w:sz w:val="22"/>
                <w:szCs w:val="22"/>
              </w:rPr>
              <w:t>6</w:t>
            </w:r>
            <w:r w:rsidRPr="00F0717A">
              <w:rPr>
                <w:rFonts w:ascii="微軟正黑體" w:eastAsia="微軟正黑體" w:hAnsi="微軟正黑體"/>
                <w:sz w:val="22"/>
                <w:szCs w:val="22"/>
              </w:rPr>
              <w:t xml:space="preserve"> </w:t>
            </w:r>
          </w:p>
        </w:tc>
        <w:tc>
          <w:tcPr>
            <w:tcW w:w="4281" w:type="dxa"/>
            <w:gridSpan w:val="2"/>
            <w:vMerge/>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b/>
                <w:bCs/>
                <w:sz w:val="22"/>
                <w:szCs w:val="22"/>
              </w:rPr>
            </w:pPr>
          </w:p>
        </w:tc>
      </w:tr>
      <w:tr w:rsidR="00FB2640" w:rsidRPr="00F0717A" w:rsidTr="008F1977">
        <w:trPr>
          <w:jc w:val="center"/>
        </w:trPr>
        <w:tc>
          <w:tcPr>
            <w:tcW w:w="2354" w:type="dxa"/>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99年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38.1</w:t>
            </w:r>
            <w:r w:rsidRPr="00F0717A">
              <w:rPr>
                <w:rFonts w:ascii="微軟正黑體" w:eastAsia="微軟正黑體" w:hAnsi="微軟正黑體"/>
                <w:sz w:val="22"/>
                <w:szCs w:val="22"/>
              </w:rPr>
              <w:t xml:space="preserve"> </w:t>
            </w:r>
          </w:p>
        </w:tc>
        <w:tc>
          <w:tcPr>
            <w:tcW w:w="4281" w:type="dxa"/>
            <w:gridSpan w:val="2"/>
            <w:vMerge/>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b/>
                <w:bCs/>
                <w:sz w:val="22"/>
                <w:szCs w:val="22"/>
              </w:rPr>
            </w:pPr>
          </w:p>
        </w:tc>
      </w:tr>
      <w:tr w:rsidR="00FB2640" w:rsidRPr="00F0717A" w:rsidTr="008F1977">
        <w:trPr>
          <w:jc w:val="center"/>
        </w:trPr>
        <w:tc>
          <w:tcPr>
            <w:tcW w:w="2354" w:type="dxa"/>
          </w:tcPr>
          <w:p w:rsidR="00FB2640" w:rsidRPr="00F0717A" w:rsidRDefault="00FB2640" w:rsidP="008F1977">
            <w:pPr>
              <w:pStyle w:val="af0"/>
              <w:spacing w:line="40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100年</w:t>
            </w:r>
          </w:p>
        </w:tc>
        <w:tc>
          <w:tcPr>
            <w:tcW w:w="1928" w:type="dxa"/>
            <w:tcBorders>
              <w:right w:val="double" w:sz="4" w:space="0" w:color="auto"/>
            </w:tcBorders>
            <w:vAlign w:val="center"/>
          </w:tcPr>
          <w:p w:rsidR="00FB2640" w:rsidRPr="00F0717A" w:rsidRDefault="00FB264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39.</w:t>
            </w:r>
            <w:r>
              <w:rPr>
                <w:rFonts w:ascii="微軟正黑體" w:eastAsia="微軟正黑體" w:hAnsi="微軟正黑體" w:hint="eastAsia"/>
                <w:sz w:val="22"/>
                <w:szCs w:val="22"/>
              </w:rPr>
              <w:t>3</w:t>
            </w:r>
            <w:r w:rsidRPr="00F0717A">
              <w:rPr>
                <w:rFonts w:ascii="微軟正黑體" w:eastAsia="微軟正黑體" w:hAnsi="微軟正黑體"/>
                <w:sz w:val="22"/>
                <w:szCs w:val="22"/>
              </w:rPr>
              <w:t xml:space="preserve"> </w:t>
            </w:r>
          </w:p>
        </w:tc>
        <w:tc>
          <w:tcPr>
            <w:tcW w:w="4281" w:type="dxa"/>
            <w:gridSpan w:val="2"/>
            <w:vMerge/>
            <w:tcBorders>
              <w:left w:val="double" w:sz="4" w:space="0" w:color="auto"/>
            </w:tcBorders>
          </w:tcPr>
          <w:p w:rsidR="00FB2640" w:rsidRPr="00D85F4E" w:rsidRDefault="00FB2640" w:rsidP="008F1977">
            <w:pPr>
              <w:spacing w:line="400" w:lineRule="exact"/>
              <w:jc w:val="right"/>
              <w:rPr>
                <w:rFonts w:ascii="微軟正黑體" w:eastAsia="微軟正黑體" w:hAnsi="微軟正黑體" w:cs="Times New Roman"/>
                <w:b/>
                <w:bCs/>
                <w:sz w:val="22"/>
                <w:szCs w:val="22"/>
              </w:rPr>
            </w:pPr>
          </w:p>
        </w:tc>
      </w:tr>
    </w:tbl>
    <w:p w:rsidR="00FB2640" w:rsidRPr="00F0717A" w:rsidRDefault="00FB2640" w:rsidP="00FB2640">
      <w:pPr>
        <w:pStyle w:val="af0"/>
        <w:spacing w:line="400" w:lineRule="exact"/>
        <w:ind w:leftChars="0" w:left="386"/>
        <w:rPr>
          <w:rFonts w:ascii="微軟正黑體" w:eastAsia="微軟正黑體" w:hAnsi="微軟正黑體"/>
          <w:sz w:val="22"/>
          <w:szCs w:val="22"/>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5837A9" w:rsidRDefault="00FB2640" w:rsidP="00FB2640">
      <w:pPr>
        <w:pStyle w:val="af0"/>
        <w:numPr>
          <w:ilvl w:val="0"/>
          <w:numId w:val="25"/>
        </w:numPr>
        <w:adjustRightInd w:val="0"/>
        <w:spacing w:beforeLines="30" w:before="108" w:line="400" w:lineRule="exact"/>
        <w:ind w:leftChars="0" w:left="567"/>
        <w:textAlignment w:val="baseline"/>
        <w:rPr>
          <w:rFonts w:ascii="微軟正黑體" w:eastAsia="微軟正黑體" w:hAnsi="微軟正黑體"/>
        </w:rPr>
      </w:pPr>
      <w:r w:rsidRPr="005837A9">
        <w:rPr>
          <w:rFonts w:ascii="微軟正黑體" w:eastAsia="微軟正黑體" w:hAnsi="微軟正黑體" w:hint="eastAsia"/>
        </w:rPr>
        <w:lastRenderedPageBreak/>
        <w:t>精算報告</w:t>
      </w:r>
    </w:p>
    <w:p w:rsidR="00FB2640" w:rsidRPr="00F0717A" w:rsidRDefault="00FB2640" w:rsidP="00FB2640">
      <w:pPr>
        <w:spacing w:beforeLines="30" w:before="108" w:line="400" w:lineRule="exact"/>
        <w:ind w:left="567"/>
        <w:rPr>
          <w:rFonts w:ascii="微軟正黑體" w:eastAsia="微軟正黑體" w:hAnsi="微軟正黑體"/>
        </w:rPr>
      </w:pPr>
      <w:r w:rsidRPr="00F0717A">
        <w:rPr>
          <w:rFonts w:ascii="微軟正黑體" w:eastAsia="微軟正黑體" w:hAnsi="微軟正黑體" w:hint="eastAsia"/>
        </w:rPr>
        <w:t xml:space="preserve">    農民健康保險現行費率為2.55%，而依據最近一次</w:t>
      </w:r>
      <w:r>
        <w:rPr>
          <w:rFonts w:ascii="微軟正黑體" w:eastAsia="微軟正黑體" w:hAnsi="微軟正黑體"/>
        </w:rPr>
        <w:t>1</w:t>
      </w:r>
      <w:r>
        <w:rPr>
          <w:rFonts w:ascii="微軟正黑體" w:eastAsia="微軟正黑體" w:hAnsi="微軟正黑體" w:hint="eastAsia"/>
        </w:rPr>
        <w:t>10</w:t>
      </w:r>
      <w:r w:rsidRPr="00F0717A">
        <w:rPr>
          <w:rFonts w:ascii="微軟正黑體" w:eastAsia="微軟正黑體" w:hAnsi="微軟正黑體"/>
        </w:rPr>
        <w:t>年</w:t>
      </w:r>
      <w:r w:rsidRPr="00F0717A">
        <w:rPr>
          <w:rFonts w:ascii="微軟正黑體" w:eastAsia="微軟正黑體" w:hAnsi="微軟正黑體" w:hint="eastAsia"/>
        </w:rPr>
        <w:t>2月</w:t>
      </w:r>
      <w:r w:rsidRPr="00F0717A">
        <w:rPr>
          <w:rFonts w:ascii="微軟正黑體" w:eastAsia="微軟正黑體" w:hAnsi="微軟正黑體"/>
        </w:rPr>
        <w:t>完成之</w:t>
      </w:r>
      <w:r w:rsidRPr="00F0717A">
        <w:rPr>
          <w:rFonts w:ascii="微軟正黑體" w:eastAsia="微軟正黑體" w:hAnsi="微軟正黑體" w:hint="eastAsia"/>
        </w:rPr>
        <w:t>農民健康</w:t>
      </w:r>
      <w:r w:rsidRPr="00F0717A">
        <w:rPr>
          <w:rFonts w:ascii="微軟正黑體" w:eastAsia="微軟正黑體" w:hAnsi="微軟正黑體"/>
        </w:rPr>
        <w:t>保險</w:t>
      </w:r>
      <w:r w:rsidRPr="00F0717A">
        <w:rPr>
          <w:rFonts w:ascii="微軟正黑體" w:eastAsia="微軟正黑體" w:hAnsi="微軟正黑體" w:hint="eastAsia"/>
        </w:rPr>
        <w:t>費率精</w:t>
      </w:r>
      <w:r w:rsidRPr="00F0717A">
        <w:rPr>
          <w:rFonts w:ascii="微軟正黑體" w:eastAsia="微軟正黑體" w:hAnsi="微軟正黑體"/>
        </w:rPr>
        <w:t>算結果顯示，</w:t>
      </w:r>
      <w:r w:rsidRPr="00F0717A">
        <w:rPr>
          <w:rFonts w:ascii="微軟正黑體" w:eastAsia="微軟正黑體" w:hAnsi="微軟正黑體" w:hint="eastAsia"/>
        </w:rPr>
        <w:t>長期平衡費率為</w:t>
      </w:r>
      <w:r>
        <w:rPr>
          <w:rFonts w:ascii="微軟正黑體" w:eastAsia="微軟正黑體" w:hAnsi="微軟正黑體" w:hint="eastAsia"/>
        </w:rPr>
        <w:t>6.95</w:t>
      </w:r>
      <w:r w:rsidRPr="00D95938">
        <w:rPr>
          <w:rFonts w:ascii="微軟正黑體" w:eastAsia="微軟正黑體" w:hAnsi="微軟正黑體" w:hint="eastAsia"/>
        </w:rPr>
        <w:t>%</w:t>
      </w:r>
      <w:r w:rsidRPr="00F0717A">
        <w:rPr>
          <w:rFonts w:ascii="微軟正黑體" w:eastAsia="微軟正黑體" w:hAnsi="微軟正黑體" w:hint="eastAsia"/>
        </w:rPr>
        <w:t>。</w:t>
      </w:r>
    </w:p>
    <w:p w:rsidR="00FB2640" w:rsidRPr="00F0717A" w:rsidRDefault="00FB2640" w:rsidP="00FB2640">
      <w:pPr>
        <w:spacing w:beforeLines="50" w:before="180" w:afterLines="30" w:after="108" w:line="400" w:lineRule="exact"/>
        <w:jc w:val="center"/>
        <w:rPr>
          <w:rFonts w:ascii="微軟正黑體" w:eastAsia="微軟正黑體" w:hAnsi="微軟正黑體"/>
        </w:rPr>
      </w:pPr>
      <w:r w:rsidRPr="00F0717A">
        <w:rPr>
          <w:rFonts w:ascii="微軟正黑體" w:eastAsia="微軟正黑體" w:hAnsi="微軟正黑體" w:hint="eastAsia"/>
        </w:rPr>
        <w:t>表2.13  農保最近一次精算結果摘要</w:t>
      </w:r>
    </w:p>
    <w:tbl>
      <w:tblPr>
        <w:tblStyle w:val="a5"/>
        <w:tblW w:w="0" w:type="auto"/>
        <w:tblInd w:w="534" w:type="dxa"/>
        <w:tblLook w:val="04A0" w:firstRow="1" w:lastRow="0" w:firstColumn="1" w:lastColumn="0" w:noHBand="0" w:noVBand="1"/>
      </w:tblPr>
      <w:tblGrid>
        <w:gridCol w:w="1275"/>
        <w:gridCol w:w="1418"/>
        <w:gridCol w:w="2410"/>
        <w:gridCol w:w="3543"/>
      </w:tblGrid>
      <w:tr w:rsidR="00FB2640" w:rsidRPr="00F0717A" w:rsidTr="008F1977">
        <w:tc>
          <w:tcPr>
            <w:tcW w:w="5103" w:type="dxa"/>
            <w:gridSpan w:val="3"/>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資料時間(評價日)</w:t>
            </w:r>
          </w:p>
        </w:tc>
        <w:tc>
          <w:tcPr>
            <w:tcW w:w="3543" w:type="dxa"/>
            <w:vAlign w:val="center"/>
          </w:tcPr>
          <w:p w:rsidR="00FB2640" w:rsidRPr="00D95938" w:rsidRDefault="00FB2640" w:rsidP="008F1977">
            <w:pPr>
              <w:spacing w:line="400" w:lineRule="exact"/>
              <w:jc w:val="center"/>
              <w:rPr>
                <w:rFonts w:ascii="微軟正黑體" w:eastAsia="微軟正黑體" w:hAnsi="微軟正黑體" w:cs="新細明體"/>
                <w:sz w:val="22"/>
                <w:szCs w:val="22"/>
              </w:rPr>
            </w:pPr>
            <w:r w:rsidRPr="00D95938">
              <w:rPr>
                <w:rFonts w:ascii="微軟正黑體" w:eastAsia="微軟正黑體" w:hAnsi="微軟正黑體" w:hint="eastAsia"/>
                <w:sz w:val="22"/>
                <w:szCs w:val="22"/>
              </w:rPr>
              <w:t>10</w:t>
            </w:r>
            <w:r>
              <w:rPr>
                <w:rFonts w:ascii="微軟正黑體" w:eastAsia="微軟正黑體" w:hAnsi="微軟正黑體" w:hint="eastAsia"/>
                <w:sz w:val="22"/>
                <w:szCs w:val="22"/>
              </w:rPr>
              <w:t>9</w:t>
            </w:r>
            <w:r w:rsidRPr="00D95938">
              <w:rPr>
                <w:rFonts w:ascii="微軟正黑體" w:eastAsia="微軟正黑體" w:hAnsi="微軟正黑體" w:hint="eastAsia"/>
                <w:sz w:val="22"/>
                <w:szCs w:val="22"/>
              </w:rPr>
              <w:t>年12月31日</w:t>
            </w:r>
          </w:p>
        </w:tc>
      </w:tr>
      <w:tr w:rsidR="00FB2640" w:rsidRPr="00F0717A" w:rsidTr="008F1977">
        <w:tc>
          <w:tcPr>
            <w:tcW w:w="5103" w:type="dxa"/>
            <w:gridSpan w:val="3"/>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報告完成時間</w:t>
            </w:r>
          </w:p>
        </w:tc>
        <w:tc>
          <w:tcPr>
            <w:tcW w:w="3543" w:type="dxa"/>
            <w:vAlign w:val="center"/>
          </w:tcPr>
          <w:p w:rsidR="00FB2640" w:rsidRPr="00D95938" w:rsidRDefault="00FB2640" w:rsidP="008F1977">
            <w:pPr>
              <w:spacing w:line="400" w:lineRule="exact"/>
              <w:jc w:val="center"/>
              <w:rPr>
                <w:rFonts w:ascii="微軟正黑體" w:eastAsia="微軟正黑體" w:hAnsi="微軟正黑體" w:cs="新細明體"/>
                <w:sz w:val="22"/>
                <w:szCs w:val="22"/>
              </w:rPr>
            </w:pPr>
            <w:r>
              <w:rPr>
                <w:rFonts w:ascii="微軟正黑體" w:eastAsia="微軟正黑體" w:hAnsi="微軟正黑體" w:hint="eastAsia"/>
                <w:sz w:val="22"/>
                <w:szCs w:val="22"/>
              </w:rPr>
              <w:t>110</w:t>
            </w:r>
            <w:r w:rsidRPr="00D95938">
              <w:rPr>
                <w:rFonts w:ascii="微軟正黑體" w:eastAsia="微軟正黑體" w:hAnsi="微軟正黑體" w:hint="eastAsia"/>
                <w:sz w:val="22"/>
                <w:szCs w:val="22"/>
              </w:rPr>
              <w:t>年2月</w:t>
            </w:r>
          </w:p>
        </w:tc>
      </w:tr>
      <w:tr w:rsidR="00FB2640" w:rsidRPr="00F0717A" w:rsidTr="008F1977">
        <w:tc>
          <w:tcPr>
            <w:tcW w:w="1275" w:type="dxa"/>
            <w:vMerge w:val="restart"/>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精算</w:t>
            </w:r>
          </w:p>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假設</w:t>
            </w:r>
          </w:p>
        </w:tc>
        <w:tc>
          <w:tcPr>
            <w:tcW w:w="3828" w:type="dxa"/>
            <w:gridSpan w:val="2"/>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資產報酬率</w:t>
            </w:r>
          </w:p>
        </w:tc>
        <w:tc>
          <w:tcPr>
            <w:tcW w:w="3543" w:type="dxa"/>
            <w:vAlign w:val="center"/>
          </w:tcPr>
          <w:p w:rsidR="00FB2640" w:rsidRPr="00D95938" w:rsidRDefault="00FB2640" w:rsidP="008F1977">
            <w:pPr>
              <w:spacing w:line="400" w:lineRule="exact"/>
              <w:jc w:val="center"/>
              <w:rPr>
                <w:rFonts w:ascii="微軟正黑體" w:eastAsia="微軟正黑體" w:hAnsi="微軟正黑體" w:cs="新細明體"/>
                <w:sz w:val="22"/>
                <w:szCs w:val="22"/>
              </w:rPr>
            </w:pPr>
            <w:r w:rsidRPr="00D95938">
              <w:rPr>
                <w:rFonts w:ascii="微軟正黑體" w:eastAsia="微軟正黑體" w:hAnsi="微軟正黑體" w:cs="新細明體" w:hint="eastAsia"/>
                <w:sz w:val="22"/>
                <w:szCs w:val="22"/>
              </w:rPr>
              <w:t>3.00%</w:t>
            </w:r>
          </w:p>
        </w:tc>
      </w:tr>
      <w:tr w:rsidR="00FB2640" w:rsidRPr="00F0717A" w:rsidTr="008F1977">
        <w:tc>
          <w:tcPr>
            <w:tcW w:w="1275" w:type="dxa"/>
            <w:vMerge/>
          </w:tcPr>
          <w:p w:rsidR="00FB2640" w:rsidRPr="00F0717A" w:rsidRDefault="00FB2640" w:rsidP="008F1977">
            <w:pPr>
              <w:spacing w:line="400" w:lineRule="exact"/>
              <w:rPr>
                <w:rFonts w:ascii="微軟正黑體" w:eastAsia="微軟正黑體" w:hAnsi="微軟正黑體"/>
                <w:sz w:val="22"/>
                <w:szCs w:val="22"/>
              </w:rPr>
            </w:pPr>
          </w:p>
        </w:tc>
        <w:tc>
          <w:tcPr>
            <w:tcW w:w="3828" w:type="dxa"/>
            <w:gridSpan w:val="2"/>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投保金額</w:t>
            </w:r>
          </w:p>
        </w:tc>
        <w:tc>
          <w:tcPr>
            <w:tcW w:w="3543" w:type="dxa"/>
            <w:vAlign w:val="center"/>
          </w:tcPr>
          <w:p w:rsidR="00FB2640" w:rsidRPr="00D95938" w:rsidRDefault="00FB2640" w:rsidP="008F1977">
            <w:pPr>
              <w:spacing w:line="400" w:lineRule="exact"/>
              <w:jc w:val="center"/>
              <w:rPr>
                <w:rFonts w:ascii="微軟正黑體" w:eastAsia="微軟正黑體" w:hAnsi="微軟正黑體" w:cs="新細明體"/>
                <w:sz w:val="22"/>
                <w:szCs w:val="22"/>
              </w:rPr>
            </w:pPr>
            <w:r w:rsidRPr="00D95938">
              <w:rPr>
                <w:rFonts w:ascii="微軟正黑體" w:eastAsia="微軟正黑體" w:hAnsi="微軟正黑體" w:hint="eastAsia"/>
                <w:sz w:val="22"/>
                <w:szCs w:val="22"/>
              </w:rPr>
              <w:t>10,200元</w:t>
            </w:r>
          </w:p>
        </w:tc>
      </w:tr>
      <w:tr w:rsidR="00FB2640" w:rsidRPr="00F0717A" w:rsidTr="008F1977">
        <w:tc>
          <w:tcPr>
            <w:tcW w:w="1275" w:type="dxa"/>
            <w:vMerge/>
          </w:tcPr>
          <w:p w:rsidR="00FB2640" w:rsidRPr="00F0717A" w:rsidRDefault="00FB2640" w:rsidP="008F1977">
            <w:pPr>
              <w:spacing w:line="400" w:lineRule="exact"/>
              <w:rPr>
                <w:rFonts w:ascii="微軟正黑體" w:eastAsia="微軟正黑體" w:hAnsi="微軟正黑體"/>
                <w:sz w:val="22"/>
                <w:szCs w:val="22"/>
              </w:rPr>
            </w:pPr>
          </w:p>
        </w:tc>
        <w:tc>
          <w:tcPr>
            <w:tcW w:w="3828" w:type="dxa"/>
            <w:gridSpan w:val="2"/>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投保薪資調整率</w:t>
            </w:r>
          </w:p>
        </w:tc>
        <w:tc>
          <w:tcPr>
            <w:tcW w:w="3543" w:type="dxa"/>
            <w:vAlign w:val="center"/>
          </w:tcPr>
          <w:p w:rsidR="00FB2640" w:rsidRPr="00D95938" w:rsidRDefault="00FB2640" w:rsidP="008F1977">
            <w:pPr>
              <w:spacing w:line="400" w:lineRule="exact"/>
              <w:jc w:val="center"/>
              <w:rPr>
                <w:rFonts w:ascii="微軟正黑體" w:eastAsia="微軟正黑體" w:hAnsi="微軟正黑體" w:cs="新細明體"/>
                <w:sz w:val="22"/>
                <w:szCs w:val="22"/>
              </w:rPr>
            </w:pPr>
            <w:r w:rsidRPr="00D95938">
              <w:rPr>
                <w:rFonts w:ascii="微軟正黑體" w:eastAsia="微軟正黑體" w:hAnsi="微軟正黑體" w:hint="eastAsia"/>
                <w:sz w:val="22"/>
                <w:szCs w:val="22"/>
              </w:rPr>
              <w:t>0%</w:t>
            </w:r>
          </w:p>
        </w:tc>
      </w:tr>
      <w:tr w:rsidR="00FB2640" w:rsidRPr="00F0717A" w:rsidTr="008F1977">
        <w:tc>
          <w:tcPr>
            <w:tcW w:w="1275" w:type="dxa"/>
            <w:vMerge w:val="restart"/>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精算</w:t>
            </w:r>
          </w:p>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結果</w:t>
            </w:r>
          </w:p>
        </w:tc>
        <w:tc>
          <w:tcPr>
            <w:tcW w:w="1418" w:type="dxa"/>
            <w:vMerge w:val="restart"/>
            <w:vAlign w:val="center"/>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長期平衡</w:t>
            </w:r>
          </w:p>
          <w:p w:rsidR="00FB2640" w:rsidRPr="00F0717A" w:rsidRDefault="00FB2640" w:rsidP="008F1977">
            <w:pPr>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費率</w:t>
            </w:r>
          </w:p>
        </w:tc>
        <w:tc>
          <w:tcPr>
            <w:tcW w:w="2410" w:type="dxa"/>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喪葬津貼</w:t>
            </w:r>
          </w:p>
        </w:tc>
        <w:tc>
          <w:tcPr>
            <w:tcW w:w="3543" w:type="dxa"/>
          </w:tcPr>
          <w:p w:rsidR="00FB2640" w:rsidRPr="00D95938" w:rsidRDefault="00FB2640" w:rsidP="008F1977">
            <w:pPr>
              <w:spacing w:line="400" w:lineRule="exact"/>
              <w:jc w:val="center"/>
              <w:rPr>
                <w:rFonts w:ascii="微軟正黑體" w:eastAsia="微軟正黑體" w:hAnsi="微軟正黑體"/>
                <w:sz w:val="22"/>
                <w:szCs w:val="22"/>
              </w:rPr>
            </w:pPr>
            <w:r w:rsidRPr="00D95938">
              <w:rPr>
                <w:rFonts w:ascii="微軟正黑體" w:eastAsia="微軟正黑體" w:hAnsi="微軟正黑體"/>
                <w:sz w:val="22"/>
                <w:szCs w:val="22"/>
              </w:rPr>
              <w:t>4.3</w:t>
            </w:r>
            <w:r>
              <w:rPr>
                <w:rFonts w:ascii="微軟正黑體" w:eastAsia="微軟正黑體" w:hAnsi="微軟正黑體" w:hint="eastAsia"/>
                <w:sz w:val="22"/>
                <w:szCs w:val="22"/>
              </w:rPr>
              <w:t>9</w:t>
            </w:r>
            <w:r w:rsidRPr="00D95938">
              <w:rPr>
                <w:rFonts w:ascii="微軟正黑體" w:eastAsia="微軟正黑體" w:hAnsi="微軟正黑體"/>
                <w:sz w:val="22"/>
                <w:szCs w:val="22"/>
              </w:rPr>
              <w:t>%</w:t>
            </w:r>
          </w:p>
        </w:tc>
      </w:tr>
      <w:tr w:rsidR="00FB2640" w:rsidRPr="00F0717A" w:rsidTr="008F1977">
        <w:tc>
          <w:tcPr>
            <w:tcW w:w="1275" w:type="dxa"/>
            <w:vMerge/>
          </w:tcPr>
          <w:p w:rsidR="00FB2640" w:rsidRPr="00F0717A" w:rsidRDefault="00FB2640" w:rsidP="008F1977">
            <w:pPr>
              <w:spacing w:line="400" w:lineRule="exact"/>
              <w:rPr>
                <w:rFonts w:ascii="微軟正黑體" w:eastAsia="微軟正黑體" w:hAnsi="微軟正黑體"/>
                <w:sz w:val="22"/>
                <w:szCs w:val="22"/>
              </w:rPr>
            </w:pPr>
          </w:p>
        </w:tc>
        <w:tc>
          <w:tcPr>
            <w:tcW w:w="1418" w:type="dxa"/>
            <w:vMerge/>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p>
        </w:tc>
        <w:tc>
          <w:tcPr>
            <w:tcW w:w="2410" w:type="dxa"/>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身心障礙給付</w:t>
            </w:r>
          </w:p>
        </w:tc>
        <w:tc>
          <w:tcPr>
            <w:tcW w:w="3543" w:type="dxa"/>
          </w:tcPr>
          <w:p w:rsidR="00FB2640" w:rsidRPr="00D95938" w:rsidRDefault="00FB2640" w:rsidP="008F1977">
            <w:pPr>
              <w:spacing w:line="400" w:lineRule="exact"/>
              <w:jc w:val="center"/>
              <w:rPr>
                <w:rFonts w:ascii="微軟正黑體" w:eastAsia="微軟正黑體" w:hAnsi="微軟正黑體"/>
                <w:sz w:val="22"/>
                <w:szCs w:val="22"/>
              </w:rPr>
            </w:pPr>
            <w:r>
              <w:rPr>
                <w:rFonts w:ascii="微軟正黑體" w:eastAsia="微軟正黑體" w:hAnsi="微軟正黑體"/>
                <w:sz w:val="22"/>
                <w:szCs w:val="22"/>
              </w:rPr>
              <w:t>2.</w:t>
            </w:r>
            <w:r>
              <w:rPr>
                <w:rFonts w:ascii="微軟正黑體" w:eastAsia="微軟正黑體" w:hAnsi="微軟正黑體" w:hint="eastAsia"/>
                <w:sz w:val="22"/>
                <w:szCs w:val="22"/>
              </w:rPr>
              <w:t>51</w:t>
            </w:r>
            <w:r w:rsidRPr="00D95938">
              <w:rPr>
                <w:rFonts w:ascii="微軟正黑體" w:eastAsia="微軟正黑體" w:hAnsi="微軟正黑體"/>
                <w:sz w:val="22"/>
                <w:szCs w:val="22"/>
              </w:rPr>
              <w:t>%</w:t>
            </w:r>
          </w:p>
        </w:tc>
      </w:tr>
      <w:tr w:rsidR="00FB2640" w:rsidRPr="00F0717A" w:rsidTr="008F1977">
        <w:tc>
          <w:tcPr>
            <w:tcW w:w="1275" w:type="dxa"/>
            <w:vMerge/>
          </w:tcPr>
          <w:p w:rsidR="00FB2640" w:rsidRPr="00F0717A" w:rsidRDefault="00FB2640" w:rsidP="008F1977">
            <w:pPr>
              <w:spacing w:line="400" w:lineRule="exact"/>
              <w:rPr>
                <w:rFonts w:ascii="微軟正黑體" w:eastAsia="微軟正黑體" w:hAnsi="微軟正黑體"/>
                <w:sz w:val="22"/>
                <w:szCs w:val="22"/>
              </w:rPr>
            </w:pPr>
          </w:p>
        </w:tc>
        <w:tc>
          <w:tcPr>
            <w:tcW w:w="1418" w:type="dxa"/>
            <w:vMerge/>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p>
        </w:tc>
        <w:tc>
          <w:tcPr>
            <w:tcW w:w="2410" w:type="dxa"/>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生育給付</w:t>
            </w:r>
          </w:p>
        </w:tc>
        <w:tc>
          <w:tcPr>
            <w:tcW w:w="3543" w:type="dxa"/>
          </w:tcPr>
          <w:p w:rsidR="00FB2640" w:rsidRPr="00D95938" w:rsidRDefault="00FB2640" w:rsidP="008F1977">
            <w:pPr>
              <w:spacing w:line="400" w:lineRule="exact"/>
              <w:jc w:val="center"/>
              <w:rPr>
                <w:rFonts w:ascii="微軟正黑體" w:eastAsia="微軟正黑體" w:hAnsi="微軟正黑體"/>
                <w:sz w:val="22"/>
                <w:szCs w:val="22"/>
              </w:rPr>
            </w:pPr>
            <w:r w:rsidRPr="00D95938">
              <w:rPr>
                <w:rFonts w:ascii="微軟正黑體" w:eastAsia="微軟正黑體" w:hAnsi="微軟正黑體"/>
                <w:sz w:val="22"/>
                <w:szCs w:val="22"/>
              </w:rPr>
              <w:t>0.05%</w:t>
            </w:r>
          </w:p>
        </w:tc>
      </w:tr>
      <w:tr w:rsidR="00FB2640" w:rsidRPr="00F0717A" w:rsidTr="008F1977">
        <w:tc>
          <w:tcPr>
            <w:tcW w:w="1275" w:type="dxa"/>
            <w:vMerge/>
          </w:tcPr>
          <w:p w:rsidR="00FB2640" w:rsidRPr="00F0717A" w:rsidRDefault="00FB2640" w:rsidP="008F1977">
            <w:pPr>
              <w:spacing w:line="400" w:lineRule="exact"/>
              <w:rPr>
                <w:rFonts w:ascii="微軟正黑體" w:eastAsia="微軟正黑體" w:hAnsi="微軟正黑體"/>
                <w:sz w:val="22"/>
                <w:szCs w:val="22"/>
              </w:rPr>
            </w:pPr>
          </w:p>
        </w:tc>
        <w:tc>
          <w:tcPr>
            <w:tcW w:w="1418" w:type="dxa"/>
            <w:vMerge/>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p>
        </w:tc>
        <w:tc>
          <w:tcPr>
            <w:tcW w:w="2410" w:type="dxa"/>
            <w:vAlign w:val="center"/>
          </w:tcPr>
          <w:p w:rsidR="00FB2640" w:rsidRPr="00F0717A" w:rsidRDefault="00FB2640" w:rsidP="008F1977">
            <w:pPr>
              <w:spacing w:line="40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合計</w:t>
            </w:r>
          </w:p>
        </w:tc>
        <w:tc>
          <w:tcPr>
            <w:tcW w:w="3543" w:type="dxa"/>
          </w:tcPr>
          <w:p w:rsidR="00FB2640" w:rsidRPr="00D95938" w:rsidRDefault="00FB2640" w:rsidP="008F1977">
            <w:pPr>
              <w:spacing w:line="400" w:lineRule="exact"/>
              <w:jc w:val="center"/>
              <w:rPr>
                <w:rFonts w:ascii="微軟正黑體" w:eastAsia="微軟正黑體" w:hAnsi="微軟正黑體"/>
                <w:sz w:val="22"/>
                <w:szCs w:val="22"/>
              </w:rPr>
            </w:pPr>
            <w:r>
              <w:rPr>
                <w:rFonts w:ascii="微軟正黑體" w:eastAsia="微軟正黑體" w:hAnsi="微軟正黑體"/>
                <w:sz w:val="22"/>
                <w:szCs w:val="22"/>
              </w:rPr>
              <w:t>6.</w:t>
            </w:r>
            <w:r>
              <w:rPr>
                <w:rFonts w:ascii="微軟正黑體" w:eastAsia="微軟正黑體" w:hAnsi="微軟正黑體" w:hint="eastAsia"/>
                <w:sz w:val="22"/>
                <w:szCs w:val="22"/>
              </w:rPr>
              <w:t>95</w:t>
            </w:r>
            <w:r w:rsidRPr="00D95938">
              <w:rPr>
                <w:rFonts w:ascii="微軟正黑體" w:eastAsia="微軟正黑體" w:hAnsi="微軟正黑體"/>
                <w:sz w:val="22"/>
                <w:szCs w:val="22"/>
              </w:rPr>
              <w:t>%</w:t>
            </w:r>
          </w:p>
        </w:tc>
      </w:tr>
    </w:tbl>
    <w:p w:rsidR="00FB2640"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Pr>
          <w:rFonts w:ascii="微軟正黑體" w:eastAsia="微軟正黑體" w:hAnsi="微軟正黑體" w:hint="eastAsia"/>
        </w:rPr>
        <w:t xml:space="preserve"> (四) </w:t>
      </w:r>
      <w:r w:rsidRPr="00F0717A">
        <w:rPr>
          <w:rFonts w:ascii="微軟正黑體" w:eastAsia="微軟正黑體" w:hAnsi="微軟正黑體" w:hint="eastAsia"/>
        </w:rPr>
        <w:t>制度動態</w:t>
      </w:r>
    </w:p>
    <w:p w:rsidR="00FB2640" w:rsidRPr="004A17B8" w:rsidRDefault="00FB2640" w:rsidP="00BD50E5">
      <w:pPr>
        <w:pStyle w:val="af0"/>
        <w:numPr>
          <w:ilvl w:val="0"/>
          <w:numId w:val="57"/>
        </w:numPr>
        <w:adjustRightInd w:val="0"/>
        <w:spacing w:line="400" w:lineRule="exact"/>
        <w:ind w:leftChars="0"/>
        <w:jc w:val="both"/>
        <w:textAlignment w:val="baseline"/>
        <w:rPr>
          <w:rFonts w:ascii="微軟正黑體" w:eastAsia="微軟正黑體" w:hAnsi="微軟正黑體"/>
        </w:rPr>
      </w:pPr>
      <w:r w:rsidRPr="004A17B8">
        <w:rPr>
          <w:rFonts w:ascii="微軟正黑體" w:eastAsia="微軟正黑體" w:hAnsi="微軟正黑體" w:hint="eastAsia"/>
        </w:rPr>
        <w:t>109年11月12日行政院農業委員會修正發布「從事農業工作農民申請參加農民健康保險認定標準及資格審查辦法」，增訂農民依民法第850條之1規定，以完成農育權設定之農地參加農保之資格條件，以保障其加保權益。</w:t>
      </w:r>
    </w:p>
    <w:p w:rsidR="00FB2640" w:rsidRPr="00D2594A" w:rsidRDefault="00FB2640" w:rsidP="00BD50E5">
      <w:pPr>
        <w:pStyle w:val="af0"/>
        <w:numPr>
          <w:ilvl w:val="0"/>
          <w:numId w:val="57"/>
        </w:numPr>
        <w:adjustRightInd w:val="0"/>
        <w:spacing w:beforeLines="30" w:before="108" w:line="400" w:lineRule="exact"/>
        <w:ind w:leftChars="0"/>
        <w:jc w:val="both"/>
        <w:textAlignment w:val="baseline"/>
        <w:rPr>
          <w:rFonts w:ascii="微軟正黑體" w:eastAsia="微軟正黑體" w:hAnsi="微軟正黑體"/>
        </w:rPr>
      </w:pPr>
      <w:r w:rsidRPr="00D2594A">
        <w:rPr>
          <w:rFonts w:ascii="微軟正黑體" w:eastAsia="微軟正黑體" w:hAnsi="微軟正黑體"/>
        </w:rPr>
        <w:t>110年12月7日立法院三讀通過修正「農民健康保險條例</w:t>
      </w:r>
      <w:r w:rsidRPr="00D2594A">
        <w:rPr>
          <w:rFonts w:ascii="微軟正黑體" w:eastAsia="微軟正黑體" w:hAnsi="微軟正黑體" w:hint="eastAsia"/>
        </w:rPr>
        <w:t>」</w:t>
      </w:r>
      <w:r w:rsidRPr="008873B0">
        <w:rPr>
          <w:rFonts w:ascii="微軟正黑體" w:eastAsia="微軟正黑體" w:hAnsi="微軟正黑體" w:hint="eastAsia"/>
        </w:rPr>
        <w:t>部分條文，增訂第5條之1放寬50歲以下、且未領取陸海空軍軍官士官服役條例第23條第1項第2款退休俸或退伍金之退伍軍人，於實際從農時得以參加農保，鼓勵該等人員盡早投入農業生產；修正第7條被保險人之自有農地被徵收或徵收前已與需地機構協議價購，致土地面積不符合加保規定，得續保一定期間，但年滿65歲且加保年資累計達15年者，不受續保一定期間之限制，避免老年農民因其農地被徵收或協議價購，影響其參加農保之資格；修正第24條刪除生育給付有</w:t>
      </w:r>
      <w:r w:rsidRPr="001B04EB">
        <w:rPr>
          <w:rFonts w:ascii="微軟正黑體" w:eastAsia="微軟正黑體" w:hAnsi="微軟正黑體" w:hint="eastAsia"/>
        </w:rPr>
        <w:t>關投</w:t>
      </w:r>
      <w:r w:rsidRPr="00D2594A">
        <w:rPr>
          <w:rFonts w:ascii="微軟正黑體" w:eastAsia="微軟正黑體" w:hAnsi="微軟正黑體" w:hint="eastAsia"/>
        </w:rPr>
        <w:t>保天數之限制，如被保險人參加農保期間，本人或其配偶有分娩或早產者，得請領生育給付，避免因職域轉換導致影響請領生育給付之權益等。</w:t>
      </w:r>
    </w:p>
    <w:p w:rsidR="00FB2640" w:rsidRPr="0080682F" w:rsidRDefault="00FB2640" w:rsidP="00FB2640">
      <w:pPr>
        <w:pStyle w:val="af0"/>
        <w:adjustRightInd w:val="0"/>
        <w:spacing w:beforeLines="30" w:before="108" w:line="400" w:lineRule="exact"/>
        <w:ind w:leftChars="0" w:left="600"/>
        <w:jc w:val="both"/>
        <w:textAlignment w:val="baseline"/>
        <w:rPr>
          <w:rFonts w:ascii="微軟正黑體" w:eastAsia="微軟正黑體" w:hAnsi="微軟正黑體"/>
        </w:rPr>
      </w:pPr>
    </w:p>
    <w:p w:rsidR="00FB2640" w:rsidRPr="00F0717A" w:rsidRDefault="00FB2640" w:rsidP="00FB2640">
      <w:pPr>
        <w:spacing w:beforeLines="30" w:before="108" w:line="400" w:lineRule="exact"/>
        <w:rPr>
          <w:rFonts w:ascii="微軟正黑體" w:eastAsia="微軟正黑體" w:hAnsi="微軟正黑體"/>
        </w:rPr>
      </w:pPr>
      <w:r w:rsidRPr="00F0717A">
        <w:rPr>
          <w:rFonts w:ascii="微軟正黑體" w:eastAsia="微軟正黑體" w:hAnsi="微軟正黑體" w:hint="eastAsia"/>
        </w:rPr>
        <w:t>＜資料來源＞</w:t>
      </w:r>
    </w:p>
    <w:p w:rsidR="00FB2640" w:rsidRPr="00F0717A" w:rsidRDefault="00FB2640" w:rsidP="00FB2640">
      <w:pPr>
        <w:pStyle w:val="af0"/>
        <w:numPr>
          <w:ilvl w:val="0"/>
          <w:numId w:val="15"/>
        </w:numPr>
        <w:adjustRightInd w:val="0"/>
        <w:spacing w:line="400" w:lineRule="exact"/>
        <w:ind w:leftChars="0"/>
        <w:textAlignment w:val="baseline"/>
        <w:rPr>
          <w:rFonts w:ascii="微軟正黑體" w:eastAsia="微軟正黑體" w:hAnsi="微軟正黑體"/>
        </w:rPr>
      </w:pPr>
      <w:r w:rsidRPr="00AF3227">
        <w:rPr>
          <w:rFonts w:ascii="微軟正黑體" w:eastAsia="微軟正黑體" w:hAnsi="微軟正黑體" w:hint="eastAsia"/>
        </w:rPr>
        <w:t>勞動部勞工保險局網站統計資料－10</w:t>
      </w:r>
      <w:r w:rsidRPr="00AF3227">
        <w:rPr>
          <w:rFonts w:ascii="微軟正黑體" w:eastAsia="微軟正黑體" w:hAnsi="微軟正黑體"/>
        </w:rPr>
        <w:t>9</w:t>
      </w:r>
      <w:r w:rsidRPr="00AF3227">
        <w:rPr>
          <w:rFonts w:ascii="微軟正黑體" w:eastAsia="微軟正黑體" w:hAnsi="微軟正黑體" w:hint="eastAsia"/>
        </w:rPr>
        <w:t>年農民健康保險統計年報</w:t>
      </w:r>
      <w:r w:rsidRPr="00F0717A">
        <w:rPr>
          <w:rFonts w:ascii="微軟正黑體" w:eastAsia="微軟正黑體" w:hAnsi="微軟正黑體" w:hint="eastAsia"/>
        </w:rPr>
        <w:t>。</w:t>
      </w:r>
    </w:p>
    <w:p w:rsidR="00FB2640" w:rsidRPr="00F0717A" w:rsidRDefault="00FB2640" w:rsidP="00FB2640">
      <w:pPr>
        <w:pStyle w:val="af0"/>
        <w:numPr>
          <w:ilvl w:val="0"/>
          <w:numId w:val="15"/>
        </w:numPr>
        <w:adjustRightInd w:val="0"/>
        <w:spacing w:line="400" w:lineRule="exact"/>
        <w:ind w:leftChars="0"/>
        <w:textAlignment w:val="baseline"/>
        <w:rPr>
          <w:rFonts w:ascii="微軟正黑體" w:eastAsia="微軟正黑體" w:hAnsi="微軟正黑體"/>
        </w:rPr>
      </w:pPr>
      <w:r>
        <w:rPr>
          <w:rFonts w:ascii="微軟正黑體" w:eastAsia="微軟正黑體" w:hAnsi="微軟正黑體" w:hint="eastAsia"/>
        </w:rPr>
        <w:t>行政院農業委員會</w:t>
      </w:r>
      <w:r w:rsidRPr="00F0717A">
        <w:rPr>
          <w:rFonts w:ascii="微軟正黑體" w:eastAsia="微軟正黑體" w:hAnsi="微軟正黑體" w:hint="eastAsia"/>
        </w:rPr>
        <w:t>提供資料。</w:t>
      </w:r>
    </w:p>
    <w:p w:rsidR="00FB2640" w:rsidRPr="00F0717A" w:rsidRDefault="00FB2640" w:rsidP="00FB2640">
      <w:pPr>
        <w:rPr>
          <w:rFonts w:ascii="微軟正黑體" w:eastAsia="微軟正黑體" w:hAnsi="微軟正黑體"/>
        </w:rPr>
      </w:pPr>
      <w:r w:rsidRPr="00F0717A">
        <w:rPr>
          <w:rFonts w:ascii="微軟正黑體" w:eastAsia="微軟正黑體" w:hAnsi="微軟正黑體" w:hint="eastAsia"/>
        </w:rPr>
        <w:t xml:space="preserve"> (圖表均由本文自行繪製)</w:t>
      </w:r>
    </w:p>
    <w:p w:rsidR="00FB2640" w:rsidRPr="00F0717A" w:rsidRDefault="00FB2640" w:rsidP="00FB2640">
      <w:pPr>
        <w:rPr>
          <w:rFonts w:ascii="微軟正黑體" w:eastAsia="微軟正黑體" w:hAnsi="微軟正黑體"/>
        </w:rPr>
      </w:pPr>
      <w:r w:rsidRPr="00F0717A">
        <w:rPr>
          <w:rFonts w:ascii="微軟正黑體" w:eastAsia="微軟正黑體" w:hAnsi="微軟正黑體"/>
        </w:rPr>
        <w:br w:type="page"/>
      </w:r>
    </w:p>
    <w:p w:rsidR="00FB2640" w:rsidRPr="00F0717A" w:rsidRDefault="00FB2640" w:rsidP="00FB2640">
      <w:pPr>
        <w:spacing w:line="400" w:lineRule="exact"/>
        <w:rPr>
          <w:rFonts w:ascii="微軟正黑體" w:eastAsia="微軟正黑體" w:hAnsi="微軟正黑體"/>
          <w:b/>
          <w:sz w:val="28"/>
          <w:szCs w:val="28"/>
        </w:rPr>
      </w:pPr>
      <w:bookmarkStart w:id="6" w:name="第一章第二節肆"/>
      <w:r>
        <w:rPr>
          <w:rFonts w:ascii="微軟正黑體" w:eastAsia="微軟正黑體" w:hAnsi="微軟正黑體" w:hint="eastAsia"/>
          <w:b/>
          <w:sz w:val="28"/>
          <w:szCs w:val="28"/>
        </w:rPr>
        <w:lastRenderedPageBreak/>
        <w:t>四</w:t>
      </w:r>
      <w:r w:rsidRPr="00F0717A">
        <w:rPr>
          <w:rFonts w:ascii="微軟正黑體" w:eastAsia="微軟正黑體" w:hAnsi="微軟正黑體" w:hint="eastAsia"/>
          <w:b/>
          <w:sz w:val="28"/>
          <w:szCs w:val="28"/>
        </w:rPr>
        <w:t>、國民年金保險</w:t>
      </w:r>
    </w:p>
    <w:bookmarkEnd w:id="6"/>
    <w:p w:rsidR="00FB2640" w:rsidRPr="00F0717A" w:rsidRDefault="00FB2640" w:rsidP="00FB2640">
      <w:pPr>
        <w:spacing w:beforeLines="50" w:before="180" w:afterLines="50" w:after="180" w:line="400" w:lineRule="exact"/>
        <w:rPr>
          <w:rFonts w:ascii="微軟正黑體" w:eastAsia="微軟正黑體" w:hAnsi="微軟正黑體"/>
        </w:rPr>
      </w:pPr>
      <w:r>
        <w:rPr>
          <w:rFonts w:ascii="微軟正黑體" w:eastAsia="微軟正黑體" w:hAnsi="微軟正黑體" w:hint="eastAsia"/>
        </w:rPr>
        <w:t xml:space="preserve">(一) </w:t>
      </w:r>
      <w:r w:rsidRPr="00F0717A">
        <w:rPr>
          <w:rFonts w:ascii="微軟正黑體" w:eastAsia="微軟正黑體" w:hAnsi="微軟正黑體" w:hint="eastAsia"/>
        </w:rPr>
        <w:t>納保概況</w:t>
      </w:r>
    </w:p>
    <w:p w:rsidR="00FB2640" w:rsidRPr="001B4787" w:rsidRDefault="00FB2640" w:rsidP="00FB2640">
      <w:pPr>
        <w:pStyle w:val="af0"/>
        <w:numPr>
          <w:ilvl w:val="0"/>
          <w:numId w:val="26"/>
        </w:numPr>
        <w:adjustRightInd w:val="0"/>
        <w:spacing w:beforeLines="30" w:before="108" w:line="400" w:lineRule="exact"/>
        <w:ind w:leftChars="0" w:left="567"/>
        <w:textAlignment w:val="baseline"/>
        <w:rPr>
          <w:rFonts w:ascii="微軟正黑體" w:eastAsia="微軟正黑體" w:hAnsi="微軟正黑體"/>
        </w:rPr>
      </w:pPr>
      <w:r w:rsidRPr="001B4787">
        <w:rPr>
          <w:rFonts w:ascii="微軟正黑體" w:eastAsia="微軟正黑體" w:hAnsi="微軟正黑體" w:hint="eastAsia"/>
        </w:rPr>
        <w:t>被保險人人數</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國民年金保險於97年10月起開辦，主要納保對象為年滿25歲、未滿65歲，在國內設有戶籍，且沒有參加勞保、農保、公保及軍保的國民</w:t>
      </w:r>
      <w:r w:rsidRPr="00CD19DB">
        <w:rPr>
          <w:rFonts w:ascii="微軟正黑體" w:eastAsia="微軟正黑體" w:hAnsi="微軟正黑體" w:hint="eastAsia"/>
        </w:rPr>
        <w:t>。自開辦起，被保險人人數逐年下降，自9</w:t>
      </w:r>
      <w:r w:rsidRPr="00CD19DB">
        <w:rPr>
          <w:rFonts w:ascii="微軟正黑體" w:eastAsia="微軟正黑體" w:hAnsi="微軟正黑體"/>
        </w:rPr>
        <w:t>7</w:t>
      </w:r>
      <w:r w:rsidRPr="00CD19DB">
        <w:rPr>
          <w:rFonts w:ascii="微軟正黑體" w:eastAsia="微軟正黑體" w:hAnsi="微軟正黑體" w:hint="eastAsia"/>
        </w:rPr>
        <w:t>年4</w:t>
      </w:r>
      <w:r w:rsidRPr="00CD19DB">
        <w:rPr>
          <w:rFonts w:ascii="微軟正黑體" w:eastAsia="微軟正黑體" w:hAnsi="微軟正黑體"/>
        </w:rPr>
        <w:t>22</w:t>
      </w:r>
      <w:r w:rsidRPr="00CD19DB">
        <w:rPr>
          <w:rFonts w:ascii="微軟正黑體" w:eastAsia="微軟正黑體" w:hAnsi="微軟正黑體" w:hint="eastAsia"/>
        </w:rPr>
        <w:t>萬</w:t>
      </w:r>
      <w:r w:rsidRPr="00CD19DB">
        <w:rPr>
          <w:rFonts w:ascii="微軟正黑體" w:eastAsia="微軟正黑體" w:hAnsi="微軟正黑體"/>
        </w:rPr>
        <w:t>905</w:t>
      </w:r>
      <w:r w:rsidRPr="00CD19DB">
        <w:rPr>
          <w:rFonts w:ascii="微軟正黑體" w:eastAsia="微軟正黑體" w:hAnsi="微軟正黑體" w:hint="eastAsia"/>
        </w:rPr>
        <w:t>人逐年降至10</w:t>
      </w:r>
      <w:r w:rsidRPr="00CD19DB">
        <w:rPr>
          <w:rFonts w:ascii="微軟正黑體" w:eastAsia="微軟正黑體" w:hAnsi="微軟正黑體"/>
        </w:rPr>
        <w:t>9</w:t>
      </w:r>
      <w:r w:rsidRPr="00CD19DB">
        <w:rPr>
          <w:rFonts w:ascii="微軟正黑體" w:eastAsia="微軟正黑體" w:hAnsi="微軟正黑體" w:hint="eastAsia"/>
        </w:rPr>
        <w:t>年3</w:t>
      </w:r>
      <w:r w:rsidRPr="00CD19DB">
        <w:rPr>
          <w:rFonts w:ascii="微軟正黑體" w:eastAsia="微軟正黑體" w:hAnsi="微軟正黑體"/>
        </w:rPr>
        <w:t>10</w:t>
      </w:r>
      <w:r w:rsidRPr="00CD19DB">
        <w:rPr>
          <w:rFonts w:ascii="微軟正黑體" w:eastAsia="微軟正黑體" w:hAnsi="微軟正黑體" w:hint="eastAsia"/>
        </w:rPr>
        <w:t>萬</w:t>
      </w:r>
      <w:r w:rsidRPr="00CD19DB">
        <w:rPr>
          <w:rFonts w:ascii="微軟正黑體" w:eastAsia="微軟正黑體" w:hAnsi="微軟正黑體"/>
        </w:rPr>
        <w:t>5</w:t>
      </w:r>
      <w:r w:rsidRPr="00CD19DB">
        <w:rPr>
          <w:rFonts w:ascii="微軟正黑體" w:eastAsia="微軟正黑體" w:hAnsi="微軟正黑體" w:hint="eastAsia"/>
        </w:rPr>
        <w:t>,</w:t>
      </w:r>
      <w:r>
        <w:rPr>
          <w:rFonts w:ascii="微軟正黑體" w:eastAsia="微軟正黑體" w:hAnsi="微軟正黑體"/>
        </w:rPr>
        <w:t>983</w:t>
      </w:r>
      <w:r w:rsidRPr="00F0717A">
        <w:rPr>
          <w:rFonts w:ascii="微軟正黑體" w:eastAsia="微軟正黑體" w:hAnsi="微軟正黑體" w:hint="eastAsia"/>
        </w:rPr>
        <w:t>人，減少約</w:t>
      </w:r>
      <w:r>
        <w:rPr>
          <w:rFonts w:ascii="微軟正黑體" w:eastAsia="微軟正黑體" w:hAnsi="微軟正黑體"/>
        </w:rPr>
        <w:t>111.5</w:t>
      </w:r>
      <w:r w:rsidRPr="00F0717A">
        <w:rPr>
          <w:rFonts w:ascii="微軟正黑體" w:eastAsia="微軟正黑體" w:hAnsi="微軟正黑體" w:hint="eastAsia"/>
        </w:rPr>
        <w:t>萬人(-</w:t>
      </w:r>
      <w:r>
        <w:rPr>
          <w:rFonts w:ascii="微軟正黑體" w:eastAsia="微軟正黑體" w:hAnsi="微軟正黑體"/>
        </w:rPr>
        <w:t>26.4</w:t>
      </w:r>
      <w:r w:rsidRPr="00F0717A">
        <w:rPr>
          <w:rFonts w:ascii="微軟正黑體" w:eastAsia="微軟正黑體" w:hAnsi="微軟正黑體" w:hint="eastAsia"/>
        </w:rPr>
        <w:t>%)。</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72672" behindDoc="0" locked="0" layoutInCell="1" allowOverlap="1" wp14:anchorId="01A2285C" wp14:editId="44F30845">
            <wp:simplePos x="0" y="0"/>
            <wp:positionH relativeFrom="column">
              <wp:posOffset>167651</wp:posOffset>
            </wp:positionH>
            <wp:positionV relativeFrom="paragraph">
              <wp:posOffset>55506</wp:posOffset>
            </wp:positionV>
            <wp:extent cx="5590540" cy="2850734"/>
            <wp:effectExtent l="0" t="0" r="10160" b="6985"/>
            <wp:wrapNone/>
            <wp:docPr id="266" name="圖表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Default="00FB2640" w:rsidP="00FB2640">
      <w:pPr>
        <w:pStyle w:val="af0"/>
        <w:spacing w:beforeLines="30" w:before="108" w:line="400" w:lineRule="exact"/>
        <w:ind w:leftChars="0" w:left="386"/>
        <w:jc w:val="center"/>
        <w:rPr>
          <w:rFonts w:ascii="微軟正黑體" w:eastAsia="微軟正黑體" w:hAnsi="微軟正黑體"/>
        </w:rPr>
      </w:pPr>
    </w:p>
    <w:p w:rsidR="00FB2640" w:rsidRPr="00F0717A" w:rsidRDefault="00FB2640" w:rsidP="00FB2640">
      <w:pPr>
        <w:pStyle w:val="af0"/>
        <w:spacing w:beforeLines="30" w:before="108" w:line="400" w:lineRule="exact"/>
        <w:ind w:leftChars="0" w:left="386"/>
        <w:jc w:val="center"/>
        <w:rPr>
          <w:rFonts w:ascii="微軟正黑體" w:eastAsia="微軟正黑體" w:hAnsi="微軟正黑體"/>
        </w:rPr>
      </w:pPr>
      <w:r w:rsidRPr="00F0717A">
        <w:rPr>
          <w:rFonts w:ascii="微軟正黑體" w:eastAsia="微軟正黑體" w:hAnsi="微軟正黑體" w:hint="eastAsia"/>
        </w:rPr>
        <w:t>圖2.3</w:t>
      </w:r>
      <w:r>
        <w:rPr>
          <w:rFonts w:ascii="微軟正黑體" w:eastAsia="微軟正黑體" w:hAnsi="微軟正黑體" w:hint="eastAsia"/>
        </w:rPr>
        <w:t>4</w:t>
      </w:r>
      <w:r w:rsidRPr="00F0717A">
        <w:rPr>
          <w:rFonts w:ascii="微軟正黑體" w:eastAsia="微軟正黑體" w:hAnsi="微軟正黑體" w:hint="eastAsia"/>
        </w:rPr>
        <w:t xml:space="preserve"> </w:t>
      </w:r>
      <w:r w:rsidRPr="00CD19DB">
        <w:rPr>
          <w:rFonts w:ascii="微軟正黑體" w:eastAsia="微軟正黑體" w:hAnsi="微軟正黑體" w:hint="eastAsia"/>
        </w:rPr>
        <w:t xml:space="preserve"> 歷年</w:t>
      </w:r>
      <w:r w:rsidRPr="00F0717A">
        <w:rPr>
          <w:rFonts w:ascii="微軟正黑體" w:eastAsia="微軟正黑體" w:hAnsi="微軟正黑體" w:hint="eastAsia"/>
        </w:rPr>
        <w:t>國保被保險人人數變動情形</w:t>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1B4787" w:rsidRDefault="00FB2640" w:rsidP="00FB2640">
      <w:pPr>
        <w:pStyle w:val="af0"/>
        <w:numPr>
          <w:ilvl w:val="0"/>
          <w:numId w:val="26"/>
        </w:numPr>
        <w:adjustRightInd w:val="0"/>
        <w:spacing w:beforeLines="30" w:before="108" w:line="400" w:lineRule="exact"/>
        <w:ind w:leftChars="0" w:left="567"/>
        <w:textAlignment w:val="baseline"/>
        <w:rPr>
          <w:rFonts w:ascii="微軟正黑體" w:eastAsia="微軟正黑體" w:hAnsi="微軟正黑體"/>
        </w:rPr>
      </w:pPr>
      <w:r w:rsidRPr="001B4787">
        <w:rPr>
          <w:rFonts w:ascii="微軟正黑體" w:eastAsia="微軟正黑體" w:hAnsi="微軟正黑體" w:hint="eastAsia"/>
        </w:rPr>
        <w:t>被保險人年齡及性別分布</w:t>
      </w:r>
    </w:p>
    <w:p w:rsidR="00FB2640" w:rsidRPr="00AA302A"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年國保被保險人</w:t>
      </w:r>
      <w:r>
        <w:rPr>
          <w:rFonts w:ascii="微軟正黑體" w:eastAsia="微軟正黑體" w:hAnsi="微軟正黑體" w:hint="eastAsia"/>
        </w:rPr>
        <w:t>以</w:t>
      </w:r>
      <w:r w:rsidRPr="00F0717A">
        <w:rPr>
          <w:rFonts w:ascii="微軟正黑體" w:eastAsia="微軟正黑體" w:hAnsi="微軟正黑體" w:hint="eastAsia"/>
        </w:rPr>
        <w:t>「</w:t>
      </w:r>
      <w:r>
        <w:rPr>
          <w:rFonts w:ascii="微軟正黑體" w:eastAsia="微軟正黑體" w:hAnsi="微軟正黑體"/>
        </w:rPr>
        <w:t>40-44</w:t>
      </w:r>
      <w:r>
        <w:rPr>
          <w:rFonts w:ascii="微軟正黑體" w:eastAsia="微軟正黑體" w:hAnsi="微軟正黑體" w:hint="eastAsia"/>
        </w:rPr>
        <w:t>歲</w:t>
      </w:r>
      <w:r w:rsidRPr="00F0717A">
        <w:rPr>
          <w:rFonts w:ascii="微軟正黑體" w:eastAsia="微軟正黑體" w:hAnsi="微軟正黑體" w:hint="eastAsia"/>
        </w:rPr>
        <w:t>」為最多，達</w:t>
      </w:r>
      <w:r>
        <w:rPr>
          <w:rFonts w:ascii="微軟正黑體" w:eastAsia="微軟正黑體" w:hAnsi="微軟正黑體" w:hint="eastAsia"/>
        </w:rPr>
        <w:t>41</w:t>
      </w:r>
      <w:r w:rsidRPr="00F0717A">
        <w:rPr>
          <w:rFonts w:ascii="微軟正黑體" w:eastAsia="微軟正黑體" w:hAnsi="微軟正黑體" w:hint="eastAsia"/>
        </w:rPr>
        <w:t>萬</w:t>
      </w:r>
      <w:r>
        <w:rPr>
          <w:rFonts w:ascii="微軟正黑體" w:eastAsia="微軟正黑體" w:hAnsi="微軟正黑體"/>
        </w:rPr>
        <w:t>6</w:t>
      </w:r>
      <w:r>
        <w:rPr>
          <w:rFonts w:ascii="微軟正黑體" w:eastAsia="微軟正黑體" w:hAnsi="微軟正黑體" w:hint="eastAsia"/>
        </w:rPr>
        <w:t>,</w:t>
      </w:r>
      <w:r>
        <w:rPr>
          <w:rFonts w:ascii="微軟正黑體" w:eastAsia="微軟正黑體" w:hAnsi="微軟正黑體"/>
        </w:rPr>
        <w:t>202</w:t>
      </w:r>
      <w:r w:rsidRPr="00F0717A">
        <w:rPr>
          <w:rFonts w:ascii="微軟正黑體" w:eastAsia="微軟正黑體" w:hAnsi="微軟正黑體" w:hint="eastAsia"/>
        </w:rPr>
        <w:t>人，占全體被保險人1</w:t>
      </w:r>
      <w:r>
        <w:rPr>
          <w:rFonts w:ascii="微軟正黑體" w:eastAsia="微軟正黑體" w:hAnsi="微軟正黑體" w:hint="eastAsia"/>
        </w:rPr>
        <w:t>3.</w:t>
      </w:r>
      <w:r>
        <w:rPr>
          <w:rFonts w:ascii="微軟正黑體" w:eastAsia="微軟正黑體" w:hAnsi="微軟正黑體"/>
        </w:rPr>
        <w:t>4</w:t>
      </w:r>
      <w:r w:rsidRPr="00F0717A">
        <w:rPr>
          <w:rFonts w:ascii="微軟正黑體" w:eastAsia="微軟正黑體" w:hAnsi="微軟正黑體" w:hint="eastAsia"/>
        </w:rPr>
        <w:t>%，</w:t>
      </w:r>
      <w:r>
        <w:rPr>
          <w:rFonts w:ascii="微軟正黑體" w:eastAsia="微軟正黑體" w:hAnsi="微軟正黑體" w:hint="eastAsia"/>
        </w:rPr>
        <w:t>「30-34歲</w:t>
      </w:r>
      <w:r w:rsidRPr="00AA302A">
        <w:rPr>
          <w:rFonts w:ascii="微軟正黑體" w:eastAsia="微軟正黑體" w:hAnsi="微軟正黑體" w:hint="eastAsia"/>
        </w:rPr>
        <w:t>」</w:t>
      </w:r>
      <w:r>
        <w:rPr>
          <w:rFonts w:ascii="微軟正黑體" w:eastAsia="微軟正黑體" w:hAnsi="微軟正黑體" w:hint="eastAsia"/>
        </w:rPr>
        <w:t>最少，為3</w:t>
      </w:r>
      <w:r>
        <w:rPr>
          <w:rFonts w:ascii="微軟正黑體" w:eastAsia="微軟正黑體" w:hAnsi="微軟正黑體"/>
        </w:rPr>
        <w:t>4</w:t>
      </w:r>
      <w:r>
        <w:rPr>
          <w:rFonts w:ascii="微軟正黑體" w:eastAsia="微軟正黑體" w:hAnsi="微軟正黑體" w:hint="eastAsia"/>
        </w:rPr>
        <w:t>萬</w:t>
      </w:r>
      <w:r>
        <w:rPr>
          <w:rFonts w:ascii="微軟正黑體" w:eastAsia="微軟正黑體" w:hAnsi="微軟正黑體"/>
        </w:rPr>
        <w:t>2,916</w:t>
      </w:r>
      <w:r>
        <w:rPr>
          <w:rFonts w:ascii="微軟正黑體" w:eastAsia="微軟正黑體" w:hAnsi="微軟正黑體" w:hint="eastAsia"/>
        </w:rPr>
        <w:t>人，</w:t>
      </w:r>
      <w:r w:rsidRPr="00AA302A">
        <w:rPr>
          <w:rFonts w:ascii="微軟正黑體" w:eastAsia="微軟正黑體" w:hAnsi="微軟正黑體" w:hint="eastAsia"/>
        </w:rPr>
        <w:t>占</w:t>
      </w:r>
      <w:r>
        <w:rPr>
          <w:rFonts w:ascii="微軟正黑體" w:eastAsia="微軟正黑體" w:hAnsi="微軟正黑體" w:hint="eastAsia"/>
        </w:rPr>
        <w:t>11.</w:t>
      </w:r>
      <w:r>
        <w:rPr>
          <w:rFonts w:ascii="微軟正黑體" w:eastAsia="微軟正黑體" w:hAnsi="微軟正黑體"/>
        </w:rPr>
        <w:t>0</w:t>
      </w:r>
      <w:r w:rsidRPr="00AA302A">
        <w:rPr>
          <w:rFonts w:ascii="微軟正黑體" w:eastAsia="微軟正黑體" w:hAnsi="微軟正黑體" w:hint="eastAsia"/>
        </w:rPr>
        <w:t>%，其他年齡層人數分布差異不大。全體被保險人平均年齡</w:t>
      </w:r>
      <w:r>
        <w:rPr>
          <w:rFonts w:ascii="微軟正黑體" w:eastAsia="微軟正黑體" w:hAnsi="微軟正黑體" w:hint="eastAsia"/>
        </w:rPr>
        <w:t>44.7</w:t>
      </w:r>
      <w:r w:rsidRPr="00AA302A">
        <w:rPr>
          <w:rFonts w:ascii="微軟正黑體" w:eastAsia="微軟正黑體" w:hAnsi="微軟正黑體" w:hint="eastAsia"/>
        </w:rPr>
        <w:t>歲。</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以性別觀之，10</w:t>
      </w:r>
      <w:r>
        <w:rPr>
          <w:rFonts w:ascii="微軟正黑體" w:eastAsia="微軟正黑體" w:hAnsi="微軟正黑體"/>
        </w:rPr>
        <w:t>9</w:t>
      </w:r>
      <w:r w:rsidRPr="00F0717A">
        <w:rPr>
          <w:rFonts w:ascii="微軟正黑體" w:eastAsia="微軟正黑體" w:hAnsi="微軟正黑體" w:hint="eastAsia"/>
        </w:rPr>
        <w:t>年男性被保險人為</w:t>
      </w:r>
      <w:r>
        <w:rPr>
          <w:rFonts w:ascii="微軟正黑體" w:eastAsia="微軟正黑體" w:hAnsi="微軟正黑體"/>
        </w:rPr>
        <w:t>151</w:t>
      </w:r>
      <w:r w:rsidRPr="00F0717A">
        <w:rPr>
          <w:rFonts w:ascii="微軟正黑體" w:eastAsia="微軟正黑體" w:hAnsi="微軟正黑體" w:hint="eastAsia"/>
        </w:rPr>
        <w:t>萬</w:t>
      </w:r>
      <w:r>
        <w:rPr>
          <w:rFonts w:ascii="微軟正黑體" w:eastAsia="微軟正黑體" w:hAnsi="微軟正黑體"/>
        </w:rPr>
        <w:t>1</w:t>
      </w:r>
      <w:r>
        <w:rPr>
          <w:rFonts w:ascii="微軟正黑體" w:eastAsia="微軟正黑體" w:hAnsi="微軟正黑體" w:hint="eastAsia"/>
        </w:rPr>
        <w:t>,</w:t>
      </w:r>
      <w:r>
        <w:rPr>
          <w:rFonts w:ascii="微軟正黑體" w:eastAsia="微軟正黑體" w:hAnsi="微軟正黑體"/>
        </w:rPr>
        <w:t>066</w:t>
      </w:r>
      <w:r w:rsidRPr="00F0717A">
        <w:rPr>
          <w:rFonts w:ascii="微軟正黑體" w:eastAsia="微軟正黑體" w:hAnsi="微軟正黑體" w:hint="eastAsia"/>
        </w:rPr>
        <w:t>人，占全體被保險人48.</w:t>
      </w:r>
      <w:r>
        <w:rPr>
          <w:rFonts w:ascii="微軟正黑體" w:eastAsia="微軟正黑體" w:hAnsi="微軟正黑體"/>
        </w:rPr>
        <w:t>7</w:t>
      </w:r>
      <w:r w:rsidRPr="00F0717A">
        <w:rPr>
          <w:rFonts w:ascii="微軟正黑體" w:eastAsia="微軟正黑體" w:hAnsi="微軟正黑體" w:hint="eastAsia"/>
        </w:rPr>
        <w:t>%，女性為1</w:t>
      </w:r>
      <w:r>
        <w:rPr>
          <w:rFonts w:ascii="微軟正黑體" w:eastAsia="微軟正黑體" w:hAnsi="微軟正黑體"/>
        </w:rPr>
        <w:t>5</w:t>
      </w:r>
      <w:r>
        <w:rPr>
          <w:rFonts w:ascii="微軟正黑體" w:eastAsia="微軟正黑體" w:hAnsi="微軟正黑體" w:hint="eastAsia"/>
        </w:rPr>
        <w:t>9</w:t>
      </w:r>
      <w:r w:rsidRPr="00F0717A">
        <w:rPr>
          <w:rFonts w:ascii="微軟正黑體" w:eastAsia="微軟正黑體" w:hAnsi="微軟正黑體" w:hint="eastAsia"/>
        </w:rPr>
        <w:t>萬</w:t>
      </w:r>
      <w:r>
        <w:rPr>
          <w:rFonts w:ascii="微軟正黑體" w:eastAsia="微軟正黑體" w:hAnsi="微軟正黑體" w:hint="eastAsia"/>
        </w:rPr>
        <w:t>4,</w:t>
      </w:r>
      <w:r>
        <w:rPr>
          <w:rFonts w:ascii="微軟正黑體" w:eastAsia="微軟正黑體" w:hAnsi="微軟正黑體"/>
        </w:rPr>
        <w:t>917</w:t>
      </w:r>
      <w:r w:rsidRPr="00F0717A">
        <w:rPr>
          <w:rFonts w:ascii="微軟正黑體" w:eastAsia="微軟正黑體" w:hAnsi="微軟正黑體" w:hint="eastAsia"/>
        </w:rPr>
        <w:t>人，占51.</w:t>
      </w:r>
      <w:r>
        <w:rPr>
          <w:rFonts w:ascii="微軟正黑體" w:eastAsia="微軟正黑體" w:hAnsi="微軟正黑體"/>
        </w:rPr>
        <w:t>3</w:t>
      </w:r>
      <w:r w:rsidRPr="00F0717A">
        <w:rPr>
          <w:rFonts w:ascii="微軟正黑體" w:eastAsia="微軟正黑體" w:hAnsi="微軟正黑體" w:hint="eastAsia"/>
        </w:rPr>
        <w:t>%，</w:t>
      </w:r>
      <w:r w:rsidRPr="00777115">
        <w:rPr>
          <w:rFonts w:ascii="微軟正黑體" w:eastAsia="微軟正黑體" w:hAnsi="微軟正黑體" w:hint="eastAsia"/>
        </w:rPr>
        <w:t>其中</w:t>
      </w:r>
      <w:r>
        <w:rPr>
          <w:rFonts w:ascii="微軟正黑體" w:eastAsia="微軟正黑體" w:hAnsi="微軟正黑體" w:hint="eastAsia"/>
        </w:rPr>
        <w:t>「25-29歲」及「50-54歲」年齡層之男</w:t>
      </w:r>
      <w:r w:rsidRPr="00777115">
        <w:rPr>
          <w:rFonts w:ascii="微軟正黑體" w:eastAsia="微軟正黑體" w:hAnsi="微軟正黑體" w:hint="eastAsia"/>
        </w:rPr>
        <w:t>性</w:t>
      </w:r>
      <w:r>
        <w:rPr>
          <w:rFonts w:ascii="微軟正黑體" w:eastAsia="微軟正黑體" w:hAnsi="微軟正黑體" w:hint="eastAsia"/>
        </w:rPr>
        <w:t>多於女</w:t>
      </w:r>
      <w:r w:rsidRPr="00777115">
        <w:rPr>
          <w:rFonts w:ascii="微軟正黑體" w:eastAsia="微軟正黑體" w:hAnsi="微軟正黑體" w:hint="eastAsia"/>
        </w:rPr>
        <w:t>性</w:t>
      </w:r>
      <w:r w:rsidRPr="00F0717A">
        <w:rPr>
          <w:rFonts w:ascii="微軟正黑體" w:eastAsia="微軟正黑體" w:hAnsi="微軟正黑體" w:hint="eastAsia"/>
        </w:rPr>
        <w:t>。男性被保險人平均年齡44.</w:t>
      </w:r>
      <w:r>
        <w:rPr>
          <w:rFonts w:ascii="微軟正黑體" w:eastAsia="微軟正黑體" w:hAnsi="微軟正黑體" w:hint="eastAsia"/>
        </w:rPr>
        <w:t>3</w:t>
      </w:r>
      <w:r w:rsidRPr="00F0717A">
        <w:rPr>
          <w:rFonts w:ascii="微軟正黑體" w:eastAsia="微軟正黑體" w:hAnsi="微軟正黑體" w:hint="eastAsia"/>
        </w:rPr>
        <w:t>歲，女性被保險人</w:t>
      </w:r>
      <w:r>
        <w:rPr>
          <w:rFonts w:ascii="微軟正黑體" w:eastAsia="微軟正黑體" w:hAnsi="微軟正黑體" w:hint="eastAsia"/>
        </w:rPr>
        <w:t>44.9</w:t>
      </w:r>
      <w:r w:rsidRPr="00F0717A">
        <w:rPr>
          <w:rFonts w:ascii="微軟正黑體" w:eastAsia="微軟正黑體" w:hAnsi="微軟正黑體" w:hint="eastAsia"/>
        </w:rPr>
        <w:t>歲。</w:t>
      </w:r>
    </w:p>
    <w:p w:rsidR="00FB2640" w:rsidRPr="00F0717A" w:rsidRDefault="00FB2640" w:rsidP="00FB2640">
      <w:pPr>
        <w:pStyle w:val="af0"/>
        <w:spacing w:beforeLines="30" w:before="108" w:line="400" w:lineRule="exact"/>
        <w:ind w:leftChars="0" w:left="384"/>
        <w:jc w:val="both"/>
        <w:rPr>
          <w:rFonts w:ascii="微軟正黑體" w:eastAsia="微軟正黑體" w:hAnsi="微軟正黑體"/>
        </w:rPr>
      </w:pPr>
    </w:p>
    <w:p w:rsidR="00FB2640" w:rsidRPr="00F0717A" w:rsidRDefault="00FB2640" w:rsidP="00FB2640">
      <w:pPr>
        <w:pStyle w:val="af0"/>
        <w:spacing w:beforeLines="30" w:before="108" w:line="400" w:lineRule="exact"/>
        <w:ind w:leftChars="0" w:left="384"/>
        <w:jc w:val="both"/>
        <w:rPr>
          <w:rFonts w:ascii="微軟正黑體" w:eastAsia="微軟正黑體" w:hAnsi="微軟正黑體"/>
        </w:rPr>
      </w:pPr>
    </w:p>
    <w:p w:rsidR="00FB2640" w:rsidRPr="00F0717A" w:rsidRDefault="00FB2640" w:rsidP="00FB2640">
      <w:pPr>
        <w:pStyle w:val="af0"/>
        <w:spacing w:beforeLines="30" w:before="108" w:line="400" w:lineRule="exact"/>
        <w:ind w:leftChars="0" w:left="384"/>
        <w:jc w:val="both"/>
        <w:rPr>
          <w:rFonts w:ascii="微軟正黑體" w:eastAsia="微軟正黑體" w:hAnsi="微軟正黑體"/>
        </w:rPr>
      </w:pPr>
    </w:p>
    <w:p w:rsidR="00FB2640" w:rsidRPr="00F0717A" w:rsidRDefault="00FB2640" w:rsidP="00FB2640">
      <w:pPr>
        <w:pStyle w:val="af0"/>
        <w:spacing w:beforeLines="30" w:before="108" w:line="400" w:lineRule="exact"/>
        <w:ind w:leftChars="0" w:left="384"/>
        <w:jc w:val="both"/>
        <w:rPr>
          <w:rFonts w:ascii="微軟正黑體" w:eastAsia="微軟正黑體" w:hAnsi="微軟正黑體"/>
        </w:rPr>
      </w:pPr>
    </w:p>
    <w:p w:rsidR="00FB2640" w:rsidRPr="0064182C" w:rsidRDefault="00FB2640" w:rsidP="00FB2640">
      <w:pPr>
        <w:spacing w:beforeLines="30" w:before="108" w:line="400" w:lineRule="exact"/>
        <w:jc w:val="both"/>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r>
        <w:rPr>
          <w:noProof/>
        </w:rPr>
        <w:lastRenderedPageBreak/>
        <w:drawing>
          <wp:anchor distT="0" distB="0" distL="114300" distR="114300" simplePos="0" relativeHeight="252573696" behindDoc="0" locked="0" layoutInCell="1" allowOverlap="1" wp14:anchorId="3A911769" wp14:editId="6B3BDC00">
            <wp:simplePos x="0" y="0"/>
            <wp:positionH relativeFrom="column">
              <wp:posOffset>-19730</wp:posOffset>
            </wp:positionH>
            <wp:positionV relativeFrom="paragraph">
              <wp:posOffset>-12968</wp:posOffset>
            </wp:positionV>
            <wp:extent cx="5760085" cy="2889230"/>
            <wp:effectExtent l="0" t="0" r="12065" b="26035"/>
            <wp:wrapNone/>
            <wp:docPr id="267" name="圖表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beforeLines="50" w:before="180" w:line="400" w:lineRule="exact"/>
        <w:ind w:leftChars="0" w:left="386"/>
        <w:jc w:val="center"/>
        <w:rPr>
          <w:rFonts w:ascii="微軟正黑體" w:eastAsia="微軟正黑體" w:hAnsi="微軟正黑體"/>
        </w:rPr>
      </w:pPr>
      <w:r w:rsidRPr="00F0717A">
        <w:rPr>
          <w:rFonts w:ascii="微軟正黑體" w:eastAsia="微軟正黑體" w:hAnsi="微軟正黑體" w:hint="eastAsia"/>
        </w:rPr>
        <w:t>圖2.3</w:t>
      </w:r>
      <w:r>
        <w:rPr>
          <w:rFonts w:ascii="微軟正黑體" w:eastAsia="微軟正黑體" w:hAnsi="微軟正黑體" w:hint="eastAsia"/>
        </w:rPr>
        <w:t>5</w:t>
      </w: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年國保被保險人性別及年齡別分布情形</w:t>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CD19DB" w:rsidRDefault="00FB2640" w:rsidP="00FB2640">
      <w:pPr>
        <w:pStyle w:val="af0"/>
        <w:spacing w:beforeLines="30" w:before="108" w:line="400" w:lineRule="exact"/>
        <w:ind w:leftChars="0" w:left="384"/>
        <w:jc w:val="both"/>
        <w:rPr>
          <w:rFonts w:ascii="微軟正黑體" w:eastAsia="微軟正黑體" w:hAnsi="微軟正黑體"/>
        </w:rPr>
      </w:pPr>
      <w:r w:rsidRPr="00F0717A">
        <w:rPr>
          <w:rFonts w:ascii="微軟正黑體" w:eastAsia="微軟正黑體" w:hAnsi="微軟正黑體" w:hint="eastAsia"/>
        </w:rPr>
        <w:t xml:space="preserve">    </w:t>
      </w:r>
      <w:r w:rsidRPr="00642166">
        <w:rPr>
          <w:rFonts w:ascii="微軟正黑體" w:eastAsia="微軟正黑體" w:hAnsi="微軟正黑體" w:hint="eastAsia"/>
        </w:rPr>
        <w:t>以近10年年</w:t>
      </w:r>
      <w:r w:rsidRPr="00F0717A">
        <w:rPr>
          <w:rFonts w:ascii="微軟正黑體" w:eastAsia="微軟正黑體" w:hAnsi="微軟正黑體" w:hint="eastAsia"/>
        </w:rPr>
        <w:t>齡分布占比變動情形觀</w:t>
      </w:r>
      <w:r w:rsidRPr="00CD19DB">
        <w:rPr>
          <w:rFonts w:ascii="微軟正黑體" w:eastAsia="微軟正黑體" w:hAnsi="微軟正黑體" w:hint="eastAsia"/>
        </w:rPr>
        <w:t>之，自100年</w:t>
      </w:r>
      <w:r w:rsidRPr="000D07AE">
        <w:rPr>
          <w:rFonts w:ascii="微軟正黑體" w:eastAsia="微軟正黑體" w:hAnsi="微軟正黑體" w:hint="eastAsia"/>
        </w:rPr>
        <w:t>至108年</w:t>
      </w:r>
      <w:r w:rsidRPr="00CD19DB">
        <w:rPr>
          <w:rFonts w:ascii="微軟正黑體" w:eastAsia="微軟正黑體" w:hAnsi="微軟正黑體" w:hint="eastAsia"/>
        </w:rPr>
        <w:t>，以「60-64歲」占比最高，介於13.3%-15.7%之間；惟近年「40-44歲」及「50-59歲」占比有上升趨勢，至1</w:t>
      </w:r>
      <w:r w:rsidRPr="00CD19DB">
        <w:rPr>
          <w:rFonts w:ascii="微軟正黑體" w:eastAsia="微軟正黑體" w:hAnsi="微軟正黑體"/>
        </w:rPr>
        <w:t>09</w:t>
      </w:r>
      <w:r w:rsidRPr="00CD19DB">
        <w:rPr>
          <w:rFonts w:ascii="微軟正黑體" w:eastAsia="微軟正黑體" w:hAnsi="微軟正黑體" w:hint="eastAsia"/>
        </w:rPr>
        <w:t>年改以「</w:t>
      </w:r>
      <w:r w:rsidRPr="00CD19DB">
        <w:rPr>
          <w:rFonts w:ascii="微軟正黑體" w:eastAsia="微軟正黑體" w:hAnsi="微軟正黑體"/>
        </w:rPr>
        <w:t>40-44</w:t>
      </w:r>
      <w:r w:rsidRPr="00CD19DB">
        <w:rPr>
          <w:rFonts w:ascii="微軟正黑體" w:eastAsia="微軟正黑體" w:hAnsi="微軟正黑體" w:hint="eastAsia"/>
        </w:rPr>
        <w:t>歲」占比最高，為</w:t>
      </w:r>
      <w:r w:rsidRPr="00CD19DB">
        <w:rPr>
          <w:rFonts w:ascii="微軟正黑體" w:eastAsia="微軟正黑體" w:hAnsi="微軟正黑體"/>
        </w:rPr>
        <w:t>13.4%</w:t>
      </w:r>
      <w:r w:rsidRPr="00CD19DB">
        <w:rPr>
          <w:rFonts w:ascii="微軟正黑體" w:eastAsia="微軟正黑體" w:hAnsi="微軟正黑體" w:hint="eastAsia"/>
        </w:rPr>
        <w:t>。</w:t>
      </w:r>
    </w:p>
    <w:p w:rsidR="00FB2640" w:rsidRDefault="00FB2640" w:rsidP="00FB2640">
      <w:pPr>
        <w:pStyle w:val="af0"/>
        <w:spacing w:beforeLines="50" w:before="180" w:afterLines="20" w:after="72" w:line="400" w:lineRule="exact"/>
        <w:ind w:leftChars="0" w:left="386"/>
        <w:jc w:val="center"/>
        <w:rPr>
          <w:rFonts w:ascii="微軟正黑體" w:eastAsia="微軟正黑體" w:hAnsi="微軟正黑體"/>
        </w:rPr>
      </w:pPr>
      <w:r>
        <w:rPr>
          <w:noProof/>
        </w:rPr>
        <w:drawing>
          <wp:anchor distT="0" distB="0" distL="114300" distR="114300" simplePos="0" relativeHeight="252553216" behindDoc="0" locked="0" layoutInCell="1" allowOverlap="1" wp14:anchorId="7273E96D" wp14:editId="63CEFD7F">
            <wp:simplePos x="0" y="0"/>
            <wp:positionH relativeFrom="column">
              <wp:posOffset>-20320</wp:posOffset>
            </wp:positionH>
            <wp:positionV relativeFrom="paragraph">
              <wp:posOffset>40640</wp:posOffset>
            </wp:positionV>
            <wp:extent cx="5760085" cy="3107267"/>
            <wp:effectExtent l="0" t="0" r="12065" b="17145"/>
            <wp:wrapNone/>
            <wp:docPr id="268" name="圖表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rPr>
        <w:t xml:space="preserve">       </w:t>
      </w:r>
    </w:p>
    <w:p w:rsidR="00FB2640" w:rsidRDefault="00FB2640" w:rsidP="00FB2640">
      <w:pPr>
        <w:adjustRightInd w:val="0"/>
        <w:spacing w:beforeLines="30" w:before="108" w:line="400" w:lineRule="exact"/>
        <w:textAlignment w:val="baseline"/>
        <w:rPr>
          <w:rFonts w:ascii="微軟正黑體" w:eastAsia="微軟正黑體" w:hAnsi="微軟正黑體"/>
        </w:rPr>
      </w:pPr>
    </w:p>
    <w:p w:rsidR="00FB2640" w:rsidRDefault="00FB2640" w:rsidP="00FB2640">
      <w:pPr>
        <w:adjustRightInd w:val="0"/>
        <w:spacing w:beforeLines="30" w:before="108" w:line="400" w:lineRule="exact"/>
        <w:textAlignment w:val="baseline"/>
        <w:rPr>
          <w:rFonts w:ascii="微軟正黑體" w:eastAsia="微軟正黑體" w:hAnsi="微軟正黑體"/>
        </w:rPr>
      </w:pPr>
    </w:p>
    <w:p w:rsidR="00FB2640" w:rsidRDefault="00FB2640" w:rsidP="00FB2640">
      <w:pPr>
        <w:adjustRightInd w:val="0"/>
        <w:spacing w:beforeLines="30" w:before="108" w:line="400" w:lineRule="exact"/>
        <w:textAlignment w:val="baseline"/>
        <w:rPr>
          <w:rFonts w:ascii="微軟正黑體" w:eastAsia="微軟正黑體" w:hAnsi="微軟正黑體"/>
        </w:rPr>
      </w:pPr>
    </w:p>
    <w:p w:rsidR="00FB2640" w:rsidRDefault="00FB2640" w:rsidP="00FB2640">
      <w:pPr>
        <w:adjustRightInd w:val="0"/>
        <w:spacing w:beforeLines="30" w:before="108" w:line="400" w:lineRule="exact"/>
        <w:textAlignment w:val="baseline"/>
        <w:rPr>
          <w:rFonts w:ascii="微軟正黑體" w:eastAsia="微軟正黑體" w:hAnsi="微軟正黑體"/>
        </w:rPr>
      </w:pPr>
    </w:p>
    <w:p w:rsidR="00FB2640" w:rsidRDefault="00FB2640" w:rsidP="00FB2640">
      <w:pPr>
        <w:adjustRightInd w:val="0"/>
        <w:spacing w:beforeLines="30" w:before="108" w:line="400" w:lineRule="exact"/>
        <w:textAlignment w:val="baseline"/>
        <w:rPr>
          <w:rFonts w:ascii="微軟正黑體" w:eastAsia="微軟正黑體" w:hAnsi="微軟正黑體"/>
        </w:rPr>
      </w:pPr>
    </w:p>
    <w:p w:rsidR="00FB2640" w:rsidRDefault="00FB2640" w:rsidP="00FB2640">
      <w:pPr>
        <w:adjustRightInd w:val="0"/>
        <w:spacing w:beforeLines="30" w:before="108" w:line="400" w:lineRule="exact"/>
        <w:textAlignment w:val="baseline"/>
        <w:rPr>
          <w:rFonts w:ascii="微軟正黑體" w:eastAsia="微軟正黑體" w:hAnsi="微軟正黑體"/>
        </w:rPr>
      </w:pPr>
    </w:p>
    <w:p w:rsidR="00FB2640" w:rsidRDefault="00FB2640" w:rsidP="00FB2640">
      <w:pPr>
        <w:adjustRightInd w:val="0"/>
        <w:spacing w:beforeLines="30" w:before="108" w:line="400" w:lineRule="exact"/>
        <w:textAlignment w:val="baseline"/>
        <w:rPr>
          <w:rFonts w:ascii="微軟正黑體" w:eastAsia="微軟正黑體" w:hAnsi="微軟正黑體"/>
        </w:rPr>
      </w:pPr>
    </w:p>
    <w:p w:rsidR="00FB2640" w:rsidRDefault="00FB2640" w:rsidP="00FB2640">
      <w:pPr>
        <w:adjustRightInd w:val="0"/>
        <w:spacing w:beforeLines="30" w:before="108" w:line="400" w:lineRule="exact"/>
        <w:textAlignment w:val="baseline"/>
        <w:rPr>
          <w:rFonts w:ascii="微軟正黑體" w:eastAsia="微軟正黑體" w:hAnsi="微軟正黑體"/>
        </w:rPr>
      </w:pPr>
    </w:p>
    <w:p w:rsidR="00FB2640" w:rsidRPr="00CD19DB" w:rsidRDefault="00FB2640" w:rsidP="00FB2640">
      <w:pPr>
        <w:pStyle w:val="af0"/>
        <w:spacing w:beforeLines="100" w:before="360" w:line="400" w:lineRule="exact"/>
        <w:ind w:leftChars="0" w:left="386"/>
        <w:jc w:val="center"/>
        <w:rPr>
          <w:rFonts w:ascii="微軟正黑體" w:eastAsia="微軟正黑體" w:hAnsi="微軟正黑體"/>
        </w:rPr>
      </w:pPr>
      <w:r w:rsidRPr="00CD19DB">
        <w:rPr>
          <w:rFonts w:ascii="微軟正黑體" w:eastAsia="微軟正黑體" w:hAnsi="微軟正黑體" w:hint="eastAsia"/>
        </w:rPr>
        <w:t>圖2.</w:t>
      </w:r>
      <w:r w:rsidRPr="00CD19DB">
        <w:rPr>
          <w:rFonts w:ascii="微軟正黑體" w:eastAsia="微軟正黑體" w:hAnsi="微軟正黑體"/>
        </w:rPr>
        <w:t>36</w:t>
      </w:r>
      <w:r w:rsidRPr="00CD19DB">
        <w:rPr>
          <w:rFonts w:ascii="微軟正黑體" w:eastAsia="微軟正黑體" w:hAnsi="微軟正黑體" w:hint="eastAsia"/>
        </w:rPr>
        <w:t xml:space="preserve">  近10年國保被保險人占比情形(按年齡別分)</w:t>
      </w:r>
    </w:p>
    <w:p w:rsidR="00FB2640" w:rsidRPr="008B68E0" w:rsidRDefault="00FB2640" w:rsidP="00FB2640">
      <w:pPr>
        <w:adjustRightInd w:val="0"/>
        <w:spacing w:beforeLines="30" w:before="108" w:line="400" w:lineRule="exact"/>
        <w:textAlignment w:val="baseline"/>
        <w:rPr>
          <w:rFonts w:ascii="微軟正黑體" w:eastAsia="微軟正黑體" w:hAnsi="微軟正黑體"/>
        </w:rPr>
      </w:pPr>
    </w:p>
    <w:p w:rsidR="00FB2640" w:rsidRPr="00F0717A" w:rsidRDefault="00FB2640" w:rsidP="00FB2640">
      <w:pPr>
        <w:pStyle w:val="af0"/>
        <w:numPr>
          <w:ilvl w:val="0"/>
          <w:numId w:val="26"/>
        </w:numPr>
        <w:adjustRightInd w:val="0"/>
        <w:spacing w:beforeLines="30" w:before="108" w:line="400" w:lineRule="exact"/>
        <w:ind w:leftChars="0" w:left="567"/>
        <w:textAlignment w:val="baseline"/>
        <w:rPr>
          <w:rFonts w:ascii="微軟正黑體" w:eastAsia="微軟正黑體" w:hAnsi="微軟正黑體"/>
        </w:rPr>
      </w:pPr>
      <w:r w:rsidRPr="00F0717A">
        <w:rPr>
          <w:rFonts w:ascii="微軟正黑體" w:eastAsia="微軟正黑體" w:hAnsi="微軟正黑體" w:hint="eastAsia"/>
        </w:rPr>
        <w:t>被保險人身分概況</w:t>
      </w:r>
    </w:p>
    <w:p w:rsidR="00FB2640"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年國保被保險人人數總計3</w:t>
      </w:r>
      <w:r>
        <w:rPr>
          <w:rFonts w:ascii="微軟正黑體" w:eastAsia="微軟正黑體" w:hAnsi="微軟正黑體"/>
        </w:rPr>
        <w:t>10</w:t>
      </w:r>
      <w:r w:rsidRPr="00F0717A">
        <w:rPr>
          <w:rFonts w:ascii="微軟正黑體" w:eastAsia="微軟正黑體" w:hAnsi="微軟正黑體" w:hint="eastAsia"/>
        </w:rPr>
        <w:t>萬</w:t>
      </w:r>
      <w:r>
        <w:rPr>
          <w:rFonts w:ascii="微軟正黑體" w:eastAsia="微軟正黑體" w:hAnsi="微軟正黑體"/>
        </w:rPr>
        <w:t>5</w:t>
      </w:r>
      <w:r>
        <w:rPr>
          <w:rFonts w:ascii="微軟正黑體" w:eastAsia="微軟正黑體" w:hAnsi="微軟正黑體" w:hint="eastAsia"/>
        </w:rPr>
        <w:t>,</w:t>
      </w:r>
      <w:r>
        <w:rPr>
          <w:rFonts w:ascii="微軟正黑體" w:eastAsia="微軟正黑體" w:hAnsi="微軟正黑體"/>
        </w:rPr>
        <w:t>983</w:t>
      </w:r>
      <w:r w:rsidRPr="00F0717A">
        <w:rPr>
          <w:rFonts w:ascii="微軟正黑體" w:eastAsia="微軟正黑體" w:hAnsi="微軟正黑體" w:hint="eastAsia"/>
        </w:rPr>
        <w:t>人，其中以「一般身分」2</w:t>
      </w:r>
      <w:r>
        <w:rPr>
          <w:rFonts w:ascii="微軟正黑體" w:eastAsia="微軟正黑體" w:hAnsi="微軟正黑體"/>
        </w:rPr>
        <w:t>61</w:t>
      </w:r>
      <w:r w:rsidRPr="00F0717A">
        <w:rPr>
          <w:rFonts w:ascii="微軟正黑體" w:eastAsia="微軟正黑體" w:hAnsi="微軟正黑體" w:hint="eastAsia"/>
        </w:rPr>
        <w:t>萬</w:t>
      </w:r>
      <w:r>
        <w:rPr>
          <w:rFonts w:ascii="微軟正黑體" w:eastAsia="微軟正黑體" w:hAnsi="微軟正黑體"/>
        </w:rPr>
        <w:t>7,</w:t>
      </w:r>
      <w:r>
        <w:rPr>
          <w:rFonts w:ascii="微軟正黑體" w:eastAsia="微軟正黑體" w:hAnsi="微軟正黑體" w:hint="eastAsia"/>
        </w:rPr>
        <w:t>4</w:t>
      </w:r>
      <w:r>
        <w:rPr>
          <w:rFonts w:ascii="微軟正黑體" w:eastAsia="微軟正黑體" w:hAnsi="微軟正黑體"/>
        </w:rPr>
        <w:t>80</w:t>
      </w:r>
      <w:r w:rsidRPr="00F0717A">
        <w:rPr>
          <w:rFonts w:ascii="微軟正黑體" w:eastAsia="微軟正黑體" w:hAnsi="微軟正黑體" w:hint="eastAsia"/>
        </w:rPr>
        <w:t>人為最多，占全體被保險人8</w:t>
      </w:r>
      <w:r>
        <w:rPr>
          <w:rFonts w:ascii="微軟正黑體" w:eastAsia="微軟正黑體" w:hAnsi="微軟正黑體"/>
        </w:rPr>
        <w:t>4.3</w:t>
      </w:r>
      <w:r w:rsidRPr="00F0717A">
        <w:rPr>
          <w:rFonts w:ascii="微軟正黑體" w:eastAsia="微軟正黑體" w:hAnsi="微軟正黑體" w:hint="eastAsia"/>
        </w:rPr>
        <w:t>%，「身心障礙者」2</w:t>
      </w:r>
      <w:r>
        <w:rPr>
          <w:rFonts w:ascii="微軟正黑體" w:eastAsia="微軟正黑體" w:hAnsi="微軟正黑體"/>
        </w:rPr>
        <w:t>1</w:t>
      </w:r>
      <w:r w:rsidRPr="00F0717A">
        <w:rPr>
          <w:rFonts w:ascii="微軟正黑體" w:eastAsia="微軟正黑體" w:hAnsi="微軟正黑體" w:hint="eastAsia"/>
        </w:rPr>
        <w:t>萬</w:t>
      </w:r>
      <w:r>
        <w:rPr>
          <w:rFonts w:ascii="微軟正黑體" w:eastAsia="微軟正黑體" w:hAnsi="微軟正黑體"/>
        </w:rPr>
        <w:t>5</w:t>
      </w:r>
      <w:r w:rsidRPr="00F0717A">
        <w:rPr>
          <w:rFonts w:ascii="微軟正黑體" w:eastAsia="微軟正黑體" w:hAnsi="微軟正黑體" w:hint="eastAsia"/>
        </w:rPr>
        <w:t>,</w:t>
      </w:r>
      <w:r>
        <w:rPr>
          <w:rFonts w:ascii="微軟正黑體" w:eastAsia="微軟正黑體" w:hAnsi="微軟正黑體"/>
        </w:rPr>
        <w:t>952</w:t>
      </w:r>
      <w:r w:rsidRPr="00F0717A">
        <w:rPr>
          <w:rFonts w:ascii="微軟正黑體" w:eastAsia="微軟正黑體" w:hAnsi="微軟正黑體" w:hint="eastAsia"/>
        </w:rPr>
        <w:t>人次之，占</w:t>
      </w:r>
      <w:r>
        <w:rPr>
          <w:rFonts w:ascii="微軟正黑體" w:eastAsia="微軟正黑體" w:hAnsi="微軟正黑體"/>
        </w:rPr>
        <w:t>7.0</w:t>
      </w:r>
      <w:r w:rsidRPr="00F0717A">
        <w:rPr>
          <w:rFonts w:ascii="微軟正黑體" w:eastAsia="微軟正黑體" w:hAnsi="微軟正黑體" w:hint="eastAsia"/>
        </w:rPr>
        <w:t>%。</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Pr>
          <w:noProof/>
        </w:rPr>
        <w:lastRenderedPageBreak/>
        <w:drawing>
          <wp:anchor distT="0" distB="0" distL="114300" distR="114300" simplePos="0" relativeHeight="252579840" behindDoc="0" locked="0" layoutInCell="1" allowOverlap="1" wp14:anchorId="16DFD791" wp14:editId="245D94C4">
            <wp:simplePos x="0" y="0"/>
            <wp:positionH relativeFrom="column">
              <wp:posOffset>-36830</wp:posOffset>
            </wp:positionH>
            <wp:positionV relativeFrom="paragraph">
              <wp:posOffset>8044</wp:posOffset>
            </wp:positionV>
            <wp:extent cx="5799667" cy="3369734"/>
            <wp:effectExtent l="0" t="0" r="10795" b="21590"/>
            <wp:wrapNone/>
            <wp:docPr id="270" name="圖表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F0717A" w:rsidRDefault="00FB2640" w:rsidP="00FB2640">
      <w:pPr>
        <w:pStyle w:val="af0"/>
        <w:spacing w:line="400" w:lineRule="exact"/>
        <w:ind w:leftChars="0" w:left="386"/>
        <w:rPr>
          <w:rFonts w:ascii="微軟正黑體" w:eastAsia="微軟正黑體" w:hAnsi="微軟正黑體"/>
        </w:rPr>
      </w:pPr>
    </w:p>
    <w:p w:rsidR="00FB2640" w:rsidRPr="00CD19DB" w:rsidRDefault="00FB2640" w:rsidP="00FB2640">
      <w:pPr>
        <w:spacing w:beforeLines="30" w:before="108" w:line="400" w:lineRule="exact"/>
        <w:rPr>
          <w:rFonts w:ascii="微軟正黑體" w:eastAsia="微軟正黑體" w:hAnsi="微軟正黑體"/>
          <w:sz w:val="20"/>
          <w:szCs w:val="20"/>
        </w:rPr>
      </w:pPr>
      <w:r w:rsidRPr="00CD19DB">
        <w:rPr>
          <w:rFonts w:ascii="微軟正黑體" w:eastAsia="微軟正黑體" w:hAnsi="微軟正黑體" w:hint="eastAsia"/>
          <w:sz w:val="20"/>
          <w:szCs w:val="20"/>
        </w:rPr>
        <w:t>註：109年6月修正「國民年金法」，增訂符合社會救助法規定之「中低收入戶」為保險費補助對象。</w:t>
      </w:r>
    </w:p>
    <w:p w:rsidR="00FB2640" w:rsidRPr="00F0717A" w:rsidRDefault="00FB2640" w:rsidP="00FB2640">
      <w:pPr>
        <w:pStyle w:val="af0"/>
        <w:spacing w:beforeLines="30" w:before="108" w:line="400" w:lineRule="exact"/>
        <w:ind w:leftChars="0" w:left="386"/>
        <w:jc w:val="center"/>
        <w:rPr>
          <w:rFonts w:ascii="微軟正黑體" w:eastAsia="微軟正黑體" w:hAnsi="微軟正黑體"/>
        </w:rPr>
      </w:pPr>
      <w:r w:rsidRPr="00F0717A">
        <w:rPr>
          <w:rFonts w:ascii="微軟正黑體" w:eastAsia="微軟正黑體" w:hAnsi="微軟正黑體" w:hint="eastAsia"/>
        </w:rPr>
        <w:t>圖2.3</w:t>
      </w:r>
      <w:r>
        <w:rPr>
          <w:rFonts w:ascii="微軟正黑體" w:eastAsia="微軟正黑體" w:hAnsi="微軟正黑體"/>
        </w:rPr>
        <w:t>7</w:t>
      </w:r>
      <w:r w:rsidRPr="00F0717A">
        <w:rPr>
          <w:rFonts w:ascii="微軟正黑體" w:eastAsia="微軟正黑體" w:hAnsi="微軟正黑體" w:hint="eastAsia"/>
        </w:rPr>
        <w:t xml:space="preserve">  10</w:t>
      </w:r>
      <w:r>
        <w:rPr>
          <w:rFonts w:ascii="微軟正黑體" w:eastAsia="微軟正黑體" w:hAnsi="微軟正黑體" w:hint="eastAsia"/>
        </w:rPr>
        <w:t>9</w:t>
      </w:r>
      <w:r w:rsidRPr="00F0717A">
        <w:rPr>
          <w:rFonts w:ascii="微軟正黑體" w:eastAsia="微軟正黑體" w:hAnsi="微軟正黑體" w:hint="eastAsia"/>
        </w:rPr>
        <w:t>年國保被保險人身分別概況</w:t>
      </w:r>
    </w:p>
    <w:p w:rsidR="00FB2640" w:rsidRPr="00F0717A" w:rsidRDefault="00FB2640" w:rsidP="00FB2640">
      <w:pPr>
        <w:pStyle w:val="af0"/>
        <w:spacing w:line="400" w:lineRule="exact"/>
        <w:ind w:leftChars="0" w:left="386"/>
        <w:rPr>
          <w:rFonts w:ascii="微軟正黑體" w:eastAsia="微軟正黑體" w:hAnsi="微軟正黑體"/>
          <w:b/>
        </w:rPr>
      </w:pPr>
    </w:p>
    <w:p w:rsidR="00FB2640" w:rsidRPr="00A32BD8"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觀察</w:t>
      </w:r>
      <w:r w:rsidRPr="00427871">
        <w:rPr>
          <w:rFonts w:ascii="微軟正黑體" w:eastAsia="微軟正黑體" w:hAnsi="微軟正黑體" w:hint="eastAsia"/>
        </w:rPr>
        <w:t>近10年被保險人身分概況，「所得未達一定標準者」納保人數起伏變化不大</w:t>
      </w:r>
      <w:r>
        <w:rPr>
          <w:rFonts w:ascii="微軟正黑體" w:eastAsia="微軟正黑體" w:hAnsi="微軟正黑體" w:hint="eastAsia"/>
        </w:rPr>
        <w:t>，</w:t>
      </w:r>
      <w:r w:rsidRPr="00CD19DB">
        <w:rPr>
          <w:rFonts w:ascii="微軟正黑體" w:eastAsia="微軟正黑體" w:hAnsi="微軟正黑體" w:hint="eastAsia"/>
        </w:rPr>
        <w:t>惟109年人數明顯下降，因部分人數移至增訂之「中低收入戶」身分別；「低</w:t>
      </w:r>
      <w:r w:rsidRPr="00427871">
        <w:rPr>
          <w:rFonts w:ascii="微軟正黑體" w:eastAsia="微軟正黑體" w:hAnsi="微軟正黑體" w:hint="eastAsia"/>
        </w:rPr>
        <w:t>收入戶」納保人數</w:t>
      </w:r>
      <w:r>
        <w:rPr>
          <w:rFonts w:ascii="微軟正黑體" w:eastAsia="微軟正黑體" w:hAnsi="微軟正黑體" w:hint="eastAsia"/>
        </w:rPr>
        <w:t>則</w:t>
      </w:r>
      <w:r w:rsidRPr="00427871">
        <w:rPr>
          <w:rFonts w:ascii="微軟正黑體" w:eastAsia="微軟正黑體" w:hAnsi="微軟正黑體" w:hint="eastAsia"/>
        </w:rPr>
        <w:t>自</w:t>
      </w:r>
      <w:r w:rsidRPr="00586C5B">
        <w:rPr>
          <w:rFonts w:ascii="微軟正黑體" w:eastAsia="微軟正黑體" w:hAnsi="微軟正黑體" w:hint="eastAsia"/>
        </w:rPr>
        <w:t>開辦起逐年快速增加</w:t>
      </w:r>
      <w:r w:rsidRPr="00427871">
        <w:rPr>
          <w:rFonts w:ascii="微軟正黑體" w:eastAsia="微軟正黑體" w:hAnsi="微軟正黑體" w:hint="eastAsia"/>
        </w:rPr>
        <w:t>，至103年以後逐年下降。</w:t>
      </w:r>
    </w:p>
    <w:p w:rsidR="00FB2640" w:rsidRPr="00F0717A" w:rsidRDefault="00FB2640" w:rsidP="00FB2640">
      <w:pPr>
        <w:pStyle w:val="af0"/>
        <w:spacing w:beforeLines="100" w:before="360" w:afterLines="30" w:after="108" w:line="400" w:lineRule="exact"/>
        <w:ind w:leftChars="0" w:left="0"/>
        <w:jc w:val="center"/>
        <w:rPr>
          <w:rFonts w:ascii="微軟正黑體" w:eastAsia="微軟正黑體" w:hAnsi="微軟正黑體"/>
        </w:rPr>
      </w:pPr>
      <w:r>
        <w:rPr>
          <w:rFonts w:ascii="微軟正黑體" w:eastAsia="微軟正黑體" w:hAnsi="微軟正黑體" w:hint="eastAsia"/>
        </w:rPr>
        <w:t xml:space="preserve">            </w:t>
      </w:r>
      <w:r w:rsidRPr="00427871">
        <w:rPr>
          <w:rFonts w:ascii="微軟正黑體" w:eastAsia="微軟正黑體" w:hAnsi="微軟正黑體" w:hint="eastAsia"/>
        </w:rPr>
        <w:t>表2.1</w:t>
      </w:r>
      <w:r>
        <w:rPr>
          <w:rFonts w:ascii="微軟正黑體" w:eastAsia="微軟正黑體" w:hAnsi="微軟正黑體" w:hint="eastAsia"/>
        </w:rPr>
        <w:t>4</w:t>
      </w:r>
      <w:r w:rsidRPr="00427871">
        <w:rPr>
          <w:rFonts w:ascii="微軟正黑體" w:eastAsia="微軟正黑體" w:hAnsi="微軟正黑體" w:hint="eastAsia"/>
        </w:rPr>
        <w:t xml:space="preserve">  近10年國</w:t>
      </w:r>
      <w:r w:rsidRPr="00F0717A">
        <w:rPr>
          <w:rFonts w:ascii="微軟正黑體" w:eastAsia="微軟正黑體" w:hAnsi="微軟正黑體" w:hint="eastAsia"/>
        </w:rPr>
        <w:t xml:space="preserve">保被保險人人數(按身分別分)   </w:t>
      </w:r>
      <w:r w:rsidRPr="00F0717A">
        <w:rPr>
          <w:rFonts w:ascii="微軟正黑體" w:eastAsia="微軟正黑體" w:hAnsi="微軟正黑體" w:hint="eastAsia"/>
          <w:sz w:val="20"/>
          <w:szCs w:val="20"/>
        </w:rPr>
        <w:t xml:space="preserve"> </w:t>
      </w:r>
      <w:r>
        <w:rPr>
          <w:rFonts w:ascii="微軟正黑體" w:eastAsia="微軟正黑體" w:hAnsi="微軟正黑體" w:hint="eastAsia"/>
          <w:sz w:val="20"/>
          <w:szCs w:val="20"/>
        </w:rPr>
        <w:t xml:space="preserve">   </w:t>
      </w:r>
      <w:r w:rsidRPr="00F0717A">
        <w:rPr>
          <w:rFonts w:ascii="微軟正黑體" w:eastAsia="微軟正黑體" w:hAnsi="微軟正黑體" w:hint="eastAsia"/>
          <w:sz w:val="20"/>
          <w:szCs w:val="20"/>
        </w:rPr>
        <w:t>單位：人</w:t>
      </w:r>
    </w:p>
    <w:tbl>
      <w:tblPr>
        <w:tblStyle w:val="a5"/>
        <w:tblW w:w="0" w:type="auto"/>
        <w:jc w:val="center"/>
        <w:tblLook w:val="04A0" w:firstRow="1" w:lastRow="0" w:firstColumn="1" w:lastColumn="0" w:noHBand="0" w:noVBand="1"/>
      </w:tblPr>
      <w:tblGrid>
        <w:gridCol w:w="993"/>
        <w:gridCol w:w="1275"/>
        <w:gridCol w:w="1418"/>
        <w:gridCol w:w="1417"/>
        <w:gridCol w:w="1361"/>
        <w:gridCol w:w="1191"/>
        <w:gridCol w:w="1363"/>
      </w:tblGrid>
      <w:tr w:rsidR="00FB2640" w:rsidRPr="00F0717A" w:rsidTr="008F1977">
        <w:trPr>
          <w:jc w:val="center"/>
        </w:trPr>
        <w:tc>
          <w:tcPr>
            <w:tcW w:w="993" w:type="dxa"/>
            <w:vAlign w:val="center"/>
          </w:tcPr>
          <w:p w:rsidR="00FB2640" w:rsidRPr="00F0717A" w:rsidRDefault="00FB2640" w:rsidP="008F1977">
            <w:pPr>
              <w:pStyle w:val="af0"/>
              <w:spacing w:line="36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年度</w:t>
            </w:r>
          </w:p>
        </w:tc>
        <w:tc>
          <w:tcPr>
            <w:tcW w:w="1275" w:type="dxa"/>
            <w:vAlign w:val="center"/>
          </w:tcPr>
          <w:p w:rsidR="00FB2640" w:rsidRPr="00F0717A" w:rsidRDefault="00FB2640" w:rsidP="008F1977">
            <w:pPr>
              <w:pStyle w:val="af0"/>
              <w:spacing w:line="36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一般身分</w:t>
            </w:r>
          </w:p>
        </w:tc>
        <w:tc>
          <w:tcPr>
            <w:tcW w:w="1418" w:type="dxa"/>
            <w:vAlign w:val="center"/>
          </w:tcPr>
          <w:p w:rsidR="00FB2640" w:rsidRPr="00F0717A" w:rsidRDefault="00FB2640" w:rsidP="008F1977">
            <w:pPr>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身心障礙者</w:t>
            </w:r>
          </w:p>
        </w:tc>
        <w:tc>
          <w:tcPr>
            <w:tcW w:w="1417" w:type="dxa"/>
            <w:vAlign w:val="center"/>
          </w:tcPr>
          <w:p w:rsidR="00FB2640" w:rsidRPr="00F0717A" w:rsidRDefault="00FB2640" w:rsidP="008F1977">
            <w:pPr>
              <w:spacing w:line="36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所得未達</w:t>
            </w:r>
          </w:p>
          <w:p w:rsidR="00FB2640" w:rsidRPr="00F0717A" w:rsidRDefault="00FB2640" w:rsidP="008F1977">
            <w:pPr>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一定標準者</w:t>
            </w:r>
          </w:p>
        </w:tc>
        <w:tc>
          <w:tcPr>
            <w:tcW w:w="1361" w:type="dxa"/>
            <w:vAlign w:val="center"/>
          </w:tcPr>
          <w:p w:rsidR="00FB2640" w:rsidRPr="00F0717A" w:rsidRDefault="00FB2640" w:rsidP="008F1977">
            <w:pPr>
              <w:spacing w:line="360" w:lineRule="exact"/>
              <w:jc w:val="center"/>
              <w:rPr>
                <w:rFonts w:ascii="微軟正黑體" w:eastAsia="微軟正黑體" w:hAnsi="微軟正黑體" w:cs="新細明體"/>
                <w:sz w:val="22"/>
                <w:szCs w:val="22"/>
              </w:rPr>
            </w:pPr>
            <w:r w:rsidRPr="00CD19DB">
              <w:rPr>
                <w:rFonts w:ascii="微軟正黑體" w:eastAsia="微軟正黑體" w:hAnsi="微軟正黑體" w:cs="新細明體" w:hint="eastAsia"/>
                <w:sz w:val="22"/>
                <w:szCs w:val="22"/>
              </w:rPr>
              <w:t>中低收入戶</w:t>
            </w:r>
          </w:p>
        </w:tc>
        <w:tc>
          <w:tcPr>
            <w:tcW w:w="1191" w:type="dxa"/>
            <w:vAlign w:val="center"/>
          </w:tcPr>
          <w:p w:rsidR="00FB2640" w:rsidRPr="00F0717A" w:rsidRDefault="00FB2640" w:rsidP="008F1977">
            <w:pPr>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低收入戶</w:t>
            </w:r>
          </w:p>
        </w:tc>
        <w:tc>
          <w:tcPr>
            <w:tcW w:w="1363" w:type="dxa"/>
            <w:vAlign w:val="center"/>
          </w:tcPr>
          <w:p w:rsidR="00FB2640" w:rsidRPr="00F0717A" w:rsidRDefault="00FB2640" w:rsidP="008F1977">
            <w:pPr>
              <w:spacing w:line="36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總計</w:t>
            </w:r>
          </w:p>
        </w:tc>
      </w:tr>
      <w:tr w:rsidR="00FB2640" w:rsidRPr="00F0717A" w:rsidTr="008F1977">
        <w:trPr>
          <w:jc w:val="center"/>
        </w:trPr>
        <w:tc>
          <w:tcPr>
            <w:tcW w:w="993" w:type="dxa"/>
          </w:tcPr>
          <w:p w:rsidR="00FB2640" w:rsidRPr="00F0717A" w:rsidRDefault="00FB2640" w:rsidP="008F1977">
            <w:pPr>
              <w:pStyle w:val="af0"/>
              <w:spacing w:line="44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100年</w:t>
            </w:r>
          </w:p>
        </w:tc>
        <w:tc>
          <w:tcPr>
            <w:tcW w:w="1275"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3,295,839</w:t>
            </w:r>
          </w:p>
        </w:tc>
        <w:tc>
          <w:tcPr>
            <w:tcW w:w="1418"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250,688</w:t>
            </w:r>
          </w:p>
        </w:tc>
        <w:tc>
          <w:tcPr>
            <w:tcW w:w="1417"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175,133</w:t>
            </w:r>
          </w:p>
        </w:tc>
        <w:tc>
          <w:tcPr>
            <w:tcW w:w="136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w:t>
            </w:r>
          </w:p>
        </w:tc>
        <w:tc>
          <w:tcPr>
            <w:tcW w:w="119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62,071</w:t>
            </w:r>
          </w:p>
        </w:tc>
        <w:tc>
          <w:tcPr>
            <w:tcW w:w="1363"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3,783,731</w:t>
            </w:r>
          </w:p>
        </w:tc>
      </w:tr>
      <w:tr w:rsidR="00FB2640" w:rsidRPr="00F0717A" w:rsidTr="008F1977">
        <w:trPr>
          <w:jc w:val="center"/>
        </w:trPr>
        <w:tc>
          <w:tcPr>
            <w:tcW w:w="993" w:type="dxa"/>
          </w:tcPr>
          <w:p w:rsidR="00FB2640" w:rsidRPr="00F0717A" w:rsidRDefault="00FB2640" w:rsidP="008F1977">
            <w:pPr>
              <w:pStyle w:val="af0"/>
              <w:spacing w:line="44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101年</w:t>
            </w:r>
          </w:p>
        </w:tc>
        <w:tc>
          <w:tcPr>
            <w:tcW w:w="1275"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3,220,523</w:t>
            </w:r>
          </w:p>
        </w:tc>
        <w:tc>
          <w:tcPr>
            <w:tcW w:w="1418"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248,294</w:t>
            </w:r>
          </w:p>
        </w:tc>
        <w:tc>
          <w:tcPr>
            <w:tcW w:w="1417"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184,193</w:t>
            </w:r>
          </w:p>
        </w:tc>
        <w:tc>
          <w:tcPr>
            <w:tcW w:w="136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w:t>
            </w:r>
          </w:p>
        </w:tc>
        <w:tc>
          <w:tcPr>
            <w:tcW w:w="119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72,616</w:t>
            </w:r>
          </w:p>
        </w:tc>
        <w:tc>
          <w:tcPr>
            <w:tcW w:w="1363"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3,725,626</w:t>
            </w:r>
          </w:p>
        </w:tc>
      </w:tr>
      <w:tr w:rsidR="00FB2640" w:rsidRPr="00F0717A" w:rsidTr="008F1977">
        <w:trPr>
          <w:jc w:val="center"/>
        </w:trPr>
        <w:tc>
          <w:tcPr>
            <w:tcW w:w="993" w:type="dxa"/>
          </w:tcPr>
          <w:p w:rsidR="00FB2640" w:rsidRPr="00F0717A" w:rsidRDefault="00FB2640" w:rsidP="008F1977">
            <w:pPr>
              <w:pStyle w:val="af0"/>
              <w:spacing w:line="44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102年</w:t>
            </w:r>
          </w:p>
        </w:tc>
        <w:tc>
          <w:tcPr>
            <w:tcW w:w="1275"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3,180,002</w:t>
            </w:r>
          </w:p>
        </w:tc>
        <w:tc>
          <w:tcPr>
            <w:tcW w:w="1418"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246,392</w:t>
            </w:r>
          </w:p>
        </w:tc>
        <w:tc>
          <w:tcPr>
            <w:tcW w:w="1417"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174,787</w:t>
            </w:r>
          </w:p>
        </w:tc>
        <w:tc>
          <w:tcPr>
            <w:tcW w:w="136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w:t>
            </w:r>
          </w:p>
        </w:tc>
        <w:tc>
          <w:tcPr>
            <w:tcW w:w="119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76,420</w:t>
            </w:r>
          </w:p>
        </w:tc>
        <w:tc>
          <w:tcPr>
            <w:tcW w:w="1363"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3,677,601</w:t>
            </w:r>
          </w:p>
        </w:tc>
      </w:tr>
      <w:tr w:rsidR="00FB2640" w:rsidRPr="00F0717A" w:rsidTr="008F1977">
        <w:trPr>
          <w:jc w:val="center"/>
        </w:trPr>
        <w:tc>
          <w:tcPr>
            <w:tcW w:w="993" w:type="dxa"/>
          </w:tcPr>
          <w:p w:rsidR="00FB2640" w:rsidRPr="00F0717A" w:rsidRDefault="00FB2640" w:rsidP="008F1977">
            <w:pPr>
              <w:pStyle w:val="af0"/>
              <w:spacing w:line="44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103年</w:t>
            </w:r>
          </w:p>
        </w:tc>
        <w:tc>
          <w:tcPr>
            <w:tcW w:w="1275"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3,085,741</w:t>
            </w:r>
          </w:p>
        </w:tc>
        <w:tc>
          <w:tcPr>
            <w:tcW w:w="1418"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242,340</w:t>
            </w:r>
          </w:p>
        </w:tc>
        <w:tc>
          <w:tcPr>
            <w:tcW w:w="1417"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178,624</w:t>
            </w:r>
          </w:p>
        </w:tc>
        <w:tc>
          <w:tcPr>
            <w:tcW w:w="136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w:t>
            </w:r>
          </w:p>
        </w:tc>
        <w:tc>
          <w:tcPr>
            <w:tcW w:w="119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77,315</w:t>
            </w:r>
          </w:p>
        </w:tc>
        <w:tc>
          <w:tcPr>
            <w:tcW w:w="1363"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3,584,020</w:t>
            </w:r>
          </w:p>
        </w:tc>
      </w:tr>
      <w:tr w:rsidR="00FB2640" w:rsidRPr="00F0717A" w:rsidTr="008F1977">
        <w:trPr>
          <w:jc w:val="center"/>
        </w:trPr>
        <w:tc>
          <w:tcPr>
            <w:tcW w:w="993" w:type="dxa"/>
          </w:tcPr>
          <w:p w:rsidR="00FB2640" w:rsidRPr="00F0717A" w:rsidRDefault="00FB2640" w:rsidP="008F1977">
            <w:pPr>
              <w:pStyle w:val="af0"/>
              <w:spacing w:line="44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104年</w:t>
            </w:r>
          </w:p>
        </w:tc>
        <w:tc>
          <w:tcPr>
            <w:tcW w:w="1275"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3,024,520</w:t>
            </w:r>
          </w:p>
        </w:tc>
        <w:tc>
          <w:tcPr>
            <w:tcW w:w="1418"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240,414</w:t>
            </w:r>
          </w:p>
        </w:tc>
        <w:tc>
          <w:tcPr>
            <w:tcW w:w="1417"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169,416</w:t>
            </w:r>
          </w:p>
        </w:tc>
        <w:tc>
          <w:tcPr>
            <w:tcW w:w="136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w:t>
            </w:r>
          </w:p>
        </w:tc>
        <w:tc>
          <w:tcPr>
            <w:tcW w:w="119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75,620</w:t>
            </w:r>
          </w:p>
        </w:tc>
        <w:tc>
          <w:tcPr>
            <w:tcW w:w="1363"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3,509,970</w:t>
            </w:r>
          </w:p>
        </w:tc>
      </w:tr>
      <w:tr w:rsidR="00FB2640" w:rsidRPr="00F0717A" w:rsidTr="008F1977">
        <w:trPr>
          <w:jc w:val="center"/>
        </w:trPr>
        <w:tc>
          <w:tcPr>
            <w:tcW w:w="993" w:type="dxa"/>
          </w:tcPr>
          <w:p w:rsidR="00FB2640" w:rsidRPr="00F0717A" w:rsidRDefault="00FB2640" w:rsidP="008F1977">
            <w:pPr>
              <w:pStyle w:val="af0"/>
              <w:spacing w:line="440" w:lineRule="exact"/>
              <w:ind w:leftChars="0" w:left="0"/>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105年</w:t>
            </w:r>
          </w:p>
        </w:tc>
        <w:tc>
          <w:tcPr>
            <w:tcW w:w="1275"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hint="eastAsia"/>
                <w:sz w:val="22"/>
                <w:szCs w:val="22"/>
              </w:rPr>
              <w:t>2,943,026</w:t>
            </w:r>
          </w:p>
        </w:tc>
        <w:tc>
          <w:tcPr>
            <w:tcW w:w="1418"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234,657 </w:t>
            </w:r>
          </w:p>
        </w:tc>
        <w:tc>
          <w:tcPr>
            <w:tcW w:w="1417"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173,353 </w:t>
            </w:r>
          </w:p>
        </w:tc>
        <w:tc>
          <w:tcPr>
            <w:tcW w:w="136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w:t>
            </w:r>
          </w:p>
        </w:tc>
        <w:tc>
          <w:tcPr>
            <w:tcW w:w="1191"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74,178 </w:t>
            </w:r>
          </w:p>
        </w:tc>
        <w:tc>
          <w:tcPr>
            <w:tcW w:w="1363" w:type="dxa"/>
            <w:vAlign w:val="center"/>
          </w:tcPr>
          <w:p w:rsidR="00FB2640" w:rsidRPr="00F0717A" w:rsidRDefault="00FB2640" w:rsidP="008F1977">
            <w:pPr>
              <w:spacing w:line="440" w:lineRule="exact"/>
              <w:jc w:val="center"/>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3,425,214 </w:t>
            </w:r>
          </w:p>
        </w:tc>
      </w:tr>
      <w:tr w:rsidR="00FB2640" w:rsidRPr="00F0717A" w:rsidTr="008F1977">
        <w:trPr>
          <w:jc w:val="center"/>
        </w:trPr>
        <w:tc>
          <w:tcPr>
            <w:tcW w:w="993" w:type="dxa"/>
          </w:tcPr>
          <w:p w:rsidR="00FB2640" w:rsidRPr="00F0717A" w:rsidRDefault="00FB2640" w:rsidP="008F1977">
            <w:pPr>
              <w:pStyle w:val="af0"/>
              <w:spacing w:line="440" w:lineRule="exact"/>
              <w:ind w:leftChars="0" w:left="0"/>
              <w:jc w:val="center"/>
              <w:rPr>
                <w:rFonts w:ascii="微軟正黑體" w:eastAsia="微軟正黑體" w:hAnsi="微軟正黑體"/>
                <w:sz w:val="22"/>
                <w:szCs w:val="22"/>
              </w:rPr>
            </w:pPr>
            <w:r>
              <w:rPr>
                <w:rFonts w:ascii="微軟正黑體" w:eastAsia="微軟正黑體" w:hAnsi="微軟正黑體" w:hint="eastAsia"/>
                <w:sz w:val="22"/>
                <w:szCs w:val="22"/>
              </w:rPr>
              <w:t>106年</w:t>
            </w:r>
          </w:p>
        </w:tc>
        <w:tc>
          <w:tcPr>
            <w:tcW w:w="1275" w:type="dxa"/>
            <w:vAlign w:val="center"/>
          </w:tcPr>
          <w:p w:rsidR="00FB2640" w:rsidRPr="00C70A4D" w:rsidRDefault="00FB2640" w:rsidP="008F1977">
            <w:pPr>
              <w:spacing w:line="440" w:lineRule="exact"/>
              <w:jc w:val="center"/>
              <w:rPr>
                <w:rFonts w:ascii="微軟正黑體" w:eastAsia="微軟正黑體" w:hAnsi="微軟正黑體" w:cs="新細明體"/>
                <w:sz w:val="22"/>
                <w:szCs w:val="22"/>
              </w:rPr>
            </w:pPr>
            <w:r w:rsidRPr="00C70A4D">
              <w:rPr>
                <w:rFonts w:ascii="微軟正黑體" w:eastAsia="微軟正黑體" w:hAnsi="微軟正黑體" w:hint="eastAsia"/>
                <w:sz w:val="22"/>
                <w:szCs w:val="22"/>
              </w:rPr>
              <w:t>2,882,608</w:t>
            </w:r>
          </w:p>
        </w:tc>
        <w:tc>
          <w:tcPr>
            <w:tcW w:w="1418" w:type="dxa"/>
            <w:vAlign w:val="center"/>
          </w:tcPr>
          <w:p w:rsidR="00FB2640" w:rsidRPr="00C70A4D" w:rsidRDefault="00FB2640" w:rsidP="008F1977">
            <w:pPr>
              <w:spacing w:line="440" w:lineRule="exact"/>
              <w:jc w:val="center"/>
              <w:rPr>
                <w:rFonts w:ascii="微軟正黑體" w:eastAsia="微軟正黑體" w:hAnsi="微軟正黑體" w:cs="新細明體"/>
                <w:sz w:val="22"/>
                <w:szCs w:val="22"/>
              </w:rPr>
            </w:pPr>
            <w:r w:rsidRPr="00C70A4D">
              <w:rPr>
                <w:rFonts w:ascii="微軟正黑體" w:eastAsia="微軟正黑體" w:hAnsi="微軟正黑體" w:hint="eastAsia"/>
                <w:sz w:val="22"/>
                <w:szCs w:val="22"/>
              </w:rPr>
              <w:t xml:space="preserve">231,029 </w:t>
            </w:r>
          </w:p>
        </w:tc>
        <w:tc>
          <w:tcPr>
            <w:tcW w:w="1417" w:type="dxa"/>
            <w:vAlign w:val="center"/>
          </w:tcPr>
          <w:p w:rsidR="00FB2640" w:rsidRPr="00C70A4D" w:rsidRDefault="00FB2640" w:rsidP="008F1977">
            <w:pPr>
              <w:spacing w:line="440" w:lineRule="exact"/>
              <w:jc w:val="center"/>
              <w:rPr>
                <w:rFonts w:ascii="微軟正黑體" w:eastAsia="微軟正黑體" w:hAnsi="微軟正黑體" w:cs="新細明體"/>
                <w:sz w:val="22"/>
                <w:szCs w:val="22"/>
              </w:rPr>
            </w:pPr>
            <w:r w:rsidRPr="00C70A4D">
              <w:rPr>
                <w:rFonts w:ascii="微軟正黑體" w:eastAsia="微軟正黑體" w:hAnsi="微軟正黑體" w:hint="eastAsia"/>
                <w:sz w:val="22"/>
                <w:szCs w:val="22"/>
              </w:rPr>
              <w:t xml:space="preserve">164,309 </w:t>
            </w:r>
          </w:p>
        </w:tc>
        <w:tc>
          <w:tcPr>
            <w:tcW w:w="1361" w:type="dxa"/>
            <w:vAlign w:val="center"/>
          </w:tcPr>
          <w:p w:rsidR="00FB2640" w:rsidRPr="00C70A4D"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w:t>
            </w:r>
          </w:p>
        </w:tc>
        <w:tc>
          <w:tcPr>
            <w:tcW w:w="1191" w:type="dxa"/>
            <w:vAlign w:val="center"/>
          </w:tcPr>
          <w:p w:rsidR="00FB2640" w:rsidRPr="00C70A4D" w:rsidRDefault="00FB2640" w:rsidP="008F1977">
            <w:pPr>
              <w:spacing w:line="440" w:lineRule="exact"/>
              <w:jc w:val="center"/>
              <w:rPr>
                <w:rFonts w:ascii="微軟正黑體" w:eastAsia="微軟正黑體" w:hAnsi="微軟正黑體" w:cs="新細明體"/>
                <w:sz w:val="22"/>
                <w:szCs w:val="22"/>
              </w:rPr>
            </w:pPr>
            <w:r w:rsidRPr="00C70A4D">
              <w:rPr>
                <w:rFonts w:ascii="微軟正黑體" w:eastAsia="微軟正黑體" w:hAnsi="微軟正黑體" w:hint="eastAsia"/>
                <w:sz w:val="22"/>
                <w:szCs w:val="22"/>
              </w:rPr>
              <w:t xml:space="preserve">71,218 </w:t>
            </w:r>
          </w:p>
        </w:tc>
        <w:tc>
          <w:tcPr>
            <w:tcW w:w="1363" w:type="dxa"/>
            <w:vAlign w:val="center"/>
          </w:tcPr>
          <w:p w:rsidR="00FB2640" w:rsidRPr="00C70A4D" w:rsidRDefault="00FB2640" w:rsidP="008F1977">
            <w:pPr>
              <w:spacing w:line="440" w:lineRule="exact"/>
              <w:jc w:val="center"/>
              <w:rPr>
                <w:rFonts w:ascii="微軟正黑體" w:eastAsia="微軟正黑體" w:hAnsi="微軟正黑體" w:cs="新細明體"/>
                <w:sz w:val="22"/>
                <w:szCs w:val="22"/>
              </w:rPr>
            </w:pPr>
            <w:r w:rsidRPr="00C70A4D">
              <w:rPr>
                <w:rFonts w:ascii="微軟正黑體" w:eastAsia="微軟正黑體" w:hAnsi="微軟正黑體" w:hint="eastAsia"/>
                <w:sz w:val="22"/>
                <w:szCs w:val="22"/>
              </w:rPr>
              <w:t xml:space="preserve">3,349,164 </w:t>
            </w:r>
          </w:p>
        </w:tc>
      </w:tr>
      <w:tr w:rsidR="00FB2640" w:rsidRPr="00F0717A" w:rsidTr="008F1977">
        <w:trPr>
          <w:jc w:val="center"/>
        </w:trPr>
        <w:tc>
          <w:tcPr>
            <w:tcW w:w="993" w:type="dxa"/>
          </w:tcPr>
          <w:p w:rsidR="00FB2640" w:rsidRPr="00F0717A" w:rsidRDefault="00FB2640" w:rsidP="008F1977">
            <w:pPr>
              <w:pStyle w:val="af0"/>
              <w:spacing w:line="440" w:lineRule="exact"/>
              <w:ind w:leftChars="0" w:left="0"/>
              <w:jc w:val="center"/>
              <w:rPr>
                <w:rFonts w:ascii="微軟正黑體" w:eastAsia="微軟正黑體" w:hAnsi="微軟正黑體"/>
                <w:sz w:val="22"/>
                <w:szCs w:val="22"/>
              </w:rPr>
            </w:pPr>
            <w:r>
              <w:rPr>
                <w:rFonts w:ascii="微軟正黑體" w:eastAsia="微軟正黑體" w:hAnsi="微軟正黑體" w:hint="eastAsia"/>
                <w:sz w:val="22"/>
                <w:szCs w:val="22"/>
              </w:rPr>
              <w:t>107年</w:t>
            </w:r>
          </w:p>
        </w:tc>
        <w:tc>
          <w:tcPr>
            <w:tcW w:w="1275" w:type="dxa"/>
            <w:vAlign w:val="center"/>
          </w:tcPr>
          <w:p w:rsidR="00FB2640" w:rsidRPr="00427871" w:rsidRDefault="00FB2640" w:rsidP="008F1977">
            <w:pPr>
              <w:spacing w:line="440" w:lineRule="exact"/>
              <w:jc w:val="center"/>
              <w:rPr>
                <w:rFonts w:ascii="微軟正黑體" w:eastAsia="微軟正黑體" w:hAnsi="微軟正黑體" w:cs="新細明體"/>
                <w:sz w:val="22"/>
                <w:szCs w:val="22"/>
              </w:rPr>
            </w:pPr>
            <w:r w:rsidRPr="00427871">
              <w:rPr>
                <w:rFonts w:ascii="微軟正黑體" w:eastAsia="微軟正黑體" w:hAnsi="微軟正黑體" w:hint="eastAsia"/>
                <w:sz w:val="22"/>
                <w:szCs w:val="22"/>
              </w:rPr>
              <w:t xml:space="preserve">2,820,384 </w:t>
            </w:r>
          </w:p>
        </w:tc>
        <w:tc>
          <w:tcPr>
            <w:tcW w:w="1418" w:type="dxa"/>
            <w:vAlign w:val="center"/>
          </w:tcPr>
          <w:p w:rsidR="00FB2640" w:rsidRPr="00427871" w:rsidRDefault="00FB2640" w:rsidP="008F1977">
            <w:pPr>
              <w:spacing w:line="440" w:lineRule="exact"/>
              <w:jc w:val="center"/>
              <w:rPr>
                <w:rFonts w:ascii="微軟正黑體" w:eastAsia="微軟正黑體" w:hAnsi="微軟正黑體" w:cs="新細明體"/>
                <w:sz w:val="22"/>
                <w:szCs w:val="22"/>
              </w:rPr>
            </w:pPr>
            <w:r w:rsidRPr="00427871">
              <w:rPr>
                <w:rFonts w:ascii="微軟正黑體" w:eastAsia="微軟正黑體" w:hAnsi="微軟正黑體" w:hint="eastAsia"/>
                <w:sz w:val="22"/>
                <w:szCs w:val="22"/>
              </w:rPr>
              <w:t xml:space="preserve">226,595 </w:t>
            </w:r>
          </w:p>
        </w:tc>
        <w:tc>
          <w:tcPr>
            <w:tcW w:w="1417" w:type="dxa"/>
            <w:vAlign w:val="center"/>
          </w:tcPr>
          <w:p w:rsidR="00FB2640" w:rsidRPr="00427871" w:rsidRDefault="00FB2640" w:rsidP="008F1977">
            <w:pPr>
              <w:spacing w:line="440" w:lineRule="exact"/>
              <w:jc w:val="center"/>
              <w:rPr>
                <w:rFonts w:ascii="微軟正黑體" w:eastAsia="微軟正黑體" w:hAnsi="微軟正黑體" w:cs="新細明體"/>
                <w:sz w:val="22"/>
                <w:szCs w:val="22"/>
              </w:rPr>
            </w:pPr>
            <w:r w:rsidRPr="00427871">
              <w:rPr>
                <w:rFonts w:ascii="微軟正黑體" w:eastAsia="微軟正黑體" w:hAnsi="微軟正黑體" w:hint="eastAsia"/>
                <w:sz w:val="22"/>
                <w:szCs w:val="22"/>
              </w:rPr>
              <w:t xml:space="preserve">169,707 </w:t>
            </w:r>
          </w:p>
        </w:tc>
        <w:tc>
          <w:tcPr>
            <w:tcW w:w="1361" w:type="dxa"/>
            <w:vAlign w:val="center"/>
          </w:tcPr>
          <w:p w:rsidR="00FB2640" w:rsidRPr="00427871"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w:t>
            </w:r>
          </w:p>
        </w:tc>
        <w:tc>
          <w:tcPr>
            <w:tcW w:w="1191" w:type="dxa"/>
            <w:vAlign w:val="center"/>
          </w:tcPr>
          <w:p w:rsidR="00FB2640" w:rsidRPr="00427871" w:rsidRDefault="00FB2640" w:rsidP="008F1977">
            <w:pPr>
              <w:spacing w:line="440" w:lineRule="exact"/>
              <w:jc w:val="center"/>
              <w:rPr>
                <w:rFonts w:ascii="微軟正黑體" w:eastAsia="微軟正黑體" w:hAnsi="微軟正黑體" w:cs="新細明體"/>
                <w:sz w:val="22"/>
                <w:szCs w:val="22"/>
              </w:rPr>
            </w:pPr>
            <w:r w:rsidRPr="00427871">
              <w:rPr>
                <w:rFonts w:ascii="微軟正黑體" w:eastAsia="微軟正黑體" w:hAnsi="微軟正黑體" w:hint="eastAsia"/>
                <w:sz w:val="22"/>
                <w:szCs w:val="22"/>
              </w:rPr>
              <w:t xml:space="preserve">69,978 </w:t>
            </w:r>
          </w:p>
        </w:tc>
        <w:tc>
          <w:tcPr>
            <w:tcW w:w="1363" w:type="dxa"/>
            <w:vAlign w:val="center"/>
          </w:tcPr>
          <w:p w:rsidR="00FB2640" w:rsidRPr="00427871" w:rsidRDefault="00FB2640" w:rsidP="008F1977">
            <w:pPr>
              <w:spacing w:line="440" w:lineRule="exact"/>
              <w:jc w:val="center"/>
              <w:rPr>
                <w:rFonts w:ascii="微軟正黑體" w:eastAsia="微軟正黑體" w:hAnsi="微軟正黑體" w:cs="新細明體"/>
                <w:sz w:val="22"/>
                <w:szCs w:val="22"/>
              </w:rPr>
            </w:pPr>
            <w:r w:rsidRPr="00427871">
              <w:rPr>
                <w:rFonts w:ascii="微軟正黑體" w:eastAsia="微軟正黑體" w:hAnsi="微軟正黑體" w:hint="eastAsia"/>
                <w:sz w:val="22"/>
                <w:szCs w:val="22"/>
              </w:rPr>
              <w:t xml:space="preserve">3,286,664 </w:t>
            </w:r>
          </w:p>
        </w:tc>
      </w:tr>
      <w:tr w:rsidR="00FB2640" w:rsidRPr="00F0717A" w:rsidTr="008F1977">
        <w:trPr>
          <w:jc w:val="center"/>
        </w:trPr>
        <w:tc>
          <w:tcPr>
            <w:tcW w:w="993" w:type="dxa"/>
          </w:tcPr>
          <w:p w:rsidR="00FB2640" w:rsidRPr="00F0717A" w:rsidRDefault="00FB2640" w:rsidP="008F1977">
            <w:pPr>
              <w:spacing w:line="440" w:lineRule="exact"/>
              <w:jc w:val="center"/>
              <w:rPr>
                <w:rFonts w:ascii="微軟正黑體" w:eastAsia="微軟正黑體" w:hAnsi="微軟正黑體" w:cs="新細明體"/>
                <w:sz w:val="22"/>
                <w:szCs w:val="22"/>
              </w:rPr>
            </w:pPr>
            <w:r>
              <w:rPr>
                <w:rFonts w:ascii="微軟正黑體" w:eastAsia="微軟正黑體" w:hAnsi="微軟正黑體" w:cs="新細明體" w:hint="eastAsia"/>
                <w:sz w:val="22"/>
                <w:szCs w:val="22"/>
              </w:rPr>
              <w:t>1</w:t>
            </w:r>
            <w:r>
              <w:rPr>
                <w:rFonts w:ascii="微軟正黑體" w:eastAsia="微軟正黑體" w:hAnsi="微軟正黑體" w:cs="新細明體"/>
                <w:sz w:val="22"/>
                <w:szCs w:val="22"/>
              </w:rPr>
              <w:t>08</w:t>
            </w:r>
            <w:r>
              <w:rPr>
                <w:rFonts w:ascii="微軟正黑體" w:eastAsia="微軟正黑體" w:hAnsi="微軟正黑體" w:cs="新細明體" w:hint="eastAsia"/>
                <w:sz w:val="22"/>
                <w:szCs w:val="22"/>
              </w:rPr>
              <w:t>年</w:t>
            </w:r>
          </w:p>
        </w:tc>
        <w:tc>
          <w:tcPr>
            <w:tcW w:w="1275"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2,775,350 </w:t>
            </w:r>
          </w:p>
        </w:tc>
        <w:tc>
          <w:tcPr>
            <w:tcW w:w="1418"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222,680 </w:t>
            </w:r>
          </w:p>
        </w:tc>
        <w:tc>
          <w:tcPr>
            <w:tcW w:w="1417"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164,426 </w:t>
            </w:r>
          </w:p>
        </w:tc>
        <w:tc>
          <w:tcPr>
            <w:tcW w:w="1361" w:type="dxa"/>
          </w:tcPr>
          <w:p w:rsidR="00FB2640" w:rsidRPr="00EB2EBB" w:rsidRDefault="00FB2640" w:rsidP="008F1977">
            <w:pPr>
              <w:spacing w:line="440" w:lineRule="exact"/>
              <w:jc w:val="center"/>
              <w:rPr>
                <w:rFonts w:ascii="微軟正黑體" w:eastAsia="微軟正黑體" w:hAnsi="微軟正黑體"/>
                <w:sz w:val="22"/>
                <w:szCs w:val="22"/>
              </w:rPr>
            </w:pPr>
            <w:r>
              <w:rPr>
                <w:rFonts w:ascii="微軟正黑體" w:eastAsia="微軟正黑體" w:hAnsi="微軟正黑體" w:hint="eastAsia"/>
                <w:sz w:val="22"/>
                <w:szCs w:val="22"/>
              </w:rPr>
              <w:t>-</w:t>
            </w:r>
          </w:p>
        </w:tc>
        <w:tc>
          <w:tcPr>
            <w:tcW w:w="1191"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68,462 </w:t>
            </w:r>
          </w:p>
        </w:tc>
        <w:tc>
          <w:tcPr>
            <w:tcW w:w="1363"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3,230,918 </w:t>
            </w:r>
          </w:p>
        </w:tc>
      </w:tr>
      <w:tr w:rsidR="00FB2640" w:rsidRPr="00F0717A" w:rsidTr="008F1977">
        <w:trPr>
          <w:jc w:val="center"/>
        </w:trPr>
        <w:tc>
          <w:tcPr>
            <w:tcW w:w="993" w:type="dxa"/>
          </w:tcPr>
          <w:p w:rsidR="00FB2640" w:rsidRPr="00F0717A" w:rsidRDefault="00FB2640" w:rsidP="008F1977">
            <w:pPr>
              <w:pStyle w:val="af0"/>
              <w:spacing w:line="440" w:lineRule="exact"/>
              <w:ind w:leftChars="0" w:left="0"/>
              <w:jc w:val="center"/>
              <w:rPr>
                <w:rFonts w:ascii="微軟正黑體" w:eastAsia="微軟正黑體" w:hAnsi="微軟正黑體"/>
                <w:sz w:val="22"/>
                <w:szCs w:val="22"/>
              </w:rPr>
            </w:pPr>
            <w:r>
              <w:rPr>
                <w:rFonts w:ascii="微軟正黑體" w:eastAsia="微軟正黑體" w:hAnsi="微軟正黑體" w:hint="eastAsia"/>
                <w:sz w:val="22"/>
                <w:szCs w:val="22"/>
              </w:rPr>
              <w:t>1</w:t>
            </w:r>
            <w:r>
              <w:rPr>
                <w:rFonts w:ascii="微軟正黑體" w:eastAsia="微軟正黑體" w:hAnsi="微軟正黑體"/>
                <w:sz w:val="22"/>
                <w:szCs w:val="22"/>
              </w:rPr>
              <w:t>09</w:t>
            </w:r>
            <w:r>
              <w:rPr>
                <w:rFonts w:ascii="微軟正黑體" w:eastAsia="微軟正黑體" w:hAnsi="微軟正黑體" w:hint="eastAsia"/>
                <w:sz w:val="22"/>
                <w:szCs w:val="22"/>
              </w:rPr>
              <w:t>年</w:t>
            </w:r>
          </w:p>
        </w:tc>
        <w:tc>
          <w:tcPr>
            <w:tcW w:w="1275"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2,617,480 </w:t>
            </w:r>
          </w:p>
        </w:tc>
        <w:tc>
          <w:tcPr>
            <w:tcW w:w="1418"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215,952 </w:t>
            </w:r>
          </w:p>
        </w:tc>
        <w:tc>
          <w:tcPr>
            <w:tcW w:w="1417"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146,974 </w:t>
            </w:r>
          </w:p>
        </w:tc>
        <w:tc>
          <w:tcPr>
            <w:tcW w:w="1361"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58,223 </w:t>
            </w:r>
          </w:p>
        </w:tc>
        <w:tc>
          <w:tcPr>
            <w:tcW w:w="1191"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67,354 </w:t>
            </w:r>
          </w:p>
        </w:tc>
        <w:tc>
          <w:tcPr>
            <w:tcW w:w="1363" w:type="dxa"/>
          </w:tcPr>
          <w:p w:rsidR="00FB2640" w:rsidRPr="00EB2EBB" w:rsidRDefault="00FB2640" w:rsidP="008F1977">
            <w:pPr>
              <w:spacing w:line="440" w:lineRule="exact"/>
              <w:jc w:val="center"/>
              <w:rPr>
                <w:rFonts w:ascii="微軟正黑體" w:eastAsia="微軟正黑體" w:hAnsi="微軟正黑體"/>
                <w:sz w:val="22"/>
                <w:szCs w:val="22"/>
              </w:rPr>
            </w:pPr>
            <w:r w:rsidRPr="00EB2EBB">
              <w:rPr>
                <w:rFonts w:ascii="微軟正黑體" w:eastAsia="微軟正黑體" w:hAnsi="微軟正黑體"/>
                <w:sz w:val="22"/>
                <w:szCs w:val="22"/>
              </w:rPr>
              <w:t xml:space="preserve">3,105,983 </w:t>
            </w:r>
          </w:p>
        </w:tc>
      </w:tr>
    </w:tbl>
    <w:p w:rsidR="00FB2640" w:rsidRPr="00CD19DB" w:rsidRDefault="00FB2640" w:rsidP="00FB2640">
      <w:pPr>
        <w:adjustRightInd w:val="0"/>
        <w:spacing w:line="360" w:lineRule="exact"/>
        <w:textAlignment w:val="baseline"/>
        <w:rPr>
          <w:rFonts w:ascii="微軟正黑體" w:eastAsia="微軟正黑體" w:hAnsi="微軟正黑體"/>
        </w:rPr>
      </w:pPr>
      <w:r w:rsidRPr="00CD19DB">
        <w:rPr>
          <w:rFonts w:ascii="微軟正黑體" w:eastAsia="微軟正黑體" w:hAnsi="微軟正黑體" w:hint="eastAsia"/>
          <w:sz w:val="20"/>
          <w:szCs w:val="20"/>
        </w:rPr>
        <w:t>註：109年6月修正「國民年金法」，增訂符合社會救助法規定之「中低收入戶」為保險費補助對象。</w:t>
      </w:r>
    </w:p>
    <w:p w:rsidR="00FB2640" w:rsidRPr="00F0717A" w:rsidRDefault="00FB2640" w:rsidP="00FB2640">
      <w:pPr>
        <w:pStyle w:val="af0"/>
        <w:numPr>
          <w:ilvl w:val="0"/>
          <w:numId w:val="26"/>
        </w:numPr>
        <w:adjustRightInd w:val="0"/>
        <w:spacing w:line="400" w:lineRule="exact"/>
        <w:ind w:leftChars="0" w:left="567" w:hanging="386"/>
        <w:textAlignment w:val="baseline"/>
        <w:rPr>
          <w:rFonts w:ascii="微軟正黑體" w:eastAsia="微軟正黑體" w:hAnsi="微軟正黑體"/>
        </w:rPr>
      </w:pPr>
      <w:r w:rsidRPr="00F0717A">
        <w:rPr>
          <w:rFonts w:ascii="微軟正黑體" w:eastAsia="微軟正黑體" w:hAnsi="微軟正黑體" w:hint="eastAsia"/>
        </w:rPr>
        <w:lastRenderedPageBreak/>
        <w:t>應計保險費負擔情形</w:t>
      </w:r>
    </w:p>
    <w:p w:rsidR="00FB2640" w:rsidRPr="00F0717A"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國保應計保險費由被保險人及政府兩方負擔，一般被保險人由政府補助40%保險費；身心障礙及經濟弱勢族群，依程度不同提高補助比率至55%、70%或100%。10</w:t>
      </w:r>
      <w:r>
        <w:rPr>
          <w:rFonts w:ascii="微軟正黑體" w:eastAsia="微軟正黑體" w:hAnsi="微軟正黑體"/>
        </w:rPr>
        <w:t>9</w:t>
      </w:r>
      <w:r w:rsidRPr="00F0717A">
        <w:rPr>
          <w:rFonts w:ascii="微軟正黑體" w:eastAsia="微軟正黑體" w:hAnsi="微軟正黑體" w:hint="eastAsia"/>
        </w:rPr>
        <w:t>年應計保險費總計5</w:t>
      </w:r>
      <w:r>
        <w:rPr>
          <w:rFonts w:ascii="微軟正黑體" w:eastAsia="微軟正黑體" w:hAnsi="微軟正黑體" w:hint="eastAsia"/>
        </w:rPr>
        <w:t>1</w:t>
      </w:r>
      <w:r>
        <w:rPr>
          <w:rFonts w:ascii="微軟正黑體" w:eastAsia="微軟正黑體" w:hAnsi="微軟正黑體"/>
        </w:rPr>
        <w:t>6.2</w:t>
      </w:r>
      <w:r w:rsidRPr="00F0717A">
        <w:rPr>
          <w:rFonts w:ascii="微軟正黑體" w:eastAsia="微軟正黑體" w:hAnsi="微軟正黑體" w:hint="eastAsia"/>
        </w:rPr>
        <w:t>億元，其中被保險人負擔約</w:t>
      </w:r>
      <w:r>
        <w:rPr>
          <w:rFonts w:ascii="微軟正黑體" w:eastAsia="微軟正黑體" w:hAnsi="微軟正黑體" w:hint="eastAsia"/>
        </w:rPr>
        <w:t>3</w:t>
      </w:r>
      <w:r>
        <w:rPr>
          <w:rFonts w:ascii="微軟正黑體" w:eastAsia="微軟正黑體" w:hAnsi="微軟正黑體"/>
        </w:rPr>
        <w:t>32.4</w:t>
      </w:r>
      <w:r w:rsidRPr="00F0717A">
        <w:rPr>
          <w:rFonts w:ascii="微軟正黑體" w:eastAsia="微軟正黑體" w:hAnsi="微軟正黑體" w:hint="eastAsia"/>
        </w:rPr>
        <w:t>億元，政府補助約18</w:t>
      </w:r>
      <w:r>
        <w:rPr>
          <w:rFonts w:ascii="微軟正黑體" w:eastAsia="微軟正黑體" w:hAnsi="微軟正黑體"/>
        </w:rPr>
        <w:t>3.9</w:t>
      </w:r>
      <w:r w:rsidRPr="00F0717A">
        <w:rPr>
          <w:rFonts w:ascii="微軟正黑體" w:eastAsia="微軟正黑體" w:hAnsi="微軟正黑體" w:hint="eastAsia"/>
        </w:rPr>
        <w:t>億元。</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80864" behindDoc="0" locked="0" layoutInCell="1" allowOverlap="1" wp14:anchorId="3520FACC" wp14:editId="4D42248C">
            <wp:simplePos x="0" y="0"/>
            <wp:positionH relativeFrom="column">
              <wp:posOffset>98637</wp:posOffset>
            </wp:positionH>
            <wp:positionV relativeFrom="paragraph">
              <wp:posOffset>134197</wp:posOffset>
            </wp:positionV>
            <wp:extent cx="5698066" cy="2997200"/>
            <wp:effectExtent l="0" t="0" r="17145" b="12700"/>
            <wp:wrapNone/>
            <wp:docPr id="271" name="圖表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Pr="00F0717A" w:rsidRDefault="00FB2640" w:rsidP="00FB2640">
      <w:pPr>
        <w:spacing w:beforeLines="50" w:before="180" w:line="400" w:lineRule="exact"/>
        <w:jc w:val="center"/>
        <w:rPr>
          <w:rFonts w:ascii="微軟正黑體" w:eastAsia="微軟正黑體" w:hAnsi="微軟正黑體"/>
        </w:rPr>
      </w:pPr>
      <w:r w:rsidRPr="00F0717A">
        <w:rPr>
          <w:rFonts w:ascii="微軟正黑體" w:eastAsia="微軟正黑體" w:hAnsi="微軟正黑體" w:hint="eastAsia"/>
        </w:rPr>
        <w:t>圖2.3</w:t>
      </w:r>
      <w:r>
        <w:rPr>
          <w:rFonts w:ascii="微軟正黑體" w:eastAsia="微軟正黑體" w:hAnsi="微軟正黑體"/>
        </w:rPr>
        <w:t>8</w:t>
      </w:r>
      <w:r>
        <w:rPr>
          <w:rFonts w:ascii="微軟正黑體" w:eastAsia="微軟正黑體" w:hAnsi="微軟正黑體" w:hint="eastAsia"/>
        </w:rPr>
        <w:t xml:space="preserve">  </w:t>
      </w:r>
      <w:r w:rsidRPr="00C42F2E">
        <w:rPr>
          <w:rFonts w:ascii="微軟正黑體" w:eastAsia="微軟正黑體" w:hAnsi="微軟正黑體" w:hint="eastAsia"/>
        </w:rPr>
        <w:t>101-109年國</w:t>
      </w:r>
      <w:r w:rsidRPr="00F0717A">
        <w:rPr>
          <w:rFonts w:ascii="微軟正黑體" w:eastAsia="微軟正黑體" w:hAnsi="微軟正黑體" w:hint="eastAsia"/>
        </w:rPr>
        <w:t>保應計保險費負擔情形</w:t>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r>
        <w:rPr>
          <w:rFonts w:ascii="微軟正黑體" w:eastAsia="微軟正黑體" w:hAnsi="微軟正黑體" w:hint="eastAsia"/>
        </w:rPr>
        <w:t xml:space="preserve">(二) </w:t>
      </w:r>
      <w:r w:rsidRPr="00F0717A">
        <w:rPr>
          <w:rFonts w:ascii="微軟正黑體" w:eastAsia="微軟正黑體" w:hAnsi="微軟正黑體" w:hint="eastAsia"/>
        </w:rPr>
        <w:t>給付概況</w:t>
      </w:r>
    </w:p>
    <w:p w:rsidR="00FB2640" w:rsidRPr="00F0717A" w:rsidRDefault="00FB2640" w:rsidP="00FB2640">
      <w:pPr>
        <w:spacing w:beforeLines="30" w:before="108" w:line="400" w:lineRule="exact"/>
        <w:jc w:val="both"/>
        <w:rPr>
          <w:rFonts w:ascii="微軟正黑體" w:eastAsia="微軟正黑體" w:hAnsi="微軟正黑體"/>
        </w:rPr>
      </w:pPr>
      <w:r w:rsidRPr="00F0717A">
        <w:rPr>
          <w:rFonts w:ascii="微軟正黑體" w:eastAsia="微軟正黑體" w:hAnsi="微軟正黑體" w:hint="eastAsia"/>
        </w:rPr>
        <w:t xml:space="preserve">    國保給付項目包括老年年金給付、身心障礙年金給付、喪葬給付、遺屬年金給付</w:t>
      </w:r>
      <w:r>
        <w:rPr>
          <w:rFonts w:ascii="微軟正黑體" w:eastAsia="微軟正黑體" w:hAnsi="微軟正黑體" w:hint="eastAsia"/>
        </w:rPr>
        <w:t>及</w:t>
      </w:r>
      <w:r w:rsidRPr="00F0717A">
        <w:rPr>
          <w:rFonts w:ascii="微軟正黑體" w:eastAsia="微軟正黑體" w:hAnsi="微軟正黑體" w:hint="eastAsia"/>
        </w:rPr>
        <w:t>生育給付(100年7月起增列)等5項。至於老年基本保證年金及原住民給付，係銜接國民年金開辦前之敬老津貼及原住民敬老津貼，相關資料詳見</w:t>
      </w:r>
      <w:r>
        <w:rPr>
          <w:rFonts w:ascii="微軟正黑體" w:eastAsia="微軟正黑體" w:hAnsi="微軟正黑體" w:hint="eastAsia"/>
        </w:rPr>
        <w:t>本專刊「制度概況</w:t>
      </w:r>
      <w:r w:rsidRPr="00F0717A">
        <w:rPr>
          <w:rFonts w:ascii="微軟正黑體" w:eastAsia="微軟正黑體" w:hAnsi="微軟正黑體" w:hint="eastAsia"/>
        </w:rPr>
        <w:t>」</w:t>
      </w:r>
      <w:r>
        <w:rPr>
          <w:rFonts w:ascii="微軟正黑體" w:eastAsia="微軟正黑體" w:hAnsi="微軟正黑體" w:hint="eastAsia"/>
        </w:rPr>
        <w:t>單元之我國老年經濟安全制度</w:t>
      </w:r>
      <w:r w:rsidRPr="00301EBA">
        <w:rPr>
          <w:rFonts w:ascii="微軟正黑體" w:eastAsia="微軟正黑體" w:hAnsi="微軟正黑體" w:hint="eastAsia"/>
        </w:rPr>
        <w:t>概況(10</w:t>
      </w:r>
      <w:r>
        <w:rPr>
          <w:rFonts w:ascii="微軟正黑體" w:eastAsia="微軟正黑體" w:hAnsi="微軟正黑體"/>
        </w:rPr>
        <w:t>9</w:t>
      </w:r>
      <w:r w:rsidRPr="00301EBA">
        <w:rPr>
          <w:rFonts w:ascii="微軟正黑體" w:eastAsia="微軟正黑體" w:hAnsi="微軟正黑體" w:hint="eastAsia"/>
        </w:rPr>
        <w:t>年)</w:t>
      </w:r>
      <w:r>
        <w:rPr>
          <w:rFonts w:ascii="微軟正黑體" w:eastAsia="微軟正黑體" w:hAnsi="微軟正黑體" w:hint="eastAsia"/>
        </w:rPr>
        <w:t>「壹、概論」</w:t>
      </w:r>
      <w:r w:rsidRPr="00F0717A">
        <w:rPr>
          <w:rFonts w:ascii="微軟正黑體" w:eastAsia="微軟正黑體" w:hAnsi="微軟正黑體" w:hint="eastAsia"/>
        </w:rPr>
        <w:t>。</w:t>
      </w:r>
    </w:p>
    <w:p w:rsidR="00FB2640" w:rsidRPr="001B4787" w:rsidRDefault="00FB2640" w:rsidP="00FB2640">
      <w:pPr>
        <w:pStyle w:val="af0"/>
        <w:numPr>
          <w:ilvl w:val="0"/>
          <w:numId w:val="27"/>
        </w:numPr>
        <w:adjustRightInd w:val="0"/>
        <w:spacing w:beforeLines="50" w:before="180" w:line="400" w:lineRule="exact"/>
        <w:ind w:leftChars="0" w:left="567"/>
        <w:textAlignment w:val="baseline"/>
        <w:rPr>
          <w:rFonts w:ascii="微軟正黑體" w:eastAsia="微軟正黑體" w:hAnsi="微軟正黑體"/>
        </w:rPr>
      </w:pPr>
      <w:r w:rsidRPr="001B4787">
        <w:rPr>
          <w:rFonts w:ascii="微軟正黑體" w:eastAsia="微軟正黑體" w:hAnsi="微軟正黑體" w:hint="eastAsia"/>
        </w:rPr>
        <w:t>各給付項目人數</w:t>
      </w:r>
    </w:p>
    <w:p w:rsidR="00FB2640" w:rsidRPr="00FB7A10" w:rsidRDefault="00FB2640" w:rsidP="00FB2640">
      <w:pPr>
        <w:pStyle w:val="af0"/>
        <w:spacing w:beforeLines="30" w:before="108" w:line="400" w:lineRule="exact"/>
        <w:ind w:leftChars="0" w:left="567"/>
        <w:jc w:val="both"/>
        <w:rPr>
          <w:rFonts w:ascii="微軟正黑體" w:eastAsia="微軟正黑體" w:hAnsi="微軟正黑體"/>
        </w:rPr>
      </w:pPr>
      <w:r w:rsidRPr="00CD19DB">
        <w:rPr>
          <w:rFonts w:ascii="微軟正黑體" w:eastAsia="微軟正黑體" w:hAnsi="微軟正黑體" w:hint="eastAsia"/>
        </w:rPr>
        <w:t xml:space="preserve">    觀察近10年國保各給付項目人數，除「喪葬給付」人數逐年減少及「生育給付」自101年起微幅增減外，其餘給付項目人數均逐年增加，總人數自</w:t>
      </w:r>
      <w:r w:rsidRPr="00CD19DB">
        <w:rPr>
          <w:rFonts w:ascii="微軟正黑體" w:eastAsia="微軟正黑體" w:hAnsi="微軟正黑體"/>
        </w:rPr>
        <w:t>100</w:t>
      </w:r>
      <w:r w:rsidRPr="00CD19DB">
        <w:rPr>
          <w:rFonts w:ascii="微軟正黑體" w:eastAsia="微軟正黑體" w:hAnsi="微軟正黑體" w:hint="eastAsia"/>
        </w:rPr>
        <w:t>年</w:t>
      </w:r>
      <w:r w:rsidRPr="00CD19DB">
        <w:rPr>
          <w:rFonts w:ascii="微軟正黑體" w:eastAsia="微軟正黑體" w:hAnsi="微軟正黑體"/>
        </w:rPr>
        <w:t>32</w:t>
      </w:r>
      <w:r w:rsidRPr="00F0717A">
        <w:rPr>
          <w:rFonts w:ascii="微軟正黑體" w:eastAsia="微軟正黑體" w:hAnsi="微軟正黑體" w:hint="eastAsia"/>
        </w:rPr>
        <w:t>萬</w:t>
      </w:r>
      <w:r>
        <w:rPr>
          <w:rFonts w:ascii="微軟正黑體" w:eastAsia="微軟正黑體" w:hAnsi="微軟正黑體"/>
        </w:rPr>
        <w:t>6</w:t>
      </w:r>
      <w:r>
        <w:rPr>
          <w:rFonts w:ascii="微軟正黑體" w:eastAsia="微軟正黑體" w:hAnsi="微軟正黑體" w:hint="eastAsia"/>
        </w:rPr>
        <w:t>,</w:t>
      </w:r>
      <w:r>
        <w:rPr>
          <w:rFonts w:ascii="微軟正黑體" w:eastAsia="微軟正黑體" w:hAnsi="微軟正黑體"/>
        </w:rPr>
        <w:t>898</w:t>
      </w:r>
      <w:r w:rsidRPr="00F0717A">
        <w:rPr>
          <w:rFonts w:ascii="微軟正黑體" w:eastAsia="微軟正黑體" w:hAnsi="微軟正黑體" w:hint="eastAsia"/>
        </w:rPr>
        <w:t>人，逐年成長至10</w:t>
      </w:r>
      <w:r>
        <w:rPr>
          <w:rFonts w:ascii="微軟正黑體" w:eastAsia="微軟正黑體" w:hAnsi="微軟正黑體"/>
        </w:rPr>
        <w:t>9</w:t>
      </w:r>
      <w:r w:rsidRPr="00F0717A">
        <w:rPr>
          <w:rFonts w:ascii="微軟正黑體" w:eastAsia="微軟正黑體" w:hAnsi="微軟正黑體" w:hint="eastAsia"/>
        </w:rPr>
        <w:t>年達</w:t>
      </w:r>
      <w:r>
        <w:rPr>
          <w:rFonts w:ascii="微軟正黑體" w:eastAsia="微軟正黑體" w:hAnsi="微軟正黑體" w:hint="eastAsia"/>
        </w:rPr>
        <w:t>1</w:t>
      </w:r>
      <w:r>
        <w:rPr>
          <w:rFonts w:ascii="微軟正黑體" w:eastAsia="微軟正黑體" w:hAnsi="微軟正黑體"/>
        </w:rPr>
        <w:t>32</w:t>
      </w:r>
      <w:r w:rsidRPr="00F0717A">
        <w:rPr>
          <w:rFonts w:ascii="微軟正黑體" w:eastAsia="微軟正黑體" w:hAnsi="微軟正黑體" w:hint="eastAsia"/>
        </w:rPr>
        <w:t>萬</w:t>
      </w:r>
      <w:r>
        <w:rPr>
          <w:rFonts w:ascii="微軟正黑體" w:eastAsia="微軟正黑體" w:hAnsi="微軟正黑體"/>
        </w:rPr>
        <w:t>5</w:t>
      </w:r>
      <w:r w:rsidRPr="00F0717A">
        <w:rPr>
          <w:rFonts w:ascii="微軟正黑體" w:eastAsia="微軟正黑體" w:hAnsi="微軟正黑體" w:hint="eastAsia"/>
        </w:rPr>
        <w:t>,</w:t>
      </w:r>
      <w:r>
        <w:rPr>
          <w:rFonts w:ascii="微軟正黑體" w:eastAsia="微軟正黑體" w:hAnsi="微軟正黑體"/>
        </w:rPr>
        <w:t>708</w:t>
      </w:r>
      <w:r>
        <w:rPr>
          <w:rFonts w:ascii="微軟正黑體" w:eastAsia="微軟正黑體" w:hAnsi="微軟正黑體" w:hint="eastAsia"/>
        </w:rPr>
        <w:t>人，其中</w:t>
      </w:r>
      <w:r w:rsidRPr="00F0717A">
        <w:rPr>
          <w:rFonts w:ascii="微軟正黑體" w:eastAsia="微軟正黑體" w:hAnsi="微軟正黑體" w:hint="eastAsia"/>
        </w:rPr>
        <w:t>以「老年年金給付」</w:t>
      </w:r>
      <w:r>
        <w:rPr>
          <w:rFonts w:ascii="微軟正黑體" w:eastAsia="微軟正黑體" w:hAnsi="微軟正黑體" w:hint="eastAsia"/>
        </w:rPr>
        <w:t>1</w:t>
      </w:r>
      <w:r>
        <w:rPr>
          <w:rFonts w:ascii="微軟正黑體" w:eastAsia="微軟正黑體" w:hAnsi="微軟正黑體"/>
        </w:rPr>
        <w:t>18</w:t>
      </w:r>
      <w:r w:rsidRPr="00F0717A">
        <w:rPr>
          <w:rFonts w:ascii="微軟正黑體" w:eastAsia="微軟正黑體" w:hAnsi="微軟正黑體" w:hint="eastAsia"/>
        </w:rPr>
        <w:t>萬</w:t>
      </w:r>
      <w:r>
        <w:rPr>
          <w:rFonts w:ascii="微軟正黑體" w:eastAsia="微軟正黑體" w:hAnsi="微軟正黑體" w:hint="eastAsia"/>
        </w:rPr>
        <w:t>9</w:t>
      </w:r>
      <w:r w:rsidRPr="00F0717A">
        <w:rPr>
          <w:rFonts w:ascii="微軟正黑體" w:eastAsia="微軟正黑體" w:hAnsi="微軟正黑體" w:hint="eastAsia"/>
        </w:rPr>
        <w:t>,</w:t>
      </w:r>
      <w:r>
        <w:rPr>
          <w:rFonts w:ascii="微軟正黑體" w:eastAsia="微軟正黑體" w:hAnsi="微軟正黑體"/>
        </w:rPr>
        <w:t>1</w:t>
      </w:r>
      <w:r>
        <w:rPr>
          <w:rFonts w:ascii="微軟正黑體" w:eastAsia="微軟正黑體" w:hAnsi="微軟正黑體" w:hint="eastAsia"/>
        </w:rPr>
        <w:t>71</w:t>
      </w:r>
      <w:r w:rsidRPr="00F0717A">
        <w:rPr>
          <w:rFonts w:ascii="微軟正黑體" w:eastAsia="微軟正黑體" w:hAnsi="微軟正黑體" w:hint="eastAsia"/>
        </w:rPr>
        <w:t>人為最多，占8</w:t>
      </w:r>
      <w:r>
        <w:rPr>
          <w:rFonts w:ascii="微軟正黑體" w:eastAsia="微軟正黑體" w:hAnsi="微軟正黑體"/>
        </w:rPr>
        <w:t>9.7</w:t>
      </w:r>
      <w:r w:rsidRPr="00F0717A">
        <w:rPr>
          <w:rFonts w:ascii="微軟正黑體" w:eastAsia="微軟正黑體" w:hAnsi="微軟正黑體" w:hint="eastAsia"/>
        </w:rPr>
        <w:t>%，「遺屬年金給付」</w:t>
      </w:r>
      <w:r>
        <w:rPr>
          <w:rFonts w:ascii="微軟正黑體" w:eastAsia="微軟正黑體" w:hAnsi="微軟正黑體" w:hint="eastAsia"/>
        </w:rPr>
        <w:t>1</w:t>
      </w:r>
      <w:r>
        <w:rPr>
          <w:rFonts w:ascii="微軟正黑體" w:eastAsia="微軟正黑體" w:hAnsi="微軟正黑體"/>
        </w:rPr>
        <w:t>0</w:t>
      </w:r>
      <w:r w:rsidRPr="00F0717A">
        <w:rPr>
          <w:rFonts w:ascii="微軟正黑體" w:eastAsia="微軟正黑體" w:hAnsi="微軟正黑體" w:hint="eastAsia"/>
        </w:rPr>
        <w:t>萬</w:t>
      </w:r>
      <w:r>
        <w:rPr>
          <w:rFonts w:ascii="微軟正黑體" w:eastAsia="微軟正黑體" w:hAnsi="微軟正黑體" w:hint="eastAsia"/>
        </w:rPr>
        <w:t>1,</w:t>
      </w:r>
      <w:r>
        <w:rPr>
          <w:rFonts w:ascii="微軟正黑體" w:eastAsia="微軟正黑體" w:hAnsi="微軟正黑體"/>
        </w:rPr>
        <w:t>111</w:t>
      </w:r>
      <w:r w:rsidRPr="00F0717A">
        <w:rPr>
          <w:rFonts w:ascii="微軟正黑體" w:eastAsia="微軟正黑體" w:hAnsi="微軟正黑體" w:hint="eastAsia"/>
        </w:rPr>
        <w:t>人次之，占</w:t>
      </w:r>
      <w:r>
        <w:rPr>
          <w:rFonts w:ascii="微軟正黑體" w:eastAsia="微軟正黑體" w:hAnsi="微軟正黑體" w:hint="eastAsia"/>
        </w:rPr>
        <w:t>7.6</w:t>
      </w:r>
      <w:r w:rsidRPr="00F0717A">
        <w:rPr>
          <w:rFonts w:ascii="微軟正黑體" w:eastAsia="微軟正黑體" w:hAnsi="微軟正黑體" w:hint="eastAsia"/>
        </w:rPr>
        <w:t>%</w:t>
      </w:r>
      <w:r w:rsidRPr="00FB7A10">
        <w:rPr>
          <w:rFonts w:ascii="微軟正黑體" w:eastAsia="微軟正黑體" w:hAnsi="微軟正黑體" w:hint="eastAsia"/>
        </w:rPr>
        <w:t>。</w:t>
      </w:r>
    </w:p>
    <w:p w:rsidR="00FB2640" w:rsidRDefault="00FB2640" w:rsidP="00FB2640">
      <w:pPr>
        <w:pStyle w:val="af0"/>
        <w:spacing w:beforeLines="30" w:before="108" w:line="400" w:lineRule="exact"/>
        <w:ind w:leftChars="0" w:left="386"/>
        <w:jc w:val="both"/>
        <w:rPr>
          <w:rFonts w:ascii="微軟正黑體" w:eastAsia="微軟正黑體" w:hAnsi="微軟正黑體"/>
        </w:rPr>
      </w:pPr>
    </w:p>
    <w:p w:rsidR="00FB2640" w:rsidRDefault="00FB2640" w:rsidP="00FB2640">
      <w:pPr>
        <w:pStyle w:val="af0"/>
        <w:spacing w:beforeLines="30" w:before="108" w:line="400" w:lineRule="exact"/>
        <w:ind w:leftChars="0" w:left="386"/>
        <w:jc w:val="both"/>
        <w:rPr>
          <w:rFonts w:ascii="微軟正黑體" w:eastAsia="微軟正黑體" w:hAnsi="微軟正黑體"/>
        </w:rPr>
      </w:pPr>
    </w:p>
    <w:p w:rsidR="00FB2640" w:rsidRPr="00F0717A" w:rsidRDefault="00FB2640" w:rsidP="00FB2640">
      <w:pPr>
        <w:pStyle w:val="af0"/>
        <w:spacing w:beforeLines="30" w:before="108" w:line="400" w:lineRule="exact"/>
        <w:ind w:leftChars="0" w:left="386"/>
        <w:jc w:val="both"/>
        <w:rPr>
          <w:rFonts w:ascii="微軟正黑體" w:eastAsia="微軟正黑體" w:hAnsi="微軟正黑體"/>
        </w:rPr>
      </w:pPr>
    </w:p>
    <w:p w:rsidR="00FB2640" w:rsidRPr="00F0717A" w:rsidRDefault="00FB2640" w:rsidP="00FB2640">
      <w:pPr>
        <w:pStyle w:val="af0"/>
        <w:spacing w:beforeLines="30" w:before="108" w:line="400" w:lineRule="exact"/>
        <w:ind w:leftChars="0" w:left="386"/>
        <w:jc w:val="both"/>
        <w:rPr>
          <w:rFonts w:ascii="微軟正黑體" w:eastAsia="微軟正黑體" w:hAnsi="微軟正黑體"/>
        </w:rPr>
      </w:pPr>
    </w:p>
    <w:p w:rsidR="00FB2640" w:rsidRDefault="00FB2640" w:rsidP="00FB2640">
      <w:pPr>
        <w:pStyle w:val="af0"/>
        <w:spacing w:beforeLines="30" w:before="108" w:line="400" w:lineRule="exact"/>
        <w:ind w:leftChars="0" w:left="386"/>
        <w:jc w:val="both"/>
        <w:rPr>
          <w:rFonts w:ascii="微軟正黑體" w:eastAsia="微軟正黑體" w:hAnsi="微軟正黑體"/>
        </w:rPr>
      </w:pPr>
      <w:r>
        <w:rPr>
          <w:noProof/>
        </w:rPr>
        <w:lastRenderedPageBreak/>
        <w:drawing>
          <wp:anchor distT="0" distB="0" distL="114300" distR="114300" simplePos="0" relativeHeight="252582912" behindDoc="0" locked="0" layoutInCell="1" allowOverlap="1" wp14:anchorId="7D80F0CA" wp14:editId="56A25EBB">
            <wp:simplePos x="0" y="0"/>
            <wp:positionH relativeFrom="column">
              <wp:posOffset>-36830</wp:posOffset>
            </wp:positionH>
            <wp:positionV relativeFrom="paragraph">
              <wp:posOffset>-17357</wp:posOffset>
            </wp:positionV>
            <wp:extent cx="5842000" cy="3361267"/>
            <wp:effectExtent l="0" t="0" r="25400" b="10795"/>
            <wp:wrapNone/>
            <wp:docPr id="272" name="圖表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r w:rsidRPr="00F0717A">
        <w:rPr>
          <w:noProof/>
        </w:rPr>
        <w:t xml:space="preserve"> </w:t>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beforeLines="30" w:before="108" w:line="400" w:lineRule="exact"/>
        <w:jc w:val="center"/>
        <w:rPr>
          <w:rFonts w:ascii="微軟正黑體" w:eastAsia="微軟正黑體" w:hAnsi="微軟正黑體"/>
        </w:rPr>
      </w:pPr>
      <w:r>
        <w:rPr>
          <w:rFonts w:ascii="微軟正黑體" w:eastAsia="微軟正黑體" w:hAnsi="微軟正黑體" w:hint="eastAsia"/>
        </w:rPr>
        <w:t>圖</w:t>
      </w:r>
      <w:r w:rsidRPr="00F0717A">
        <w:rPr>
          <w:rFonts w:ascii="微軟正黑體" w:eastAsia="微軟正黑體" w:hAnsi="微軟正黑體" w:hint="eastAsia"/>
        </w:rPr>
        <w:t>2.3</w:t>
      </w:r>
      <w:r>
        <w:rPr>
          <w:rFonts w:ascii="微軟正黑體" w:eastAsia="微軟正黑體" w:hAnsi="微軟正黑體"/>
        </w:rPr>
        <w:t>9</w:t>
      </w:r>
      <w:r w:rsidRPr="00F0717A">
        <w:rPr>
          <w:rFonts w:ascii="微軟正黑體" w:eastAsia="微軟正黑體" w:hAnsi="微軟正黑體" w:hint="eastAsia"/>
        </w:rPr>
        <w:t xml:space="preserve">  </w:t>
      </w:r>
      <w:r>
        <w:rPr>
          <w:rFonts w:ascii="微軟正黑體" w:eastAsia="微軟正黑體" w:hAnsi="微軟正黑體" w:hint="eastAsia"/>
        </w:rPr>
        <w:t>近10</w:t>
      </w:r>
      <w:r w:rsidRPr="00F0717A">
        <w:rPr>
          <w:rFonts w:ascii="微軟正黑體" w:eastAsia="微軟正黑體" w:hAnsi="微軟正黑體" w:hint="eastAsia"/>
        </w:rPr>
        <w:t>年國保各給付項目人數</w:t>
      </w:r>
    </w:p>
    <w:p w:rsidR="00FB2640" w:rsidRDefault="00FB2640" w:rsidP="00FB2640">
      <w:pPr>
        <w:spacing w:line="400" w:lineRule="exact"/>
        <w:rPr>
          <w:rFonts w:ascii="微軟正黑體" w:eastAsia="微軟正黑體" w:hAnsi="微軟正黑體"/>
          <w:sz w:val="20"/>
        </w:rPr>
      </w:pPr>
    </w:p>
    <w:p w:rsidR="00FB2640" w:rsidRPr="001B4787" w:rsidRDefault="00FB2640" w:rsidP="00FB2640">
      <w:pPr>
        <w:pStyle w:val="af0"/>
        <w:numPr>
          <w:ilvl w:val="0"/>
          <w:numId w:val="27"/>
        </w:numPr>
        <w:adjustRightInd w:val="0"/>
        <w:spacing w:line="400" w:lineRule="exact"/>
        <w:ind w:leftChars="0" w:left="567"/>
        <w:textAlignment w:val="baseline"/>
        <w:rPr>
          <w:rFonts w:ascii="微軟正黑體" w:eastAsia="微軟正黑體" w:hAnsi="微軟正黑體"/>
        </w:rPr>
      </w:pPr>
      <w:r w:rsidRPr="001B4787">
        <w:rPr>
          <w:rFonts w:ascii="微軟正黑體" w:eastAsia="微軟正黑體" w:hAnsi="微軟正黑體" w:hint="eastAsia"/>
        </w:rPr>
        <w:t>各給付項目金額</w:t>
      </w:r>
    </w:p>
    <w:p w:rsidR="00FB2640" w:rsidRPr="00CB2545" w:rsidRDefault="00FB2640" w:rsidP="00FB2640">
      <w:pPr>
        <w:pStyle w:val="af0"/>
        <w:spacing w:beforeLines="30" w:before="108" w:line="400" w:lineRule="exact"/>
        <w:ind w:leftChars="0" w:left="567"/>
        <w:jc w:val="both"/>
        <w:rPr>
          <w:rFonts w:ascii="微軟正黑體" w:eastAsia="微軟正黑體" w:hAnsi="微軟正黑體"/>
        </w:rPr>
      </w:pPr>
      <w:r w:rsidRPr="00F0717A">
        <w:rPr>
          <w:rFonts w:ascii="微軟正黑體" w:eastAsia="微軟正黑體" w:hAnsi="微軟正黑體" w:hint="eastAsia"/>
        </w:rPr>
        <w:t xml:space="preserve">    觀察</w:t>
      </w:r>
      <w:r w:rsidRPr="00DE6F77">
        <w:rPr>
          <w:rFonts w:ascii="微軟正黑體" w:eastAsia="微軟正黑體" w:hAnsi="微軟正黑體" w:hint="eastAsia"/>
        </w:rPr>
        <w:t>近10年</w:t>
      </w:r>
      <w:r>
        <w:rPr>
          <w:rFonts w:ascii="微軟正黑體" w:eastAsia="微軟正黑體" w:hAnsi="微軟正黑體" w:hint="eastAsia"/>
        </w:rPr>
        <w:t>國保各給付項目總</w:t>
      </w:r>
      <w:r w:rsidRPr="00F0717A">
        <w:rPr>
          <w:rFonts w:ascii="微軟正黑體" w:eastAsia="微軟正黑體" w:hAnsi="微軟正黑體" w:hint="eastAsia"/>
        </w:rPr>
        <w:t>金額，自</w:t>
      </w:r>
      <w:r>
        <w:rPr>
          <w:rFonts w:ascii="微軟正黑體" w:eastAsia="微軟正黑體" w:hAnsi="微軟正黑體"/>
        </w:rPr>
        <w:t>100</w:t>
      </w:r>
      <w:r w:rsidRPr="00F0717A">
        <w:rPr>
          <w:rFonts w:ascii="微軟正黑體" w:eastAsia="微軟正黑體" w:hAnsi="微軟正黑體" w:hint="eastAsia"/>
        </w:rPr>
        <w:t>年</w:t>
      </w:r>
      <w:r>
        <w:rPr>
          <w:rFonts w:ascii="微軟正黑體" w:eastAsia="微軟正黑體" w:hAnsi="微軟正黑體"/>
        </w:rPr>
        <w:t>112.1</w:t>
      </w:r>
      <w:r w:rsidRPr="00F0717A">
        <w:rPr>
          <w:rFonts w:ascii="微軟正黑體" w:eastAsia="微軟正黑體" w:hAnsi="微軟正黑體" w:hint="eastAsia"/>
        </w:rPr>
        <w:t>億元，逐年成長至10</w:t>
      </w:r>
      <w:r>
        <w:rPr>
          <w:rFonts w:ascii="微軟正黑體" w:eastAsia="微軟正黑體" w:hAnsi="微軟正黑體"/>
        </w:rPr>
        <w:t>9</w:t>
      </w:r>
      <w:r w:rsidRPr="00F0717A">
        <w:rPr>
          <w:rFonts w:ascii="微軟正黑體" w:eastAsia="微軟正黑體" w:hAnsi="微軟正黑體" w:hint="eastAsia"/>
        </w:rPr>
        <w:t>年達</w:t>
      </w:r>
      <w:r>
        <w:rPr>
          <w:rFonts w:ascii="微軟正黑體" w:eastAsia="微軟正黑體" w:hAnsi="微軟正黑體"/>
        </w:rPr>
        <w:t>602.9</w:t>
      </w:r>
      <w:r w:rsidRPr="00F0717A">
        <w:rPr>
          <w:rFonts w:ascii="微軟正黑體" w:eastAsia="微軟正黑體" w:hAnsi="微軟正黑體" w:hint="eastAsia"/>
        </w:rPr>
        <w:t>億元，其中「老年年金給付」為最大宗，自</w:t>
      </w:r>
      <w:r>
        <w:rPr>
          <w:rFonts w:ascii="微軟正黑體" w:eastAsia="微軟正黑體" w:hAnsi="微軟正黑體"/>
        </w:rPr>
        <w:t>100</w:t>
      </w:r>
      <w:r w:rsidRPr="00F0717A">
        <w:rPr>
          <w:rFonts w:ascii="微軟正黑體" w:eastAsia="微軟正黑體" w:hAnsi="微軟正黑體" w:hint="eastAsia"/>
        </w:rPr>
        <w:t>年</w:t>
      </w:r>
      <w:r>
        <w:rPr>
          <w:rFonts w:ascii="微軟正黑體" w:eastAsia="微軟正黑體" w:hAnsi="微軟正黑體"/>
        </w:rPr>
        <w:t>84.1</w:t>
      </w:r>
      <w:r>
        <w:rPr>
          <w:rFonts w:ascii="微軟正黑體" w:eastAsia="微軟正黑體" w:hAnsi="微軟正黑體" w:hint="eastAsia"/>
        </w:rPr>
        <w:t>億元，逐年成長</w:t>
      </w:r>
      <w:r w:rsidRPr="00F0717A">
        <w:rPr>
          <w:rFonts w:ascii="微軟正黑體" w:eastAsia="微軟正黑體" w:hAnsi="微軟正黑體" w:hint="eastAsia"/>
        </w:rPr>
        <w:t>至10</w:t>
      </w:r>
      <w:r>
        <w:rPr>
          <w:rFonts w:ascii="微軟正黑體" w:eastAsia="微軟正黑體" w:hAnsi="微軟正黑體"/>
        </w:rPr>
        <w:t>9</w:t>
      </w:r>
      <w:r w:rsidRPr="00F0717A">
        <w:rPr>
          <w:rFonts w:ascii="微軟正黑體" w:eastAsia="微軟正黑體" w:hAnsi="微軟正黑體" w:hint="eastAsia"/>
        </w:rPr>
        <w:t>年達</w:t>
      </w:r>
      <w:r>
        <w:rPr>
          <w:rFonts w:ascii="微軟正黑體" w:eastAsia="微軟正黑體" w:hAnsi="微軟正黑體" w:hint="eastAsia"/>
        </w:rPr>
        <w:t>5</w:t>
      </w:r>
      <w:r>
        <w:rPr>
          <w:rFonts w:ascii="微軟正黑體" w:eastAsia="微軟正黑體" w:hAnsi="微軟正黑體"/>
        </w:rPr>
        <w:t>33.6</w:t>
      </w:r>
      <w:r w:rsidRPr="00CB2545">
        <w:rPr>
          <w:rFonts w:ascii="微軟正黑體" w:eastAsia="微軟正黑體" w:hAnsi="微軟正黑體" w:hint="eastAsia"/>
        </w:rPr>
        <w:t>億元，占8</w:t>
      </w:r>
      <w:r>
        <w:rPr>
          <w:rFonts w:ascii="微軟正黑體" w:eastAsia="微軟正黑體" w:hAnsi="微軟正黑體"/>
        </w:rPr>
        <w:t>8.5</w:t>
      </w:r>
      <w:r w:rsidRPr="00CB2545">
        <w:rPr>
          <w:rFonts w:ascii="微軟正黑體" w:eastAsia="微軟正黑體" w:hAnsi="微軟正黑體" w:hint="eastAsia"/>
        </w:rPr>
        <w:t>%</w:t>
      </w:r>
      <w:r w:rsidRPr="00CB0F31">
        <w:rPr>
          <w:rFonts w:ascii="微軟正黑體" w:eastAsia="微軟正黑體" w:hAnsi="微軟正黑體" w:hint="eastAsia"/>
        </w:rPr>
        <w:t>，</w:t>
      </w:r>
      <w:r w:rsidR="0078794D" w:rsidRPr="00CB0F31">
        <w:rPr>
          <w:rFonts w:ascii="微軟正黑體" w:eastAsia="微軟正黑體" w:hAnsi="微軟正黑體" w:hint="eastAsia"/>
        </w:rPr>
        <w:t>其次增加金額較多者為</w:t>
      </w:r>
      <w:r w:rsidR="00112260" w:rsidRPr="00CB0F31">
        <w:rPr>
          <w:rFonts w:ascii="微軟正黑體" w:eastAsia="微軟正黑體" w:hAnsi="微軟正黑體" w:hint="eastAsia"/>
        </w:rPr>
        <w:t>「遺屬年金給付」，</w:t>
      </w:r>
      <w:r w:rsidRPr="00CB0F31">
        <w:rPr>
          <w:rFonts w:ascii="微軟正黑體" w:eastAsia="微軟正黑體" w:hAnsi="微軟正黑體" w:hint="eastAsia"/>
        </w:rPr>
        <w:t>「喪葬給付」則逐年微幅下降。在</w:t>
      </w:r>
      <w:r w:rsidRPr="00CB2545">
        <w:rPr>
          <w:rFonts w:ascii="微軟正黑體" w:eastAsia="微軟正黑體" w:hAnsi="微軟正黑體" w:hint="eastAsia"/>
        </w:rPr>
        <w:t>老年年金給付的帶動下，總給付金額之變動情形與老年年金給付一致。</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81888" behindDoc="0" locked="0" layoutInCell="1" allowOverlap="1" wp14:anchorId="2E1914C2" wp14:editId="133E34BD">
            <wp:simplePos x="0" y="0"/>
            <wp:positionH relativeFrom="column">
              <wp:posOffset>30903</wp:posOffset>
            </wp:positionH>
            <wp:positionV relativeFrom="paragraph">
              <wp:posOffset>74084</wp:posOffset>
            </wp:positionV>
            <wp:extent cx="5774267" cy="3268134"/>
            <wp:effectExtent l="0" t="0" r="17145" b="27940"/>
            <wp:wrapNone/>
            <wp:docPr id="273" name="圖表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A407AE"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beforeLines="30" w:before="108" w:line="400" w:lineRule="exact"/>
        <w:jc w:val="center"/>
        <w:rPr>
          <w:rFonts w:ascii="微軟正黑體" w:eastAsia="微軟正黑體" w:hAnsi="微軟正黑體"/>
        </w:rPr>
      </w:pPr>
      <w:r w:rsidRPr="00F0717A">
        <w:rPr>
          <w:rFonts w:ascii="微軟正黑體" w:eastAsia="微軟正黑體" w:hAnsi="微軟正黑體" w:hint="eastAsia"/>
        </w:rPr>
        <w:t>圖2.</w:t>
      </w:r>
      <w:r>
        <w:rPr>
          <w:rFonts w:ascii="微軟正黑體" w:eastAsia="微軟正黑體" w:hAnsi="微軟正黑體"/>
        </w:rPr>
        <w:t>40</w:t>
      </w:r>
      <w:r w:rsidRPr="00F0717A">
        <w:rPr>
          <w:rFonts w:ascii="微軟正黑體" w:eastAsia="微軟正黑體" w:hAnsi="微軟正黑體" w:hint="eastAsia"/>
        </w:rPr>
        <w:t xml:space="preserve">  </w:t>
      </w:r>
      <w:r>
        <w:rPr>
          <w:rFonts w:ascii="微軟正黑體" w:eastAsia="微軟正黑體" w:hAnsi="微軟正黑體" w:hint="eastAsia"/>
        </w:rPr>
        <w:t>近10</w:t>
      </w:r>
      <w:r w:rsidRPr="00F0717A">
        <w:rPr>
          <w:rFonts w:ascii="微軟正黑體" w:eastAsia="微軟正黑體" w:hAnsi="微軟正黑體" w:hint="eastAsia"/>
        </w:rPr>
        <w:t>年國保各給付項目金額</w:t>
      </w:r>
    </w:p>
    <w:p w:rsidR="00FB2640" w:rsidRPr="00F0717A" w:rsidRDefault="00FB2640" w:rsidP="00FB2640">
      <w:pPr>
        <w:spacing w:line="400" w:lineRule="exact"/>
        <w:rPr>
          <w:rFonts w:ascii="微軟正黑體" w:eastAsia="微軟正黑體" w:hAnsi="微軟正黑體"/>
        </w:rPr>
      </w:pPr>
      <w:r>
        <w:rPr>
          <w:rFonts w:ascii="微軟正黑體" w:eastAsia="微軟正黑體" w:hAnsi="微軟正黑體" w:hint="eastAsia"/>
        </w:rPr>
        <w:lastRenderedPageBreak/>
        <w:t xml:space="preserve">(三) </w:t>
      </w:r>
      <w:r w:rsidRPr="00F0717A">
        <w:rPr>
          <w:rFonts w:ascii="微軟正黑體" w:eastAsia="微軟正黑體" w:hAnsi="微軟正黑體" w:hint="eastAsia"/>
        </w:rPr>
        <w:t>財務概況</w:t>
      </w:r>
    </w:p>
    <w:p w:rsidR="00FB2640" w:rsidRPr="001B4787" w:rsidRDefault="00FB2640" w:rsidP="00FB2640">
      <w:pPr>
        <w:pStyle w:val="af0"/>
        <w:numPr>
          <w:ilvl w:val="0"/>
          <w:numId w:val="28"/>
        </w:numPr>
        <w:adjustRightInd w:val="0"/>
        <w:spacing w:beforeLines="30" w:before="108" w:line="400" w:lineRule="exact"/>
        <w:ind w:leftChars="0" w:left="567"/>
        <w:textAlignment w:val="baseline"/>
        <w:rPr>
          <w:rFonts w:ascii="微軟正黑體" w:eastAsia="微軟正黑體" w:hAnsi="微軟正黑體"/>
        </w:rPr>
      </w:pPr>
      <w:r w:rsidRPr="001B4787">
        <w:rPr>
          <w:rFonts w:ascii="微軟正黑體" w:eastAsia="微軟正黑體" w:hAnsi="微軟正黑體" w:hint="eastAsia"/>
        </w:rPr>
        <w:t>基金運用收益</w:t>
      </w:r>
    </w:p>
    <w:p w:rsidR="00FB2640" w:rsidRDefault="00FB2640" w:rsidP="00FB2640">
      <w:pPr>
        <w:pStyle w:val="af0"/>
        <w:spacing w:beforeLines="30" w:before="108" w:line="400" w:lineRule="exact"/>
        <w:ind w:leftChars="236" w:left="566"/>
        <w:jc w:val="both"/>
        <w:rPr>
          <w:rFonts w:ascii="微軟正黑體" w:eastAsia="微軟正黑體" w:hAnsi="微軟正黑體"/>
        </w:rPr>
      </w:pPr>
      <w:r>
        <w:rPr>
          <w:noProof/>
        </w:rPr>
        <w:drawing>
          <wp:anchor distT="0" distB="0" distL="114300" distR="114300" simplePos="0" relativeHeight="252552192" behindDoc="0" locked="0" layoutInCell="1" allowOverlap="1" wp14:anchorId="5479FD77" wp14:editId="66FDB105">
            <wp:simplePos x="0" y="0"/>
            <wp:positionH relativeFrom="column">
              <wp:posOffset>98425</wp:posOffset>
            </wp:positionH>
            <wp:positionV relativeFrom="paragraph">
              <wp:posOffset>1585595</wp:posOffset>
            </wp:positionV>
            <wp:extent cx="5658485" cy="2941955"/>
            <wp:effectExtent l="0" t="0" r="18415" b="10795"/>
            <wp:wrapNone/>
            <wp:docPr id="274" name="圖表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r w:rsidRPr="00F0717A">
        <w:rPr>
          <w:rFonts w:ascii="微軟正黑體" w:eastAsia="微軟正黑體" w:hAnsi="微軟正黑體" w:hint="eastAsia"/>
        </w:rPr>
        <w:t xml:space="preserve">    觀察</w:t>
      </w:r>
      <w:r>
        <w:rPr>
          <w:rFonts w:ascii="微軟正黑體" w:eastAsia="微軟正黑體" w:hAnsi="微軟正黑體" w:hint="eastAsia"/>
        </w:rPr>
        <w:t>近10年</w:t>
      </w:r>
      <w:r w:rsidRPr="00F0717A">
        <w:rPr>
          <w:rFonts w:ascii="微軟正黑體" w:eastAsia="微軟正黑體" w:hAnsi="微軟正黑體" w:hint="eastAsia"/>
        </w:rPr>
        <w:t>基金運用收益情形，除100</w:t>
      </w:r>
      <w:r>
        <w:rPr>
          <w:rFonts w:ascii="微軟正黑體" w:eastAsia="微軟正黑體" w:hAnsi="微軟正黑體" w:hint="eastAsia"/>
        </w:rPr>
        <w:t>年、</w:t>
      </w:r>
      <w:r w:rsidRPr="00F0717A">
        <w:rPr>
          <w:rFonts w:ascii="微軟正黑體" w:eastAsia="微軟正黑體" w:hAnsi="微軟正黑體" w:hint="eastAsia"/>
        </w:rPr>
        <w:t>104年</w:t>
      </w:r>
      <w:r>
        <w:rPr>
          <w:rFonts w:ascii="微軟正黑體" w:eastAsia="微軟正黑體" w:hAnsi="微軟正黑體" w:hint="eastAsia"/>
        </w:rPr>
        <w:t>及107年</w:t>
      </w:r>
      <w:r w:rsidRPr="00804FEC">
        <w:rPr>
          <w:rFonts w:ascii="微軟正黑體" w:eastAsia="微軟正黑體" w:hAnsi="微軟正黑體" w:hint="eastAsia"/>
        </w:rPr>
        <w:t>因全球金融市</w:t>
      </w:r>
      <w:r w:rsidRPr="00CD19DB">
        <w:rPr>
          <w:rFonts w:ascii="微軟正黑體" w:eastAsia="微軟正黑體" w:hAnsi="微軟正黑體" w:hint="eastAsia"/>
        </w:rPr>
        <w:t>場動盪，收益數及收益率為負值，其餘年度均為正值，</w:t>
      </w:r>
      <w:r w:rsidRPr="00CD19DB">
        <w:rPr>
          <w:rFonts w:ascii="微軟正黑體" w:eastAsia="微軟正黑體" w:hAnsi="微軟正黑體" w:hint="eastAsia"/>
          <w:bCs/>
        </w:rPr>
        <w:t>1</w:t>
      </w:r>
      <w:r w:rsidRPr="00CD19DB">
        <w:rPr>
          <w:rFonts w:ascii="微軟正黑體" w:eastAsia="微軟正黑體" w:hAnsi="微軟正黑體"/>
          <w:bCs/>
        </w:rPr>
        <w:t>08</w:t>
      </w:r>
      <w:r w:rsidRPr="00CD19DB">
        <w:rPr>
          <w:rFonts w:ascii="微軟正黑體" w:eastAsia="微軟正黑體" w:hAnsi="微軟正黑體" w:hint="eastAsia"/>
          <w:bCs/>
        </w:rPr>
        <w:t>年則因全球金融市場表現良好，投資得利，收益數高達3</w:t>
      </w:r>
      <w:r w:rsidRPr="00CD19DB">
        <w:rPr>
          <w:rFonts w:ascii="微軟正黑體" w:eastAsia="微軟正黑體" w:hAnsi="微軟正黑體"/>
          <w:bCs/>
        </w:rPr>
        <w:t>89.6</w:t>
      </w:r>
      <w:r w:rsidRPr="00CD19DB">
        <w:rPr>
          <w:rFonts w:ascii="微軟正黑體" w:eastAsia="微軟正黑體" w:hAnsi="微軟正黑體" w:hint="eastAsia"/>
          <w:bCs/>
        </w:rPr>
        <w:t>億元，收益率1</w:t>
      </w:r>
      <w:r w:rsidRPr="00CD19DB">
        <w:rPr>
          <w:rFonts w:ascii="微軟正黑體" w:eastAsia="微軟正黑體" w:hAnsi="微軟正黑體"/>
          <w:bCs/>
        </w:rPr>
        <w:t>2.0%</w:t>
      </w:r>
      <w:r>
        <w:rPr>
          <w:rFonts w:ascii="微軟正黑體" w:eastAsia="微軟正黑體" w:hAnsi="微軟正黑體"/>
          <w:bCs/>
        </w:rPr>
        <w:t>，</w:t>
      </w:r>
      <w:r w:rsidRPr="000D07AE">
        <w:rPr>
          <w:rFonts w:ascii="微軟正黑體" w:eastAsia="微軟正黑體" w:hAnsi="微軟正黑體"/>
          <w:bCs/>
        </w:rPr>
        <w:t>為近</w:t>
      </w:r>
      <w:r w:rsidRPr="000D07AE">
        <w:rPr>
          <w:rFonts w:ascii="微軟正黑體" w:eastAsia="微軟正黑體" w:hAnsi="微軟正黑體" w:hint="eastAsia"/>
          <w:bCs/>
        </w:rPr>
        <w:t>10</w:t>
      </w:r>
      <w:r w:rsidRPr="000D07AE">
        <w:rPr>
          <w:rFonts w:ascii="微軟正黑體" w:eastAsia="微軟正黑體" w:hAnsi="微軟正黑體"/>
          <w:bCs/>
        </w:rPr>
        <w:t>年最高點</w:t>
      </w:r>
      <w:r w:rsidRPr="000D07AE">
        <w:rPr>
          <w:rFonts w:ascii="微軟正黑體" w:eastAsia="微軟正黑體" w:hAnsi="微軟正黑體" w:hint="eastAsia"/>
          <w:bCs/>
        </w:rPr>
        <w:t>，</w:t>
      </w:r>
      <w:r w:rsidRPr="00CD19DB">
        <w:rPr>
          <w:rFonts w:ascii="微軟正黑體" w:eastAsia="微軟正黑體" w:hAnsi="微軟正黑體" w:hint="eastAsia"/>
          <w:bCs/>
        </w:rPr>
        <w:t>1</w:t>
      </w:r>
      <w:r w:rsidRPr="00CD19DB">
        <w:rPr>
          <w:rFonts w:ascii="微軟正黑體" w:eastAsia="微軟正黑體" w:hAnsi="微軟正黑體"/>
          <w:bCs/>
        </w:rPr>
        <w:t>09</w:t>
      </w:r>
      <w:r w:rsidRPr="00CD19DB">
        <w:rPr>
          <w:rFonts w:ascii="微軟正黑體" w:eastAsia="微軟正黑體" w:hAnsi="微軟正黑體" w:hint="eastAsia"/>
          <w:bCs/>
        </w:rPr>
        <w:t>年雖受到COVID</w:t>
      </w:r>
      <w:r w:rsidRPr="00CD19DB">
        <w:rPr>
          <w:rFonts w:ascii="微軟正黑體" w:eastAsia="微軟正黑體" w:hAnsi="微軟正黑體"/>
          <w:bCs/>
        </w:rPr>
        <w:t>-</w:t>
      </w:r>
      <w:r w:rsidRPr="00CD19DB">
        <w:rPr>
          <w:rFonts w:ascii="微軟正黑體" w:eastAsia="微軟正黑體" w:hAnsi="微軟正黑體" w:hint="eastAsia"/>
          <w:bCs/>
        </w:rPr>
        <w:t>19疫情影響，全球金融市場動盪，因多元投資及積極布局，年底收益數仍維持</w:t>
      </w:r>
      <w:r w:rsidRPr="00CD19DB">
        <w:rPr>
          <w:rFonts w:ascii="微軟正黑體" w:eastAsia="微軟正黑體" w:hAnsi="微軟正黑體"/>
          <w:bCs/>
        </w:rPr>
        <w:t>319.4</w:t>
      </w:r>
      <w:r w:rsidRPr="00CD19DB">
        <w:rPr>
          <w:rFonts w:ascii="微軟正黑體" w:eastAsia="微軟正黑體" w:hAnsi="微軟正黑體" w:hint="eastAsia"/>
          <w:bCs/>
        </w:rPr>
        <w:t>億元，收益率8</w:t>
      </w:r>
      <w:r w:rsidRPr="00CD19DB">
        <w:rPr>
          <w:rFonts w:ascii="微軟正黑體" w:eastAsia="微軟正黑體" w:hAnsi="微軟正黑體"/>
          <w:bCs/>
        </w:rPr>
        <w:t>.8%</w:t>
      </w:r>
      <w:r w:rsidRPr="00CD19DB">
        <w:rPr>
          <w:rFonts w:ascii="微軟正黑體" w:eastAsia="微軟正黑體" w:hAnsi="微軟正黑體" w:hint="eastAsia"/>
        </w:rPr>
        <w:t>；期末基金之投資運用金額則持續增加，至10</w:t>
      </w:r>
      <w:r w:rsidRPr="00CD19DB">
        <w:rPr>
          <w:rFonts w:ascii="微軟正黑體" w:eastAsia="微軟正黑體" w:hAnsi="微軟正黑體"/>
        </w:rPr>
        <w:t>9</w:t>
      </w:r>
      <w:r w:rsidRPr="00F0717A">
        <w:rPr>
          <w:rFonts w:ascii="微軟正黑體" w:eastAsia="微軟正黑體" w:hAnsi="微軟正黑體" w:hint="eastAsia"/>
        </w:rPr>
        <w:t>年底止，投資運用金額達</w:t>
      </w:r>
      <w:r>
        <w:rPr>
          <w:rFonts w:ascii="微軟正黑體" w:eastAsia="微軟正黑體" w:hAnsi="微軟正黑體"/>
        </w:rPr>
        <w:t>4</w:t>
      </w:r>
      <w:r w:rsidRPr="00F0717A">
        <w:rPr>
          <w:rFonts w:ascii="微軟正黑體" w:eastAsia="微軟正黑體" w:hAnsi="微軟正黑體" w:hint="eastAsia"/>
        </w:rPr>
        <w:t>,</w:t>
      </w:r>
      <w:r>
        <w:rPr>
          <w:rFonts w:ascii="微軟正黑體" w:eastAsia="微軟正黑體" w:hAnsi="微軟正黑體" w:hint="eastAsia"/>
        </w:rPr>
        <w:t>1</w:t>
      </w:r>
      <w:r>
        <w:rPr>
          <w:rFonts w:ascii="微軟正黑體" w:eastAsia="微軟正黑體" w:hAnsi="微軟正黑體"/>
        </w:rPr>
        <w:t>77</w:t>
      </w:r>
      <w:r>
        <w:rPr>
          <w:rFonts w:ascii="微軟正黑體" w:eastAsia="微軟正黑體" w:hAnsi="微軟正黑體" w:hint="eastAsia"/>
        </w:rPr>
        <w:t>.</w:t>
      </w:r>
      <w:r>
        <w:rPr>
          <w:rFonts w:ascii="微軟正黑體" w:eastAsia="微軟正黑體" w:hAnsi="微軟正黑體"/>
        </w:rPr>
        <w:t>6</w:t>
      </w:r>
      <w:r w:rsidRPr="00F0717A">
        <w:rPr>
          <w:rFonts w:ascii="微軟正黑體" w:eastAsia="微軟正黑體" w:hAnsi="微軟正黑體" w:hint="eastAsia"/>
        </w:rPr>
        <w:t>億元。</w:t>
      </w:r>
    </w:p>
    <w:p w:rsidR="00FB2640" w:rsidRPr="00F0717A" w:rsidRDefault="00FB2640" w:rsidP="00FB2640">
      <w:pPr>
        <w:pStyle w:val="af0"/>
        <w:spacing w:beforeLines="30" w:before="108" w:line="400" w:lineRule="exact"/>
        <w:ind w:leftChars="236" w:left="566"/>
        <w:jc w:val="both"/>
        <w:rPr>
          <w:rFonts w:ascii="微軟正黑體" w:eastAsia="微軟正黑體" w:hAnsi="微軟正黑體"/>
        </w:rPr>
      </w:pPr>
      <w:r>
        <w:rPr>
          <w:rFonts w:ascii="微軟正黑體" w:eastAsia="微軟正黑體" w:hAnsi="微軟正黑體" w:hint="eastAsia"/>
        </w:rPr>
        <w:t xml:space="preserve"> </w:t>
      </w:r>
      <w:r>
        <w:rPr>
          <w:rFonts w:ascii="微軟正黑體" w:eastAsia="微軟正黑體" w:hAnsi="微軟正黑體"/>
        </w:rPr>
        <w:t xml:space="preserve">   </w:t>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950CE6"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Default="00FB2640" w:rsidP="00FB2640">
      <w:pPr>
        <w:spacing w:line="400" w:lineRule="exact"/>
        <w:rPr>
          <w:rFonts w:ascii="微軟正黑體" w:eastAsia="微軟正黑體" w:hAnsi="微軟正黑體"/>
        </w:rPr>
      </w:pPr>
    </w:p>
    <w:p w:rsidR="00FB2640" w:rsidRPr="007F6CA9" w:rsidRDefault="00FB2640" w:rsidP="00FB2640">
      <w:pPr>
        <w:spacing w:beforeLines="50" w:before="180" w:line="400" w:lineRule="exact"/>
        <w:jc w:val="center"/>
        <w:rPr>
          <w:rFonts w:ascii="微軟正黑體" w:eastAsia="微軟正黑體" w:hAnsi="微軟正黑體"/>
        </w:rPr>
      </w:pPr>
      <w:r w:rsidRPr="00F0717A">
        <w:rPr>
          <w:rFonts w:ascii="微軟正黑體" w:eastAsia="微軟正黑體" w:hAnsi="微軟正黑體" w:hint="eastAsia"/>
        </w:rPr>
        <w:t>圖2.</w:t>
      </w:r>
      <w:r>
        <w:rPr>
          <w:rFonts w:ascii="微軟正黑體" w:eastAsia="微軟正黑體" w:hAnsi="微軟正黑體" w:hint="eastAsia"/>
        </w:rPr>
        <w:t>4</w:t>
      </w:r>
      <w:r>
        <w:rPr>
          <w:rFonts w:ascii="微軟正黑體" w:eastAsia="微軟正黑體" w:hAnsi="微軟正黑體"/>
        </w:rPr>
        <w:t>1</w:t>
      </w:r>
      <w:r w:rsidRPr="00F0717A">
        <w:rPr>
          <w:rFonts w:ascii="微軟正黑體" w:eastAsia="微軟正黑體" w:hAnsi="微軟正黑體" w:hint="eastAsia"/>
        </w:rPr>
        <w:t xml:space="preserve">  </w:t>
      </w:r>
      <w:r w:rsidRPr="001029F1">
        <w:rPr>
          <w:rFonts w:ascii="微軟正黑體" w:eastAsia="微軟正黑體" w:hAnsi="微軟正黑體" w:hint="eastAsia"/>
        </w:rPr>
        <w:t>近10年國保基金運用收益變動情形</w:t>
      </w:r>
    </w:p>
    <w:p w:rsidR="00FB2640" w:rsidRPr="001029F1" w:rsidRDefault="00FB2640" w:rsidP="00FB2640">
      <w:pPr>
        <w:spacing w:line="400" w:lineRule="exact"/>
        <w:jc w:val="center"/>
        <w:rPr>
          <w:rFonts w:ascii="微軟正黑體" w:eastAsia="微軟正黑體" w:hAnsi="微軟正黑體"/>
          <w:b/>
        </w:rPr>
      </w:pPr>
    </w:p>
    <w:p w:rsidR="00FB2640" w:rsidRPr="00F0717A" w:rsidRDefault="00FB2640" w:rsidP="00FB2640">
      <w:pPr>
        <w:spacing w:afterLines="30" w:after="108" w:line="400" w:lineRule="exact"/>
        <w:jc w:val="center"/>
        <w:rPr>
          <w:rFonts w:ascii="微軟正黑體" w:eastAsia="微軟正黑體" w:hAnsi="微軟正黑體"/>
        </w:rPr>
      </w:pPr>
      <w:r w:rsidRPr="001029F1">
        <w:rPr>
          <w:rFonts w:ascii="微軟正黑體" w:eastAsia="微軟正黑體" w:hAnsi="微軟正黑體" w:hint="eastAsia"/>
        </w:rPr>
        <w:t>表2.1</w:t>
      </w:r>
      <w:r>
        <w:rPr>
          <w:rFonts w:ascii="微軟正黑體" w:eastAsia="微軟正黑體" w:hAnsi="微軟正黑體"/>
        </w:rPr>
        <w:t>5</w:t>
      </w:r>
      <w:r w:rsidRPr="001029F1">
        <w:rPr>
          <w:rFonts w:ascii="微軟正黑體" w:eastAsia="微軟正黑體" w:hAnsi="微軟正黑體" w:hint="eastAsia"/>
        </w:rPr>
        <w:t xml:space="preserve">  近10年</w:t>
      </w:r>
      <w:r w:rsidRPr="00F0717A">
        <w:rPr>
          <w:rFonts w:ascii="微軟正黑體" w:eastAsia="微軟正黑體" w:hAnsi="微軟正黑體" w:hint="eastAsia"/>
        </w:rPr>
        <w:t>國保基金運用收益概況</w:t>
      </w:r>
    </w:p>
    <w:tbl>
      <w:tblPr>
        <w:tblStyle w:val="a5"/>
        <w:tblW w:w="8861" w:type="dxa"/>
        <w:jc w:val="center"/>
        <w:tblInd w:w="108" w:type="dxa"/>
        <w:tblLook w:val="04A0" w:firstRow="1" w:lastRow="0" w:firstColumn="1" w:lastColumn="0" w:noHBand="0" w:noVBand="1"/>
      </w:tblPr>
      <w:tblGrid>
        <w:gridCol w:w="1418"/>
        <w:gridCol w:w="2268"/>
        <w:gridCol w:w="1701"/>
        <w:gridCol w:w="3474"/>
      </w:tblGrid>
      <w:tr w:rsidR="00FB2640" w:rsidRPr="00F0717A" w:rsidTr="00112260">
        <w:trPr>
          <w:jc w:val="center"/>
        </w:trPr>
        <w:tc>
          <w:tcPr>
            <w:tcW w:w="1418" w:type="dxa"/>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年度</w:t>
            </w:r>
          </w:p>
        </w:tc>
        <w:tc>
          <w:tcPr>
            <w:tcW w:w="2268" w:type="dxa"/>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收益數</w:t>
            </w:r>
            <w:r w:rsidRPr="00CB0F31">
              <w:rPr>
                <w:rFonts w:ascii="微軟正黑體" w:eastAsia="微軟正黑體" w:hAnsi="微軟正黑體" w:hint="eastAsia"/>
                <w:sz w:val="22"/>
                <w:szCs w:val="22"/>
              </w:rPr>
              <w:t>(</w:t>
            </w:r>
            <w:r w:rsidR="006E668E" w:rsidRPr="00CB0F31">
              <w:rPr>
                <w:rFonts w:ascii="微軟正黑體" w:eastAsia="微軟正黑體" w:hAnsi="微軟正黑體" w:hint="eastAsia"/>
                <w:sz w:val="22"/>
                <w:szCs w:val="22"/>
              </w:rPr>
              <w:t>億</w:t>
            </w:r>
            <w:r w:rsidRPr="00CB0F31">
              <w:rPr>
                <w:rFonts w:ascii="微軟正黑體" w:eastAsia="微軟正黑體" w:hAnsi="微軟正黑體" w:hint="eastAsia"/>
                <w:sz w:val="22"/>
                <w:szCs w:val="22"/>
              </w:rPr>
              <w:t>元</w:t>
            </w:r>
            <w:r w:rsidRPr="00F0717A">
              <w:rPr>
                <w:rFonts w:ascii="微軟正黑體" w:eastAsia="微軟正黑體" w:hAnsi="微軟正黑體" w:hint="eastAsia"/>
                <w:sz w:val="22"/>
                <w:szCs w:val="22"/>
              </w:rPr>
              <w:t>)</w:t>
            </w:r>
          </w:p>
        </w:tc>
        <w:tc>
          <w:tcPr>
            <w:tcW w:w="1701" w:type="dxa"/>
          </w:tcPr>
          <w:p w:rsidR="00FB2640" w:rsidRPr="00F0717A" w:rsidRDefault="00FB264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收益率(%)</w:t>
            </w:r>
          </w:p>
        </w:tc>
        <w:tc>
          <w:tcPr>
            <w:tcW w:w="3474" w:type="dxa"/>
          </w:tcPr>
          <w:p w:rsidR="00FB2640" w:rsidRPr="00F0717A" w:rsidRDefault="00FB2640" w:rsidP="00112260">
            <w:pPr>
              <w:spacing w:line="400" w:lineRule="exact"/>
              <w:ind w:leftChars="-45" w:left="-108" w:rightChars="-67" w:right="-161"/>
              <w:jc w:val="center"/>
              <w:rPr>
                <w:rFonts w:ascii="微軟正黑體" w:eastAsia="微軟正黑體" w:hAnsi="微軟正黑體"/>
                <w:sz w:val="22"/>
                <w:szCs w:val="22"/>
              </w:rPr>
            </w:pPr>
            <w:r w:rsidRPr="00F0717A">
              <w:rPr>
                <w:rFonts w:ascii="微軟正黑體" w:eastAsia="微軟正黑體" w:hAnsi="微軟正黑體" w:hint="eastAsia"/>
                <w:sz w:val="22"/>
                <w:szCs w:val="22"/>
              </w:rPr>
              <w:t>期末基金之投資運用金額</w:t>
            </w:r>
            <w:r w:rsidRPr="00CB0F31">
              <w:rPr>
                <w:rFonts w:ascii="微軟正黑體" w:eastAsia="微軟正黑體" w:hAnsi="微軟正黑體" w:hint="eastAsia"/>
                <w:sz w:val="22"/>
                <w:szCs w:val="22"/>
              </w:rPr>
              <w:t>(</w:t>
            </w:r>
            <w:r w:rsidR="00112260" w:rsidRPr="00CB0F31">
              <w:rPr>
                <w:rFonts w:ascii="微軟正黑體" w:eastAsia="微軟正黑體" w:hAnsi="微軟正黑體" w:hint="eastAsia"/>
                <w:sz w:val="22"/>
                <w:szCs w:val="22"/>
              </w:rPr>
              <w:t>億</w:t>
            </w:r>
            <w:r w:rsidRPr="00CB0F31">
              <w:rPr>
                <w:rFonts w:ascii="微軟正黑體" w:eastAsia="微軟正黑體" w:hAnsi="微軟正黑體" w:hint="eastAsia"/>
                <w:sz w:val="22"/>
                <w:szCs w:val="22"/>
              </w:rPr>
              <w:t>元)</w:t>
            </w:r>
          </w:p>
        </w:tc>
      </w:tr>
      <w:tr w:rsidR="00112260" w:rsidRPr="00F0717A" w:rsidTr="00112260">
        <w:trPr>
          <w:jc w:val="center"/>
        </w:trPr>
        <w:tc>
          <w:tcPr>
            <w:tcW w:w="1418" w:type="dxa"/>
          </w:tcPr>
          <w:p w:rsidR="00112260" w:rsidRPr="00F0717A" w:rsidRDefault="0011226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100年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-36.1</w:t>
            </w:r>
          </w:p>
        </w:tc>
        <w:tc>
          <w:tcPr>
            <w:tcW w:w="1701" w:type="dxa"/>
            <w:vAlign w:val="center"/>
          </w:tcPr>
          <w:p w:rsidR="00112260" w:rsidRPr="00F0717A" w:rsidRDefault="00112260"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-3.7 </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1,024.2</w:t>
            </w:r>
          </w:p>
        </w:tc>
      </w:tr>
      <w:tr w:rsidR="00112260" w:rsidRPr="00F0717A" w:rsidTr="00112260">
        <w:trPr>
          <w:jc w:val="center"/>
        </w:trPr>
        <w:tc>
          <w:tcPr>
            <w:tcW w:w="1418" w:type="dxa"/>
          </w:tcPr>
          <w:p w:rsidR="00112260" w:rsidRPr="00F0717A" w:rsidRDefault="0011226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101年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59.6</w:t>
            </w:r>
          </w:p>
        </w:tc>
        <w:tc>
          <w:tcPr>
            <w:tcW w:w="1701" w:type="dxa"/>
            <w:vAlign w:val="center"/>
          </w:tcPr>
          <w:p w:rsidR="00112260" w:rsidRPr="00F0717A" w:rsidRDefault="00112260"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5.1 </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1,364.0</w:t>
            </w:r>
          </w:p>
        </w:tc>
      </w:tr>
      <w:tr w:rsidR="00112260" w:rsidRPr="00F0717A" w:rsidTr="00112260">
        <w:trPr>
          <w:jc w:val="center"/>
        </w:trPr>
        <w:tc>
          <w:tcPr>
            <w:tcW w:w="1418" w:type="dxa"/>
          </w:tcPr>
          <w:p w:rsidR="00112260" w:rsidRPr="00F0717A" w:rsidRDefault="0011226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102年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61.1</w:t>
            </w:r>
          </w:p>
        </w:tc>
        <w:tc>
          <w:tcPr>
            <w:tcW w:w="1701" w:type="dxa"/>
            <w:vAlign w:val="center"/>
          </w:tcPr>
          <w:p w:rsidR="00112260" w:rsidRPr="00F0717A" w:rsidRDefault="00112260"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4.1 </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1,698.3</w:t>
            </w:r>
          </w:p>
        </w:tc>
      </w:tr>
      <w:tr w:rsidR="00112260" w:rsidRPr="00F0717A" w:rsidTr="00112260">
        <w:trPr>
          <w:jc w:val="center"/>
        </w:trPr>
        <w:tc>
          <w:tcPr>
            <w:tcW w:w="1418" w:type="dxa"/>
          </w:tcPr>
          <w:p w:rsidR="00112260" w:rsidRPr="00F0717A" w:rsidRDefault="0011226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103年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106.5</w:t>
            </w:r>
          </w:p>
        </w:tc>
        <w:tc>
          <w:tcPr>
            <w:tcW w:w="1701" w:type="dxa"/>
            <w:vAlign w:val="center"/>
          </w:tcPr>
          <w:p w:rsidR="00112260" w:rsidRPr="00F0717A" w:rsidRDefault="00112260"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6.1 </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1,908.1</w:t>
            </w:r>
          </w:p>
        </w:tc>
      </w:tr>
      <w:tr w:rsidR="00112260" w:rsidRPr="00F0717A" w:rsidTr="00112260">
        <w:trPr>
          <w:jc w:val="center"/>
        </w:trPr>
        <w:tc>
          <w:tcPr>
            <w:tcW w:w="1418" w:type="dxa"/>
          </w:tcPr>
          <w:p w:rsidR="00112260" w:rsidRPr="00F0717A" w:rsidRDefault="0011226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104年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-9.6</w:t>
            </w:r>
          </w:p>
        </w:tc>
        <w:tc>
          <w:tcPr>
            <w:tcW w:w="1701" w:type="dxa"/>
            <w:vAlign w:val="center"/>
          </w:tcPr>
          <w:p w:rsidR="00112260" w:rsidRPr="00F0717A" w:rsidRDefault="00112260"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-0.5 </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2,160.0</w:t>
            </w:r>
          </w:p>
        </w:tc>
      </w:tr>
      <w:tr w:rsidR="00112260" w:rsidRPr="00F0717A" w:rsidTr="00112260">
        <w:trPr>
          <w:jc w:val="center"/>
        </w:trPr>
        <w:tc>
          <w:tcPr>
            <w:tcW w:w="1418" w:type="dxa"/>
          </w:tcPr>
          <w:p w:rsidR="00112260" w:rsidRPr="00F0717A" w:rsidRDefault="00112260" w:rsidP="008F1977">
            <w:pPr>
              <w:spacing w:line="400" w:lineRule="exact"/>
              <w:jc w:val="center"/>
              <w:rPr>
                <w:rFonts w:ascii="微軟正黑體" w:eastAsia="微軟正黑體" w:hAnsi="微軟正黑體"/>
                <w:sz w:val="22"/>
                <w:szCs w:val="22"/>
              </w:rPr>
            </w:pPr>
            <w:r w:rsidRPr="00F0717A">
              <w:rPr>
                <w:rFonts w:ascii="微軟正黑體" w:eastAsia="微軟正黑體" w:hAnsi="微軟正黑體" w:hint="eastAsia"/>
                <w:sz w:val="22"/>
                <w:szCs w:val="22"/>
              </w:rPr>
              <w:t>105年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99.5</w:t>
            </w:r>
          </w:p>
        </w:tc>
        <w:tc>
          <w:tcPr>
            <w:tcW w:w="1701" w:type="dxa"/>
            <w:vAlign w:val="center"/>
          </w:tcPr>
          <w:p w:rsidR="00112260" w:rsidRPr="00F0717A" w:rsidRDefault="00112260" w:rsidP="008F1977">
            <w:pPr>
              <w:spacing w:line="400" w:lineRule="exact"/>
              <w:jc w:val="right"/>
              <w:rPr>
                <w:rFonts w:ascii="微軟正黑體" w:eastAsia="微軟正黑體" w:hAnsi="微軟正黑體" w:cs="新細明體"/>
                <w:sz w:val="22"/>
                <w:szCs w:val="22"/>
              </w:rPr>
            </w:pPr>
            <w:r w:rsidRPr="00F0717A">
              <w:rPr>
                <w:rFonts w:ascii="微軟正黑體" w:eastAsia="微軟正黑體" w:hAnsi="微軟正黑體" w:hint="eastAsia"/>
                <w:sz w:val="22"/>
                <w:szCs w:val="22"/>
              </w:rPr>
              <w:t xml:space="preserve">4.3 </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2,504.1</w:t>
            </w:r>
          </w:p>
        </w:tc>
      </w:tr>
      <w:tr w:rsidR="00112260" w:rsidRPr="00F0717A" w:rsidTr="00112260">
        <w:trPr>
          <w:jc w:val="center"/>
        </w:trPr>
        <w:tc>
          <w:tcPr>
            <w:tcW w:w="1418" w:type="dxa"/>
          </w:tcPr>
          <w:p w:rsidR="00112260" w:rsidRPr="00F0717A" w:rsidRDefault="00112260" w:rsidP="008F1977">
            <w:pPr>
              <w:spacing w:line="400" w:lineRule="exact"/>
              <w:jc w:val="center"/>
              <w:rPr>
                <w:rFonts w:ascii="微軟正黑體" w:eastAsia="微軟正黑體" w:hAnsi="微軟正黑體"/>
                <w:sz w:val="22"/>
                <w:szCs w:val="22"/>
              </w:rPr>
            </w:pPr>
            <w:r>
              <w:rPr>
                <w:rFonts w:ascii="微軟正黑體" w:eastAsia="微軟正黑體" w:hAnsi="微軟正黑體" w:hint="eastAsia"/>
                <w:sz w:val="22"/>
                <w:szCs w:val="22"/>
              </w:rPr>
              <w:t>106年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212.2</w:t>
            </w:r>
          </w:p>
        </w:tc>
        <w:tc>
          <w:tcPr>
            <w:tcW w:w="1701" w:type="dxa"/>
            <w:vAlign w:val="center"/>
          </w:tcPr>
          <w:p w:rsidR="00112260" w:rsidRPr="004B5F5A" w:rsidRDefault="00112260" w:rsidP="008F1977">
            <w:pPr>
              <w:spacing w:line="400" w:lineRule="exact"/>
              <w:jc w:val="right"/>
              <w:rPr>
                <w:rFonts w:ascii="微軟正黑體" w:eastAsia="微軟正黑體" w:hAnsi="微軟正黑體" w:cs="新細明體"/>
                <w:sz w:val="22"/>
                <w:szCs w:val="22"/>
              </w:rPr>
            </w:pPr>
            <w:r w:rsidRPr="004B5F5A">
              <w:rPr>
                <w:rFonts w:ascii="微軟正黑體" w:eastAsia="微軟正黑體" w:hAnsi="微軟正黑體" w:hint="eastAsia"/>
                <w:sz w:val="22"/>
                <w:szCs w:val="22"/>
              </w:rPr>
              <w:t>8.0</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2,931.7</w:t>
            </w:r>
          </w:p>
        </w:tc>
      </w:tr>
      <w:tr w:rsidR="00112260" w:rsidRPr="00F0717A" w:rsidTr="00112260">
        <w:trPr>
          <w:jc w:val="center"/>
        </w:trPr>
        <w:tc>
          <w:tcPr>
            <w:tcW w:w="1418" w:type="dxa"/>
          </w:tcPr>
          <w:p w:rsidR="00112260" w:rsidRPr="00F0717A" w:rsidRDefault="00112260" w:rsidP="008F1977">
            <w:pPr>
              <w:spacing w:line="400" w:lineRule="exact"/>
              <w:jc w:val="center"/>
              <w:rPr>
                <w:rFonts w:ascii="微軟正黑體" w:eastAsia="微軟正黑體" w:hAnsi="微軟正黑體"/>
                <w:sz w:val="22"/>
                <w:szCs w:val="22"/>
              </w:rPr>
            </w:pPr>
            <w:r>
              <w:rPr>
                <w:rFonts w:ascii="微軟正黑體" w:eastAsia="微軟正黑體" w:hAnsi="微軟正黑體" w:hint="eastAsia"/>
                <w:sz w:val="22"/>
                <w:szCs w:val="22"/>
              </w:rPr>
              <w:t>107年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-68.5</w:t>
            </w:r>
          </w:p>
        </w:tc>
        <w:tc>
          <w:tcPr>
            <w:tcW w:w="1701" w:type="dxa"/>
            <w:vAlign w:val="center"/>
          </w:tcPr>
          <w:p w:rsidR="00112260" w:rsidRPr="004B5F5A" w:rsidRDefault="00112260" w:rsidP="008F1977">
            <w:pPr>
              <w:spacing w:line="400" w:lineRule="exact"/>
              <w:jc w:val="right"/>
              <w:rPr>
                <w:rFonts w:ascii="微軟正黑體" w:eastAsia="微軟正黑體" w:hAnsi="微軟正黑體" w:cs="新細明體"/>
                <w:sz w:val="22"/>
                <w:szCs w:val="22"/>
              </w:rPr>
            </w:pPr>
            <w:r>
              <w:rPr>
                <w:rFonts w:ascii="微軟正黑體" w:eastAsia="微軟正黑體" w:hAnsi="微軟正黑體" w:hint="eastAsia"/>
                <w:sz w:val="22"/>
                <w:szCs w:val="22"/>
              </w:rPr>
              <w:t>-2.3</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3,104.0</w:t>
            </w:r>
          </w:p>
        </w:tc>
      </w:tr>
      <w:tr w:rsidR="00112260" w:rsidRPr="00F0717A" w:rsidTr="00112260">
        <w:trPr>
          <w:jc w:val="center"/>
        </w:trPr>
        <w:tc>
          <w:tcPr>
            <w:tcW w:w="1418" w:type="dxa"/>
          </w:tcPr>
          <w:p w:rsidR="00112260" w:rsidRDefault="00112260" w:rsidP="008F1977">
            <w:pPr>
              <w:spacing w:line="400" w:lineRule="exact"/>
              <w:jc w:val="center"/>
              <w:rPr>
                <w:rFonts w:ascii="微軟正黑體" w:eastAsia="微軟正黑體" w:hAnsi="微軟正黑體"/>
                <w:sz w:val="22"/>
                <w:szCs w:val="22"/>
              </w:rPr>
            </w:pPr>
            <w:r>
              <w:rPr>
                <w:rFonts w:ascii="微軟正黑體" w:eastAsia="微軟正黑體" w:hAnsi="微軟正黑體"/>
                <w:sz w:val="22"/>
                <w:szCs w:val="22"/>
              </w:rPr>
              <w:t>108</w:t>
            </w:r>
            <w:r>
              <w:rPr>
                <w:rFonts w:ascii="微軟正黑體" w:eastAsia="微軟正黑體" w:hAnsi="微軟正黑體" w:hint="eastAsia"/>
                <w:sz w:val="22"/>
                <w:szCs w:val="22"/>
              </w:rPr>
              <w:t>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389.6</w:t>
            </w:r>
          </w:p>
        </w:tc>
        <w:tc>
          <w:tcPr>
            <w:tcW w:w="1701" w:type="dxa"/>
          </w:tcPr>
          <w:p w:rsidR="00112260" w:rsidRPr="00950CE6" w:rsidRDefault="0011226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12.0</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3,692.6</w:t>
            </w:r>
          </w:p>
        </w:tc>
      </w:tr>
      <w:tr w:rsidR="00112260" w:rsidRPr="00F0717A" w:rsidTr="00112260">
        <w:trPr>
          <w:jc w:val="center"/>
        </w:trPr>
        <w:tc>
          <w:tcPr>
            <w:tcW w:w="1418" w:type="dxa"/>
          </w:tcPr>
          <w:p w:rsidR="00112260" w:rsidRDefault="00112260" w:rsidP="008F1977">
            <w:pPr>
              <w:spacing w:line="400" w:lineRule="exact"/>
              <w:jc w:val="center"/>
              <w:rPr>
                <w:rFonts w:ascii="微軟正黑體" w:eastAsia="微軟正黑體" w:hAnsi="微軟正黑體"/>
                <w:sz w:val="22"/>
                <w:szCs w:val="22"/>
              </w:rPr>
            </w:pPr>
            <w:r>
              <w:rPr>
                <w:rFonts w:ascii="微軟正黑體" w:eastAsia="微軟正黑體" w:hAnsi="微軟正黑體" w:hint="eastAsia"/>
                <w:sz w:val="22"/>
                <w:szCs w:val="22"/>
              </w:rPr>
              <w:t>1</w:t>
            </w:r>
            <w:r>
              <w:rPr>
                <w:rFonts w:ascii="微軟正黑體" w:eastAsia="微軟正黑體" w:hAnsi="微軟正黑體"/>
                <w:sz w:val="22"/>
                <w:szCs w:val="22"/>
              </w:rPr>
              <w:t>09</w:t>
            </w:r>
            <w:r>
              <w:rPr>
                <w:rFonts w:ascii="微軟正黑體" w:eastAsia="微軟正黑體" w:hAnsi="微軟正黑體" w:hint="eastAsia"/>
                <w:sz w:val="22"/>
                <w:szCs w:val="22"/>
              </w:rPr>
              <w:t>年</w:t>
            </w:r>
          </w:p>
        </w:tc>
        <w:tc>
          <w:tcPr>
            <w:tcW w:w="2268"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319.4</w:t>
            </w:r>
          </w:p>
        </w:tc>
        <w:tc>
          <w:tcPr>
            <w:tcW w:w="1701" w:type="dxa"/>
          </w:tcPr>
          <w:p w:rsidR="00112260" w:rsidRPr="00950CE6" w:rsidRDefault="00112260" w:rsidP="008F1977">
            <w:pPr>
              <w:spacing w:line="400" w:lineRule="exact"/>
              <w:jc w:val="right"/>
              <w:rPr>
                <w:rFonts w:ascii="微軟正黑體" w:eastAsia="微軟正黑體" w:hAnsi="微軟正黑體"/>
                <w:sz w:val="22"/>
                <w:szCs w:val="22"/>
              </w:rPr>
            </w:pPr>
            <w:r>
              <w:rPr>
                <w:rFonts w:ascii="微軟正黑體" w:eastAsia="微軟正黑體" w:hAnsi="微軟正黑體"/>
                <w:sz w:val="22"/>
                <w:szCs w:val="22"/>
              </w:rPr>
              <w:t>8.</w:t>
            </w:r>
            <w:r>
              <w:rPr>
                <w:rFonts w:ascii="微軟正黑體" w:eastAsia="微軟正黑體" w:hAnsi="微軟正黑體" w:hint="eastAsia"/>
                <w:sz w:val="22"/>
                <w:szCs w:val="22"/>
              </w:rPr>
              <w:t>8</w:t>
            </w:r>
          </w:p>
        </w:tc>
        <w:tc>
          <w:tcPr>
            <w:tcW w:w="3474" w:type="dxa"/>
            <w:vAlign w:val="center"/>
          </w:tcPr>
          <w:p w:rsidR="00112260" w:rsidRPr="00112260" w:rsidRDefault="00112260" w:rsidP="00112260">
            <w:pPr>
              <w:spacing w:line="400" w:lineRule="exact"/>
              <w:jc w:val="right"/>
              <w:rPr>
                <w:rFonts w:ascii="微軟正黑體" w:eastAsia="微軟正黑體" w:hAnsi="微軟正黑體"/>
                <w:sz w:val="22"/>
                <w:szCs w:val="22"/>
              </w:rPr>
            </w:pPr>
            <w:r w:rsidRPr="00112260">
              <w:rPr>
                <w:rFonts w:ascii="微軟正黑體" w:eastAsia="微軟正黑體" w:hAnsi="微軟正黑體" w:hint="eastAsia"/>
                <w:sz w:val="22"/>
                <w:szCs w:val="22"/>
              </w:rPr>
              <w:t>4,177.6</w:t>
            </w:r>
          </w:p>
        </w:tc>
      </w:tr>
    </w:tbl>
    <w:p w:rsidR="00FB2640" w:rsidRPr="00F0717A" w:rsidRDefault="00FB2640" w:rsidP="00112260">
      <w:pPr>
        <w:spacing w:line="240" w:lineRule="exact"/>
        <w:ind w:leftChars="59" w:left="142"/>
        <w:rPr>
          <w:rFonts w:ascii="微軟正黑體" w:eastAsia="微軟正黑體" w:hAnsi="微軟正黑體"/>
          <w:sz w:val="20"/>
        </w:rPr>
      </w:pPr>
      <w:r w:rsidRPr="00F0717A">
        <w:rPr>
          <w:rFonts w:ascii="微軟正黑體" w:eastAsia="微軟正黑體" w:hAnsi="微軟正黑體" w:hint="eastAsia"/>
          <w:sz w:val="20"/>
        </w:rPr>
        <w:t>註：1.收益率係評價後收益率。</w:t>
      </w:r>
    </w:p>
    <w:p w:rsidR="00FB2640" w:rsidRPr="00F0717A" w:rsidRDefault="00FB2640" w:rsidP="00112260">
      <w:pPr>
        <w:spacing w:line="240" w:lineRule="exact"/>
        <w:ind w:leftChars="59" w:left="142"/>
        <w:rPr>
          <w:rFonts w:ascii="微軟正黑體" w:eastAsia="微軟正黑體" w:hAnsi="微軟正黑體"/>
          <w:sz w:val="20"/>
        </w:rPr>
      </w:pPr>
      <w:r w:rsidRPr="00F0717A">
        <w:rPr>
          <w:rFonts w:ascii="微軟正黑體" w:eastAsia="微軟正黑體" w:hAnsi="微軟正黑體" w:hint="eastAsia"/>
          <w:sz w:val="20"/>
        </w:rPr>
        <w:t xml:space="preserve">    2.基金收益數係當年度至各月底或各年底之累計收益數。</w:t>
      </w:r>
    </w:p>
    <w:p w:rsidR="00FB2640" w:rsidRPr="001B4787" w:rsidRDefault="00FB2640" w:rsidP="00FB2640">
      <w:pPr>
        <w:pStyle w:val="af0"/>
        <w:numPr>
          <w:ilvl w:val="0"/>
          <w:numId w:val="28"/>
        </w:numPr>
        <w:adjustRightInd w:val="0"/>
        <w:spacing w:line="400" w:lineRule="exact"/>
        <w:ind w:leftChars="0" w:left="567"/>
        <w:textAlignment w:val="baseline"/>
        <w:rPr>
          <w:rFonts w:ascii="微軟正黑體" w:eastAsia="微軟正黑體" w:hAnsi="微軟正黑體"/>
        </w:rPr>
      </w:pPr>
      <w:r w:rsidRPr="001B4787">
        <w:rPr>
          <w:rFonts w:ascii="微軟正黑體" w:eastAsia="微軟正黑體" w:hAnsi="微軟正黑體" w:hint="eastAsia"/>
        </w:rPr>
        <w:lastRenderedPageBreak/>
        <w:t>基金資產配置</w:t>
      </w:r>
    </w:p>
    <w:p w:rsidR="00FB2640" w:rsidRPr="00705C81" w:rsidRDefault="00FB2640" w:rsidP="00FB2640">
      <w:pPr>
        <w:pStyle w:val="af0"/>
        <w:spacing w:beforeLines="30" w:before="108" w:line="400" w:lineRule="exact"/>
        <w:ind w:leftChars="236" w:left="566"/>
        <w:rPr>
          <w:rFonts w:ascii="微軟正黑體" w:eastAsia="微軟正黑體" w:hAnsi="微軟正黑體"/>
        </w:rPr>
      </w:pPr>
      <w:r w:rsidRPr="00F0717A">
        <w:rPr>
          <w:rFonts w:ascii="微軟正黑體" w:eastAsia="微軟正黑體" w:hAnsi="微軟正黑體" w:hint="eastAsia"/>
        </w:rPr>
        <w:t xml:space="preserve">    10</w:t>
      </w:r>
      <w:r>
        <w:rPr>
          <w:rFonts w:ascii="微軟正黑體" w:eastAsia="微軟正黑體" w:hAnsi="微軟正黑體" w:hint="eastAsia"/>
        </w:rPr>
        <w:t>9年底國保基金</w:t>
      </w:r>
      <w:r w:rsidRPr="0007198A">
        <w:rPr>
          <w:rFonts w:ascii="微軟正黑體" w:eastAsia="微軟正黑體" w:hAnsi="微軟正黑體" w:hint="eastAsia"/>
        </w:rPr>
        <w:t>運用規模為</w:t>
      </w:r>
      <w:r>
        <w:rPr>
          <w:rFonts w:ascii="微軟正黑體" w:eastAsia="微軟正黑體" w:hAnsi="微軟正黑體" w:hint="eastAsia"/>
        </w:rPr>
        <w:t>4</w:t>
      </w:r>
      <w:r w:rsidRPr="00F0717A">
        <w:rPr>
          <w:rFonts w:ascii="微軟正黑體" w:eastAsia="微軟正黑體" w:hAnsi="微軟正黑體" w:hint="eastAsia"/>
        </w:rPr>
        <w:t>,</w:t>
      </w:r>
      <w:r>
        <w:rPr>
          <w:rFonts w:ascii="微軟正黑體" w:eastAsia="微軟正黑體" w:hAnsi="微軟正黑體" w:hint="eastAsia"/>
        </w:rPr>
        <w:t>177.6</w:t>
      </w:r>
      <w:r w:rsidRPr="00F0717A">
        <w:rPr>
          <w:rFonts w:ascii="微軟正黑體" w:eastAsia="微軟正黑體" w:hAnsi="微軟正黑體" w:hint="eastAsia"/>
        </w:rPr>
        <w:t>億元，較上一年度增加</w:t>
      </w:r>
      <w:r>
        <w:rPr>
          <w:rFonts w:ascii="微軟正黑體" w:eastAsia="微軟正黑體" w:hAnsi="微軟正黑體" w:hint="eastAsia"/>
        </w:rPr>
        <w:t>485.1</w:t>
      </w:r>
      <w:r w:rsidRPr="00F0717A">
        <w:rPr>
          <w:rFonts w:ascii="微軟正黑體" w:eastAsia="微軟正黑體" w:hAnsi="微軟正黑體" w:hint="eastAsia"/>
        </w:rPr>
        <w:t>億元，國內外委託經營占</w:t>
      </w:r>
      <w:r>
        <w:rPr>
          <w:rFonts w:ascii="微軟正黑體" w:eastAsia="微軟正黑體" w:hAnsi="微軟正黑體" w:hint="eastAsia"/>
        </w:rPr>
        <w:t>30.0</w:t>
      </w:r>
      <w:r w:rsidRPr="00F0717A">
        <w:rPr>
          <w:rFonts w:ascii="微軟正黑體" w:eastAsia="微軟正黑體" w:hAnsi="微軟正黑體" w:hint="eastAsia"/>
        </w:rPr>
        <w:t>%；自行運用占</w:t>
      </w:r>
      <w:r>
        <w:rPr>
          <w:rFonts w:ascii="微軟正黑體" w:eastAsia="微軟正黑體" w:hAnsi="微軟正黑體" w:hint="eastAsia"/>
        </w:rPr>
        <w:t>70.0</w:t>
      </w:r>
      <w:r w:rsidRPr="00F0717A">
        <w:rPr>
          <w:rFonts w:ascii="微軟正黑體" w:eastAsia="微軟正黑體" w:hAnsi="微軟正黑體" w:hint="eastAsia"/>
        </w:rPr>
        <w:t>%：主要為「國外投資」占2</w:t>
      </w:r>
      <w:r>
        <w:rPr>
          <w:rFonts w:ascii="微軟正黑體" w:eastAsia="微軟正黑體" w:hAnsi="微軟正黑體" w:hint="eastAsia"/>
        </w:rPr>
        <w:t>4.3</w:t>
      </w:r>
      <w:r w:rsidRPr="00F0717A">
        <w:rPr>
          <w:rFonts w:ascii="微軟正黑體" w:eastAsia="微軟正黑體" w:hAnsi="微軟正黑體" w:hint="eastAsia"/>
        </w:rPr>
        <w:t>%、「股票及受益憑證投資」占1</w:t>
      </w:r>
      <w:r>
        <w:rPr>
          <w:rFonts w:ascii="微軟正黑體" w:eastAsia="微軟正黑體" w:hAnsi="微軟正黑體" w:hint="eastAsia"/>
        </w:rPr>
        <w:t>8.7</w:t>
      </w:r>
      <w:r w:rsidRPr="00F0717A">
        <w:rPr>
          <w:rFonts w:ascii="微軟正黑體" w:eastAsia="微軟正黑體" w:hAnsi="微軟正黑體" w:hint="eastAsia"/>
        </w:rPr>
        <w:t>%及</w:t>
      </w:r>
      <w:r w:rsidRPr="00CD19DB">
        <w:rPr>
          <w:rFonts w:ascii="微軟正黑體" w:eastAsia="微軟正黑體" w:hAnsi="微軟正黑體" w:hint="eastAsia"/>
        </w:rPr>
        <w:t>「轉存金融機構」占</w:t>
      </w:r>
      <w:r>
        <w:rPr>
          <w:rFonts w:ascii="微軟正黑體" w:eastAsia="微軟正黑體" w:hAnsi="微軟正黑體" w:hint="eastAsia"/>
        </w:rPr>
        <w:t>10.1</w:t>
      </w:r>
      <w:r w:rsidRPr="00705C81">
        <w:rPr>
          <w:rFonts w:ascii="微軟正黑體" w:eastAsia="微軟正黑體" w:hAnsi="微軟正黑體" w:hint="eastAsia"/>
        </w:rPr>
        <w:t>%。</w:t>
      </w:r>
    </w:p>
    <w:p w:rsidR="00FB2640" w:rsidRPr="00F0717A" w:rsidRDefault="00FB2640" w:rsidP="00FB2640">
      <w:pPr>
        <w:spacing w:line="400" w:lineRule="exact"/>
        <w:rPr>
          <w:rFonts w:ascii="微軟正黑體" w:eastAsia="微軟正黑體" w:hAnsi="微軟正黑體"/>
        </w:rPr>
      </w:pPr>
      <w:r>
        <w:rPr>
          <w:noProof/>
        </w:rPr>
        <w:drawing>
          <wp:anchor distT="0" distB="0" distL="114300" distR="114300" simplePos="0" relativeHeight="252574720" behindDoc="0" locked="0" layoutInCell="1" allowOverlap="1" wp14:anchorId="2D7CF126" wp14:editId="2D3BFA99">
            <wp:simplePos x="0" y="0"/>
            <wp:positionH relativeFrom="column">
              <wp:posOffset>22437</wp:posOffset>
            </wp:positionH>
            <wp:positionV relativeFrom="paragraph">
              <wp:posOffset>66463</wp:posOffset>
            </wp:positionV>
            <wp:extent cx="5706533" cy="2777067"/>
            <wp:effectExtent l="0" t="0" r="27940" b="23495"/>
            <wp:wrapNone/>
            <wp:docPr id="275" name="圖表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page">
              <wp14:pctWidth>0</wp14:pctWidth>
            </wp14:sizeRelH>
            <wp14:sizeRelV relativeFrom="page">
              <wp14:pctHeight>0</wp14:pctHeight>
            </wp14:sizeRelV>
          </wp:anchor>
        </w:drawing>
      </w: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F0717A" w:rsidRDefault="00FB2640" w:rsidP="00FB2640">
      <w:pPr>
        <w:spacing w:line="400" w:lineRule="exact"/>
        <w:rPr>
          <w:rFonts w:ascii="微軟正黑體" w:eastAsia="微軟正黑體" w:hAnsi="微軟正黑體"/>
        </w:rPr>
      </w:pPr>
    </w:p>
    <w:p w:rsidR="00FB2640" w:rsidRPr="006F7523" w:rsidRDefault="00FB2640" w:rsidP="00FB2640">
      <w:pPr>
        <w:spacing w:beforeLines="50" w:before="180" w:line="400" w:lineRule="exact"/>
        <w:jc w:val="center"/>
        <w:rPr>
          <w:rFonts w:ascii="微軟正黑體" w:eastAsia="微軟正黑體" w:hAnsi="微軟正黑體"/>
        </w:rPr>
      </w:pPr>
      <w:r w:rsidRPr="00F0717A">
        <w:rPr>
          <w:rFonts w:ascii="微軟正黑體" w:eastAsia="微軟正黑體" w:hAnsi="微軟正黑體" w:hint="eastAsia"/>
        </w:rPr>
        <w:t>圖2.</w:t>
      </w:r>
      <w:r>
        <w:rPr>
          <w:rFonts w:ascii="微軟正黑體" w:eastAsia="微軟正黑體" w:hAnsi="微軟正黑體" w:hint="eastAsia"/>
        </w:rPr>
        <w:t>4</w:t>
      </w:r>
      <w:r>
        <w:rPr>
          <w:rFonts w:ascii="微軟正黑體" w:eastAsia="微軟正黑體" w:hAnsi="微軟正黑體"/>
        </w:rPr>
        <w:t>2</w:t>
      </w:r>
      <w:r w:rsidRPr="00F0717A">
        <w:rPr>
          <w:rFonts w:ascii="微軟正黑體" w:eastAsia="微軟正黑體" w:hAnsi="微軟正黑體" w:hint="eastAsia"/>
        </w:rPr>
        <w:t xml:space="preserve">  10</w:t>
      </w:r>
      <w:r>
        <w:rPr>
          <w:rFonts w:ascii="微軟正黑體" w:eastAsia="微軟正黑體" w:hAnsi="微軟正黑體"/>
        </w:rPr>
        <w:t>9</w:t>
      </w:r>
      <w:r w:rsidRPr="00F0717A">
        <w:rPr>
          <w:rFonts w:ascii="微軟正黑體" w:eastAsia="微軟正黑體" w:hAnsi="微軟正黑體" w:hint="eastAsia"/>
        </w:rPr>
        <w:t>年國保基金資產配置情形</w:t>
      </w:r>
    </w:p>
    <w:p w:rsidR="00FB2640" w:rsidRPr="00F0717A" w:rsidRDefault="00FB2640" w:rsidP="00FB2640">
      <w:pPr>
        <w:pStyle w:val="af0"/>
        <w:numPr>
          <w:ilvl w:val="0"/>
          <w:numId w:val="28"/>
        </w:numPr>
        <w:adjustRightInd w:val="0"/>
        <w:spacing w:beforeLines="50" w:before="180" w:line="400" w:lineRule="exact"/>
        <w:ind w:leftChars="0" w:left="567" w:hanging="357"/>
        <w:textAlignment w:val="baseline"/>
        <w:rPr>
          <w:rFonts w:ascii="微軟正黑體" w:eastAsia="微軟正黑體" w:hAnsi="微軟正黑體"/>
        </w:rPr>
      </w:pPr>
      <w:r w:rsidRPr="00F0717A">
        <w:rPr>
          <w:rFonts w:ascii="微軟正黑體" w:eastAsia="微軟正黑體" w:hAnsi="微軟正黑體" w:hint="eastAsia"/>
        </w:rPr>
        <w:t>精算報告</w:t>
      </w:r>
    </w:p>
    <w:p w:rsidR="00FB2640" w:rsidRPr="00F0717A" w:rsidRDefault="00FB2640" w:rsidP="00FB2640">
      <w:pPr>
        <w:pStyle w:val="af0"/>
        <w:spacing w:beforeLines="30" w:before="108" w:line="400" w:lineRule="exact"/>
        <w:ind w:leftChars="0" w:left="567"/>
        <w:rPr>
          <w:rFonts w:ascii="微軟正黑體" w:eastAsia="微軟正黑體" w:hAnsi="微軟正黑體"/>
        </w:rPr>
      </w:pPr>
      <w:r w:rsidRPr="00F0717A">
        <w:rPr>
          <w:rFonts w:ascii="微軟正黑體" w:eastAsia="微軟正黑體" w:hAnsi="微軟正黑體" w:hint="eastAsia"/>
        </w:rPr>
        <w:t xml:space="preserve">    「國民年金法施行細則」第10</w:t>
      </w:r>
      <w:r>
        <w:rPr>
          <w:rFonts w:ascii="微軟正黑體" w:eastAsia="微軟正黑體" w:hAnsi="微軟正黑體" w:hint="eastAsia"/>
        </w:rPr>
        <w:t>條規定，保險財務應由保險人</w:t>
      </w:r>
      <w:r w:rsidRPr="00F0717A">
        <w:rPr>
          <w:rFonts w:ascii="微軟正黑體" w:eastAsia="微軟正黑體" w:hAnsi="微軟正黑體" w:hint="eastAsia"/>
        </w:rPr>
        <w:t>至少每2年精算一次，每次精算40年。</w:t>
      </w:r>
    </w:p>
    <w:p w:rsidR="00FB2640" w:rsidRPr="00E775F6" w:rsidRDefault="00FB2640" w:rsidP="00FB2640">
      <w:pPr>
        <w:pStyle w:val="af0"/>
        <w:spacing w:beforeLines="30" w:before="108" w:line="400" w:lineRule="exact"/>
        <w:ind w:leftChars="236" w:left="566"/>
        <w:rPr>
          <w:rFonts w:ascii="微軟正黑體" w:eastAsia="微軟正黑體" w:hAnsi="微軟正黑體"/>
        </w:rPr>
      </w:pPr>
      <w:r w:rsidRPr="00F0717A">
        <w:rPr>
          <w:rFonts w:ascii="微軟正黑體" w:eastAsia="微軟正黑體" w:hAnsi="微軟正黑體" w:hint="eastAsia"/>
        </w:rPr>
        <w:t xml:space="preserve">   </w:t>
      </w:r>
      <w:r w:rsidRPr="00CD19DB">
        <w:rPr>
          <w:rFonts w:ascii="微軟正黑體" w:eastAsia="微軟正黑體" w:hAnsi="微軟正黑體" w:hint="eastAsia"/>
        </w:rPr>
        <w:t xml:space="preserve"> 國保108年至109年保險費率為9%，依</w:t>
      </w:r>
      <w:r w:rsidRPr="00CD19DB">
        <w:rPr>
          <w:rFonts w:ascii="微軟正黑體" w:eastAsia="微軟正黑體" w:hAnsi="微軟正黑體"/>
        </w:rPr>
        <w:t>10</w:t>
      </w:r>
      <w:r w:rsidRPr="00CD19DB">
        <w:rPr>
          <w:rFonts w:ascii="微軟正黑體" w:eastAsia="微軟正黑體" w:hAnsi="微軟正黑體" w:hint="eastAsia"/>
        </w:rPr>
        <w:t>9</w:t>
      </w:r>
      <w:r w:rsidRPr="00F0717A">
        <w:rPr>
          <w:rFonts w:ascii="微軟正黑體" w:eastAsia="微軟正黑體" w:hAnsi="微軟正黑體"/>
        </w:rPr>
        <w:t>年</w:t>
      </w:r>
      <w:r w:rsidRPr="00F0717A">
        <w:rPr>
          <w:rFonts w:ascii="微軟正黑體" w:eastAsia="微軟正黑體" w:hAnsi="微軟正黑體" w:hint="eastAsia"/>
        </w:rPr>
        <w:t>公布</w:t>
      </w:r>
      <w:r w:rsidRPr="00F0717A">
        <w:rPr>
          <w:rFonts w:ascii="微軟正黑體" w:eastAsia="微軟正黑體" w:hAnsi="微軟正黑體"/>
        </w:rPr>
        <w:t>完成之</w:t>
      </w:r>
      <w:r w:rsidRPr="00F0717A">
        <w:rPr>
          <w:rFonts w:ascii="微軟正黑體" w:eastAsia="微軟正黑體" w:hAnsi="微軟正黑體" w:hint="eastAsia"/>
        </w:rPr>
        <w:t>國民年金保險費率精算及財務評估</w:t>
      </w:r>
      <w:r>
        <w:rPr>
          <w:rFonts w:ascii="微軟正黑體" w:eastAsia="微軟正黑體" w:hAnsi="微軟正黑體"/>
        </w:rPr>
        <w:t>結果顯示</w:t>
      </w:r>
      <w:r>
        <w:rPr>
          <w:rFonts w:ascii="微軟正黑體" w:eastAsia="微軟正黑體" w:hAnsi="微軟正黑體" w:hint="eastAsia"/>
        </w:rPr>
        <w:t>，</w:t>
      </w:r>
      <w:r w:rsidRPr="00F0717A">
        <w:rPr>
          <w:rFonts w:ascii="微軟正黑體" w:eastAsia="微軟正黑體" w:hAnsi="微軟正黑體" w:hint="eastAsia"/>
        </w:rPr>
        <w:t>最適提撥率為</w:t>
      </w:r>
      <w:r w:rsidRPr="00CD19DB">
        <w:rPr>
          <w:rFonts w:ascii="微軟正黑體" w:eastAsia="微軟正黑體" w:hAnsi="微軟正黑體" w:hint="eastAsia"/>
        </w:rPr>
        <w:t>20.24%，在費率依法每2年調高費率0.5%，至上限12%情形下，基金預估可支付至140</w:t>
      </w:r>
      <w:r w:rsidRPr="00E775F6">
        <w:rPr>
          <w:rFonts w:ascii="微軟正黑體" w:eastAsia="微軟正黑體" w:hAnsi="微軟正黑體" w:hint="eastAsia"/>
        </w:rPr>
        <w:t>年。</w:t>
      </w:r>
    </w:p>
    <w:p w:rsidR="00FB2640" w:rsidRPr="00F0717A" w:rsidRDefault="00FB2640" w:rsidP="00FB2640">
      <w:pPr>
        <w:pStyle w:val="af0"/>
        <w:spacing w:beforeLines="50" w:before="180" w:afterLines="30" w:after="108" w:line="400" w:lineRule="exact"/>
        <w:ind w:leftChars="0" w:left="386"/>
        <w:jc w:val="center"/>
        <w:rPr>
          <w:rFonts w:ascii="微軟正黑體" w:eastAsia="微軟正黑體" w:hAnsi="微軟正黑體"/>
        </w:rPr>
      </w:pPr>
      <w:r w:rsidRPr="00F0717A">
        <w:rPr>
          <w:rFonts w:ascii="微軟正黑體" w:eastAsia="微軟正黑體" w:hAnsi="微軟正黑體" w:hint="eastAsia"/>
        </w:rPr>
        <w:t>表2.1</w:t>
      </w:r>
      <w:r>
        <w:rPr>
          <w:rFonts w:ascii="微軟正黑體" w:eastAsia="微軟正黑體" w:hAnsi="微軟正黑體"/>
        </w:rPr>
        <w:t>6</w:t>
      </w:r>
      <w:r w:rsidRPr="00F0717A">
        <w:rPr>
          <w:rFonts w:ascii="微軟正黑體" w:eastAsia="微軟正黑體" w:hAnsi="微軟正黑體" w:hint="eastAsia"/>
        </w:rPr>
        <w:t xml:space="preserve">  國保最近一次財務精算結果摘要</w:t>
      </w:r>
    </w:p>
    <w:tbl>
      <w:tblPr>
        <w:tblStyle w:val="a5"/>
        <w:tblW w:w="0" w:type="auto"/>
        <w:tblInd w:w="250" w:type="dxa"/>
        <w:tblLook w:val="04A0" w:firstRow="1" w:lastRow="0" w:firstColumn="1" w:lastColumn="0" w:noHBand="0" w:noVBand="1"/>
      </w:tblPr>
      <w:tblGrid>
        <w:gridCol w:w="992"/>
        <w:gridCol w:w="2694"/>
        <w:gridCol w:w="3402"/>
        <w:gridCol w:w="1701"/>
      </w:tblGrid>
      <w:tr w:rsidR="00FB2640" w:rsidRPr="00F0717A" w:rsidTr="008F1977">
        <w:trPr>
          <w:trHeight w:val="397"/>
        </w:trPr>
        <w:tc>
          <w:tcPr>
            <w:tcW w:w="3686" w:type="dxa"/>
            <w:gridSpan w:val="2"/>
            <w:vAlign w:val="center"/>
          </w:tcPr>
          <w:p w:rsidR="00FB2640" w:rsidRPr="00F0717A" w:rsidRDefault="00FB2640" w:rsidP="008F1977">
            <w:pPr>
              <w:spacing w:line="360" w:lineRule="exact"/>
              <w:jc w:val="center"/>
              <w:rPr>
                <w:rFonts w:ascii="微軟正黑體" w:eastAsia="微軟正黑體" w:hAnsi="微軟正黑體"/>
              </w:rPr>
            </w:pPr>
            <w:r w:rsidRPr="00F0717A">
              <w:rPr>
                <w:rFonts w:ascii="微軟正黑體" w:eastAsia="微軟正黑體" w:hAnsi="微軟正黑體" w:hint="eastAsia"/>
              </w:rPr>
              <w:t>資料時間(評價日)</w:t>
            </w:r>
          </w:p>
        </w:tc>
        <w:tc>
          <w:tcPr>
            <w:tcW w:w="5103" w:type="dxa"/>
            <w:gridSpan w:val="2"/>
            <w:vAlign w:val="center"/>
          </w:tcPr>
          <w:p w:rsidR="00FB2640" w:rsidRPr="00F0717A" w:rsidRDefault="00FB2640" w:rsidP="008F1977">
            <w:pPr>
              <w:spacing w:line="360" w:lineRule="exact"/>
              <w:jc w:val="center"/>
              <w:rPr>
                <w:rFonts w:ascii="微軟正黑體" w:eastAsia="微軟正黑體" w:hAnsi="微軟正黑體" w:cs="新細明體"/>
              </w:rPr>
            </w:pPr>
            <w:r w:rsidRPr="00F0717A">
              <w:rPr>
                <w:rFonts w:ascii="微軟正黑體" w:eastAsia="微軟正黑體" w:hAnsi="微軟正黑體" w:hint="eastAsia"/>
              </w:rPr>
              <w:t>10</w:t>
            </w:r>
            <w:r>
              <w:rPr>
                <w:rFonts w:ascii="微軟正黑體" w:eastAsia="微軟正黑體" w:hAnsi="微軟正黑體" w:hint="eastAsia"/>
              </w:rPr>
              <w:t>8</w:t>
            </w:r>
            <w:r w:rsidRPr="00F0717A">
              <w:rPr>
                <w:rFonts w:ascii="微軟正黑體" w:eastAsia="微軟正黑體" w:hAnsi="微軟正黑體" w:hint="eastAsia"/>
              </w:rPr>
              <w:t>年10月1日</w:t>
            </w:r>
          </w:p>
        </w:tc>
      </w:tr>
      <w:tr w:rsidR="00FB2640" w:rsidRPr="00F0717A" w:rsidTr="008F1977">
        <w:trPr>
          <w:trHeight w:val="397"/>
        </w:trPr>
        <w:tc>
          <w:tcPr>
            <w:tcW w:w="3686" w:type="dxa"/>
            <w:gridSpan w:val="2"/>
            <w:vAlign w:val="center"/>
          </w:tcPr>
          <w:p w:rsidR="00FB2640" w:rsidRPr="00F0717A" w:rsidRDefault="00FB2640" w:rsidP="008F1977">
            <w:pPr>
              <w:spacing w:line="360" w:lineRule="exact"/>
              <w:jc w:val="center"/>
              <w:rPr>
                <w:rFonts w:ascii="微軟正黑體" w:eastAsia="微軟正黑體" w:hAnsi="微軟正黑體"/>
              </w:rPr>
            </w:pPr>
            <w:r w:rsidRPr="00F0717A">
              <w:rPr>
                <w:rFonts w:ascii="微軟正黑體" w:eastAsia="微軟正黑體" w:hAnsi="微軟正黑體" w:hint="eastAsia"/>
              </w:rPr>
              <w:t>報告完成時間</w:t>
            </w:r>
          </w:p>
        </w:tc>
        <w:tc>
          <w:tcPr>
            <w:tcW w:w="5103" w:type="dxa"/>
            <w:gridSpan w:val="2"/>
            <w:vAlign w:val="center"/>
          </w:tcPr>
          <w:p w:rsidR="00FB2640" w:rsidRPr="00F0717A" w:rsidRDefault="00FB2640" w:rsidP="008F1977">
            <w:pPr>
              <w:spacing w:line="360" w:lineRule="exact"/>
              <w:jc w:val="center"/>
              <w:rPr>
                <w:rFonts w:ascii="微軟正黑體" w:eastAsia="微軟正黑體" w:hAnsi="微軟正黑體" w:cs="新細明體"/>
              </w:rPr>
            </w:pPr>
            <w:r w:rsidRPr="00F0717A">
              <w:rPr>
                <w:rFonts w:ascii="微軟正黑體" w:eastAsia="微軟正黑體" w:hAnsi="微軟正黑體" w:hint="eastAsia"/>
              </w:rPr>
              <w:t>10</w:t>
            </w:r>
            <w:r>
              <w:rPr>
                <w:rFonts w:ascii="微軟正黑體" w:eastAsia="微軟正黑體" w:hAnsi="微軟正黑體" w:hint="eastAsia"/>
              </w:rPr>
              <w:t>9</w:t>
            </w:r>
            <w:r w:rsidRPr="00F0717A">
              <w:rPr>
                <w:rFonts w:ascii="微軟正黑體" w:eastAsia="微軟正黑體" w:hAnsi="微軟正黑體" w:hint="eastAsia"/>
              </w:rPr>
              <w:t>年9月</w:t>
            </w:r>
          </w:p>
        </w:tc>
      </w:tr>
      <w:tr w:rsidR="00FB2640" w:rsidRPr="00F0717A" w:rsidTr="008F1977">
        <w:trPr>
          <w:trHeight w:val="397"/>
        </w:trPr>
        <w:tc>
          <w:tcPr>
            <w:tcW w:w="992" w:type="dxa"/>
            <w:vMerge w:val="restart"/>
            <w:vAlign w:val="center"/>
          </w:tcPr>
          <w:p w:rsidR="00FB2640" w:rsidRPr="00F0717A" w:rsidRDefault="00FB2640" w:rsidP="008F1977">
            <w:pPr>
              <w:spacing w:line="360" w:lineRule="exact"/>
              <w:jc w:val="center"/>
              <w:rPr>
                <w:rFonts w:ascii="微軟正黑體" w:eastAsia="微軟正黑體" w:hAnsi="微軟正黑體"/>
              </w:rPr>
            </w:pPr>
            <w:r w:rsidRPr="00F0717A">
              <w:rPr>
                <w:rFonts w:ascii="微軟正黑體" w:eastAsia="微軟正黑體" w:hAnsi="微軟正黑體" w:hint="eastAsia"/>
              </w:rPr>
              <w:t>精算</w:t>
            </w:r>
          </w:p>
          <w:p w:rsidR="00FB2640" w:rsidRPr="00F0717A" w:rsidRDefault="00FB2640" w:rsidP="008F1977">
            <w:pPr>
              <w:spacing w:line="360" w:lineRule="exact"/>
              <w:jc w:val="center"/>
              <w:rPr>
                <w:rFonts w:ascii="微軟正黑體" w:eastAsia="微軟正黑體" w:hAnsi="微軟正黑體"/>
              </w:rPr>
            </w:pPr>
            <w:r w:rsidRPr="00F0717A">
              <w:rPr>
                <w:rFonts w:ascii="微軟正黑體" w:eastAsia="微軟正黑體" w:hAnsi="微軟正黑體" w:hint="eastAsia"/>
              </w:rPr>
              <w:t>假設</w:t>
            </w:r>
          </w:p>
        </w:tc>
        <w:tc>
          <w:tcPr>
            <w:tcW w:w="2694" w:type="dxa"/>
            <w:vAlign w:val="center"/>
          </w:tcPr>
          <w:p w:rsidR="00FB2640" w:rsidRPr="00F0717A" w:rsidRDefault="00FB2640" w:rsidP="008F1977">
            <w:pPr>
              <w:spacing w:line="360" w:lineRule="exact"/>
              <w:jc w:val="center"/>
              <w:rPr>
                <w:rFonts w:ascii="微軟正黑體" w:eastAsia="微軟正黑體" w:hAnsi="微軟正黑體" w:cs="新細明體"/>
              </w:rPr>
            </w:pPr>
            <w:r w:rsidRPr="00F0717A">
              <w:rPr>
                <w:rFonts w:ascii="微軟正黑體" w:eastAsia="微軟正黑體" w:hAnsi="微軟正黑體" w:hint="eastAsia"/>
              </w:rPr>
              <w:t>投資報酬率</w:t>
            </w:r>
          </w:p>
        </w:tc>
        <w:tc>
          <w:tcPr>
            <w:tcW w:w="5103" w:type="dxa"/>
            <w:gridSpan w:val="2"/>
            <w:vAlign w:val="center"/>
          </w:tcPr>
          <w:p w:rsidR="00FB2640" w:rsidRPr="00F0717A" w:rsidRDefault="00FB2640" w:rsidP="008F1977">
            <w:pPr>
              <w:spacing w:line="360" w:lineRule="exact"/>
              <w:jc w:val="center"/>
              <w:rPr>
                <w:rFonts w:ascii="微軟正黑體" w:eastAsia="微軟正黑體" w:hAnsi="微軟正黑體"/>
              </w:rPr>
            </w:pPr>
            <w:r w:rsidRPr="00F0717A">
              <w:rPr>
                <w:rFonts w:ascii="微軟正黑體" w:eastAsia="微軟正黑體" w:hAnsi="微軟正黑體" w:hint="eastAsia"/>
              </w:rPr>
              <w:t>3.5%</w:t>
            </w:r>
          </w:p>
        </w:tc>
      </w:tr>
      <w:tr w:rsidR="00FB2640" w:rsidRPr="00F0717A" w:rsidTr="008F1977">
        <w:trPr>
          <w:trHeight w:val="397"/>
        </w:trPr>
        <w:tc>
          <w:tcPr>
            <w:tcW w:w="992" w:type="dxa"/>
            <w:vMerge/>
            <w:vAlign w:val="center"/>
          </w:tcPr>
          <w:p w:rsidR="00FB2640" w:rsidRPr="00F0717A" w:rsidRDefault="00FB2640" w:rsidP="008F1977">
            <w:pPr>
              <w:spacing w:line="360" w:lineRule="exact"/>
              <w:jc w:val="center"/>
              <w:rPr>
                <w:rFonts w:ascii="微軟正黑體" w:eastAsia="微軟正黑體" w:hAnsi="微軟正黑體"/>
              </w:rPr>
            </w:pPr>
          </w:p>
        </w:tc>
        <w:tc>
          <w:tcPr>
            <w:tcW w:w="2694" w:type="dxa"/>
            <w:vAlign w:val="center"/>
          </w:tcPr>
          <w:p w:rsidR="00FB2640" w:rsidRPr="00F0717A" w:rsidRDefault="00FB2640" w:rsidP="008F1977">
            <w:pPr>
              <w:spacing w:line="360" w:lineRule="exact"/>
              <w:jc w:val="center"/>
              <w:rPr>
                <w:rFonts w:ascii="微軟正黑體" w:eastAsia="微軟正黑體" w:hAnsi="微軟正黑體" w:cs="新細明體"/>
              </w:rPr>
            </w:pPr>
            <w:r w:rsidRPr="00F0717A">
              <w:rPr>
                <w:rFonts w:ascii="微軟正黑體" w:eastAsia="微軟正黑體" w:hAnsi="微軟正黑體" w:hint="eastAsia"/>
              </w:rPr>
              <w:t>消費者物價指數變動率</w:t>
            </w:r>
          </w:p>
        </w:tc>
        <w:tc>
          <w:tcPr>
            <w:tcW w:w="5103" w:type="dxa"/>
            <w:gridSpan w:val="2"/>
            <w:vAlign w:val="center"/>
          </w:tcPr>
          <w:p w:rsidR="00FB2640" w:rsidRPr="00F0717A" w:rsidRDefault="00FB2640" w:rsidP="008F1977">
            <w:pPr>
              <w:spacing w:line="360" w:lineRule="exact"/>
              <w:jc w:val="center"/>
              <w:rPr>
                <w:rFonts w:ascii="微軟正黑體" w:eastAsia="微軟正黑體" w:hAnsi="微軟正黑體"/>
              </w:rPr>
            </w:pPr>
            <w:r w:rsidRPr="00F0717A">
              <w:rPr>
                <w:rFonts w:ascii="微軟正黑體" w:eastAsia="微軟正黑體" w:hAnsi="微軟正黑體" w:hint="eastAsia"/>
              </w:rPr>
              <w:t>1.35%</w:t>
            </w:r>
          </w:p>
        </w:tc>
      </w:tr>
      <w:tr w:rsidR="00FB2640" w:rsidRPr="00F0717A" w:rsidTr="008F1977">
        <w:trPr>
          <w:trHeight w:val="397"/>
        </w:trPr>
        <w:tc>
          <w:tcPr>
            <w:tcW w:w="992" w:type="dxa"/>
            <w:vMerge w:val="restart"/>
            <w:vAlign w:val="center"/>
          </w:tcPr>
          <w:p w:rsidR="00FB2640" w:rsidRPr="00F0717A" w:rsidRDefault="00FB2640" w:rsidP="008F1977">
            <w:pPr>
              <w:spacing w:line="360" w:lineRule="exact"/>
              <w:jc w:val="center"/>
              <w:rPr>
                <w:rFonts w:ascii="微軟正黑體" w:eastAsia="微軟正黑體" w:hAnsi="微軟正黑體"/>
              </w:rPr>
            </w:pPr>
            <w:r w:rsidRPr="00F0717A">
              <w:rPr>
                <w:rFonts w:ascii="微軟正黑體" w:eastAsia="微軟正黑體" w:hAnsi="微軟正黑體" w:hint="eastAsia"/>
              </w:rPr>
              <w:t>精算</w:t>
            </w:r>
          </w:p>
          <w:p w:rsidR="00FB2640" w:rsidRPr="00F0717A" w:rsidRDefault="00FB2640" w:rsidP="008F1977">
            <w:pPr>
              <w:spacing w:line="360" w:lineRule="exact"/>
              <w:jc w:val="center"/>
              <w:rPr>
                <w:rFonts w:ascii="微軟正黑體" w:eastAsia="微軟正黑體" w:hAnsi="微軟正黑體"/>
              </w:rPr>
            </w:pPr>
            <w:r w:rsidRPr="00F0717A">
              <w:rPr>
                <w:rFonts w:ascii="微軟正黑體" w:eastAsia="微軟正黑體" w:hAnsi="微軟正黑體" w:hint="eastAsia"/>
              </w:rPr>
              <w:t>結果</w:t>
            </w:r>
          </w:p>
        </w:tc>
        <w:tc>
          <w:tcPr>
            <w:tcW w:w="2694" w:type="dxa"/>
            <w:vAlign w:val="center"/>
          </w:tcPr>
          <w:p w:rsidR="00FB2640" w:rsidRPr="00F0717A" w:rsidRDefault="00FB2640" w:rsidP="008F1977">
            <w:pPr>
              <w:spacing w:line="360" w:lineRule="exact"/>
              <w:jc w:val="center"/>
              <w:rPr>
                <w:rFonts w:ascii="微軟正黑體" w:eastAsia="微軟正黑體" w:hAnsi="微軟正黑體" w:cs="新細明體"/>
              </w:rPr>
            </w:pPr>
            <w:r w:rsidRPr="00F0717A">
              <w:rPr>
                <w:rFonts w:ascii="微軟正黑體" w:eastAsia="微軟正黑體" w:hAnsi="微軟正黑體" w:hint="eastAsia"/>
              </w:rPr>
              <w:t>最適提撥率</w:t>
            </w:r>
          </w:p>
        </w:tc>
        <w:tc>
          <w:tcPr>
            <w:tcW w:w="5103" w:type="dxa"/>
            <w:gridSpan w:val="2"/>
            <w:vAlign w:val="center"/>
          </w:tcPr>
          <w:p w:rsidR="00FB2640" w:rsidRPr="00CD19DB" w:rsidRDefault="00FB2640" w:rsidP="008F1977">
            <w:pPr>
              <w:spacing w:line="360" w:lineRule="exact"/>
              <w:jc w:val="center"/>
              <w:rPr>
                <w:rFonts w:ascii="微軟正黑體" w:eastAsia="微軟正黑體" w:hAnsi="微軟正黑體"/>
              </w:rPr>
            </w:pPr>
            <w:r w:rsidRPr="00CD19DB">
              <w:rPr>
                <w:rFonts w:ascii="微軟正黑體" w:eastAsia="微軟正黑體" w:hAnsi="微軟正黑體" w:hint="eastAsia"/>
              </w:rPr>
              <w:t>20.24%</w:t>
            </w:r>
          </w:p>
        </w:tc>
      </w:tr>
      <w:tr w:rsidR="00FB2640" w:rsidRPr="00F0717A" w:rsidTr="008F1977">
        <w:trPr>
          <w:trHeight w:val="585"/>
        </w:trPr>
        <w:tc>
          <w:tcPr>
            <w:tcW w:w="992" w:type="dxa"/>
            <w:vMerge/>
            <w:vAlign w:val="center"/>
          </w:tcPr>
          <w:p w:rsidR="00FB2640" w:rsidRPr="00F0717A" w:rsidRDefault="00FB2640" w:rsidP="008F1977">
            <w:pPr>
              <w:spacing w:line="360" w:lineRule="exact"/>
              <w:jc w:val="center"/>
              <w:rPr>
                <w:rFonts w:ascii="微軟正黑體" w:eastAsia="微軟正黑體" w:hAnsi="微軟正黑體"/>
              </w:rPr>
            </w:pPr>
          </w:p>
        </w:tc>
        <w:tc>
          <w:tcPr>
            <w:tcW w:w="2694" w:type="dxa"/>
            <w:vMerge w:val="restart"/>
            <w:vAlign w:val="center"/>
          </w:tcPr>
          <w:p w:rsidR="00FB2640" w:rsidRPr="00F0717A" w:rsidRDefault="00FB2640" w:rsidP="008F1977">
            <w:pPr>
              <w:spacing w:line="360" w:lineRule="exact"/>
              <w:jc w:val="center"/>
              <w:rPr>
                <w:rFonts w:ascii="微軟正黑體" w:eastAsia="微軟正黑體" w:hAnsi="微軟正黑體" w:cs="新細明體"/>
              </w:rPr>
            </w:pPr>
            <w:r w:rsidRPr="00F0717A">
              <w:rPr>
                <w:rFonts w:ascii="微軟正黑體" w:eastAsia="微軟正黑體" w:hAnsi="微軟正黑體" w:hint="eastAsia"/>
              </w:rPr>
              <w:t>基金餘額將不足以支付當年度給付之年度</w:t>
            </w:r>
          </w:p>
        </w:tc>
        <w:tc>
          <w:tcPr>
            <w:tcW w:w="3402" w:type="dxa"/>
            <w:vAlign w:val="center"/>
          </w:tcPr>
          <w:p w:rsidR="00FB2640" w:rsidRPr="00CD19DB" w:rsidRDefault="00FB2640" w:rsidP="008F1977">
            <w:pPr>
              <w:spacing w:line="300" w:lineRule="exact"/>
              <w:jc w:val="center"/>
              <w:rPr>
                <w:rFonts w:ascii="微軟正黑體" w:eastAsia="微軟正黑體" w:hAnsi="微軟正黑體"/>
              </w:rPr>
            </w:pPr>
            <w:r w:rsidRPr="00CD19DB">
              <w:rPr>
                <w:rFonts w:ascii="微軟正黑體" w:eastAsia="微軟正黑體" w:hAnsi="微軟正黑體" w:hint="eastAsia"/>
              </w:rPr>
              <w:t>依法每2年調高費率0.5%，</w:t>
            </w:r>
          </w:p>
          <w:p w:rsidR="00FB2640" w:rsidRPr="00CD19DB" w:rsidRDefault="00FB2640" w:rsidP="008F1977">
            <w:pPr>
              <w:spacing w:line="300" w:lineRule="exact"/>
              <w:jc w:val="center"/>
              <w:rPr>
                <w:rFonts w:ascii="微軟正黑體" w:eastAsia="微軟正黑體" w:hAnsi="微軟正黑體" w:cs="新細明體"/>
              </w:rPr>
            </w:pPr>
            <w:r w:rsidRPr="00CD19DB">
              <w:rPr>
                <w:rFonts w:ascii="微軟正黑體" w:eastAsia="微軟正黑體" w:hAnsi="微軟正黑體" w:hint="eastAsia"/>
              </w:rPr>
              <w:t>至上限12%</w:t>
            </w:r>
          </w:p>
        </w:tc>
        <w:tc>
          <w:tcPr>
            <w:tcW w:w="1701" w:type="dxa"/>
            <w:vAlign w:val="center"/>
          </w:tcPr>
          <w:p w:rsidR="00FB2640" w:rsidRPr="00CD19DB" w:rsidRDefault="00FB2640" w:rsidP="008F1977">
            <w:pPr>
              <w:spacing w:line="300" w:lineRule="exact"/>
              <w:jc w:val="center"/>
              <w:rPr>
                <w:rFonts w:ascii="微軟正黑體" w:eastAsia="微軟正黑體" w:hAnsi="微軟正黑體" w:cs="新細明體"/>
              </w:rPr>
            </w:pPr>
            <w:r w:rsidRPr="00CD19DB">
              <w:rPr>
                <w:rFonts w:ascii="微軟正黑體" w:eastAsia="微軟正黑體" w:hAnsi="微軟正黑體" w:hint="eastAsia"/>
              </w:rPr>
              <w:t>140年</w:t>
            </w:r>
          </w:p>
        </w:tc>
      </w:tr>
      <w:tr w:rsidR="00FB2640" w:rsidRPr="00F0717A" w:rsidTr="008F1977">
        <w:trPr>
          <w:trHeight w:val="454"/>
        </w:trPr>
        <w:tc>
          <w:tcPr>
            <w:tcW w:w="992" w:type="dxa"/>
            <w:vMerge/>
            <w:vAlign w:val="center"/>
          </w:tcPr>
          <w:p w:rsidR="00FB2640" w:rsidRPr="00F0717A" w:rsidRDefault="00FB2640" w:rsidP="008F1977">
            <w:pPr>
              <w:spacing w:line="360" w:lineRule="exact"/>
              <w:jc w:val="center"/>
              <w:rPr>
                <w:rFonts w:ascii="微軟正黑體" w:eastAsia="微軟正黑體" w:hAnsi="微軟正黑體"/>
              </w:rPr>
            </w:pPr>
          </w:p>
        </w:tc>
        <w:tc>
          <w:tcPr>
            <w:tcW w:w="2694" w:type="dxa"/>
            <w:vMerge/>
            <w:vAlign w:val="center"/>
          </w:tcPr>
          <w:p w:rsidR="00FB2640" w:rsidRPr="00F0717A" w:rsidRDefault="00FB2640" w:rsidP="008F1977">
            <w:pPr>
              <w:spacing w:line="360" w:lineRule="exact"/>
              <w:jc w:val="center"/>
              <w:rPr>
                <w:rFonts w:ascii="微軟正黑體" w:eastAsia="微軟正黑體" w:hAnsi="微軟正黑體"/>
              </w:rPr>
            </w:pPr>
          </w:p>
        </w:tc>
        <w:tc>
          <w:tcPr>
            <w:tcW w:w="3402" w:type="dxa"/>
            <w:vAlign w:val="center"/>
          </w:tcPr>
          <w:p w:rsidR="00FB2640" w:rsidRPr="00CD19DB" w:rsidRDefault="00FB2640" w:rsidP="008F1977">
            <w:pPr>
              <w:spacing w:line="300" w:lineRule="exact"/>
              <w:jc w:val="center"/>
              <w:rPr>
                <w:rFonts w:ascii="微軟正黑體" w:eastAsia="微軟正黑體" w:hAnsi="微軟正黑體"/>
              </w:rPr>
            </w:pPr>
            <w:r w:rsidRPr="00CD19DB">
              <w:rPr>
                <w:rFonts w:ascii="微軟正黑體" w:eastAsia="微軟正黑體" w:hAnsi="微軟正黑體" w:hint="eastAsia"/>
              </w:rPr>
              <w:t>費率維持9%</w:t>
            </w:r>
          </w:p>
        </w:tc>
        <w:tc>
          <w:tcPr>
            <w:tcW w:w="1701" w:type="dxa"/>
            <w:vAlign w:val="center"/>
          </w:tcPr>
          <w:p w:rsidR="00FB2640" w:rsidRPr="00CD19DB" w:rsidRDefault="00FB2640" w:rsidP="008F1977">
            <w:pPr>
              <w:spacing w:line="300" w:lineRule="exact"/>
              <w:jc w:val="center"/>
              <w:rPr>
                <w:rFonts w:ascii="微軟正黑體" w:eastAsia="微軟正黑體" w:hAnsi="微軟正黑體"/>
              </w:rPr>
            </w:pPr>
            <w:r w:rsidRPr="00CD19DB">
              <w:rPr>
                <w:rFonts w:ascii="微軟正黑體" w:eastAsia="微軟正黑體" w:hAnsi="微軟正黑體" w:hint="eastAsia"/>
              </w:rPr>
              <w:t>137年</w:t>
            </w:r>
          </w:p>
        </w:tc>
      </w:tr>
      <w:tr w:rsidR="00FB2640" w:rsidRPr="00F0717A" w:rsidTr="008F1977">
        <w:trPr>
          <w:trHeight w:val="454"/>
        </w:trPr>
        <w:tc>
          <w:tcPr>
            <w:tcW w:w="992" w:type="dxa"/>
            <w:vMerge/>
            <w:vAlign w:val="center"/>
          </w:tcPr>
          <w:p w:rsidR="00FB2640" w:rsidRPr="00F0717A" w:rsidRDefault="00FB2640" w:rsidP="008F1977">
            <w:pPr>
              <w:spacing w:line="360" w:lineRule="exact"/>
              <w:jc w:val="center"/>
              <w:rPr>
                <w:rFonts w:ascii="微軟正黑體" w:eastAsia="微軟正黑體" w:hAnsi="微軟正黑體"/>
              </w:rPr>
            </w:pPr>
          </w:p>
        </w:tc>
        <w:tc>
          <w:tcPr>
            <w:tcW w:w="2694" w:type="dxa"/>
            <w:vMerge/>
            <w:vAlign w:val="center"/>
          </w:tcPr>
          <w:p w:rsidR="00FB2640" w:rsidRPr="00F0717A" w:rsidRDefault="00FB2640" w:rsidP="008F1977">
            <w:pPr>
              <w:spacing w:line="360" w:lineRule="exact"/>
              <w:jc w:val="center"/>
              <w:rPr>
                <w:rFonts w:ascii="微軟正黑體" w:eastAsia="微軟正黑體" w:hAnsi="微軟正黑體"/>
              </w:rPr>
            </w:pPr>
          </w:p>
        </w:tc>
        <w:tc>
          <w:tcPr>
            <w:tcW w:w="3402" w:type="dxa"/>
            <w:vAlign w:val="center"/>
          </w:tcPr>
          <w:p w:rsidR="00FB2640" w:rsidRPr="00CD19DB" w:rsidRDefault="00FB2640" w:rsidP="008F1977">
            <w:pPr>
              <w:spacing w:line="300" w:lineRule="exact"/>
              <w:jc w:val="center"/>
              <w:rPr>
                <w:rFonts w:ascii="微軟正黑體" w:eastAsia="微軟正黑體" w:hAnsi="微軟正黑體" w:cs="新細明體"/>
              </w:rPr>
            </w:pPr>
            <w:r w:rsidRPr="00CD19DB">
              <w:rPr>
                <w:rFonts w:ascii="微軟正黑體" w:eastAsia="微軟正黑體" w:hAnsi="微軟正黑體" w:hint="eastAsia"/>
              </w:rPr>
              <w:t>費率調高並維持9.5%</w:t>
            </w:r>
          </w:p>
        </w:tc>
        <w:tc>
          <w:tcPr>
            <w:tcW w:w="1701" w:type="dxa"/>
            <w:vAlign w:val="center"/>
          </w:tcPr>
          <w:p w:rsidR="00FB2640" w:rsidRPr="00CD19DB" w:rsidRDefault="00FB2640" w:rsidP="008F1977">
            <w:pPr>
              <w:spacing w:line="300" w:lineRule="exact"/>
              <w:jc w:val="center"/>
              <w:rPr>
                <w:rFonts w:ascii="微軟正黑體" w:eastAsia="微軟正黑體" w:hAnsi="微軟正黑體" w:cs="新細明體"/>
              </w:rPr>
            </w:pPr>
            <w:r w:rsidRPr="00CD19DB">
              <w:rPr>
                <w:rFonts w:ascii="微軟正黑體" w:eastAsia="微軟正黑體" w:hAnsi="微軟正黑體" w:hint="eastAsia"/>
              </w:rPr>
              <w:t>137年</w:t>
            </w:r>
          </w:p>
        </w:tc>
      </w:tr>
      <w:tr w:rsidR="00FB2640" w:rsidRPr="00F0717A" w:rsidTr="008F1977">
        <w:trPr>
          <w:trHeight w:val="454"/>
        </w:trPr>
        <w:tc>
          <w:tcPr>
            <w:tcW w:w="992" w:type="dxa"/>
            <w:vMerge/>
            <w:vAlign w:val="center"/>
          </w:tcPr>
          <w:p w:rsidR="00FB2640" w:rsidRPr="00F0717A" w:rsidRDefault="00FB2640" w:rsidP="008F1977">
            <w:pPr>
              <w:spacing w:line="360" w:lineRule="exact"/>
              <w:jc w:val="center"/>
              <w:rPr>
                <w:rFonts w:ascii="微軟正黑體" w:eastAsia="微軟正黑體" w:hAnsi="微軟正黑體"/>
              </w:rPr>
            </w:pPr>
          </w:p>
        </w:tc>
        <w:tc>
          <w:tcPr>
            <w:tcW w:w="2694" w:type="dxa"/>
            <w:vMerge/>
            <w:vAlign w:val="center"/>
          </w:tcPr>
          <w:p w:rsidR="00FB2640" w:rsidRPr="00F0717A" w:rsidRDefault="00FB2640" w:rsidP="008F1977">
            <w:pPr>
              <w:spacing w:line="360" w:lineRule="exact"/>
              <w:jc w:val="center"/>
              <w:rPr>
                <w:rFonts w:ascii="微軟正黑體" w:eastAsia="微軟正黑體" w:hAnsi="微軟正黑體"/>
              </w:rPr>
            </w:pPr>
          </w:p>
        </w:tc>
        <w:tc>
          <w:tcPr>
            <w:tcW w:w="3402" w:type="dxa"/>
            <w:vAlign w:val="center"/>
          </w:tcPr>
          <w:p w:rsidR="00FB2640" w:rsidRPr="00CD19DB" w:rsidRDefault="00FB2640" w:rsidP="008F1977">
            <w:pPr>
              <w:spacing w:line="300" w:lineRule="exact"/>
              <w:jc w:val="center"/>
              <w:rPr>
                <w:rFonts w:ascii="微軟正黑體" w:eastAsia="微軟正黑體" w:hAnsi="微軟正黑體"/>
              </w:rPr>
            </w:pPr>
            <w:r w:rsidRPr="00CD19DB">
              <w:rPr>
                <w:rFonts w:ascii="微軟正黑體" w:eastAsia="微軟正黑體" w:hAnsi="微軟正黑體" w:hint="eastAsia"/>
              </w:rPr>
              <w:t>不考慮未來保費收入之情況</w:t>
            </w:r>
          </w:p>
        </w:tc>
        <w:tc>
          <w:tcPr>
            <w:tcW w:w="1701" w:type="dxa"/>
            <w:vAlign w:val="center"/>
          </w:tcPr>
          <w:p w:rsidR="00FB2640" w:rsidRPr="00CD19DB" w:rsidRDefault="00FB2640" w:rsidP="008F1977">
            <w:pPr>
              <w:spacing w:line="300" w:lineRule="exact"/>
              <w:jc w:val="center"/>
              <w:rPr>
                <w:rFonts w:ascii="微軟正黑體" w:eastAsia="微軟正黑體" w:hAnsi="微軟正黑體"/>
              </w:rPr>
            </w:pPr>
            <w:r w:rsidRPr="00CD19DB">
              <w:rPr>
                <w:rFonts w:ascii="微軟正黑體" w:eastAsia="微軟正黑體" w:hAnsi="微軟正黑體" w:hint="eastAsia"/>
              </w:rPr>
              <w:t>122年</w:t>
            </w:r>
          </w:p>
        </w:tc>
      </w:tr>
    </w:tbl>
    <w:p w:rsidR="00FB2640" w:rsidRPr="00CD19DB" w:rsidRDefault="00FB2640" w:rsidP="00FB2640">
      <w:pPr>
        <w:spacing w:line="400" w:lineRule="exact"/>
        <w:rPr>
          <w:rFonts w:ascii="微軟正黑體" w:eastAsia="微軟正黑體" w:hAnsi="微軟正黑體"/>
        </w:rPr>
      </w:pPr>
      <w:r w:rsidRPr="00CD19DB">
        <w:rPr>
          <w:rFonts w:ascii="微軟正黑體" w:eastAsia="微軟正黑體" w:hAnsi="微軟正黑體" w:hint="eastAsia"/>
        </w:rPr>
        <w:lastRenderedPageBreak/>
        <w:t>(四) 制度動態</w:t>
      </w:r>
    </w:p>
    <w:p w:rsidR="00FB2640" w:rsidRPr="00CD19DB" w:rsidRDefault="00FB2640" w:rsidP="00BD50E5">
      <w:pPr>
        <w:pStyle w:val="af0"/>
        <w:numPr>
          <w:ilvl w:val="0"/>
          <w:numId w:val="56"/>
        </w:numPr>
        <w:spacing w:line="400" w:lineRule="exact"/>
        <w:ind w:leftChars="0"/>
        <w:jc w:val="both"/>
        <w:rPr>
          <w:rFonts w:ascii="微軟正黑體" w:eastAsia="微軟正黑體" w:hAnsi="微軟正黑體"/>
        </w:rPr>
      </w:pPr>
      <w:r w:rsidRPr="00CD19DB">
        <w:rPr>
          <w:rFonts w:ascii="微軟正黑體" w:eastAsia="微軟正黑體" w:hAnsi="微軟正黑體" w:hint="eastAsia"/>
        </w:rPr>
        <w:t>109年6月3日，總統修正公布「國民年金法」，增訂符合社會救助法規定之中低收入戶為保險費補助對象，並比照所得未達1.5倍之保險費補助比率(被保險人30%、政府70%)；有關第40條遺屬年金給付條件所設每月工作收入限制，參照勞工保險條例第63條規定，將月投保金額修正為基本工資，以符合目前社會現況及各社會保險內涵趨於一致。</w:t>
      </w:r>
    </w:p>
    <w:p w:rsidR="00FB2640" w:rsidRPr="00CD19DB" w:rsidRDefault="00FB2640" w:rsidP="00BD50E5">
      <w:pPr>
        <w:pStyle w:val="af0"/>
        <w:numPr>
          <w:ilvl w:val="0"/>
          <w:numId w:val="56"/>
        </w:numPr>
        <w:spacing w:line="400" w:lineRule="exact"/>
        <w:ind w:leftChars="0"/>
        <w:jc w:val="both"/>
        <w:rPr>
          <w:rFonts w:ascii="微軟正黑體" w:eastAsia="微軟正黑體" w:hAnsi="微軟正黑體"/>
        </w:rPr>
      </w:pPr>
      <w:r w:rsidRPr="00CD19DB">
        <w:rPr>
          <w:rFonts w:ascii="微軟正黑體" w:eastAsia="微軟正黑體" w:hAnsi="微軟正黑體" w:hint="eastAsia"/>
        </w:rPr>
        <w:t>110年1月1日起，國民年金保險費率由9%調整為9.5%。</w:t>
      </w:r>
    </w:p>
    <w:p w:rsidR="00FB2640" w:rsidRPr="00BF5E09" w:rsidRDefault="00FB2640" w:rsidP="00FB2640">
      <w:pPr>
        <w:adjustRightInd w:val="0"/>
        <w:spacing w:line="400" w:lineRule="exact"/>
        <w:textAlignment w:val="baseline"/>
        <w:rPr>
          <w:rFonts w:ascii="微軟正黑體" w:eastAsia="微軟正黑體" w:hAnsi="微軟正黑體"/>
        </w:rPr>
      </w:pPr>
    </w:p>
    <w:p w:rsidR="00FB2640" w:rsidRPr="0019146E" w:rsidRDefault="00FB2640" w:rsidP="00FB2640">
      <w:pPr>
        <w:spacing w:line="400" w:lineRule="exact"/>
        <w:rPr>
          <w:rFonts w:ascii="微軟正黑體" w:eastAsia="微軟正黑體" w:hAnsi="微軟正黑體"/>
          <w:color w:val="0070C0"/>
        </w:rPr>
      </w:pPr>
    </w:p>
    <w:p w:rsidR="00FB2640" w:rsidRPr="00F0717A" w:rsidRDefault="00FB2640" w:rsidP="00FB2640">
      <w:pPr>
        <w:spacing w:beforeLines="30" w:before="108" w:line="400" w:lineRule="exact"/>
        <w:rPr>
          <w:rFonts w:ascii="微軟正黑體" w:eastAsia="微軟正黑體" w:hAnsi="微軟正黑體"/>
        </w:rPr>
      </w:pPr>
      <w:r w:rsidRPr="00F0717A">
        <w:rPr>
          <w:rFonts w:ascii="微軟正黑體" w:eastAsia="微軟正黑體" w:hAnsi="微軟正黑體" w:hint="eastAsia"/>
        </w:rPr>
        <w:t>&lt;資料來源&gt;</w:t>
      </w:r>
    </w:p>
    <w:p w:rsidR="00FB2640" w:rsidRPr="00F0717A" w:rsidRDefault="00FB2640" w:rsidP="00FB2640">
      <w:pPr>
        <w:pStyle w:val="af0"/>
        <w:numPr>
          <w:ilvl w:val="0"/>
          <w:numId w:val="16"/>
        </w:numPr>
        <w:adjustRightInd w:val="0"/>
        <w:spacing w:beforeLines="30" w:before="108" w:line="400" w:lineRule="exact"/>
        <w:ind w:leftChars="0"/>
        <w:textAlignment w:val="baseline"/>
        <w:rPr>
          <w:rFonts w:ascii="微軟正黑體" w:eastAsia="微軟正黑體" w:hAnsi="微軟正黑體"/>
        </w:rPr>
      </w:pPr>
      <w:r w:rsidRPr="00AF3227">
        <w:rPr>
          <w:rFonts w:ascii="微軟正黑體" w:eastAsia="微軟正黑體" w:hAnsi="微軟正黑體" w:hint="eastAsia"/>
        </w:rPr>
        <w:t>勞動部勞工保險局網站統計資料－10</w:t>
      </w:r>
      <w:r w:rsidRPr="00AF3227">
        <w:rPr>
          <w:rFonts w:ascii="微軟正黑體" w:eastAsia="微軟正黑體" w:hAnsi="微軟正黑體"/>
        </w:rPr>
        <w:t>9</w:t>
      </w:r>
      <w:r w:rsidRPr="00AF3227">
        <w:rPr>
          <w:rFonts w:ascii="微軟正黑體" w:eastAsia="微軟正黑體" w:hAnsi="微軟正黑體" w:hint="eastAsia"/>
        </w:rPr>
        <w:t>年國民年金保險統計年報</w:t>
      </w:r>
      <w:r w:rsidRPr="00F0717A">
        <w:rPr>
          <w:rFonts w:ascii="微軟正黑體" w:eastAsia="微軟正黑體" w:hAnsi="微軟正黑體" w:hint="eastAsia"/>
        </w:rPr>
        <w:t>。</w:t>
      </w:r>
    </w:p>
    <w:p w:rsidR="00FB2640" w:rsidRPr="00F0717A" w:rsidRDefault="00FB2640" w:rsidP="00FB2640">
      <w:pPr>
        <w:pStyle w:val="af0"/>
        <w:numPr>
          <w:ilvl w:val="0"/>
          <w:numId w:val="16"/>
        </w:numPr>
        <w:adjustRightInd w:val="0"/>
        <w:spacing w:line="400" w:lineRule="exact"/>
        <w:ind w:leftChars="0" w:left="357" w:hanging="357"/>
        <w:textAlignment w:val="baseline"/>
        <w:rPr>
          <w:rFonts w:ascii="微軟正黑體" w:eastAsia="微軟正黑體" w:hAnsi="微軟正黑體"/>
        </w:rPr>
      </w:pPr>
      <w:r>
        <w:rPr>
          <w:rFonts w:ascii="微軟正黑體" w:eastAsia="微軟正黑體" w:hAnsi="微軟正黑體" w:hint="eastAsia"/>
        </w:rPr>
        <w:t>勞動部勞動基金運用局網站</w:t>
      </w:r>
      <w:r w:rsidRPr="00F0717A">
        <w:rPr>
          <w:rFonts w:ascii="微軟正黑體" w:eastAsia="微軟正黑體" w:hAnsi="微軟正黑體" w:hint="eastAsia"/>
        </w:rPr>
        <w:t>統計資料。</w:t>
      </w:r>
    </w:p>
    <w:p w:rsidR="00FB2640" w:rsidRPr="00F0717A" w:rsidRDefault="00FB2640" w:rsidP="00FB2640">
      <w:pPr>
        <w:pStyle w:val="af0"/>
        <w:numPr>
          <w:ilvl w:val="0"/>
          <w:numId w:val="16"/>
        </w:numPr>
        <w:adjustRightInd w:val="0"/>
        <w:spacing w:line="400" w:lineRule="exact"/>
        <w:ind w:leftChars="0"/>
        <w:textAlignment w:val="baseline"/>
        <w:rPr>
          <w:rFonts w:ascii="微軟正黑體" w:eastAsia="微軟正黑體" w:hAnsi="微軟正黑體"/>
        </w:rPr>
      </w:pPr>
      <w:r w:rsidRPr="00F0717A">
        <w:rPr>
          <w:rFonts w:ascii="微軟正黑體" w:eastAsia="微軟正黑體" w:hAnsi="微軟正黑體" w:hint="eastAsia"/>
        </w:rPr>
        <w:t>《國民年金保險費率精算及財務評估》，勞工保險局10</w:t>
      </w:r>
      <w:r>
        <w:rPr>
          <w:rFonts w:ascii="微軟正黑體" w:eastAsia="微軟正黑體" w:hAnsi="微軟正黑體" w:hint="eastAsia"/>
        </w:rPr>
        <w:t>8</w:t>
      </w:r>
      <w:r w:rsidRPr="00F0717A">
        <w:rPr>
          <w:rFonts w:ascii="微軟正黑體" w:eastAsia="微軟正黑體" w:hAnsi="微軟正黑體" w:hint="eastAsia"/>
        </w:rPr>
        <w:t>年度委託研究</w:t>
      </w:r>
      <w:r>
        <w:rPr>
          <w:rFonts w:ascii="微軟正黑體" w:eastAsia="微軟正黑體" w:hAnsi="微軟正黑體" w:hint="eastAsia"/>
        </w:rPr>
        <w:t>(109年完成報告)</w:t>
      </w:r>
      <w:r w:rsidRPr="00F0717A">
        <w:rPr>
          <w:rFonts w:ascii="微軟正黑體" w:eastAsia="微軟正黑體" w:hAnsi="微軟正黑體" w:hint="eastAsia"/>
        </w:rPr>
        <w:t>。</w:t>
      </w:r>
    </w:p>
    <w:p w:rsidR="007A2CE3" w:rsidRPr="00F0717A" w:rsidRDefault="00FB2640" w:rsidP="00FB2640">
      <w:pPr>
        <w:spacing w:beforeLines="50" w:before="180" w:line="400" w:lineRule="exact"/>
        <w:rPr>
          <w:rFonts w:ascii="微軟正黑體" w:eastAsia="微軟正黑體" w:hAnsi="微軟正黑體"/>
        </w:rPr>
      </w:pPr>
      <w:r w:rsidRPr="00F0717A">
        <w:rPr>
          <w:rFonts w:ascii="微軟正黑體" w:eastAsia="微軟正黑體" w:hAnsi="微軟正黑體" w:hint="eastAsia"/>
        </w:rPr>
        <w:t>(圖表均由本文自行繪製</w:t>
      </w:r>
      <w:r w:rsidR="007A2CE3" w:rsidRPr="00F0717A">
        <w:rPr>
          <w:rFonts w:ascii="微軟正黑體" w:eastAsia="微軟正黑體" w:hAnsi="微軟正黑體" w:hint="eastAsia"/>
        </w:rPr>
        <w:t>)</w:t>
      </w:r>
    </w:p>
    <w:p w:rsidR="007A2CE3" w:rsidRPr="00F0717A" w:rsidRDefault="007A2CE3" w:rsidP="007A2CE3"/>
    <w:p w:rsidR="007A2CE3" w:rsidRPr="00F0717A" w:rsidRDefault="007A2CE3" w:rsidP="007A2CE3"/>
    <w:p w:rsidR="00D14C96" w:rsidRPr="007A2CE3" w:rsidRDefault="00D14C96" w:rsidP="007A2CE3">
      <w:pPr>
        <w:spacing w:line="400" w:lineRule="exact"/>
        <w:rPr>
          <w:rFonts w:ascii="微軟正黑體" w:eastAsia="微軟正黑體" w:hAnsi="微軟正黑體"/>
          <w:b/>
          <w:sz w:val="32"/>
          <w:szCs w:val="32"/>
        </w:rPr>
      </w:pPr>
    </w:p>
    <w:p w:rsidR="00D14C96" w:rsidRDefault="00D14C96" w:rsidP="00D14C96">
      <w:pPr>
        <w:spacing w:line="400" w:lineRule="exact"/>
        <w:rPr>
          <w:rFonts w:ascii="微軟正黑體" w:eastAsia="微軟正黑體" w:hAnsi="微軟正黑體"/>
          <w:b/>
          <w:color w:val="FF0000"/>
          <w:sz w:val="32"/>
          <w:szCs w:val="32"/>
        </w:rPr>
      </w:pPr>
      <w:r>
        <w:rPr>
          <w:rFonts w:ascii="微軟正黑體" w:eastAsia="微軟正黑體" w:hAnsi="微軟正黑體"/>
          <w:b/>
          <w:color w:val="FF0000"/>
          <w:sz w:val="32"/>
          <w:szCs w:val="32"/>
        </w:rPr>
        <w:br w:type="page"/>
      </w:r>
    </w:p>
    <w:p w:rsidR="00BD50E5" w:rsidRPr="007B78CF" w:rsidRDefault="00BD50E5" w:rsidP="00BD50E5">
      <w:pPr>
        <w:snapToGrid w:val="0"/>
        <w:spacing w:afterLines="100" w:after="360" w:line="400" w:lineRule="exact"/>
        <w:jc w:val="center"/>
        <w:rPr>
          <w:rFonts w:ascii="微軟正黑體" w:eastAsia="微軟正黑體" w:hAnsi="微軟正黑體"/>
          <w:b/>
          <w:bCs/>
          <w:color w:val="000000" w:themeColor="text1"/>
          <w:sz w:val="32"/>
          <w:szCs w:val="32"/>
        </w:rPr>
      </w:pPr>
      <w:r w:rsidRPr="007B78CF">
        <w:rPr>
          <w:rFonts w:ascii="微軟正黑體" w:eastAsia="微軟正黑體" w:hAnsi="微軟正黑體" w:hint="eastAsia"/>
          <w:b/>
          <w:bCs/>
          <w:color w:val="000000" w:themeColor="text1"/>
          <w:sz w:val="32"/>
          <w:szCs w:val="32"/>
        </w:rPr>
        <w:lastRenderedPageBreak/>
        <w:t>參、</w:t>
      </w:r>
      <w:r w:rsidRPr="007B78CF">
        <w:rPr>
          <w:rFonts w:ascii="微軟正黑體" w:eastAsia="微軟正黑體" w:hAnsi="微軟正黑體"/>
          <w:b/>
          <w:bCs/>
          <w:color w:val="000000" w:themeColor="text1"/>
          <w:sz w:val="32"/>
          <w:szCs w:val="32"/>
        </w:rPr>
        <w:t>職業別退休金</w:t>
      </w:r>
    </w:p>
    <w:p w:rsidR="00BD50E5" w:rsidRPr="007B78CF" w:rsidRDefault="00BD50E5" w:rsidP="00BD50E5">
      <w:pPr>
        <w:snapToGrid w:val="0"/>
        <w:spacing w:beforeLines="50" w:before="180" w:afterLines="50" w:after="180" w:line="400" w:lineRule="exact"/>
        <w:rPr>
          <w:rFonts w:ascii="微軟正黑體" w:eastAsia="微軟正黑體" w:hAnsi="微軟正黑體"/>
          <w:b/>
          <w:bCs/>
          <w:color w:val="000000" w:themeColor="text1"/>
          <w:sz w:val="28"/>
          <w:szCs w:val="28"/>
        </w:rPr>
      </w:pPr>
      <w:bookmarkStart w:id="7" w:name="第一章第三節壹"/>
      <w:r w:rsidRPr="007B78CF">
        <w:rPr>
          <w:rFonts w:ascii="微軟正黑體" w:eastAsia="微軟正黑體" w:hAnsi="微軟正黑體" w:hint="eastAsia"/>
          <w:b/>
          <w:bCs/>
          <w:color w:val="000000" w:themeColor="text1"/>
          <w:sz w:val="28"/>
          <w:szCs w:val="28"/>
        </w:rPr>
        <w:t>一</w:t>
      </w:r>
      <w:r w:rsidRPr="007B78CF">
        <w:rPr>
          <w:rFonts w:ascii="微軟正黑體" w:eastAsia="微軟正黑體" w:hAnsi="微軟正黑體"/>
          <w:b/>
          <w:bCs/>
          <w:color w:val="000000" w:themeColor="text1"/>
          <w:sz w:val="28"/>
          <w:szCs w:val="28"/>
        </w:rPr>
        <w:t>、勞工退休金制度(舊制及新制)</w:t>
      </w:r>
      <w:r w:rsidRPr="007B78CF">
        <w:rPr>
          <w:rStyle w:val="af4"/>
          <w:rFonts w:ascii="微軟正黑體" w:eastAsia="微軟正黑體" w:hAnsi="微軟正黑體"/>
          <w:b/>
          <w:bCs/>
          <w:color w:val="000000" w:themeColor="text1"/>
          <w:sz w:val="28"/>
          <w:szCs w:val="28"/>
        </w:rPr>
        <w:footnoteReference w:id="3"/>
      </w:r>
    </w:p>
    <w:bookmarkEnd w:id="7"/>
    <w:p w:rsidR="00BD50E5" w:rsidRPr="007B78CF" w:rsidRDefault="00BD50E5" w:rsidP="00BD50E5">
      <w:pPr>
        <w:tabs>
          <w:tab w:val="left" w:pos="567"/>
        </w:tabs>
        <w:snapToGrid w:val="0"/>
        <w:spacing w:beforeLines="50" w:before="180" w:line="400" w:lineRule="exact"/>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(一) </w:t>
      </w:r>
      <w:r w:rsidRPr="007B78CF">
        <w:rPr>
          <w:rFonts w:ascii="微軟正黑體" w:eastAsia="微軟正黑體" w:hAnsi="微軟正黑體"/>
          <w:bCs/>
          <w:color w:val="000000" w:themeColor="text1"/>
        </w:rPr>
        <w:t>舊制勞工退休金(依「勞動基準法」辦理)</w:t>
      </w:r>
    </w:p>
    <w:p w:rsidR="00BD50E5" w:rsidRPr="007B78CF" w:rsidRDefault="00BD50E5" w:rsidP="00BD50E5">
      <w:pPr>
        <w:tabs>
          <w:tab w:val="left" w:pos="567"/>
        </w:tabs>
        <w:snapToGrid w:val="0"/>
        <w:spacing w:beforeLines="30" w:before="108" w:afterLines="30" w:after="108" w:line="400" w:lineRule="exact"/>
        <w:ind w:firstLineChars="100" w:firstLine="240"/>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1. </w:t>
      </w:r>
      <w:r w:rsidRPr="007B78CF">
        <w:rPr>
          <w:rFonts w:ascii="微軟正黑體" w:eastAsia="微軟正黑體" w:hAnsi="微軟正黑體"/>
          <w:bCs/>
          <w:color w:val="000000" w:themeColor="text1"/>
        </w:rPr>
        <w:t>提</w:t>
      </w:r>
      <w:r w:rsidRPr="007B78CF">
        <w:rPr>
          <w:rFonts w:ascii="微軟正黑體" w:eastAsia="微軟正黑體" w:hAnsi="微軟正黑體" w:hint="eastAsia"/>
          <w:bCs/>
          <w:color w:val="000000" w:themeColor="text1"/>
        </w:rPr>
        <w:t>撥概況</w:t>
      </w:r>
    </w:p>
    <w:p w:rsidR="00BD50E5" w:rsidRPr="007B78CF" w:rsidRDefault="00BD50E5" w:rsidP="00BD50E5">
      <w:pPr>
        <w:snapToGrid w:val="0"/>
        <w:spacing w:beforeLines="30" w:before="108" w:line="400" w:lineRule="exact"/>
        <w:ind w:leftChars="236" w:left="566"/>
        <w:jc w:val="both"/>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 xml:space="preserve">    10</w:t>
      </w:r>
      <w:r w:rsidRPr="007B78CF">
        <w:rPr>
          <w:rFonts w:ascii="微軟正黑體" w:eastAsia="微軟正黑體" w:hAnsi="微軟正黑體" w:hint="eastAsia"/>
          <w:bCs/>
          <w:color w:val="000000" w:themeColor="text1"/>
        </w:rPr>
        <w:t>9</w:t>
      </w:r>
      <w:r w:rsidRPr="007B78CF">
        <w:rPr>
          <w:rFonts w:ascii="微軟正黑體" w:eastAsia="微軟正黑體" w:hAnsi="微軟正黑體"/>
          <w:bCs/>
          <w:color w:val="000000" w:themeColor="text1"/>
        </w:rPr>
        <w:t>年底提存戶數</w:t>
      </w:r>
      <w:r w:rsidRPr="007B78CF">
        <w:rPr>
          <w:rFonts w:ascii="微軟正黑體" w:eastAsia="微軟正黑體" w:hAnsi="微軟正黑體" w:hint="eastAsia"/>
          <w:bCs/>
          <w:color w:val="000000" w:themeColor="text1"/>
        </w:rPr>
        <w:t>為8</w:t>
      </w:r>
      <w:r w:rsidRPr="007B78CF">
        <w:rPr>
          <w:rFonts w:ascii="微軟正黑體" w:eastAsia="微軟正黑體" w:hAnsi="微軟正黑體"/>
          <w:bCs/>
          <w:color w:val="000000" w:themeColor="text1"/>
        </w:rPr>
        <w:t>萬</w:t>
      </w:r>
      <w:r w:rsidRPr="007B78CF">
        <w:rPr>
          <w:rFonts w:ascii="微軟正黑體" w:eastAsia="微軟正黑體" w:hAnsi="微軟正黑體" w:hint="eastAsia"/>
          <w:bCs/>
          <w:color w:val="000000" w:themeColor="text1"/>
        </w:rPr>
        <w:t>9,793</w:t>
      </w:r>
      <w:r w:rsidRPr="007B78CF">
        <w:rPr>
          <w:rFonts w:ascii="微軟正黑體" w:eastAsia="微軟正黑體" w:hAnsi="微軟正黑體"/>
          <w:bCs/>
          <w:color w:val="000000" w:themeColor="text1"/>
        </w:rPr>
        <w:t>戶，有餘額戶數為</w:t>
      </w:r>
      <w:r w:rsidRPr="007B78CF">
        <w:rPr>
          <w:rFonts w:ascii="微軟正黑體" w:eastAsia="微軟正黑體" w:hAnsi="微軟正黑體" w:hint="eastAsia"/>
          <w:bCs/>
          <w:color w:val="000000" w:themeColor="text1"/>
        </w:rPr>
        <w:t>8</w:t>
      </w:r>
      <w:r w:rsidRPr="007B78CF">
        <w:rPr>
          <w:rFonts w:ascii="微軟正黑體" w:eastAsia="微軟正黑體" w:hAnsi="微軟正黑體"/>
          <w:bCs/>
          <w:color w:val="000000" w:themeColor="text1"/>
        </w:rPr>
        <w:t>萬</w:t>
      </w:r>
      <w:r w:rsidRPr="007B78CF">
        <w:rPr>
          <w:rFonts w:ascii="微軟正黑體" w:eastAsia="微軟正黑體" w:hAnsi="微軟正黑體" w:hint="eastAsia"/>
          <w:bCs/>
          <w:color w:val="000000" w:themeColor="text1"/>
        </w:rPr>
        <w:t>6,055</w:t>
      </w:r>
      <w:r w:rsidRPr="007B78CF">
        <w:rPr>
          <w:rFonts w:ascii="微軟正黑體" w:eastAsia="微軟正黑體" w:hAnsi="微軟正黑體"/>
          <w:bCs/>
          <w:color w:val="000000" w:themeColor="text1"/>
        </w:rPr>
        <w:t>戶，提存金額(含孳息、收益)為</w:t>
      </w:r>
      <w:r w:rsidRPr="007B78CF">
        <w:rPr>
          <w:rFonts w:ascii="微軟正黑體" w:eastAsia="微軟正黑體" w:hAnsi="微軟正黑體" w:hint="eastAsia"/>
          <w:bCs/>
          <w:color w:val="000000" w:themeColor="text1"/>
        </w:rPr>
        <w:t>1,026.1</w:t>
      </w:r>
      <w:r w:rsidRPr="007B78CF">
        <w:rPr>
          <w:rFonts w:ascii="微軟正黑體" w:eastAsia="微軟正黑體" w:hAnsi="微軟正黑體"/>
          <w:bCs/>
          <w:color w:val="000000" w:themeColor="text1"/>
        </w:rPr>
        <w:t>億元。</w:t>
      </w:r>
    </w:p>
    <w:p w:rsidR="00BD50E5" w:rsidRPr="007B78CF" w:rsidRDefault="00BD50E5" w:rsidP="00BD50E5">
      <w:pPr>
        <w:snapToGrid w:val="0"/>
        <w:spacing w:beforeLines="30" w:before="108" w:afterLines="30" w:after="108" w:line="400" w:lineRule="exact"/>
        <w:ind w:firstLineChars="50" w:firstLine="120"/>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2. </w:t>
      </w:r>
      <w:r w:rsidRPr="007B78CF">
        <w:rPr>
          <w:rFonts w:ascii="微軟正黑體" w:eastAsia="微軟正黑體" w:hAnsi="微軟正黑體"/>
          <w:bCs/>
          <w:color w:val="000000" w:themeColor="text1"/>
        </w:rPr>
        <w:t>給付概況</w:t>
      </w:r>
    </w:p>
    <w:p w:rsidR="00BD50E5" w:rsidRPr="007B78CF" w:rsidRDefault="00BD50E5" w:rsidP="00BD50E5">
      <w:pPr>
        <w:snapToGrid w:val="0"/>
        <w:spacing w:beforeLines="30" w:before="108" w:line="400" w:lineRule="exact"/>
        <w:ind w:leftChars="236" w:left="566"/>
        <w:jc w:val="both"/>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 xml:space="preserve">    10</w:t>
      </w:r>
      <w:r w:rsidRPr="007B78CF">
        <w:rPr>
          <w:rFonts w:ascii="微軟正黑體" w:eastAsia="微軟正黑體" w:hAnsi="微軟正黑體" w:hint="eastAsia"/>
          <w:bCs/>
          <w:color w:val="000000" w:themeColor="text1"/>
        </w:rPr>
        <w:t>9</w:t>
      </w:r>
      <w:r w:rsidRPr="007B78CF">
        <w:rPr>
          <w:rFonts w:ascii="微軟正黑體" w:eastAsia="微軟正黑體" w:hAnsi="微軟正黑體"/>
          <w:bCs/>
          <w:color w:val="000000" w:themeColor="text1"/>
        </w:rPr>
        <w:t>年底，退休人數為</w:t>
      </w:r>
      <w:r w:rsidRPr="007B78CF">
        <w:rPr>
          <w:rFonts w:ascii="微軟正黑體" w:eastAsia="微軟正黑體" w:hAnsi="微軟正黑體" w:hint="eastAsia"/>
          <w:bCs/>
          <w:color w:val="000000" w:themeColor="text1"/>
        </w:rPr>
        <w:t>3</w:t>
      </w:r>
      <w:r w:rsidRPr="007B78CF">
        <w:rPr>
          <w:rFonts w:ascii="微軟正黑體" w:eastAsia="微軟正黑體" w:hAnsi="微軟正黑體"/>
          <w:bCs/>
          <w:color w:val="000000" w:themeColor="text1"/>
        </w:rPr>
        <w:t>萬</w:t>
      </w:r>
      <w:r w:rsidRPr="007B78CF">
        <w:rPr>
          <w:rFonts w:ascii="微軟正黑體" w:eastAsia="微軟正黑體" w:hAnsi="微軟正黑體" w:hint="eastAsia"/>
          <w:bCs/>
          <w:color w:val="000000" w:themeColor="text1"/>
        </w:rPr>
        <w:t>9,507</w:t>
      </w:r>
      <w:r w:rsidRPr="007B78CF">
        <w:rPr>
          <w:rFonts w:ascii="微軟正黑體" w:eastAsia="微軟正黑體" w:hAnsi="微軟正黑體"/>
          <w:bCs/>
          <w:color w:val="000000" w:themeColor="text1"/>
        </w:rPr>
        <w:t>人，總給付金額為</w:t>
      </w:r>
      <w:r w:rsidRPr="007B78CF">
        <w:rPr>
          <w:rFonts w:ascii="微軟正黑體" w:eastAsia="微軟正黑體" w:hAnsi="微軟正黑體" w:hint="eastAsia"/>
          <w:bCs/>
          <w:color w:val="000000" w:themeColor="text1"/>
        </w:rPr>
        <w:t>838</w:t>
      </w:r>
      <w:r w:rsidRPr="007B78CF">
        <w:rPr>
          <w:rFonts w:ascii="微軟正黑體" w:eastAsia="微軟正黑體" w:hAnsi="微軟正黑體"/>
          <w:bCs/>
          <w:color w:val="000000" w:themeColor="text1"/>
        </w:rPr>
        <w:t>億元，平均給付金額為</w:t>
      </w:r>
      <w:r w:rsidRPr="007B78CF">
        <w:rPr>
          <w:rFonts w:ascii="微軟正黑體" w:eastAsia="微軟正黑體" w:hAnsi="微軟正黑體" w:hint="eastAsia"/>
          <w:bCs/>
          <w:color w:val="000000" w:themeColor="text1"/>
        </w:rPr>
        <w:t>212.2</w:t>
      </w:r>
      <w:r w:rsidRPr="007B78CF">
        <w:rPr>
          <w:rFonts w:ascii="微軟正黑體" w:eastAsia="微軟正黑體" w:hAnsi="微軟正黑體"/>
          <w:bCs/>
          <w:color w:val="000000" w:themeColor="text1"/>
        </w:rPr>
        <w:t>萬元。以性別觀之，男性有</w:t>
      </w:r>
      <w:r w:rsidRPr="007B78CF">
        <w:rPr>
          <w:rFonts w:ascii="微軟正黑體" w:eastAsia="微軟正黑體" w:hAnsi="微軟正黑體" w:hint="eastAsia"/>
          <w:bCs/>
          <w:color w:val="000000" w:themeColor="text1"/>
        </w:rPr>
        <w:t>2</w:t>
      </w:r>
      <w:r w:rsidRPr="007B78CF">
        <w:rPr>
          <w:rFonts w:ascii="微軟正黑體" w:eastAsia="微軟正黑體" w:hAnsi="微軟正黑體"/>
          <w:bCs/>
          <w:color w:val="000000" w:themeColor="text1"/>
        </w:rPr>
        <w:t>萬</w:t>
      </w:r>
      <w:r w:rsidRPr="007B78CF">
        <w:rPr>
          <w:rFonts w:ascii="微軟正黑體" w:eastAsia="微軟正黑體" w:hAnsi="微軟正黑體" w:hint="eastAsia"/>
          <w:bCs/>
          <w:color w:val="000000" w:themeColor="text1"/>
        </w:rPr>
        <w:t>2,860</w:t>
      </w:r>
      <w:r w:rsidRPr="007B78CF">
        <w:rPr>
          <w:rFonts w:ascii="微軟正黑體" w:eastAsia="微軟正黑體" w:hAnsi="微軟正黑體"/>
          <w:bCs/>
          <w:color w:val="000000" w:themeColor="text1"/>
        </w:rPr>
        <w:t>人(占5</w:t>
      </w:r>
      <w:r w:rsidRPr="007B78CF">
        <w:rPr>
          <w:rFonts w:ascii="微軟正黑體" w:eastAsia="微軟正黑體" w:hAnsi="微軟正黑體" w:hint="eastAsia"/>
          <w:bCs/>
          <w:color w:val="000000" w:themeColor="text1"/>
        </w:rPr>
        <w:t>7.9</w:t>
      </w:r>
      <w:r w:rsidRPr="007B78CF">
        <w:rPr>
          <w:rFonts w:ascii="微軟正黑體" w:eastAsia="微軟正黑體" w:hAnsi="微軟正黑體"/>
          <w:bCs/>
          <w:color w:val="000000" w:themeColor="text1"/>
        </w:rPr>
        <w:t>%)，平均給付金額為</w:t>
      </w:r>
      <w:r w:rsidRPr="007B78CF">
        <w:rPr>
          <w:rFonts w:ascii="微軟正黑體" w:eastAsia="微軟正黑體" w:hAnsi="微軟正黑體" w:hint="eastAsia"/>
          <w:bCs/>
          <w:color w:val="000000" w:themeColor="text1"/>
        </w:rPr>
        <w:t>248.1</w:t>
      </w:r>
      <w:r w:rsidRPr="007B78CF">
        <w:rPr>
          <w:rFonts w:ascii="微軟正黑體" w:eastAsia="微軟正黑體" w:hAnsi="微軟正黑體"/>
          <w:bCs/>
          <w:color w:val="000000" w:themeColor="text1"/>
        </w:rPr>
        <w:t>萬元；女性有1</w:t>
      </w:r>
      <w:r w:rsidRPr="007B78CF">
        <w:rPr>
          <w:rFonts w:ascii="微軟正黑體" w:eastAsia="微軟正黑體" w:hAnsi="微軟正黑體" w:hint="eastAsia"/>
          <w:bCs/>
          <w:color w:val="000000" w:themeColor="text1"/>
        </w:rPr>
        <w:t>萬6,647</w:t>
      </w:r>
      <w:r w:rsidRPr="007B78CF">
        <w:rPr>
          <w:rFonts w:ascii="微軟正黑體" w:eastAsia="微軟正黑體" w:hAnsi="微軟正黑體"/>
          <w:bCs/>
          <w:color w:val="000000" w:themeColor="text1"/>
        </w:rPr>
        <w:t>人(占</w:t>
      </w:r>
      <w:r w:rsidRPr="007B78CF">
        <w:rPr>
          <w:rFonts w:ascii="微軟正黑體" w:eastAsia="微軟正黑體" w:hAnsi="微軟正黑體" w:hint="eastAsia"/>
          <w:bCs/>
          <w:color w:val="000000" w:themeColor="text1"/>
        </w:rPr>
        <w:t>42.1</w:t>
      </w:r>
      <w:r w:rsidRPr="007B78CF">
        <w:rPr>
          <w:rFonts w:ascii="微軟正黑體" w:eastAsia="微軟正黑體" w:hAnsi="微軟正黑體"/>
          <w:bCs/>
          <w:color w:val="000000" w:themeColor="text1"/>
        </w:rPr>
        <w:t>%)，平均給付金額為</w:t>
      </w:r>
      <w:r w:rsidRPr="007B78CF">
        <w:rPr>
          <w:rFonts w:ascii="微軟正黑體" w:eastAsia="微軟正黑體" w:hAnsi="微軟正黑體" w:hint="eastAsia"/>
          <w:bCs/>
          <w:color w:val="000000" w:themeColor="text1"/>
        </w:rPr>
        <w:t>162.9</w:t>
      </w:r>
      <w:r w:rsidRPr="007B78CF">
        <w:rPr>
          <w:rFonts w:ascii="微軟正黑體" w:eastAsia="微軟正黑體" w:hAnsi="微軟正黑體"/>
          <w:bCs/>
          <w:color w:val="000000" w:themeColor="text1"/>
        </w:rPr>
        <w:t>萬元，僅</w:t>
      </w:r>
      <w:r w:rsidRPr="007B78CF">
        <w:rPr>
          <w:rFonts w:ascii="微軟正黑體" w:eastAsia="微軟正黑體" w:hAnsi="微軟正黑體" w:hint="eastAsia"/>
          <w:bCs/>
          <w:color w:val="000000" w:themeColor="text1"/>
        </w:rPr>
        <w:t>約為</w:t>
      </w:r>
      <w:r w:rsidRPr="007B78CF">
        <w:rPr>
          <w:rFonts w:ascii="微軟正黑體" w:eastAsia="微軟正黑體" w:hAnsi="微軟正黑體"/>
          <w:bCs/>
          <w:color w:val="000000" w:themeColor="text1"/>
        </w:rPr>
        <w:t>男性的</w:t>
      </w:r>
      <w:r w:rsidRPr="007B78CF">
        <w:rPr>
          <w:rFonts w:ascii="微軟正黑體" w:eastAsia="微軟正黑體" w:hAnsi="微軟正黑體" w:hint="eastAsia"/>
          <w:bCs/>
          <w:color w:val="000000" w:themeColor="text1"/>
        </w:rPr>
        <w:t>65.7</w:t>
      </w:r>
      <w:r w:rsidRPr="007B78CF">
        <w:rPr>
          <w:rFonts w:ascii="微軟正黑體" w:eastAsia="微軟正黑體" w:hAnsi="微軟正黑體"/>
          <w:bCs/>
          <w:color w:val="000000" w:themeColor="text1"/>
        </w:rPr>
        <w:t>%。</w:t>
      </w:r>
    </w:p>
    <w:p w:rsidR="00BD50E5" w:rsidRPr="007B78CF" w:rsidRDefault="00BD50E5" w:rsidP="00BD50E5">
      <w:pPr>
        <w:snapToGrid w:val="0"/>
        <w:spacing w:beforeLines="30" w:before="108" w:afterLines="30" w:after="108" w:line="400" w:lineRule="exact"/>
        <w:ind w:leftChars="236" w:left="566"/>
        <w:jc w:val="both"/>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由歷年給付金額觀之，</w:t>
      </w:r>
      <w:r w:rsidRPr="007B78CF">
        <w:rPr>
          <w:rFonts w:ascii="微軟正黑體" w:eastAsia="微軟正黑體" w:hAnsi="微軟正黑體"/>
          <w:bCs/>
          <w:color w:val="000000" w:themeColor="text1"/>
        </w:rPr>
        <w:t>勞退舊制自73年</w:t>
      </w:r>
      <w:r w:rsidRPr="007B78CF">
        <w:rPr>
          <w:rFonts w:ascii="微軟正黑體" w:eastAsia="微軟正黑體" w:hAnsi="微軟正黑體" w:hint="eastAsia"/>
          <w:bCs/>
          <w:color w:val="000000" w:themeColor="text1"/>
        </w:rPr>
        <w:t>8</w:t>
      </w:r>
      <w:r w:rsidRPr="007B78CF">
        <w:rPr>
          <w:rFonts w:ascii="微軟正黑體" w:eastAsia="微軟正黑體" w:hAnsi="微軟正黑體"/>
          <w:bCs/>
          <w:color w:val="000000" w:themeColor="text1"/>
        </w:rPr>
        <w:t>月1日起實施，76年起適用之勞工按本制度規定退休，平均給付金額由76年的42.3萬元，至10</w:t>
      </w:r>
      <w:r w:rsidRPr="007B78CF">
        <w:rPr>
          <w:rFonts w:ascii="微軟正黑體" w:eastAsia="微軟正黑體" w:hAnsi="微軟正黑體" w:hint="eastAsia"/>
          <w:bCs/>
          <w:color w:val="000000" w:themeColor="text1"/>
        </w:rPr>
        <w:t>9</w:t>
      </w:r>
      <w:r w:rsidRPr="007B78CF">
        <w:rPr>
          <w:rFonts w:ascii="微軟正黑體" w:eastAsia="微軟正黑體" w:hAnsi="微軟正黑體"/>
          <w:bCs/>
          <w:color w:val="000000" w:themeColor="text1"/>
        </w:rPr>
        <w:t>年已倍增至</w:t>
      </w:r>
      <w:r w:rsidRPr="007B78CF">
        <w:rPr>
          <w:rFonts w:ascii="微軟正黑體" w:eastAsia="微軟正黑體" w:hAnsi="微軟正黑體" w:hint="eastAsia"/>
          <w:bCs/>
          <w:color w:val="000000" w:themeColor="text1"/>
        </w:rPr>
        <w:t>212.2</w:t>
      </w:r>
      <w:r w:rsidRPr="007B78CF">
        <w:rPr>
          <w:rFonts w:ascii="微軟正黑體" w:eastAsia="微軟正黑體" w:hAnsi="微軟正黑體"/>
          <w:bCs/>
          <w:color w:val="000000" w:themeColor="text1"/>
        </w:rPr>
        <w:t>萬元，惟女性勞工之平均給付金額歷年皆</w:t>
      </w:r>
      <w:r w:rsidRPr="007B78CF">
        <w:rPr>
          <w:rFonts w:ascii="微軟正黑體" w:eastAsia="微軟正黑體" w:hAnsi="微軟正黑體" w:hint="eastAsia"/>
          <w:bCs/>
          <w:color w:val="000000" w:themeColor="text1"/>
        </w:rPr>
        <w:t>低於</w:t>
      </w:r>
      <w:r w:rsidRPr="007B78CF">
        <w:rPr>
          <w:rFonts w:ascii="微軟正黑體" w:eastAsia="微軟正黑體" w:hAnsi="微軟正黑體"/>
          <w:bCs/>
          <w:color w:val="000000" w:themeColor="text1"/>
        </w:rPr>
        <w:t>全體平均。</w:t>
      </w:r>
    </w:p>
    <w:p w:rsidR="00BD50E5" w:rsidRPr="007B78CF" w:rsidRDefault="00BD50E5" w:rsidP="00BD50E5">
      <w:pPr>
        <w:snapToGrid w:val="0"/>
        <w:spacing w:before="50" w:line="400" w:lineRule="exact"/>
        <w:ind w:leftChars="177" w:left="425"/>
        <w:jc w:val="both"/>
        <w:rPr>
          <w:rFonts w:ascii="微軟正黑體" w:eastAsia="微軟正黑體" w:hAnsi="微軟正黑體"/>
          <w:bCs/>
          <w:color w:val="000000" w:themeColor="text1"/>
        </w:rPr>
      </w:pPr>
      <w:r w:rsidRPr="007B78CF">
        <w:rPr>
          <w:noProof/>
          <w:color w:val="000000" w:themeColor="text1"/>
        </w:rPr>
        <w:drawing>
          <wp:anchor distT="0" distB="0" distL="114300" distR="114300" simplePos="0" relativeHeight="252625920" behindDoc="0" locked="0" layoutInCell="1" allowOverlap="1" wp14:anchorId="71099778" wp14:editId="1804D945">
            <wp:simplePos x="0" y="0"/>
            <wp:positionH relativeFrom="column">
              <wp:posOffset>264341</wp:posOffset>
            </wp:positionH>
            <wp:positionV relativeFrom="paragraph">
              <wp:posOffset>73840</wp:posOffset>
            </wp:positionV>
            <wp:extent cx="5529943" cy="3341915"/>
            <wp:effectExtent l="0" t="0" r="13970" b="11430"/>
            <wp:wrapNone/>
            <wp:docPr id="281" name="圖表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page">
              <wp14:pctWidth>0</wp14:pctWidth>
            </wp14:sizeRelH>
            <wp14:sizeRelV relativeFrom="page">
              <wp14:pctHeight>0</wp14:pctHeight>
            </wp14:sizeRelV>
          </wp:anchor>
        </w:drawing>
      </w:r>
    </w:p>
    <w:p w:rsidR="00BD50E5" w:rsidRPr="007B78CF" w:rsidRDefault="00BD50E5" w:rsidP="00BD50E5">
      <w:pPr>
        <w:snapToGrid w:val="0"/>
        <w:spacing w:before="5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5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5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5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5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5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5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5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spacing w:beforeLines="50" w:before="180" w:line="400" w:lineRule="exact"/>
        <w:jc w:val="center"/>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圖</w:t>
      </w:r>
      <w:r w:rsidRPr="007B78CF">
        <w:rPr>
          <w:rFonts w:ascii="微軟正黑體" w:eastAsia="微軟正黑體" w:hAnsi="微軟正黑體" w:hint="eastAsia"/>
          <w:bCs/>
          <w:color w:val="000000" w:themeColor="text1"/>
        </w:rPr>
        <w:t xml:space="preserve">3.1 </w:t>
      </w:r>
      <w:r w:rsidRPr="007B78CF">
        <w:rPr>
          <w:rFonts w:ascii="微軟正黑體" w:eastAsia="微軟正黑體" w:hAnsi="微軟正黑體"/>
          <w:bCs/>
          <w:color w:val="000000" w:themeColor="text1"/>
        </w:rPr>
        <w:t xml:space="preserve"> 歷年勞退舊制平均給付金額</w:t>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按性別分</w:t>
      </w:r>
      <w:r w:rsidRPr="007B78CF">
        <w:rPr>
          <w:rFonts w:ascii="微軟正黑體" w:eastAsia="微軟正黑體" w:hAnsi="微軟正黑體" w:hint="eastAsia"/>
          <w:bCs/>
          <w:color w:val="000000" w:themeColor="text1"/>
        </w:rPr>
        <w:t>)</w:t>
      </w: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ind w:firstLineChars="100" w:firstLine="240"/>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lastRenderedPageBreak/>
        <w:t xml:space="preserve">3. </w:t>
      </w:r>
      <w:r w:rsidRPr="007B78CF">
        <w:rPr>
          <w:rFonts w:ascii="微軟正黑體" w:eastAsia="微軟正黑體" w:hAnsi="微軟正黑體"/>
          <w:bCs/>
          <w:color w:val="000000" w:themeColor="text1"/>
        </w:rPr>
        <w:t>財務概況</w:t>
      </w:r>
    </w:p>
    <w:p w:rsidR="00BD50E5" w:rsidRPr="007B78CF" w:rsidRDefault="00BD50E5" w:rsidP="00BD50E5">
      <w:pPr>
        <w:snapToGrid w:val="0"/>
        <w:spacing w:beforeLines="30" w:before="108" w:line="400" w:lineRule="exact"/>
        <w:ind w:firstLineChars="200" w:firstLine="480"/>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(1) </w:t>
      </w:r>
      <w:r w:rsidRPr="007B78CF">
        <w:rPr>
          <w:rFonts w:ascii="微軟正黑體" w:eastAsia="微軟正黑體" w:hAnsi="微軟正黑體"/>
          <w:bCs/>
          <w:color w:val="000000" w:themeColor="text1"/>
        </w:rPr>
        <w:t>基金概況</w:t>
      </w:r>
    </w:p>
    <w:p w:rsidR="00BD50E5" w:rsidRPr="007B78CF" w:rsidRDefault="00BD50E5" w:rsidP="00BD50E5">
      <w:pPr>
        <w:snapToGrid w:val="0"/>
        <w:spacing w:beforeLines="30" w:before="108" w:line="400" w:lineRule="exact"/>
        <w:ind w:leftChars="267" w:left="881" w:hangingChars="100" w:hanging="240"/>
        <w:jc w:val="both"/>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 xml:space="preserve">     </w:t>
      </w:r>
      <w:r w:rsidRPr="007B78CF">
        <w:rPr>
          <w:rFonts w:ascii="微軟正黑體" w:eastAsia="微軟正黑體" w:hAnsi="微軟正黑體"/>
          <w:bCs/>
          <w:color w:val="000000" w:themeColor="text1"/>
        </w:rPr>
        <w:t>至10</w:t>
      </w:r>
      <w:r w:rsidRPr="007B78CF">
        <w:rPr>
          <w:rFonts w:ascii="微軟正黑體" w:eastAsia="微軟正黑體" w:hAnsi="微軟正黑體" w:hint="eastAsia"/>
          <w:bCs/>
          <w:color w:val="000000" w:themeColor="text1"/>
        </w:rPr>
        <w:t>9</w:t>
      </w:r>
      <w:r w:rsidRPr="007B78CF">
        <w:rPr>
          <w:rFonts w:ascii="微軟正黑體" w:eastAsia="微軟正黑體" w:hAnsi="微軟正黑體"/>
          <w:bCs/>
          <w:color w:val="000000" w:themeColor="text1"/>
        </w:rPr>
        <w:t>年底舊制勞退基金</w:t>
      </w:r>
      <w:r w:rsidRPr="00E039FA">
        <w:rPr>
          <w:rFonts w:ascii="微軟正黑體" w:eastAsia="微軟正黑體" w:hAnsi="微軟正黑體"/>
          <w:bCs/>
          <w:color w:val="000000" w:themeColor="text1"/>
        </w:rPr>
        <w:t>運用</w:t>
      </w:r>
      <w:r w:rsidRPr="007B78CF">
        <w:rPr>
          <w:rFonts w:ascii="微軟正黑體" w:eastAsia="微軟正黑體" w:hAnsi="微軟正黑體"/>
          <w:bCs/>
          <w:color w:val="000000" w:themeColor="text1"/>
        </w:rPr>
        <w:t>餘額為</w:t>
      </w:r>
      <w:r w:rsidRPr="007B78CF">
        <w:rPr>
          <w:rFonts w:ascii="微軟正黑體" w:eastAsia="微軟正黑體" w:hAnsi="微軟正黑體" w:hint="eastAsia"/>
          <w:bCs/>
          <w:color w:val="000000" w:themeColor="text1"/>
        </w:rPr>
        <w:t>8,975.5</w:t>
      </w:r>
      <w:r w:rsidRPr="007B78CF">
        <w:rPr>
          <w:rFonts w:ascii="微軟正黑體" w:eastAsia="微軟正黑體" w:hAnsi="微軟正黑體"/>
          <w:bCs/>
          <w:color w:val="000000" w:themeColor="text1"/>
        </w:rPr>
        <w:t>億元，歷年累積情形如下</w:t>
      </w:r>
      <w:r w:rsidRPr="007B78CF">
        <w:rPr>
          <w:rFonts w:ascii="微軟正黑體" w:eastAsia="微軟正黑體" w:hAnsi="微軟正黑體" w:hint="eastAsia"/>
          <w:bCs/>
          <w:color w:val="000000" w:themeColor="text1"/>
        </w:rPr>
        <w:t>表。另因勞動基準法於104年2月4日增訂第56條第2項規定，雇主須於每年年度終了前，估算勞工退休金準備專戶餘額，如該餘額不足給付次一年度成就退休條件勞工之退休金，雇主應於次年3月底前一次補足差額，故105年提存金額大幅增加，此後又再度下降。</w:t>
      </w:r>
    </w:p>
    <w:p w:rsidR="00BD50E5" w:rsidRPr="007B78CF" w:rsidRDefault="00BD50E5" w:rsidP="00BD50E5">
      <w:pPr>
        <w:snapToGrid w:val="0"/>
        <w:spacing w:beforeLines="50" w:before="180" w:afterLines="20" w:after="72" w:line="400" w:lineRule="exact"/>
        <w:jc w:val="center"/>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 xml:space="preserve">       </w:t>
      </w:r>
      <w:r w:rsidRPr="007B78CF">
        <w:rPr>
          <w:rFonts w:ascii="微軟正黑體" w:eastAsia="微軟正黑體" w:hAnsi="微軟正黑體"/>
          <w:bCs/>
          <w:color w:val="000000" w:themeColor="text1"/>
        </w:rPr>
        <w:t>表</w:t>
      </w:r>
      <w:r w:rsidRPr="007B78CF">
        <w:rPr>
          <w:rFonts w:ascii="微軟正黑體" w:eastAsia="微軟正黑體" w:hAnsi="微軟正黑體" w:hint="eastAsia"/>
          <w:bCs/>
          <w:color w:val="000000" w:themeColor="text1"/>
        </w:rPr>
        <w:t>3.1</w:t>
      </w: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 xml:space="preserve"> 歷年</w:t>
      </w:r>
      <w:r w:rsidRPr="007B78CF">
        <w:rPr>
          <w:rFonts w:ascii="微軟正黑體" w:eastAsia="微軟正黑體" w:hAnsi="微軟正黑體"/>
          <w:bCs/>
          <w:color w:val="000000" w:themeColor="text1"/>
        </w:rPr>
        <w:t>勞退舊制</w:t>
      </w:r>
      <w:r w:rsidRPr="007B78CF">
        <w:rPr>
          <w:rFonts w:ascii="微軟正黑體" w:eastAsia="微軟正黑體" w:hAnsi="微軟正黑體" w:hint="eastAsia"/>
          <w:bCs/>
          <w:color w:val="000000" w:themeColor="text1"/>
        </w:rPr>
        <w:t>基金</w:t>
      </w:r>
      <w:r w:rsidRPr="007B78CF">
        <w:rPr>
          <w:rFonts w:ascii="微軟正黑體" w:eastAsia="微軟正黑體" w:hAnsi="微軟正黑體"/>
          <w:bCs/>
          <w:color w:val="000000" w:themeColor="text1"/>
        </w:rPr>
        <w:t xml:space="preserve">提撥概況  </w:t>
      </w:r>
      <w:r w:rsidRPr="007B78CF">
        <w:rPr>
          <w:rFonts w:ascii="微軟正黑體" w:eastAsia="微軟正黑體" w:hAnsi="微軟正黑體" w:hint="eastAsia"/>
          <w:bCs/>
          <w:color w:val="000000" w:themeColor="text1"/>
        </w:rPr>
        <w:t xml:space="preserve">      </w:t>
      </w:r>
      <w:r w:rsidRPr="007B78CF">
        <w:rPr>
          <w:rFonts w:ascii="微軟正黑體" w:eastAsia="微軟正黑體" w:hAnsi="微軟正黑體"/>
          <w:bCs/>
          <w:color w:val="000000" w:themeColor="text1"/>
          <w:sz w:val="20"/>
          <w:szCs w:val="20"/>
        </w:rPr>
        <w:t>單位：億元</w:t>
      </w:r>
      <w:r w:rsidRPr="007B78CF">
        <w:rPr>
          <w:rFonts w:ascii="微軟正黑體" w:eastAsia="微軟正黑體" w:hAnsi="微軟正黑體" w:hint="eastAsia"/>
          <w:bCs/>
          <w:color w:val="000000" w:themeColor="text1"/>
        </w:rPr>
        <w:t xml:space="preserve"> </w:t>
      </w:r>
    </w:p>
    <w:tbl>
      <w:tblPr>
        <w:tblW w:w="8936" w:type="dxa"/>
        <w:jc w:val="center"/>
        <w:tblInd w:w="164" w:type="dxa"/>
        <w:tblCellMar>
          <w:left w:w="28" w:type="dxa"/>
          <w:right w:w="28" w:type="dxa"/>
        </w:tblCellMar>
        <w:tblLook w:val="04A0" w:firstRow="1" w:lastRow="0" w:firstColumn="1" w:lastColumn="0" w:noHBand="0" w:noVBand="1"/>
      </w:tblPr>
      <w:tblGrid>
        <w:gridCol w:w="929"/>
        <w:gridCol w:w="1487"/>
        <w:gridCol w:w="1276"/>
        <w:gridCol w:w="1842"/>
        <w:gridCol w:w="1701"/>
        <w:gridCol w:w="1701"/>
      </w:tblGrid>
      <w:tr w:rsidR="00BD50E5" w:rsidRPr="007B78CF" w:rsidTr="008F1977">
        <w:trPr>
          <w:trHeight w:val="649"/>
          <w:tblHeader/>
          <w:jc w:val="center"/>
        </w:trPr>
        <w:tc>
          <w:tcPr>
            <w:tcW w:w="9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年度</w:t>
            </w:r>
          </w:p>
        </w:tc>
        <w:tc>
          <w:tcPr>
            <w:tcW w:w="1487" w:type="dxa"/>
            <w:tcBorders>
              <w:top w:val="single" w:sz="4" w:space="0" w:color="000000"/>
              <w:left w:val="nil"/>
              <w:bottom w:val="single" w:sz="4" w:space="0" w:color="000000"/>
              <w:right w:val="single" w:sz="4" w:space="0" w:color="000000"/>
            </w:tcBorders>
            <w:shd w:val="clear" w:color="auto" w:fill="auto"/>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提存金額</w:t>
            </w:r>
          </w:p>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w:t>
            </w:r>
            <w:r w:rsidRPr="007B78CF">
              <w:rPr>
                <w:rFonts w:ascii="微軟正黑體" w:eastAsia="微軟正黑體" w:hAnsi="微軟正黑體" w:hint="eastAsia"/>
                <w:color w:val="000000" w:themeColor="text1"/>
                <w:kern w:val="0"/>
                <w:sz w:val="22"/>
                <w:szCs w:val="22"/>
              </w:rPr>
              <w:t>含孳息、收益</w:t>
            </w:r>
            <w:r w:rsidRPr="007B78CF">
              <w:rPr>
                <w:rFonts w:ascii="微軟正黑體" w:eastAsia="微軟正黑體" w:hAnsi="微軟正黑體"/>
                <w:color w:val="000000" w:themeColor="text1"/>
                <w:kern w:val="0"/>
                <w:sz w:val="22"/>
                <w:szCs w:val="22"/>
              </w:rPr>
              <w:t>)</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撥發金額</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 xml:space="preserve">累計提存金額  </w:t>
            </w:r>
            <w:r w:rsidRPr="007B78CF">
              <w:rPr>
                <w:rFonts w:ascii="微軟正黑體" w:eastAsia="微軟正黑體" w:hAnsi="微軟正黑體"/>
                <w:color w:val="000000" w:themeColor="text1"/>
                <w:kern w:val="0"/>
                <w:sz w:val="22"/>
                <w:szCs w:val="22"/>
              </w:rPr>
              <w:t>(</w:t>
            </w:r>
            <w:r w:rsidRPr="007B78CF">
              <w:rPr>
                <w:rFonts w:ascii="微軟正黑體" w:eastAsia="微軟正黑體" w:hAnsi="微軟正黑體" w:hint="eastAsia"/>
                <w:color w:val="000000" w:themeColor="text1"/>
                <w:kern w:val="0"/>
                <w:sz w:val="22"/>
                <w:szCs w:val="22"/>
              </w:rPr>
              <w:t>含孳息、收益</w:t>
            </w:r>
            <w:r w:rsidRPr="007B78CF">
              <w:rPr>
                <w:rFonts w:ascii="微軟正黑體" w:eastAsia="微軟正黑體" w:hAnsi="微軟正黑體"/>
                <w:color w:val="000000" w:themeColor="text1"/>
                <w:kern w:val="0"/>
                <w:sz w:val="22"/>
                <w:szCs w:val="22"/>
              </w:rPr>
              <w:t>)</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累計撥發金額</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基金運用餘額</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90</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688.8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387.8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4,969.9</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2,520.2</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2,613.9</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91</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688.2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365.6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5,658.1</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2,885.8</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2,930.5</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92</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665.0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324.3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6,323.1</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3,179.4</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3,293.3</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93</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700.1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284.3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7,023.2</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3,463.6</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3,738.5</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94</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683.6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424.2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7,706.8</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3,887.9</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3,917.4</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95</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659.8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398.2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8,366.6</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4,286.1</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4,201.1</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96</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672.2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402.9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9,038.8</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4,689.0</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4,589.9</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97</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738.6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437.7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9,777.4</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5,126.7</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4,716.2</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98</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705.4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448.7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10,482.8</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5,575.4</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4,968.3</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99</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683.1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318.7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11,165.9</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5,894.1</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5,378.1</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100</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561.7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325.0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11,727.6</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6,219.1</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5,621.3</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101</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562.7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395.7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12,290.3</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6,614.8</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5,800.5</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102</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570.5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515.6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12,860.8</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7,130.4</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6,016.2</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103</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652.0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587.2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13,512.8 </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7,717.6 </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6,310.4 </w:t>
            </w:r>
          </w:p>
        </w:tc>
      </w:tr>
      <w:tr w:rsidR="00BD50E5" w:rsidRPr="007B78CF" w:rsidTr="008F1977">
        <w:trPr>
          <w:trHeight w:val="330"/>
          <w:jc w:val="center"/>
        </w:trPr>
        <w:tc>
          <w:tcPr>
            <w:tcW w:w="929" w:type="dxa"/>
            <w:tcBorders>
              <w:top w:val="nil"/>
              <w:left w:val="single" w:sz="4" w:space="0" w:color="000000"/>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104</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836.4 </w:t>
            </w:r>
          </w:p>
        </w:tc>
        <w:tc>
          <w:tcPr>
            <w:tcW w:w="1276"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611.1 </w:t>
            </w:r>
          </w:p>
        </w:tc>
        <w:tc>
          <w:tcPr>
            <w:tcW w:w="1842"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14,349.2 </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8,328.7 </w:t>
            </w:r>
          </w:p>
        </w:tc>
        <w:tc>
          <w:tcPr>
            <w:tcW w:w="1701" w:type="dxa"/>
            <w:tcBorders>
              <w:top w:val="nil"/>
              <w:left w:val="nil"/>
              <w:bottom w:val="single" w:sz="4" w:space="0" w:color="000000"/>
              <w:right w:val="single" w:sz="4" w:space="0" w:color="000000"/>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6,594.7 </w:t>
            </w:r>
          </w:p>
        </w:tc>
      </w:tr>
      <w:tr w:rsidR="00BD50E5" w:rsidRPr="007B78CF" w:rsidTr="008F1977">
        <w:trPr>
          <w:trHeight w:val="330"/>
          <w:jc w:val="center"/>
        </w:trPr>
        <w:tc>
          <w:tcPr>
            <w:tcW w:w="929" w:type="dxa"/>
            <w:tcBorders>
              <w:top w:val="nil"/>
              <w:left w:val="single" w:sz="4" w:space="0" w:color="000000"/>
              <w:bottom w:val="single" w:sz="4" w:space="0" w:color="auto"/>
              <w:right w:val="single" w:sz="4" w:space="0" w:color="000000"/>
            </w:tcBorders>
            <w:shd w:val="clear" w:color="000000" w:fill="FFFFFF"/>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105</w:t>
            </w:r>
            <w:r w:rsidRPr="007B78CF">
              <w:rPr>
                <w:rFonts w:ascii="微軟正黑體" w:eastAsia="微軟正黑體" w:hAnsi="微軟正黑體" w:hint="eastAsia"/>
                <w:color w:val="000000" w:themeColor="text1"/>
                <w:kern w:val="0"/>
                <w:sz w:val="22"/>
                <w:szCs w:val="22"/>
              </w:rPr>
              <w:t>年</w:t>
            </w:r>
          </w:p>
        </w:tc>
        <w:tc>
          <w:tcPr>
            <w:tcW w:w="1487" w:type="dxa"/>
            <w:tcBorders>
              <w:top w:val="nil"/>
              <w:left w:val="nil"/>
              <w:bottom w:val="single" w:sz="4" w:space="0" w:color="auto"/>
              <w:right w:val="single" w:sz="4" w:space="0" w:color="000000"/>
            </w:tcBorders>
            <w:shd w:val="clear" w:color="000000" w:fill="FFFFFF"/>
            <w:noWrap/>
            <w:vAlign w:val="center"/>
            <w:hideMark/>
          </w:tcPr>
          <w:p w:rsidR="00BD50E5" w:rsidRPr="007B78CF" w:rsidRDefault="00BD50E5" w:rsidP="008F1977">
            <w:pPr>
              <w:widowControl/>
              <w:spacing w:line="380" w:lineRule="exact"/>
              <w:jc w:val="right"/>
              <w:rPr>
                <w:rFonts w:ascii="微軟正黑體" w:eastAsia="微軟正黑體" w:hAnsi="微軟正黑體"/>
                <w:b/>
                <w:color w:val="000000" w:themeColor="text1"/>
                <w:kern w:val="0"/>
                <w:sz w:val="22"/>
                <w:szCs w:val="22"/>
              </w:rPr>
            </w:pPr>
            <w:r w:rsidRPr="007B78CF">
              <w:rPr>
                <w:rFonts w:ascii="微軟正黑體" w:eastAsia="微軟正黑體" w:hAnsi="微軟正黑體"/>
                <w:b/>
                <w:color w:val="000000" w:themeColor="text1"/>
                <w:kern w:val="0"/>
                <w:sz w:val="22"/>
                <w:szCs w:val="22"/>
              </w:rPr>
              <w:t>2</w:t>
            </w:r>
            <w:r w:rsidRPr="007B78CF">
              <w:rPr>
                <w:rFonts w:ascii="微軟正黑體" w:eastAsia="微軟正黑體" w:hAnsi="微軟正黑體" w:hint="eastAsia"/>
                <w:b/>
                <w:color w:val="000000" w:themeColor="text1"/>
                <w:kern w:val="0"/>
                <w:sz w:val="22"/>
                <w:szCs w:val="22"/>
              </w:rPr>
              <w:t>,</w:t>
            </w:r>
            <w:r w:rsidRPr="007B78CF">
              <w:rPr>
                <w:rFonts w:ascii="微軟正黑體" w:eastAsia="微軟正黑體" w:hAnsi="微軟正黑體"/>
                <w:b/>
                <w:color w:val="000000" w:themeColor="text1"/>
                <w:kern w:val="0"/>
                <w:sz w:val="22"/>
                <w:szCs w:val="22"/>
              </w:rPr>
              <w:t xml:space="preserve">265.2 </w:t>
            </w:r>
          </w:p>
        </w:tc>
        <w:tc>
          <w:tcPr>
            <w:tcW w:w="1276" w:type="dxa"/>
            <w:tcBorders>
              <w:top w:val="nil"/>
              <w:left w:val="nil"/>
              <w:bottom w:val="single" w:sz="4" w:space="0" w:color="auto"/>
              <w:right w:val="single" w:sz="4" w:space="0" w:color="000000"/>
            </w:tcBorders>
            <w:shd w:val="clear" w:color="000000" w:fill="FFFFFF"/>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755.5 </w:t>
            </w:r>
          </w:p>
        </w:tc>
        <w:tc>
          <w:tcPr>
            <w:tcW w:w="1842" w:type="dxa"/>
            <w:tcBorders>
              <w:top w:val="nil"/>
              <w:left w:val="nil"/>
              <w:bottom w:val="single" w:sz="4" w:space="0" w:color="auto"/>
              <w:right w:val="single" w:sz="4" w:space="0" w:color="000000"/>
            </w:tcBorders>
            <w:shd w:val="clear" w:color="000000" w:fill="FFFFFF"/>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16,614.4 </w:t>
            </w:r>
          </w:p>
        </w:tc>
        <w:tc>
          <w:tcPr>
            <w:tcW w:w="1701" w:type="dxa"/>
            <w:tcBorders>
              <w:top w:val="nil"/>
              <w:left w:val="nil"/>
              <w:bottom w:val="single" w:sz="4" w:space="0" w:color="auto"/>
              <w:right w:val="single" w:sz="4" w:space="0" w:color="000000"/>
            </w:tcBorders>
            <w:shd w:val="clear" w:color="000000" w:fill="FFFFFF"/>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9,084.2 </w:t>
            </w:r>
          </w:p>
        </w:tc>
        <w:tc>
          <w:tcPr>
            <w:tcW w:w="1701" w:type="dxa"/>
            <w:tcBorders>
              <w:top w:val="nil"/>
              <w:left w:val="nil"/>
              <w:bottom w:val="single" w:sz="4" w:space="0" w:color="auto"/>
              <w:right w:val="single" w:sz="4" w:space="0" w:color="000000"/>
            </w:tcBorders>
            <w:shd w:val="clear" w:color="000000" w:fill="FFFFFF"/>
            <w:noWrap/>
            <w:vAlign w:val="center"/>
            <w:hideMark/>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8,183.8 </w:t>
            </w:r>
          </w:p>
        </w:tc>
      </w:tr>
      <w:tr w:rsidR="00BD50E5" w:rsidRPr="007B78CF" w:rsidTr="008F1977">
        <w:trPr>
          <w:trHeight w:val="330"/>
          <w:jc w:val="center"/>
        </w:trPr>
        <w:tc>
          <w:tcPr>
            <w:tcW w:w="929" w:type="dxa"/>
            <w:tcBorders>
              <w:top w:val="single" w:sz="4" w:space="0" w:color="auto"/>
              <w:left w:val="single" w:sz="4" w:space="0" w:color="000000"/>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106年</w:t>
            </w:r>
          </w:p>
        </w:tc>
        <w:tc>
          <w:tcPr>
            <w:tcW w:w="1487"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1,127.6</w:t>
            </w:r>
          </w:p>
        </w:tc>
        <w:tc>
          <w:tcPr>
            <w:tcW w:w="1276"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833.7</w:t>
            </w:r>
          </w:p>
        </w:tc>
        <w:tc>
          <w:tcPr>
            <w:tcW w:w="1842"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17,742.0</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9,917.9</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8,687.0</w:t>
            </w:r>
          </w:p>
        </w:tc>
      </w:tr>
      <w:tr w:rsidR="00BD50E5" w:rsidRPr="007B78CF" w:rsidTr="008F1977">
        <w:trPr>
          <w:trHeight w:val="330"/>
          <w:jc w:val="center"/>
        </w:trPr>
        <w:tc>
          <w:tcPr>
            <w:tcW w:w="929" w:type="dxa"/>
            <w:tcBorders>
              <w:top w:val="single" w:sz="4" w:space="0" w:color="auto"/>
              <w:left w:val="single" w:sz="4" w:space="0" w:color="000000"/>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107年</w:t>
            </w:r>
          </w:p>
        </w:tc>
        <w:tc>
          <w:tcPr>
            <w:tcW w:w="1487"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1,234.2</w:t>
            </w:r>
          </w:p>
        </w:tc>
        <w:tc>
          <w:tcPr>
            <w:tcW w:w="1276"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827.8</w:t>
            </w:r>
          </w:p>
        </w:tc>
        <w:tc>
          <w:tcPr>
            <w:tcW w:w="1842"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18,976.3</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10,745.7</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9,258.3</w:t>
            </w:r>
          </w:p>
        </w:tc>
      </w:tr>
      <w:tr w:rsidR="00BD50E5" w:rsidRPr="007B78CF" w:rsidTr="008F1977">
        <w:trPr>
          <w:trHeight w:val="330"/>
          <w:jc w:val="center"/>
        </w:trPr>
        <w:tc>
          <w:tcPr>
            <w:tcW w:w="929" w:type="dxa"/>
            <w:tcBorders>
              <w:top w:val="single" w:sz="4" w:space="0" w:color="auto"/>
              <w:left w:val="single" w:sz="4" w:space="0" w:color="000000"/>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108年</w:t>
            </w:r>
          </w:p>
        </w:tc>
        <w:tc>
          <w:tcPr>
            <w:tcW w:w="1487"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1,109.7</w:t>
            </w:r>
          </w:p>
        </w:tc>
        <w:tc>
          <w:tcPr>
            <w:tcW w:w="1276"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880.0</w:t>
            </w:r>
          </w:p>
        </w:tc>
        <w:tc>
          <w:tcPr>
            <w:tcW w:w="1842"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20,085.9</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11,625.7</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9,425.3</w:t>
            </w:r>
          </w:p>
        </w:tc>
      </w:tr>
      <w:tr w:rsidR="00BD50E5" w:rsidRPr="007B78CF" w:rsidTr="008F1977">
        <w:trPr>
          <w:trHeight w:val="330"/>
          <w:jc w:val="center"/>
        </w:trPr>
        <w:tc>
          <w:tcPr>
            <w:tcW w:w="929" w:type="dxa"/>
            <w:tcBorders>
              <w:top w:val="single" w:sz="4" w:space="0" w:color="auto"/>
              <w:left w:val="single" w:sz="4" w:space="0" w:color="000000"/>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109年</w:t>
            </w:r>
          </w:p>
        </w:tc>
        <w:tc>
          <w:tcPr>
            <w:tcW w:w="1487"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1,026.1</w:t>
            </w:r>
          </w:p>
        </w:tc>
        <w:tc>
          <w:tcPr>
            <w:tcW w:w="1276"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1,297.7</w:t>
            </w:r>
          </w:p>
        </w:tc>
        <w:tc>
          <w:tcPr>
            <w:tcW w:w="1842"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21,112.1</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12,923.4</w:t>
            </w:r>
          </w:p>
        </w:tc>
        <w:tc>
          <w:tcPr>
            <w:tcW w:w="1701" w:type="dxa"/>
            <w:tcBorders>
              <w:top w:val="single" w:sz="4" w:space="0" w:color="auto"/>
              <w:left w:val="nil"/>
              <w:bottom w:val="single" w:sz="4" w:space="0" w:color="auto"/>
              <w:right w:val="single" w:sz="4" w:space="0" w:color="000000"/>
            </w:tcBorders>
            <w:shd w:val="clear" w:color="000000" w:fill="FFFFFF"/>
            <w:noWrap/>
            <w:vAlign w:val="center"/>
          </w:tcPr>
          <w:p w:rsidR="00BD50E5" w:rsidRPr="007B78CF" w:rsidRDefault="00BD50E5" w:rsidP="008F1977">
            <w:pPr>
              <w:widowControl/>
              <w:spacing w:line="38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8,975.5</w:t>
            </w:r>
          </w:p>
        </w:tc>
      </w:tr>
    </w:tbl>
    <w:p w:rsidR="00BD50E5" w:rsidRPr="007B78CF" w:rsidRDefault="00BD50E5" w:rsidP="00BD50E5">
      <w:pPr>
        <w:tabs>
          <w:tab w:val="left" w:pos="490"/>
          <w:tab w:val="left" w:pos="567"/>
          <w:tab w:val="left" w:pos="851"/>
        </w:tabs>
        <w:snapToGrid w:val="0"/>
        <w:spacing w:beforeLines="100" w:before="360" w:line="400" w:lineRule="exact"/>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w:t>
      </w:r>
      <w:r w:rsidRPr="007B78CF">
        <w:rPr>
          <w:rFonts w:ascii="微軟正黑體" w:eastAsia="微軟正黑體" w:hAnsi="微軟正黑體"/>
          <w:bCs/>
          <w:color w:val="000000" w:themeColor="text1"/>
        </w:rPr>
        <w:t>2</w:t>
      </w:r>
      <w:r w:rsidRPr="007B78CF">
        <w:rPr>
          <w:rFonts w:ascii="微軟正黑體" w:eastAsia="微軟正黑體" w:hAnsi="微軟正黑體" w:hint="eastAsia"/>
          <w:bCs/>
          <w:color w:val="000000" w:themeColor="text1"/>
        </w:rPr>
        <w:t xml:space="preserve">) </w:t>
      </w:r>
      <w:r w:rsidRPr="007B78CF">
        <w:rPr>
          <w:rFonts w:ascii="微軟正黑體" w:eastAsia="微軟正黑體" w:hAnsi="微軟正黑體"/>
          <w:bCs/>
          <w:color w:val="000000" w:themeColor="text1"/>
        </w:rPr>
        <w:t>基金運用效益</w:t>
      </w:r>
    </w:p>
    <w:p w:rsidR="00BD50E5" w:rsidRPr="007B78CF" w:rsidRDefault="00BD50E5" w:rsidP="00BD50E5">
      <w:pPr>
        <w:snapToGrid w:val="0"/>
        <w:spacing w:beforeLines="30" w:before="108" w:line="400" w:lineRule="exact"/>
        <w:ind w:leftChars="338" w:left="895" w:hangingChars="35" w:hanging="84"/>
        <w:jc w:val="both"/>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觀察自90年以來舊制勞工退休金運用收益情形，97年受全球金融海嘯衝擊，實際收益數為-428.3億元，收益率為-9.4%，98年則分別回升至637.6億元及13.4%，之後100年、104年及107年實際收益數及收益率為負值，其</w:t>
      </w:r>
      <w:r w:rsidRPr="007B78CF">
        <w:rPr>
          <w:rFonts w:ascii="微軟正黑體" w:eastAsia="微軟正黑體" w:hAnsi="微軟正黑體" w:hint="eastAsia"/>
          <w:bCs/>
          <w:color w:val="000000" w:themeColor="text1"/>
        </w:rPr>
        <w:lastRenderedPageBreak/>
        <w:t>餘年度均為正值</w:t>
      </w:r>
      <w:r w:rsidRPr="007B78CF">
        <w:rPr>
          <w:rFonts w:ascii="微軟正黑體" w:eastAsia="微軟正黑體" w:hAnsi="微軟正黑體" w:hint="eastAsia"/>
          <w:color w:val="000000" w:themeColor="text1"/>
        </w:rPr>
        <w:t>。</w:t>
      </w:r>
      <w:r w:rsidRPr="007B78CF">
        <w:rPr>
          <w:rFonts w:ascii="微軟正黑體" w:eastAsia="微軟正黑體" w:hAnsi="微軟正黑體"/>
          <w:bCs/>
          <w:color w:val="000000" w:themeColor="text1"/>
        </w:rPr>
        <w:t>10</w:t>
      </w:r>
      <w:r w:rsidRPr="007B78CF">
        <w:rPr>
          <w:rFonts w:ascii="微軟正黑體" w:eastAsia="微軟正黑體" w:hAnsi="微軟正黑體" w:hint="eastAsia"/>
          <w:bCs/>
          <w:color w:val="000000" w:themeColor="text1"/>
        </w:rPr>
        <w:t>9</w:t>
      </w:r>
      <w:r w:rsidRPr="007B78CF">
        <w:rPr>
          <w:rFonts w:ascii="微軟正黑體" w:eastAsia="微軟正黑體" w:hAnsi="微軟正黑體"/>
          <w:bCs/>
          <w:color w:val="000000" w:themeColor="text1"/>
        </w:rPr>
        <w:t>年度</w:t>
      </w:r>
      <w:r w:rsidRPr="007B78CF">
        <w:rPr>
          <w:rFonts w:ascii="微軟正黑體" w:eastAsia="微軟正黑體" w:hAnsi="微軟正黑體" w:hint="eastAsia"/>
          <w:bCs/>
          <w:color w:val="000000" w:themeColor="text1"/>
        </w:rPr>
        <w:t>實際收益數</w:t>
      </w:r>
      <w:r w:rsidRPr="007B78CF">
        <w:rPr>
          <w:rFonts w:ascii="微軟正黑體" w:eastAsia="微軟正黑體" w:hAnsi="微軟正黑體"/>
          <w:bCs/>
          <w:color w:val="000000" w:themeColor="text1"/>
        </w:rPr>
        <w:t>為</w:t>
      </w:r>
      <w:r w:rsidRPr="007B78CF">
        <w:rPr>
          <w:rFonts w:ascii="微軟正黑體" w:eastAsia="微軟正黑體" w:hAnsi="微軟正黑體" w:hint="eastAsia"/>
          <w:bCs/>
          <w:color w:val="000000" w:themeColor="text1"/>
        </w:rPr>
        <w:t>722.1</w:t>
      </w:r>
      <w:r w:rsidRPr="007B78CF">
        <w:rPr>
          <w:rFonts w:ascii="微軟正黑體" w:eastAsia="微軟正黑體" w:hAnsi="微軟正黑體"/>
          <w:bCs/>
          <w:color w:val="000000" w:themeColor="text1"/>
        </w:rPr>
        <w:t>億元，</w:t>
      </w:r>
      <w:r w:rsidRPr="007B78CF">
        <w:rPr>
          <w:rFonts w:ascii="微軟正黑體" w:eastAsia="微軟正黑體" w:hAnsi="微軟正黑體" w:hint="eastAsia"/>
          <w:bCs/>
          <w:color w:val="000000" w:themeColor="text1"/>
        </w:rPr>
        <w:t>實際</w:t>
      </w:r>
      <w:r w:rsidRPr="007B78CF">
        <w:rPr>
          <w:rFonts w:ascii="微軟正黑體" w:eastAsia="微軟正黑體" w:hAnsi="微軟正黑體"/>
          <w:bCs/>
          <w:color w:val="000000" w:themeColor="text1"/>
        </w:rPr>
        <w:t>收益率為</w:t>
      </w:r>
      <w:r w:rsidRPr="007B78CF">
        <w:rPr>
          <w:rFonts w:ascii="微軟正黑體" w:eastAsia="微軟正黑體" w:hAnsi="微軟正黑體" w:hint="eastAsia"/>
          <w:bCs/>
          <w:color w:val="000000" w:themeColor="text1"/>
        </w:rPr>
        <w:t>8.5</w:t>
      </w:r>
      <w:r w:rsidRPr="007B78CF">
        <w:rPr>
          <w:rFonts w:ascii="微軟正黑體" w:eastAsia="微軟正黑體" w:hAnsi="微軟正黑體"/>
          <w:bCs/>
          <w:color w:val="000000" w:themeColor="text1"/>
        </w:rPr>
        <w:t>%</w:t>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自76年</w:t>
      </w:r>
      <w:r w:rsidRPr="007B78CF">
        <w:rPr>
          <w:rFonts w:ascii="微軟正黑體" w:eastAsia="微軟正黑體" w:hAnsi="微軟正黑體" w:hint="eastAsia"/>
          <w:bCs/>
          <w:color w:val="000000" w:themeColor="text1"/>
        </w:rPr>
        <w:t>至109年</w:t>
      </w:r>
      <w:r w:rsidRPr="007B78CF">
        <w:rPr>
          <w:rFonts w:ascii="微軟正黑體" w:eastAsia="微軟正黑體" w:hAnsi="微軟正黑體"/>
          <w:bCs/>
          <w:color w:val="000000" w:themeColor="text1"/>
        </w:rPr>
        <w:t>運用淨利益為</w:t>
      </w:r>
      <w:r w:rsidRPr="007B78CF">
        <w:rPr>
          <w:rFonts w:ascii="微軟正黑體" w:eastAsia="微軟正黑體" w:hAnsi="微軟正黑體" w:hint="eastAsia"/>
          <w:bCs/>
          <w:color w:val="000000" w:themeColor="text1"/>
        </w:rPr>
        <w:t>5,317.5</w:t>
      </w:r>
      <w:r w:rsidRPr="007B78CF">
        <w:rPr>
          <w:rFonts w:ascii="微軟正黑體" w:eastAsia="微軟正黑體" w:hAnsi="微軟正黑體"/>
          <w:bCs/>
          <w:color w:val="000000" w:themeColor="text1"/>
        </w:rPr>
        <w:t>億元</w:t>
      </w:r>
      <w:r w:rsidRPr="007B78CF">
        <w:rPr>
          <w:rFonts w:ascii="微軟正黑體" w:eastAsia="微軟正黑體" w:hAnsi="微軟正黑體" w:hint="eastAsia"/>
          <w:bCs/>
          <w:color w:val="000000" w:themeColor="text1"/>
        </w:rPr>
        <w:t>。</w:t>
      </w:r>
    </w:p>
    <w:p w:rsidR="00BD50E5" w:rsidRPr="007B78CF" w:rsidRDefault="00BD50E5" w:rsidP="00BD50E5">
      <w:pPr>
        <w:snapToGrid w:val="0"/>
        <w:rPr>
          <w:rFonts w:ascii="微軟正黑體" w:eastAsia="微軟正黑體" w:hAnsi="微軟正黑體"/>
          <w:bCs/>
          <w:color w:val="000000" w:themeColor="text1"/>
        </w:rPr>
      </w:pPr>
      <w:r w:rsidRPr="007B78CF">
        <w:rPr>
          <w:noProof/>
          <w:color w:val="000000" w:themeColor="text1"/>
        </w:rPr>
        <w:drawing>
          <wp:anchor distT="0" distB="0" distL="114300" distR="114300" simplePos="0" relativeHeight="252609536" behindDoc="0" locked="0" layoutInCell="1" allowOverlap="1" wp14:anchorId="0D0FFD84" wp14:editId="397D7570">
            <wp:simplePos x="0" y="0"/>
            <wp:positionH relativeFrom="column">
              <wp:posOffset>99029</wp:posOffset>
            </wp:positionH>
            <wp:positionV relativeFrom="paragraph">
              <wp:posOffset>90346</wp:posOffset>
            </wp:positionV>
            <wp:extent cx="5603359" cy="3338623"/>
            <wp:effectExtent l="0" t="0" r="16510" b="14605"/>
            <wp:wrapNone/>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spacing w:beforeLines="50" w:before="180"/>
        <w:jc w:val="center"/>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圖3.2  歷年</w:t>
      </w:r>
      <w:r w:rsidRPr="007B78CF">
        <w:rPr>
          <w:rFonts w:ascii="微軟正黑體" w:eastAsia="微軟正黑體" w:hAnsi="微軟正黑體"/>
          <w:bCs/>
          <w:color w:val="000000" w:themeColor="text1"/>
        </w:rPr>
        <w:t>勞退</w:t>
      </w:r>
      <w:r w:rsidRPr="007B78CF">
        <w:rPr>
          <w:rFonts w:ascii="微軟正黑體" w:eastAsia="微軟正黑體" w:hAnsi="微軟正黑體" w:hint="eastAsia"/>
          <w:bCs/>
          <w:color w:val="000000" w:themeColor="text1"/>
        </w:rPr>
        <w:t>舊制基金收益情形</w:t>
      </w:r>
    </w:p>
    <w:p w:rsidR="00BD50E5" w:rsidRPr="007B78CF" w:rsidRDefault="00BD50E5" w:rsidP="00BD50E5">
      <w:pPr>
        <w:snapToGrid w:val="0"/>
        <w:jc w:val="center"/>
        <w:rPr>
          <w:rFonts w:ascii="微軟正黑體" w:eastAsia="微軟正黑體" w:hAnsi="微軟正黑體"/>
          <w:bCs/>
          <w:color w:val="000000" w:themeColor="text1"/>
        </w:rPr>
      </w:pPr>
    </w:p>
    <w:p w:rsidR="00BD50E5" w:rsidRPr="007B78CF" w:rsidRDefault="00BD50E5" w:rsidP="00BD50E5">
      <w:pPr>
        <w:snapToGrid w:val="0"/>
        <w:spacing w:beforeLines="10" w:before="36" w:afterLines="30" w:after="108" w:line="400" w:lineRule="exact"/>
        <w:jc w:val="center"/>
        <w:rPr>
          <w:rFonts w:ascii="微軟正黑體" w:eastAsia="微軟正黑體" w:hAnsi="微軟正黑體"/>
          <w:bCs/>
          <w:color w:val="000000" w:themeColor="text1"/>
          <w:sz w:val="20"/>
          <w:szCs w:val="20"/>
        </w:rPr>
      </w:pPr>
      <w:r w:rsidRPr="007B78CF">
        <w:rPr>
          <w:rFonts w:ascii="微軟正黑體" w:eastAsia="微軟正黑體" w:hAnsi="微軟正黑體" w:hint="eastAsia"/>
          <w:bCs/>
          <w:color w:val="000000" w:themeColor="text1"/>
        </w:rPr>
        <w:t xml:space="preserve">            </w:t>
      </w:r>
      <w:r w:rsidRPr="007B78CF">
        <w:rPr>
          <w:rFonts w:ascii="微軟正黑體" w:eastAsia="微軟正黑體" w:hAnsi="微軟正黑體"/>
          <w:bCs/>
          <w:color w:val="000000" w:themeColor="text1"/>
        </w:rPr>
        <w:t>表</w:t>
      </w:r>
      <w:r w:rsidRPr="007B78CF">
        <w:rPr>
          <w:rFonts w:ascii="微軟正黑體" w:eastAsia="微軟正黑體" w:hAnsi="微軟正黑體" w:hint="eastAsia"/>
          <w:bCs/>
          <w:color w:val="000000" w:themeColor="text1"/>
        </w:rPr>
        <w:t>3.2</w:t>
      </w: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 xml:space="preserve"> 歷年</w:t>
      </w:r>
      <w:r w:rsidRPr="007B78CF">
        <w:rPr>
          <w:rFonts w:ascii="微軟正黑體" w:eastAsia="微軟正黑體" w:hAnsi="微軟正黑體"/>
          <w:bCs/>
          <w:color w:val="000000" w:themeColor="text1"/>
        </w:rPr>
        <w:t>勞退舊制基金收益情形</w:t>
      </w:r>
      <w:r w:rsidRPr="007B78CF">
        <w:rPr>
          <w:rFonts w:ascii="微軟正黑體" w:eastAsia="微軟正黑體" w:hAnsi="微軟正黑體" w:hint="eastAsia"/>
          <w:bCs/>
          <w:color w:val="000000" w:themeColor="text1"/>
        </w:rPr>
        <w:t xml:space="preserve">及基金運用餘額      </w:t>
      </w:r>
    </w:p>
    <w:tbl>
      <w:tblPr>
        <w:tblW w:w="8449" w:type="dxa"/>
        <w:jc w:val="center"/>
        <w:tblLayout w:type="fixed"/>
        <w:tblCellMar>
          <w:left w:w="28" w:type="dxa"/>
          <w:right w:w="28" w:type="dxa"/>
        </w:tblCellMar>
        <w:tblLook w:val="04A0" w:firstRow="1" w:lastRow="0" w:firstColumn="1" w:lastColumn="0" w:noHBand="0" w:noVBand="1"/>
      </w:tblPr>
      <w:tblGrid>
        <w:gridCol w:w="1417"/>
        <w:gridCol w:w="2324"/>
        <w:gridCol w:w="2324"/>
        <w:gridCol w:w="2384"/>
      </w:tblGrid>
      <w:tr w:rsidR="00BD50E5" w:rsidRPr="007B78CF" w:rsidTr="008F1977">
        <w:trPr>
          <w:trHeight w:val="330"/>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年度</w:t>
            </w:r>
          </w:p>
        </w:tc>
        <w:tc>
          <w:tcPr>
            <w:tcW w:w="2324"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實際收益數</w:t>
            </w:r>
            <w:r w:rsidRPr="007B78CF">
              <w:rPr>
                <w:rFonts w:ascii="微軟正黑體" w:eastAsia="微軟正黑體" w:hAnsi="微軟正黑體" w:cs="Times New Roman"/>
                <w:color w:val="000000" w:themeColor="text1"/>
                <w:kern w:val="0"/>
                <w:sz w:val="22"/>
                <w:szCs w:val="22"/>
              </w:rPr>
              <w:t>(</w:t>
            </w:r>
            <w:r w:rsidRPr="007B78CF">
              <w:rPr>
                <w:rFonts w:ascii="微軟正黑體" w:eastAsia="微軟正黑體" w:hAnsi="微軟正黑體" w:cs="Times New Roman" w:hint="eastAsia"/>
                <w:color w:val="000000" w:themeColor="text1"/>
                <w:kern w:val="0"/>
                <w:sz w:val="22"/>
                <w:szCs w:val="22"/>
              </w:rPr>
              <w:t>億元</w:t>
            </w:r>
            <w:r w:rsidRPr="007B78CF">
              <w:rPr>
                <w:rFonts w:ascii="微軟正黑體" w:eastAsia="微軟正黑體" w:hAnsi="微軟正黑體" w:cs="Times New Roman"/>
                <w:color w:val="000000" w:themeColor="text1"/>
                <w:kern w:val="0"/>
                <w:sz w:val="22"/>
                <w:szCs w:val="22"/>
              </w:rPr>
              <w:t>)</w:t>
            </w:r>
          </w:p>
        </w:tc>
        <w:tc>
          <w:tcPr>
            <w:tcW w:w="2324"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實際收益率</w:t>
            </w:r>
            <w:r w:rsidRPr="007B78CF">
              <w:rPr>
                <w:rFonts w:ascii="微軟正黑體" w:eastAsia="微軟正黑體" w:hAnsi="微軟正黑體" w:cs="Times New Roman"/>
                <w:color w:val="000000" w:themeColor="text1"/>
                <w:kern w:val="0"/>
                <w:sz w:val="22"/>
                <w:szCs w:val="22"/>
              </w:rPr>
              <w:t>(%)</w:t>
            </w:r>
          </w:p>
        </w:tc>
        <w:tc>
          <w:tcPr>
            <w:tcW w:w="2384" w:type="dxa"/>
            <w:tcBorders>
              <w:top w:val="single" w:sz="4" w:space="0" w:color="auto"/>
              <w:left w:val="nil"/>
              <w:bottom w:val="single" w:sz="4" w:space="0" w:color="auto"/>
              <w:right w:val="single" w:sz="4" w:space="0" w:color="auto"/>
            </w:tcBorders>
            <w:vAlign w:val="center"/>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基金運用餘額</w:t>
            </w:r>
            <w:r w:rsidRPr="007B78CF">
              <w:rPr>
                <w:rFonts w:ascii="微軟正黑體" w:eastAsia="微軟正黑體" w:hAnsi="微軟正黑體" w:cs="Times New Roman"/>
                <w:color w:val="000000" w:themeColor="text1"/>
                <w:kern w:val="0"/>
                <w:sz w:val="22"/>
                <w:szCs w:val="22"/>
              </w:rPr>
              <w:t>(億</w:t>
            </w:r>
            <w:r w:rsidRPr="007B78CF">
              <w:rPr>
                <w:rFonts w:ascii="微軟正黑體" w:eastAsia="微軟正黑體" w:hAnsi="微軟正黑體" w:cs="Times New Roman" w:hint="eastAsia"/>
                <w:color w:val="000000" w:themeColor="text1"/>
                <w:kern w:val="0"/>
                <w:sz w:val="22"/>
                <w:szCs w:val="22"/>
              </w:rPr>
              <w:t>元</w:t>
            </w:r>
            <w:r w:rsidRPr="007B78CF">
              <w:rPr>
                <w:rFonts w:ascii="微軟正黑體" w:eastAsia="微軟正黑體" w:hAnsi="微軟正黑體" w:cs="Times New Roman"/>
                <w:color w:val="000000" w:themeColor="text1"/>
                <w:kern w:val="0"/>
                <w:sz w:val="22"/>
                <w:szCs w:val="22"/>
              </w:rPr>
              <w:t>)</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90</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74.4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3.1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2,613.9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91</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23.5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0.9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2,930.5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92</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160.6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5.4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3,293.3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93</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74.3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2.2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3,738.5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94</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111.8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3.0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3,917.4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95</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202.3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5.1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4,201.1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96</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214.5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5.0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4,589.9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97</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-428.3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-9.4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4,716.2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98</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637.6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13.4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4,968.3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99</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108.3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2.1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5,378.1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100</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-191.0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-3.5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5,621.3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101</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252.7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4.5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5,800.5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102</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377.1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6.6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6,016.2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103</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417.7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7.2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6,310.4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104</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-34.7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-0.6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6,594.7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105</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295.0 </w:t>
            </w:r>
          </w:p>
        </w:tc>
        <w:tc>
          <w:tcPr>
            <w:tcW w:w="2324"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4.2 </w:t>
            </w:r>
          </w:p>
        </w:tc>
        <w:tc>
          <w:tcPr>
            <w:tcW w:w="2384" w:type="dxa"/>
            <w:tcBorders>
              <w:top w:val="nil"/>
              <w:left w:val="nil"/>
              <w:bottom w:val="single" w:sz="4" w:space="0" w:color="auto"/>
              <w:right w:val="single" w:sz="4" w:space="0" w:color="auto"/>
            </w:tcBorders>
            <w:shd w:val="clear" w:color="000000" w:fill="FFFFFF"/>
            <w:vAlign w:val="center"/>
          </w:tcPr>
          <w:p w:rsidR="00BD50E5" w:rsidRPr="007B78CF" w:rsidRDefault="00BD50E5" w:rsidP="008F1977">
            <w:pPr>
              <w:widowControl/>
              <w:spacing w:line="38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8,183.8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lastRenderedPageBreak/>
              <w:t>106</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601.7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7.7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8,687.0 </w:t>
            </w:r>
          </w:p>
        </w:tc>
      </w:tr>
      <w:tr w:rsidR="00BD50E5" w:rsidRPr="007B78CF" w:rsidTr="008F1977">
        <w:trPr>
          <w:trHeight w:val="330"/>
          <w:jc w:val="center"/>
        </w:trPr>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107</w:t>
            </w:r>
            <w:r w:rsidRPr="007B78CF">
              <w:rPr>
                <w:rFonts w:ascii="微軟正黑體" w:eastAsia="微軟正黑體" w:hAnsi="微軟正黑體" w:cs="Times New Roman" w:hint="eastAsia"/>
                <w:color w:val="000000" w:themeColor="text1"/>
                <w:kern w:val="0"/>
                <w:sz w:val="22"/>
                <w:szCs w:val="22"/>
              </w:rPr>
              <w:t>年</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-176.2 </w:t>
            </w:r>
          </w:p>
        </w:tc>
        <w:tc>
          <w:tcPr>
            <w:tcW w:w="232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8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-2.1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widowControl/>
              <w:spacing w:line="38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9,258.3 </w:t>
            </w:r>
          </w:p>
        </w:tc>
      </w:tr>
      <w:tr w:rsidR="00BD50E5" w:rsidRPr="007B78CF" w:rsidTr="008F1977">
        <w:trPr>
          <w:trHeight w:val="330"/>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108年</w:t>
            </w:r>
          </w:p>
        </w:tc>
        <w:tc>
          <w:tcPr>
            <w:tcW w:w="232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jc w:val="right"/>
              <w:rPr>
                <w:rFonts w:ascii="新細明體" w:eastAsia="新細明體" w:hAnsi="新細明體" w:cs="新細明體"/>
                <w:color w:val="000000" w:themeColor="text1"/>
              </w:rPr>
            </w:pPr>
            <w:r w:rsidRPr="007B78CF">
              <w:rPr>
                <w:rFonts w:hint="eastAsia"/>
                <w:color w:val="000000" w:themeColor="text1"/>
              </w:rPr>
              <w:t xml:space="preserve">1,143.8 </w:t>
            </w:r>
          </w:p>
        </w:tc>
        <w:tc>
          <w:tcPr>
            <w:tcW w:w="232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jc w:val="right"/>
              <w:rPr>
                <w:rFonts w:ascii="新細明體" w:eastAsia="新細明體" w:hAnsi="新細明體" w:cs="新細明體"/>
                <w:color w:val="000000" w:themeColor="text1"/>
              </w:rPr>
            </w:pPr>
            <w:r w:rsidRPr="007B78CF">
              <w:rPr>
                <w:rFonts w:hint="eastAsia"/>
                <w:color w:val="000000" w:themeColor="text1"/>
              </w:rPr>
              <w:t xml:space="preserve">13.5 </w:t>
            </w:r>
          </w:p>
        </w:tc>
        <w:tc>
          <w:tcPr>
            <w:tcW w:w="2384" w:type="dxa"/>
            <w:tcBorders>
              <w:top w:val="nil"/>
              <w:left w:val="nil"/>
              <w:bottom w:val="single" w:sz="4" w:space="0" w:color="auto"/>
              <w:right w:val="single" w:sz="4" w:space="0" w:color="auto"/>
            </w:tcBorders>
            <w:vAlign w:val="center"/>
          </w:tcPr>
          <w:p w:rsidR="00BD50E5" w:rsidRPr="007B78CF" w:rsidRDefault="00BD50E5" w:rsidP="008F1977">
            <w:pPr>
              <w:jc w:val="right"/>
              <w:rPr>
                <w:rFonts w:ascii="新細明體" w:eastAsia="新細明體" w:hAnsi="新細明體" w:cs="新細明體"/>
                <w:color w:val="000000" w:themeColor="text1"/>
              </w:rPr>
            </w:pPr>
            <w:r w:rsidRPr="007B78CF">
              <w:rPr>
                <w:rFonts w:hint="eastAsia"/>
                <w:color w:val="000000" w:themeColor="text1"/>
              </w:rPr>
              <w:t xml:space="preserve">9,425.3 </w:t>
            </w:r>
          </w:p>
        </w:tc>
      </w:tr>
      <w:tr w:rsidR="00BD50E5" w:rsidRPr="007B78CF" w:rsidTr="008F1977">
        <w:trPr>
          <w:trHeight w:val="330"/>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8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109年</w:t>
            </w:r>
          </w:p>
        </w:tc>
        <w:tc>
          <w:tcPr>
            <w:tcW w:w="232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jc w:val="right"/>
              <w:rPr>
                <w:rFonts w:ascii="新細明體" w:eastAsia="新細明體" w:hAnsi="新細明體" w:cs="新細明體"/>
                <w:color w:val="000000" w:themeColor="text1"/>
              </w:rPr>
            </w:pPr>
            <w:r w:rsidRPr="007B78CF">
              <w:rPr>
                <w:rFonts w:hint="eastAsia"/>
                <w:color w:val="000000" w:themeColor="text1"/>
              </w:rPr>
              <w:t xml:space="preserve">722.1 </w:t>
            </w:r>
          </w:p>
        </w:tc>
        <w:tc>
          <w:tcPr>
            <w:tcW w:w="232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jc w:val="right"/>
              <w:rPr>
                <w:rFonts w:ascii="新細明體" w:eastAsia="新細明體" w:hAnsi="新細明體" w:cs="新細明體"/>
                <w:color w:val="000000" w:themeColor="text1"/>
              </w:rPr>
            </w:pPr>
            <w:r w:rsidRPr="007B78CF">
              <w:rPr>
                <w:rFonts w:hint="eastAsia"/>
                <w:color w:val="000000" w:themeColor="text1"/>
              </w:rPr>
              <w:t xml:space="preserve">8.5 </w:t>
            </w:r>
          </w:p>
        </w:tc>
        <w:tc>
          <w:tcPr>
            <w:tcW w:w="2384" w:type="dxa"/>
            <w:tcBorders>
              <w:top w:val="single" w:sz="4" w:space="0" w:color="auto"/>
              <w:left w:val="nil"/>
              <w:bottom w:val="single" w:sz="4" w:space="0" w:color="auto"/>
              <w:right w:val="single" w:sz="4" w:space="0" w:color="auto"/>
            </w:tcBorders>
            <w:vAlign w:val="center"/>
          </w:tcPr>
          <w:p w:rsidR="00BD50E5" w:rsidRPr="007B78CF" w:rsidRDefault="00BD50E5" w:rsidP="008F1977">
            <w:pPr>
              <w:jc w:val="right"/>
              <w:rPr>
                <w:rFonts w:ascii="新細明體" w:eastAsia="新細明體" w:hAnsi="新細明體" w:cs="新細明體"/>
                <w:color w:val="000000" w:themeColor="text1"/>
              </w:rPr>
            </w:pPr>
            <w:r w:rsidRPr="007B78CF">
              <w:rPr>
                <w:rFonts w:hint="eastAsia"/>
                <w:color w:val="000000" w:themeColor="text1"/>
              </w:rPr>
              <w:t xml:space="preserve">8,975.5 </w:t>
            </w:r>
          </w:p>
        </w:tc>
      </w:tr>
    </w:tbl>
    <w:p w:rsidR="00BD50E5" w:rsidRPr="007B78CF" w:rsidRDefault="00BD50E5" w:rsidP="00BD50E5">
      <w:pPr>
        <w:tabs>
          <w:tab w:val="left" w:pos="504"/>
          <w:tab w:val="left" w:pos="567"/>
          <w:tab w:val="left" w:pos="851"/>
        </w:tabs>
        <w:snapToGrid w:val="0"/>
        <w:spacing w:beforeLines="100" w:before="360" w:line="400" w:lineRule="exact"/>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(3) </w:t>
      </w:r>
      <w:r w:rsidRPr="007B78CF">
        <w:rPr>
          <w:rFonts w:ascii="微軟正黑體" w:eastAsia="微軟正黑體" w:hAnsi="微軟正黑體"/>
          <w:bCs/>
          <w:color w:val="000000" w:themeColor="text1"/>
        </w:rPr>
        <w:t>基金資產配置</w:t>
      </w:r>
    </w:p>
    <w:p w:rsidR="00BD50E5" w:rsidRPr="007B78CF" w:rsidRDefault="00BD50E5" w:rsidP="00BD50E5">
      <w:pPr>
        <w:snapToGrid w:val="0"/>
        <w:spacing w:beforeLines="30" w:before="108" w:line="400" w:lineRule="exact"/>
        <w:ind w:leftChars="338" w:left="811"/>
        <w:jc w:val="both"/>
        <w:rPr>
          <w:rFonts w:ascii="微軟正黑體" w:eastAsia="微軟正黑體" w:hAnsi="微軟正黑體"/>
          <w:color w:val="000000" w:themeColor="text1"/>
        </w:rPr>
      </w:pPr>
      <w:r w:rsidRPr="007B78CF">
        <w:rPr>
          <w:rFonts w:ascii="微軟正黑體" w:eastAsia="微軟正黑體" w:hAnsi="微軟正黑體" w:hint="eastAsia"/>
          <w:bCs/>
          <w:color w:val="000000" w:themeColor="text1"/>
        </w:rPr>
        <w:t xml:space="preserve">    </w:t>
      </w:r>
      <w:r w:rsidRPr="007B78CF">
        <w:rPr>
          <w:rFonts w:ascii="微軟正黑體" w:eastAsia="微軟正黑體" w:hAnsi="微軟正黑體" w:hint="eastAsia"/>
          <w:color w:val="000000" w:themeColor="text1"/>
        </w:rPr>
        <w:t>109年底基金運用規模為8,975.5億元，較上年減少449.8億元，國內外委託經營占52.7%；自行運用占47.3%，主要為：「國外投資」占13.9%、「轉存金融機構」占12.2%及「</w:t>
      </w:r>
      <w:r w:rsidRPr="007B78CF">
        <w:rPr>
          <w:rFonts w:ascii="微軟正黑體" w:eastAsia="微軟正黑體" w:hAnsi="微軟正黑體"/>
          <w:color w:val="000000" w:themeColor="text1"/>
        </w:rPr>
        <w:t>股票及受益憑證投資(含期貨)</w:t>
      </w:r>
      <w:r w:rsidRPr="007B78CF">
        <w:rPr>
          <w:rFonts w:ascii="微軟正黑體" w:eastAsia="微軟正黑體" w:hAnsi="微軟正黑體" w:hint="eastAsia"/>
          <w:color w:val="000000" w:themeColor="text1"/>
        </w:rPr>
        <w:t>」占11.3%。</w:t>
      </w:r>
    </w:p>
    <w:p w:rsidR="00BD50E5" w:rsidRPr="007B78CF" w:rsidRDefault="00BD50E5" w:rsidP="00BD50E5">
      <w:pPr>
        <w:snapToGrid w:val="0"/>
        <w:spacing w:beforeLines="30" w:before="108" w:line="400" w:lineRule="exact"/>
        <w:rPr>
          <w:rFonts w:ascii="微軟正黑體" w:eastAsia="微軟正黑體" w:hAnsi="微軟正黑體"/>
          <w:color w:val="000000" w:themeColor="text1"/>
        </w:rPr>
      </w:pPr>
      <w:r w:rsidRPr="007B78CF">
        <w:rPr>
          <w:noProof/>
          <w:color w:val="000000" w:themeColor="text1"/>
        </w:rPr>
        <mc:AlternateContent>
          <mc:Choice Requires="wps">
            <w:drawing>
              <wp:anchor distT="0" distB="0" distL="114300" distR="114300" simplePos="0" relativeHeight="252631040" behindDoc="0" locked="0" layoutInCell="1" allowOverlap="1" wp14:anchorId="1D0F2447" wp14:editId="68EF826B">
                <wp:simplePos x="0" y="0"/>
                <wp:positionH relativeFrom="column">
                  <wp:posOffset>1061720</wp:posOffset>
                </wp:positionH>
                <wp:positionV relativeFrom="paragraph">
                  <wp:posOffset>227965</wp:posOffset>
                </wp:positionV>
                <wp:extent cx="109855" cy="101600"/>
                <wp:effectExtent l="0" t="0" r="23495" b="12700"/>
                <wp:wrapNone/>
                <wp:docPr id="4" name="矩形 7"/>
                <wp:cNvGraphicFramePr/>
                <a:graphic xmlns:a="http://schemas.openxmlformats.org/drawingml/2006/main">
                  <a:graphicData uri="http://schemas.microsoft.com/office/word/2010/wordprocessingShape">
                    <wps:wsp>
                      <wps:cNvSpPr/>
                      <wps:spPr>
                        <a:xfrm>
                          <a:off x="0" y="0"/>
                          <a:ext cx="109855" cy="101600"/>
                        </a:xfrm>
                        <a:prstGeom prst="rect">
                          <a:avLst/>
                        </a:prstGeom>
                        <a:solidFill>
                          <a:schemeClr val="accent6">
                            <a:lumMod val="40000"/>
                            <a:lumOff val="60000"/>
                          </a:schemeClr>
                        </a:solidFill>
                        <a:ln>
                          <a:solidFill>
                            <a:schemeClr val="accent6">
                              <a:lumMod val="40000"/>
                              <a:lumOff val="6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7" o:spid="_x0000_s1026" style="position:absolute;margin-left:83.6pt;margin-top:17.95pt;width:8.65pt;height:8pt;z-index:25263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" fillcolor="#fbd4b4 [1305]" strokecolor="#fbd4b4 [1305]" strokeweight="2pt"/>
            </w:pict>
          </mc:Fallback>
        </mc:AlternateContent>
      </w:r>
      <w:r w:rsidRPr="007B78CF">
        <w:rPr>
          <w:noProof/>
          <w:color w:val="000000" w:themeColor="text1"/>
        </w:rPr>
        <mc:AlternateContent>
          <mc:Choice Requires="wps">
            <w:drawing>
              <wp:anchor distT="0" distB="0" distL="114300" distR="114300" simplePos="0" relativeHeight="252630016" behindDoc="0" locked="0" layoutInCell="1" allowOverlap="1" wp14:anchorId="476B3FC7" wp14:editId="787A8743">
                <wp:simplePos x="0" y="0"/>
                <wp:positionH relativeFrom="column">
                  <wp:posOffset>213995</wp:posOffset>
                </wp:positionH>
                <wp:positionV relativeFrom="paragraph">
                  <wp:posOffset>227965</wp:posOffset>
                </wp:positionV>
                <wp:extent cx="109855" cy="101600"/>
                <wp:effectExtent l="0" t="0" r="23495" b="12700"/>
                <wp:wrapNone/>
                <wp:docPr id="7" name="矩形 6"/>
                <wp:cNvGraphicFramePr/>
                <a:graphic xmlns:a="http://schemas.openxmlformats.org/drawingml/2006/main">
                  <a:graphicData uri="http://schemas.microsoft.com/office/word/2010/wordprocessingShape">
                    <wps:wsp>
                      <wps:cNvSpPr/>
                      <wps:spPr>
                        <a:xfrm>
                          <a:off x="0" y="0"/>
                          <a:ext cx="109855" cy="101600"/>
                        </a:xfrm>
                        <a:prstGeom prst="rect">
                          <a:avLst/>
                        </a:prstGeom>
                        <a:solidFill>
                          <a:schemeClr val="accent6"/>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 o:spid="_x0000_s1026" style="position:absolute;margin-left:16.85pt;margin-top:17.95pt;width:8.65pt;height:8pt;z-index:25263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" fillcolor="#f79646 [3209]" strokecolor="#f79646 [3209]" strokeweight="2pt"/>
            </w:pict>
          </mc:Fallback>
        </mc:AlternateContent>
      </w:r>
      <w:r w:rsidRPr="007B78CF">
        <w:rPr>
          <w:noProof/>
          <w:color w:val="000000" w:themeColor="text1"/>
        </w:rPr>
        <mc:AlternateContent>
          <mc:Choice Requires="wps">
            <w:drawing>
              <wp:anchor distT="0" distB="0" distL="114300" distR="114300" simplePos="0" relativeHeight="252628992" behindDoc="0" locked="0" layoutInCell="1" allowOverlap="1" wp14:anchorId="0FA40A9B" wp14:editId="23379A20">
                <wp:simplePos x="0" y="0"/>
                <wp:positionH relativeFrom="column">
                  <wp:posOffset>213995</wp:posOffset>
                </wp:positionH>
                <wp:positionV relativeFrom="paragraph">
                  <wp:posOffset>128482</wp:posOffset>
                </wp:positionV>
                <wp:extent cx="1885950" cy="317500"/>
                <wp:effectExtent l="0" t="0" r="0" b="635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17500"/>
                        </a:xfrm>
                        <a:prstGeom prst="rect">
                          <a:avLst/>
                        </a:prstGeom>
                        <a:solidFill>
                          <a:srgbClr val="FFFFFF"/>
                        </a:solidFill>
                        <a:ln w="9525">
                          <a:noFill/>
                          <a:miter lim="800000"/>
                          <a:headEnd/>
                          <a:tailEnd/>
                        </a:ln>
                      </wps:spPr>
                      <wps:txbx>
                        <w:txbxContent>
                          <w:p w:rsidR="00745375" w:rsidRDefault="00745375" w:rsidP="00BD50E5">
                            <w:pPr>
                              <w:pStyle w:val="Web"/>
                              <w:spacing w:before="0" w:beforeAutospacing="0" w:after="0" w:afterAutospacing="0"/>
                              <w:ind w:firstLineChars="50" w:firstLine="100"/>
                            </w:pPr>
                            <w:r>
                              <w:rPr>
                                <w:rFonts w:ascii="Calibri" w:eastAsia="微軟正黑體" w:hAnsi="微軟正黑體" w:cs="Times New Roman" w:hint="eastAsia"/>
                                <w:kern w:val="2"/>
                                <w:sz w:val="20"/>
                                <w:szCs w:val="20"/>
                              </w:rPr>
                              <w:t>委託經營</w:t>
                            </w:r>
                            <w:r>
                              <w:rPr>
                                <w:rFonts w:ascii="Calibri" w:eastAsia="微軟正黑體" w:hAnsi="Calibri" w:cs="Times New Roman"/>
                                <w:kern w:val="2"/>
                                <w:sz w:val="20"/>
                                <w:szCs w:val="20"/>
                              </w:rPr>
                              <w:t xml:space="preserve">    </w:t>
                            </w:r>
                            <w:r>
                              <w:rPr>
                                <w:rFonts w:ascii="Calibri" w:eastAsia="微軟正黑體" w:hAnsi="Calibri" w:cs="Times New Roman" w:hint="eastAsia"/>
                                <w:kern w:val="2"/>
                                <w:sz w:val="20"/>
                                <w:szCs w:val="20"/>
                              </w:rPr>
                              <w:t xml:space="preserve"> </w:t>
                            </w:r>
                            <w:r>
                              <w:rPr>
                                <w:rFonts w:ascii="Calibri" w:eastAsia="微軟正黑體" w:hAnsi="微軟正黑體" w:cs="Times New Roman" w:hint="eastAsia"/>
                                <w:kern w:val="2"/>
                                <w:sz w:val="20"/>
                                <w:szCs w:val="20"/>
                              </w:rPr>
                              <w:t>自行運用</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9" type="#_x0000_t202" style="position:absolute;margin-left:16.85pt;margin-top:10.1pt;width:148.5pt;height:25pt;z-index:25262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" stroked="f">
                <v:textbox>
                  <w:txbxContent>
                    <w:p w:rsidR="00745375" w:rsidRDefault="00745375" w:rsidP="00BD50E5">
                      <w:pPr>
                        <w:pStyle w:val="Web"/>
                        <w:spacing w:before="0" w:beforeAutospacing="0" w:after="0" w:afterAutospacing="0"/>
                        <w:ind w:firstLineChars="50" w:firstLine="100"/>
                      </w:pPr>
                      <w:r>
                        <w:rPr>
                          <w:rFonts w:ascii="Calibri" w:eastAsia="微軟正黑體" w:hAnsi="微軟正黑體" w:cs="Times New Roman" w:hint="eastAsia"/>
                          <w:kern w:val="2"/>
                          <w:sz w:val="20"/>
                          <w:szCs w:val="20"/>
                        </w:rPr>
                        <w:t>委託經營</w:t>
                      </w:r>
                      <w:r>
                        <w:rPr>
                          <w:rFonts w:ascii="Calibri" w:eastAsia="微軟正黑體" w:hAnsi="Calibri" w:cs="Times New Roman"/>
                          <w:kern w:val="2"/>
                          <w:sz w:val="20"/>
                          <w:szCs w:val="20"/>
                        </w:rPr>
                        <w:t xml:space="preserve">    </w:t>
                      </w:r>
                      <w:r>
                        <w:rPr>
                          <w:rFonts w:ascii="Calibri" w:eastAsia="微軟正黑體" w:hAnsi="Calibri" w:cs="Times New Roman" w:hint="eastAsia"/>
                          <w:kern w:val="2"/>
                          <w:sz w:val="20"/>
                          <w:szCs w:val="20"/>
                        </w:rPr>
                        <w:t xml:space="preserve"> </w:t>
                      </w:r>
                      <w:r>
                        <w:rPr>
                          <w:rFonts w:ascii="Calibri" w:eastAsia="微軟正黑體" w:hAnsi="微軟正黑體" w:cs="Times New Roman" w:hint="eastAsia"/>
                          <w:kern w:val="2"/>
                          <w:sz w:val="20"/>
                          <w:szCs w:val="20"/>
                        </w:rPr>
                        <w:t>自行運用</w:t>
                      </w:r>
                    </w:p>
                  </w:txbxContent>
                </v:textbox>
              </v:shape>
            </w:pict>
          </mc:Fallback>
        </mc:AlternateContent>
      </w:r>
      <w:r w:rsidRPr="007B78CF">
        <w:rPr>
          <w:noProof/>
          <w:color w:val="000000" w:themeColor="text1"/>
        </w:rPr>
        <w:drawing>
          <wp:anchor distT="0" distB="0" distL="114300" distR="114300" simplePos="0" relativeHeight="252627968" behindDoc="0" locked="0" layoutInCell="1" allowOverlap="1" wp14:anchorId="272091D9" wp14:editId="2787EB9B">
            <wp:simplePos x="0" y="0"/>
            <wp:positionH relativeFrom="column">
              <wp:posOffset>99060</wp:posOffset>
            </wp:positionH>
            <wp:positionV relativeFrom="paragraph">
              <wp:posOffset>105410</wp:posOffset>
            </wp:positionV>
            <wp:extent cx="5773420" cy="3104515"/>
            <wp:effectExtent l="0" t="0" r="17780" b="19685"/>
            <wp:wrapNone/>
            <wp:docPr id="25" name="圖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p>
    <w:p w:rsidR="00BD50E5" w:rsidRPr="007B78CF" w:rsidRDefault="00BD50E5" w:rsidP="00BD50E5">
      <w:pPr>
        <w:snapToGrid w:val="0"/>
        <w:spacing w:beforeLines="30" w:before="108" w:line="400" w:lineRule="exact"/>
        <w:ind w:leftChars="236" w:left="566"/>
        <w:rPr>
          <w:rFonts w:ascii="微軟正黑體" w:eastAsia="微軟正黑體" w:hAnsi="微軟正黑體"/>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jc w:val="center"/>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圖3.3  10</w:t>
      </w:r>
      <w:r w:rsidRPr="007B78CF">
        <w:rPr>
          <w:rFonts w:ascii="微軟正黑體" w:eastAsia="微軟正黑體" w:hAnsi="微軟正黑體" w:hint="eastAsia"/>
          <w:bCs/>
          <w:color w:val="000000" w:themeColor="text1"/>
        </w:rPr>
        <w:t>9</w:t>
      </w:r>
      <w:r w:rsidRPr="007B78CF">
        <w:rPr>
          <w:rFonts w:ascii="微軟正黑體" w:eastAsia="微軟正黑體" w:hAnsi="微軟正黑體"/>
          <w:bCs/>
          <w:color w:val="000000" w:themeColor="text1"/>
        </w:rPr>
        <w:t>年勞退舊制</w:t>
      </w:r>
      <w:r w:rsidRPr="007B78CF">
        <w:rPr>
          <w:rFonts w:ascii="微軟正黑體" w:eastAsia="微軟正黑體" w:hAnsi="微軟正黑體" w:hint="eastAsia"/>
          <w:bCs/>
          <w:color w:val="000000" w:themeColor="text1"/>
        </w:rPr>
        <w:t>基</w:t>
      </w:r>
      <w:r w:rsidRPr="007B78CF">
        <w:rPr>
          <w:rFonts w:ascii="微軟正黑體" w:eastAsia="微軟正黑體" w:hAnsi="微軟正黑體"/>
          <w:bCs/>
          <w:color w:val="000000" w:themeColor="text1"/>
        </w:rPr>
        <w:t>金資產配置</w:t>
      </w:r>
      <w:r w:rsidRPr="007B78CF">
        <w:rPr>
          <w:rFonts w:ascii="微軟正黑體" w:eastAsia="微軟正黑體" w:hAnsi="微軟正黑體" w:hint="eastAsia"/>
          <w:bCs/>
          <w:color w:val="000000" w:themeColor="text1"/>
        </w:rPr>
        <w:t>情形</w:t>
      </w: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Default="00BD50E5" w:rsidP="00BD50E5">
      <w:pPr>
        <w:tabs>
          <w:tab w:val="left" w:pos="567"/>
        </w:tabs>
        <w:snapToGrid w:val="0"/>
        <w:spacing w:line="400" w:lineRule="exact"/>
        <w:rPr>
          <w:rFonts w:ascii="微軟正黑體" w:eastAsia="微軟正黑體" w:hAnsi="微軟正黑體"/>
          <w:bCs/>
          <w:color w:val="000000" w:themeColor="text1"/>
        </w:rPr>
      </w:pPr>
    </w:p>
    <w:p w:rsidR="00BD50E5" w:rsidRPr="007B78CF" w:rsidRDefault="00BD50E5" w:rsidP="00BD50E5">
      <w:pPr>
        <w:tabs>
          <w:tab w:val="left" w:pos="567"/>
        </w:tabs>
        <w:snapToGrid w:val="0"/>
        <w:spacing w:line="400" w:lineRule="exact"/>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lastRenderedPageBreak/>
        <w:t xml:space="preserve">(二) </w:t>
      </w:r>
      <w:r w:rsidRPr="007B78CF">
        <w:rPr>
          <w:rFonts w:ascii="微軟正黑體" w:eastAsia="微軟正黑體" w:hAnsi="微軟正黑體"/>
          <w:bCs/>
          <w:color w:val="000000" w:themeColor="text1"/>
        </w:rPr>
        <w:t>新制勞工退休金(依「勞工退休金條例」辦理)</w:t>
      </w:r>
    </w:p>
    <w:p w:rsidR="00BD50E5" w:rsidRPr="007B78CF" w:rsidRDefault="00BD50E5" w:rsidP="00BD50E5">
      <w:pPr>
        <w:snapToGrid w:val="0"/>
        <w:spacing w:beforeLines="50" w:before="180" w:line="400" w:lineRule="exact"/>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1. </w:t>
      </w:r>
      <w:r w:rsidRPr="007B78CF">
        <w:rPr>
          <w:rFonts w:ascii="微軟正黑體" w:eastAsia="微軟正黑體" w:hAnsi="微軟正黑體"/>
          <w:bCs/>
          <w:color w:val="000000" w:themeColor="text1"/>
        </w:rPr>
        <w:t>提繳概況</w:t>
      </w:r>
    </w:p>
    <w:p w:rsidR="00BD50E5" w:rsidRPr="007B78CF" w:rsidRDefault="00BD50E5" w:rsidP="00BD50E5">
      <w:pPr>
        <w:tabs>
          <w:tab w:val="left" w:pos="567"/>
        </w:tabs>
        <w:snapToGrid w:val="0"/>
        <w:spacing w:beforeLines="30" w:before="108" w:line="400" w:lineRule="exact"/>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(1) </w:t>
      </w:r>
      <w:r w:rsidRPr="007B78CF">
        <w:rPr>
          <w:rFonts w:ascii="微軟正黑體" w:eastAsia="微軟正黑體" w:hAnsi="微軟正黑體"/>
          <w:bCs/>
          <w:color w:val="000000" w:themeColor="text1"/>
        </w:rPr>
        <w:t>單位及人員</w:t>
      </w:r>
    </w:p>
    <w:p w:rsidR="00BD50E5" w:rsidRDefault="00BD50E5" w:rsidP="00BD50E5">
      <w:pPr>
        <w:snapToGrid w:val="0"/>
        <w:spacing w:beforeLines="30" w:before="108" w:line="400" w:lineRule="exact"/>
        <w:ind w:leftChars="367" w:left="881"/>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 xml:space="preserve">    勞退新制自94年7月施行以來，提繳單位數及人數皆逐年增加，至10</w:t>
      </w:r>
      <w:r w:rsidRPr="007B78CF">
        <w:rPr>
          <w:rFonts w:ascii="微軟正黑體" w:eastAsia="微軟正黑體" w:hAnsi="微軟正黑體" w:hint="eastAsia"/>
          <w:bCs/>
          <w:color w:val="000000" w:themeColor="text1"/>
        </w:rPr>
        <w:t>9</w:t>
      </w:r>
      <w:r w:rsidRPr="007B78CF">
        <w:rPr>
          <w:rFonts w:ascii="微軟正黑體" w:eastAsia="微軟正黑體" w:hAnsi="微軟正黑體"/>
          <w:bCs/>
          <w:color w:val="000000" w:themeColor="text1"/>
        </w:rPr>
        <w:t>年底止，提繳單位為</w:t>
      </w:r>
      <w:r w:rsidRPr="007B78CF">
        <w:rPr>
          <w:rFonts w:ascii="微軟正黑體" w:eastAsia="微軟正黑體" w:hAnsi="微軟正黑體" w:hint="eastAsia"/>
          <w:bCs/>
          <w:color w:val="000000" w:themeColor="text1"/>
        </w:rPr>
        <w:t>53.7</w:t>
      </w:r>
      <w:r w:rsidRPr="007B78CF">
        <w:rPr>
          <w:rFonts w:ascii="微軟正黑體" w:eastAsia="微軟正黑體" w:hAnsi="微軟正黑體"/>
          <w:bCs/>
          <w:color w:val="000000" w:themeColor="text1"/>
        </w:rPr>
        <w:t>萬個，提繳人數有</w:t>
      </w:r>
      <w:r w:rsidRPr="007B78CF">
        <w:rPr>
          <w:rFonts w:ascii="微軟正黑體" w:eastAsia="微軟正黑體" w:hAnsi="微軟正黑體" w:hint="eastAsia"/>
          <w:bCs/>
          <w:color w:val="000000" w:themeColor="text1"/>
        </w:rPr>
        <w:t>708.4</w:t>
      </w:r>
      <w:r w:rsidRPr="007B78CF">
        <w:rPr>
          <w:rFonts w:ascii="微軟正黑體" w:eastAsia="微軟正黑體" w:hAnsi="微軟正黑體"/>
          <w:bCs/>
          <w:color w:val="000000" w:themeColor="text1"/>
        </w:rPr>
        <w:t>萬人，歷年增加情形如下</w:t>
      </w:r>
      <w:r w:rsidRPr="007B78CF">
        <w:rPr>
          <w:rFonts w:ascii="微軟正黑體" w:eastAsia="微軟正黑體" w:hAnsi="微軟正黑體" w:hint="eastAsia"/>
          <w:bCs/>
          <w:color w:val="000000" w:themeColor="text1"/>
        </w:rPr>
        <w:t>圖。</w:t>
      </w:r>
    </w:p>
    <w:p w:rsidR="00BD50E5" w:rsidRPr="007B78CF" w:rsidRDefault="00BD50E5" w:rsidP="00BD50E5">
      <w:pPr>
        <w:snapToGrid w:val="0"/>
        <w:spacing w:beforeLines="30" w:before="108" w:line="400" w:lineRule="exact"/>
        <w:ind w:leftChars="367" w:left="881"/>
        <w:rPr>
          <w:rFonts w:ascii="微軟正黑體" w:eastAsia="微軟正黑體" w:hAnsi="微軟正黑體"/>
          <w:bCs/>
          <w:color w:val="000000" w:themeColor="text1"/>
        </w:rPr>
      </w:pPr>
      <w:r w:rsidRPr="007B78CF">
        <w:rPr>
          <w:noProof/>
          <w:color w:val="000000" w:themeColor="text1"/>
        </w:rPr>
        <w:drawing>
          <wp:anchor distT="0" distB="0" distL="114300" distR="114300" simplePos="0" relativeHeight="252610560" behindDoc="0" locked="0" layoutInCell="1" allowOverlap="1" wp14:anchorId="24664E82" wp14:editId="03DEA9B9">
            <wp:simplePos x="0" y="0"/>
            <wp:positionH relativeFrom="column">
              <wp:posOffset>-2963</wp:posOffset>
            </wp:positionH>
            <wp:positionV relativeFrom="paragraph">
              <wp:posOffset>27517</wp:posOffset>
            </wp:positionV>
            <wp:extent cx="5730875" cy="2880995"/>
            <wp:effectExtent l="0" t="0" r="22225" b="14605"/>
            <wp:wrapNone/>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beforeLines="50" w:before="180" w:line="400" w:lineRule="exact"/>
        <w:jc w:val="center"/>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圖</w:t>
      </w:r>
      <w:r w:rsidRPr="007B78CF">
        <w:rPr>
          <w:rFonts w:ascii="微軟正黑體" w:eastAsia="微軟正黑體" w:hAnsi="微軟正黑體" w:hint="eastAsia"/>
          <w:bCs/>
          <w:color w:val="000000" w:themeColor="text1"/>
        </w:rPr>
        <w:t xml:space="preserve">3.4 </w:t>
      </w: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歷年</w:t>
      </w:r>
      <w:r w:rsidRPr="007B78CF">
        <w:rPr>
          <w:rFonts w:ascii="微軟正黑體" w:eastAsia="微軟正黑體" w:hAnsi="微軟正黑體"/>
          <w:bCs/>
          <w:color w:val="000000" w:themeColor="text1"/>
        </w:rPr>
        <w:t>勞退新制提繳情形</w:t>
      </w:r>
    </w:p>
    <w:p w:rsidR="00BD50E5" w:rsidRPr="007B78CF" w:rsidRDefault="00BD50E5" w:rsidP="00BD50E5">
      <w:pPr>
        <w:tabs>
          <w:tab w:val="left" w:pos="567"/>
        </w:tabs>
        <w:snapToGrid w:val="0"/>
        <w:spacing w:beforeLines="100" w:before="360" w:line="400" w:lineRule="exact"/>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w:t>
      </w:r>
      <w:r w:rsidRPr="007B78CF">
        <w:rPr>
          <w:rFonts w:ascii="微軟正黑體" w:eastAsia="微軟正黑體" w:hAnsi="微軟正黑體"/>
          <w:bCs/>
          <w:color w:val="000000" w:themeColor="text1"/>
        </w:rPr>
        <w:t>2</w:t>
      </w:r>
      <w:r w:rsidRPr="007B78CF">
        <w:rPr>
          <w:rFonts w:ascii="微軟正黑體" w:eastAsia="微軟正黑體" w:hAnsi="微軟正黑體" w:hint="eastAsia"/>
          <w:bCs/>
          <w:color w:val="000000" w:themeColor="text1"/>
        </w:rPr>
        <w:t xml:space="preserve">) </w:t>
      </w:r>
      <w:r w:rsidRPr="007B78CF">
        <w:rPr>
          <w:rFonts w:ascii="微軟正黑體" w:eastAsia="微軟正黑體" w:hAnsi="微軟正黑體"/>
          <w:bCs/>
          <w:color w:val="000000" w:themeColor="text1"/>
        </w:rPr>
        <w:t>提繳金額</w:t>
      </w:r>
    </w:p>
    <w:p w:rsidR="00BD50E5" w:rsidRPr="007B78CF" w:rsidRDefault="00BD50E5" w:rsidP="00BD50E5">
      <w:pPr>
        <w:snapToGrid w:val="0"/>
        <w:spacing w:beforeLines="50" w:before="180" w:line="400" w:lineRule="exact"/>
        <w:ind w:leftChars="367" w:left="881"/>
        <w:jc w:val="both"/>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 xml:space="preserve">    自94年開辦迄今，</w:t>
      </w:r>
      <w:r w:rsidRPr="007B78CF">
        <w:rPr>
          <w:rFonts w:ascii="微軟正黑體" w:eastAsia="微軟正黑體" w:hAnsi="微軟正黑體" w:hint="eastAsia"/>
          <w:bCs/>
          <w:color w:val="000000" w:themeColor="text1"/>
        </w:rPr>
        <w:t>年度應計</w:t>
      </w:r>
      <w:r w:rsidRPr="007B78CF">
        <w:rPr>
          <w:rFonts w:ascii="微軟正黑體" w:eastAsia="微軟正黑體" w:hAnsi="微軟正黑體"/>
          <w:bCs/>
          <w:color w:val="000000" w:themeColor="text1"/>
        </w:rPr>
        <w:t>提</w:t>
      </w:r>
      <w:r w:rsidRPr="007B78CF">
        <w:rPr>
          <w:rFonts w:ascii="微軟正黑體" w:eastAsia="微軟正黑體" w:hAnsi="微軟正黑體" w:hint="eastAsia"/>
          <w:bCs/>
          <w:color w:val="000000" w:themeColor="text1"/>
        </w:rPr>
        <w:t>繳</w:t>
      </w:r>
      <w:r w:rsidRPr="007B78CF">
        <w:rPr>
          <w:rFonts w:ascii="微軟正黑體" w:eastAsia="微軟正黑體" w:hAnsi="微軟正黑體"/>
          <w:bCs/>
          <w:color w:val="000000" w:themeColor="text1"/>
        </w:rPr>
        <w:t>總金額及平均提</w:t>
      </w:r>
      <w:r w:rsidRPr="007B78CF">
        <w:rPr>
          <w:rFonts w:ascii="微軟正黑體" w:eastAsia="微軟正黑體" w:hAnsi="微軟正黑體" w:hint="eastAsia"/>
          <w:bCs/>
          <w:color w:val="000000" w:themeColor="text1"/>
        </w:rPr>
        <w:t>繳</w:t>
      </w:r>
      <w:r w:rsidRPr="007B78CF">
        <w:rPr>
          <w:rFonts w:ascii="微軟正黑體" w:eastAsia="微軟正黑體" w:hAnsi="微軟正黑體"/>
          <w:bCs/>
          <w:color w:val="000000" w:themeColor="text1"/>
        </w:rPr>
        <w:t>工資皆呈穩定上升趨勢</w:t>
      </w:r>
      <w:r w:rsidRPr="007B78CF">
        <w:rPr>
          <w:rFonts w:ascii="微軟正黑體" w:eastAsia="微軟正黑體" w:hAnsi="微軟正黑體" w:hint="eastAsia"/>
          <w:bCs/>
          <w:color w:val="000000" w:themeColor="text1"/>
        </w:rPr>
        <w:t>，至109年應計提繳總額達2,334.2億元，平均提繳工資為40,250元</w:t>
      </w:r>
      <w:r w:rsidRPr="007B78CF">
        <w:rPr>
          <w:rFonts w:ascii="微軟正黑體" w:eastAsia="微軟正黑體" w:hAnsi="微軟正黑體"/>
          <w:bCs/>
          <w:color w:val="000000" w:themeColor="text1"/>
        </w:rPr>
        <w:t>。</w:t>
      </w:r>
    </w:p>
    <w:p w:rsidR="00BD50E5" w:rsidRPr="007B78CF" w:rsidRDefault="00662149" w:rsidP="00BD50E5">
      <w:pPr>
        <w:snapToGrid w:val="0"/>
        <w:ind w:leftChars="177" w:left="425"/>
        <w:jc w:val="both"/>
        <w:rPr>
          <w:rFonts w:ascii="微軟正黑體" w:eastAsia="微軟正黑體" w:hAnsi="微軟正黑體"/>
          <w:bCs/>
          <w:color w:val="000000" w:themeColor="text1"/>
        </w:rPr>
      </w:pPr>
      <w:r w:rsidRPr="007B78CF">
        <w:rPr>
          <w:noProof/>
          <w:color w:val="000000" w:themeColor="text1"/>
        </w:rPr>
        <w:drawing>
          <wp:anchor distT="0" distB="0" distL="114300" distR="114300" simplePos="0" relativeHeight="252675072" behindDoc="0" locked="0" layoutInCell="1" allowOverlap="1" wp14:anchorId="1021BF2E" wp14:editId="79AFF830">
            <wp:simplePos x="0" y="0"/>
            <wp:positionH relativeFrom="column">
              <wp:posOffset>140971</wp:posOffset>
            </wp:positionH>
            <wp:positionV relativeFrom="paragraph">
              <wp:posOffset>43603</wp:posOffset>
            </wp:positionV>
            <wp:extent cx="5816600" cy="2836334"/>
            <wp:effectExtent l="0" t="0" r="12700" b="21590"/>
            <wp:wrapNone/>
            <wp:docPr id="43" name="圖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page">
              <wp14:pctWidth>0</wp14:pctWidth>
            </wp14:sizeRelH>
            <wp14:sizeRelV relativeFrom="page">
              <wp14:pctHeight>0</wp14:pctHeight>
            </wp14:sizeRelV>
          </wp:anchor>
        </w:drawing>
      </w: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Default="00BD50E5" w:rsidP="00BD50E5">
      <w:pPr>
        <w:snapToGrid w:val="0"/>
        <w:spacing w:beforeLines="50" w:before="180" w:line="400" w:lineRule="exact"/>
        <w:jc w:val="center"/>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圖</w:t>
      </w:r>
      <w:r w:rsidRPr="007B78CF">
        <w:rPr>
          <w:rFonts w:ascii="微軟正黑體" w:eastAsia="微軟正黑體" w:hAnsi="微軟正黑體" w:hint="eastAsia"/>
          <w:bCs/>
          <w:color w:val="000000" w:themeColor="text1"/>
        </w:rPr>
        <w:t>3.5</w:t>
      </w: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 xml:space="preserve"> 歷年</w:t>
      </w:r>
      <w:r w:rsidRPr="007B78CF">
        <w:rPr>
          <w:rFonts w:ascii="微軟正黑體" w:eastAsia="微軟正黑體" w:hAnsi="微軟正黑體"/>
          <w:bCs/>
          <w:color w:val="000000" w:themeColor="text1"/>
        </w:rPr>
        <w:t>勞退新制</w:t>
      </w:r>
      <w:r w:rsidRPr="007B78CF">
        <w:rPr>
          <w:rFonts w:ascii="微軟正黑體" w:eastAsia="微軟正黑體" w:hAnsi="微軟正黑體" w:hint="eastAsia"/>
          <w:bCs/>
          <w:color w:val="000000" w:themeColor="text1"/>
        </w:rPr>
        <w:t>應計</w:t>
      </w:r>
      <w:r w:rsidRPr="007B78CF">
        <w:rPr>
          <w:rFonts w:ascii="微軟正黑體" w:eastAsia="微軟正黑體" w:hAnsi="微軟正黑體"/>
          <w:bCs/>
          <w:color w:val="000000" w:themeColor="text1"/>
        </w:rPr>
        <w:t>提繳總金額</w:t>
      </w:r>
    </w:p>
    <w:p w:rsidR="00BD50E5" w:rsidRPr="007B78CF" w:rsidRDefault="00BD50E5" w:rsidP="00BD50E5">
      <w:pPr>
        <w:snapToGrid w:val="0"/>
        <w:spacing w:line="400" w:lineRule="exact"/>
        <w:rPr>
          <w:rFonts w:ascii="微軟正黑體" w:eastAsia="微軟正黑體" w:hAnsi="微軟正黑體"/>
          <w:bCs/>
          <w:color w:val="000000" w:themeColor="text1"/>
        </w:rPr>
      </w:pPr>
      <w:r w:rsidRPr="007B78CF">
        <w:rPr>
          <w:noProof/>
          <w:color w:val="000000" w:themeColor="text1"/>
        </w:rPr>
        <w:lastRenderedPageBreak/>
        <w:drawing>
          <wp:anchor distT="0" distB="0" distL="114300" distR="114300" simplePos="0" relativeHeight="252612608" behindDoc="0" locked="0" layoutInCell="1" allowOverlap="1" wp14:anchorId="6ED13748" wp14:editId="6B42AA15">
            <wp:simplePos x="0" y="0"/>
            <wp:positionH relativeFrom="column">
              <wp:posOffset>3337</wp:posOffset>
            </wp:positionH>
            <wp:positionV relativeFrom="paragraph">
              <wp:posOffset>24188</wp:posOffset>
            </wp:positionV>
            <wp:extent cx="5847907" cy="2806995"/>
            <wp:effectExtent l="0" t="0" r="19685" b="12700"/>
            <wp:wrapNone/>
            <wp:docPr id="286" name="圖表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page">
              <wp14:pctWidth>0</wp14:pctWidth>
            </wp14:sizeRelH>
            <wp14:sizeRelV relativeFrom="page">
              <wp14:pctHeight>0</wp14:pctHeight>
            </wp14:sizeRelV>
          </wp:anchor>
        </w:drawing>
      </w:r>
    </w:p>
    <w:p w:rsidR="00BD50E5" w:rsidRPr="007B78CF" w:rsidRDefault="00BD50E5" w:rsidP="00BD50E5">
      <w:pPr>
        <w:snapToGrid w:val="0"/>
        <w:spacing w:line="400" w:lineRule="exact"/>
        <w:rPr>
          <w:rFonts w:ascii="微軟正黑體" w:eastAsia="微軟正黑體" w:hAnsi="微軟正黑體"/>
          <w:bCs/>
          <w:color w:val="000000" w:themeColor="text1"/>
        </w:rPr>
      </w:pPr>
    </w:p>
    <w:p w:rsidR="00BD50E5" w:rsidRPr="007B78CF" w:rsidRDefault="00BD50E5" w:rsidP="00BD50E5">
      <w:pPr>
        <w:snapToGrid w:val="0"/>
        <w:spacing w:line="400" w:lineRule="exact"/>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beforeLines="50" w:before="180"/>
        <w:rPr>
          <w:rFonts w:ascii="微軟正黑體" w:eastAsia="微軟正黑體" w:hAnsi="微軟正黑體"/>
          <w:bCs/>
          <w:color w:val="000000" w:themeColor="text1"/>
        </w:rPr>
      </w:pPr>
    </w:p>
    <w:p w:rsidR="00BD50E5" w:rsidRPr="007B78CF" w:rsidRDefault="00BD50E5" w:rsidP="00BD50E5">
      <w:pPr>
        <w:snapToGrid w:val="0"/>
        <w:spacing w:afterLines="50" w:after="180"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afterLines="50" w:after="180" w:line="400" w:lineRule="exact"/>
        <w:jc w:val="center"/>
        <w:rPr>
          <w:rFonts w:ascii="微軟正黑體" w:eastAsia="微軟正黑體" w:hAnsi="微軟正黑體"/>
          <w:bCs/>
          <w:color w:val="000000" w:themeColor="text1"/>
        </w:rPr>
      </w:pPr>
    </w:p>
    <w:p w:rsidR="00BD50E5" w:rsidRPr="007B78CF" w:rsidRDefault="00BD50E5" w:rsidP="00BD50E5">
      <w:pPr>
        <w:snapToGrid w:val="0"/>
        <w:spacing w:afterLines="50" w:after="180" w:line="400" w:lineRule="exact"/>
        <w:rPr>
          <w:rFonts w:ascii="微軟正黑體" w:eastAsia="微軟正黑體" w:hAnsi="微軟正黑體"/>
          <w:bCs/>
          <w:color w:val="000000" w:themeColor="text1"/>
        </w:rPr>
      </w:pPr>
    </w:p>
    <w:p w:rsidR="00BD50E5" w:rsidRPr="007B78CF" w:rsidRDefault="00BD50E5" w:rsidP="00BD50E5">
      <w:pPr>
        <w:snapToGrid w:val="0"/>
        <w:spacing w:beforeLines="200" w:before="720" w:afterLines="100" w:after="360" w:line="400" w:lineRule="exact"/>
        <w:jc w:val="center"/>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圖3.</w:t>
      </w:r>
      <w:r w:rsidRPr="007B78CF">
        <w:rPr>
          <w:rFonts w:ascii="微軟正黑體" w:eastAsia="微軟正黑體" w:hAnsi="微軟正黑體" w:hint="eastAsia"/>
          <w:bCs/>
          <w:color w:val="000000" w:themeColor="text1"/>
        </w:rPr>
        <w:t>6</w:t>
      </w: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 xml:space="preserve"> 歷年</w:t>
      </w:r>
      <w:r w:rsidRPr="007B78CF">
        <w:rPr>
          <w:rFonts w:ascii="微軟正黑體" w:eastAsia="微軟正黑體" w:hAnsi="微軟正黑體"/>
          <w:bCs/>
          <w:color w:val="000000" w:themeColor="text1"/>
        </w:rPr>
        <w:t>勞退新制平均提繳工資</w:t>
      </w:r>
    </w:p>
    <w:p w:rsidR="00BD50E5" w:rsidRPr="007B78CF" w:rsidRDefault="00BD50E5" w:rsidP="00BD50E5">
      <w:pPr>
        <w:snapToGrid w:val="0"/>
        <w:spacing w:beforeLines="50" w:before="180" w:line="400" w:lineRule="exact"/>
        <w:ind w:leftChars="204" w:left="490"/>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(3) 雇主及個人提繳概況</w:t>
      </w:r>
    </w:p>
    <w:p w:rsidR="00BD50E5" w:rsidRPr="007B78CF" w:rsidRDefault="00BD50E5" w:rsidP="00BD50E5">
      <w:pPr>
        <w:snapToGrid w:val="0"/>
        <w:spacing w:beforeLines="30" w:before="108" w:line="400" w:lineRule="exact"/>
        <w:ind w:leftChars="373" w:left="895" w:firstLineChars="200" w:firstLine="480"/>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依勞工退休金條例規定，雇主應為勞工負擔提繳之退休金不得低於勞工每月工資6%；勞工得在其每月工資6%範圍內，自願提繳退休金。</w:t>
      </w:r>
    </w:p>
    <w:p w:rsidR="00BD50E5" w:rsidRPr="007B78CF" w:rsidRDefault="00BD50E5" w:rsidP="00BD50E5">
      <w:pPr>
        <w:snapToGrid w:val="0"/>
        <w:spacing w:beforeLines="30" w:before="108" w:line="400" w:lineRule="exact"/>
        <w:ind w:leftChars="354" w:left="850" w:firstLineChars="200" w:firstLine="480"/>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自勞退新制開辦以來，個人自願提繳人數由</w:t>
      </w:r>
      <w:r w:rsidRPr="007B78CF">
        <w:rPr>
          <w:rFonts w:ascii="微軟正黑體" w:eastAsia="微軟正黑體" w:hAnsi="微軟正黑體" w:hint="eastAsia"/>
          <w:bCs/>
          <w:color w:val="000000" w:themeColor="text1"/>
        </w:rPr>
        <w:t>94年36.1萬人增加至109年71.4萬人，約占總提繳人數的5-11%。另雇主平均提繳率歷年均維持在6%左右，個人平均提繳率則由</w:t>
      </w:r>
      <w:r w:rsidRPr="00144AE0">
        <w:rPr>
          <w:rFonts w:ascii="微軟正黑體" w:eastAsia="微軟正黑體" w:hAnsi="微軟正黑體" w:hint="eastAsia"/>
          <w:bCs/>
        </w:rPr>
        <w:t>94</w:t>
      </w:r>
      <w:r w:rsidRPr="007B78CF">
        <w:rPr>
          <w:rFonts w:ascii="微軟正黑體" w:eastAsia="微軟正黑體" w:hAnsi="微軟正黑體" w:hint="eastAsia"/>
          <w:bCs/>
          <w:color w:val="000000" w:themeColor="text1"/>
        </w:rPr>
        <w:t>年5.07%微幅增加至109年為5.62%。</w:t>
      </w:r>
    </w:p>
    <w:p w:rsidR="00BD50E5" w:rsidRPr="007B78CF" w:rsidRDefault="00BD50E5" w:rsidP="00BD50E5">
      <w:pPr>
        <w:snapToGrid w:val="0"/>
        <w:spacing w:beforeLines="100" w:before="360" w:afterLines="30" w:after="108" w:line="400" w:lineRule="exact"/>
        <w:jc w:val="center"/>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表3.3  歷年勞退新制雇主及個人提繳概況</w:t>
      </w:r>
    </w:p>
    <w:tbl>
      <w:tblPr>
        <w:tblW w:w="9072" w:type="dxa"/>
        <w:tblInd w:w="170" w:type="dxa"/>
        <w:tblCellMar>
          <w:left w:w="28" w:type="dxa"/>
          <w:right w:w="28" w:type="dxa"/>
        </w:tblCellMar>
        <w:tblLook w:val="04A0" w:firstRow="1" w:lastRow="0" w:firstColumn="1" w:lastColumn="0" w:noHBand="0" w:noVBand="1"/>
      </w:tblPr>
      <w:tblGrid>
        <w:gridCol w:w="843"/>
        <w:gridCol w:w="1283"/>
        <w:gridCol w:w="1418"/>
        <w:gridCol w:w="1276"/>
        <w:gridCol w:w="1417"/>
        <w:gridCol w:w="1418"/>
        <w:gridCol w:w="1417"/>
      </w:tblGrid>
      <w:tr w:rsidR="00BD50E5" w:rsidRPr="007B78CF" w:rsidTr="008F1977">
        <w:trPr>
          <w:trHeight w:val="330"/>
          <w:tblHeader/>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年度</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總提繳人數</w:t>
            </w:r>
          </w:p>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(人)</w:t>
            </w:r>
          </w:p>
        </w:tc>
        <w:tc>
          <w:tcPr>
            <w:tcW w:w="2694" w:type="dxa"/>
            <w:gridSpan w:val="2"/>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雇主提繳者</w:t>
            </w:r>
          </w:p>
        </w:tc>
        <w:tc>
          <w:tcPr>
            <w:tcW w:w="4252" w:type="dxa"/>
            <w:gridSpan w:val="3"/>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個人提繳者</w:t>
            </w:r>
          </w:p>
        </w:tc>
      </w:tr>
      <w:tr w:rsidR="00BD50E5" w:rsidRPr="007B78CF" w:rsidTr="008F1977">
        <w:trPr>
          <w:trHeight w:val="600"/>
          <w:tblHeader/>
        </w:trPr>
        <w:tc>
          <w:tcPr>
            <w:tcW w:w="843" w:type="dxa"/>
            <w:vMerge/>
            <w:tcBorders>
              <w:top w:val="single" w:sz="4" w:space="0" w:color="auto"/>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2"/>
                <w:szCs w:val="22"/>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2"/>
                <w:szCs w:val="22"/>
              </w:rPr>
            </w:pP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人數(人)</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平均提繳率</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人數(人)</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平均提繳率</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個人提繳占總提繳人數比率</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94</w:t>
            </w:r>
          </w:p>
        </w:tc>
        <w:tc>
          <w:tcPr>
            <w:tcW w:w="1283"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hint="eastAsia"/>
                <w:color w:val="000000" w:themeColor="text1"/>
                <w:sz w:val="22"/>
                <w:szCs w:val="22"/>
              </w:rPr>
              <w:t xml:space="preserve">3,923,796 </w:t>
            </w:r>
          </w:p>
        </w:tc>
        <w:tc>
          <w:tcPr>
            <w:tcW w:w="1418" w:type="dxa"/>
            <w:tcBorders>
              <w:top w:val="nil"/>
              <w:left w:val="nil"/>
              <w:bottom w:val="single" w:sz="4" w:space="0" w:color="auto"/>
              <w:right w:val="single" w:sz="4" w:space="0" w:color="auto"/>
            </w:tcBorders>
            <w:shd w:val="clear" w:color="auto" w:fill="auto"/>
            <w:vAlign w:val="center"/>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hint="eastAsia"/>
                <w:color w:val="000000" w:themeColor="text1"/>
                <w:sz w:val="22"/>
                <w:szCs w:val="22"/>
              </w:rPr>
              <w:t xml:space="preserve">3,897,829 </w:t>
            </w:r>
          </w:p>
        </w:tc>
        <w:tc>
          <w:tcPr>
            <w:tcW w:w="1276" w:type="dxa"/>
            <w:tcBorders>
              <w:top w:val="nil"/>
              <w:left w:val="nil"/>
              <w:bottom w:val="single" w:sz="4" w:space="0" w:color="auto"/>
              <w:right w:val="single" w:sz="4" w:space="0" w:color="auto"/>
            </w:tcBorders>
            <w:shd w:val="clear" w:color="auto" w:fill="auto"/>
            <w:vAlign w:val="center"/>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hint="eastAsia"/>
                <w:color w:val="000000" w:themeColor="text1"/>
                <w:sz w:val="22"/>
                <w:szCs w:val="22"/>
              </w:rPr>
              <w:t>6.01%</w:t>
            </w:r>
          </w:p>
        </w:tc>
        <w:tc>
          <w:tcPr>
            <w:tcW w:w="1417" w:type="dxa"/>
            <w:tcBorders>
              <w:top w:val="nil"/>
              <w:left w:val="nil"/>
              <w:bottom w:val="single" w:sz="4" w:space="0" w:color="auto"/>
              <w:right w:val="single" w:sz="4" w:space="0" w:color="auto"/>
            </w:tcBorders>
            <w:shd w:val="clear" w:color="auto" w:fill="auto"/>
            <w:vAlign w:val="center"/>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hint="eastAsia"/>
                <w:color w:val="000000" w:themeColor="text1"/>
                <w:sz w:val="22"/>
                <w:szCs w:val="22"/>
              </w:rPr>
              <w:t xml:space="preserve">360,592 </w:t>
            </w:r>
          </w:p>
        </w:tc>
        <w:tc>
          <w:tcPr>
            <w:tcW w:w="1418" w:type="dxa"/>
            <w:tcBorders>
              <w:top w:val="nil"/>
              <w:left w:val="nil"/>
              <w:bottom w:val="single" w:sz="4" w:space="0" w:color="auto"/>
              <w:right w:val="single" w:sz="4" w:space="0" w:color="auto"/>
            </w:tcBorders>
            <w:shd w:val="clear" w:color="auto" w:fill="auto"/>
            <w:vAlign w:val="center"/>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hint="eastAsia"/>
                <w:color w:val="000000" w:themeColor="text1"/>
                <w:sz w:val="22"/>
                <w:szCs w:val="22"/>
              </w:rPr>
              <w:t>5.07%</w:t>
            </w:r>
          </w:p>
        </w:tc>
        <w:tc>
          <w:tcPr>
            <w:tcW w:w="1417" w:type="dxa"/>
            <w:tcBorders>
              <w:top w:val="nil"/>
              <w:left w:val="nil"/>
              <w:bottom w:val="single" w:sz="4" w:space="0" w:color="auto"/>
              <w:right w:val="single" w:sz="4" w:space="0" w:color="auto"/>
            </w:tcBorders>
            <w:shd w:val="clear" w:color="auto" w:fill="auto"/>
            <w:vAlign w:val="center"/>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hint="eastAsia"/>
                <w:color w:val="000000" w:themeColor="text1"/>
                <w:sz w:val="22"/>
                <w:szCs w:val="22"/>
              </w:rPr>
              <w:t>9.19%</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95</w:t>
            </w:r>
          </w:p>
        </w:tc>
        <w:tc>
          <w:tcPr>
            <w:tcW w:w="128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4,291,152 </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4,265,023 </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6.01%</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305,567 </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5.04% </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7.12%</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96</w:t>
            </w:r>
          </w:p>
        </w:tc>
        <w:tc>
          <w:tcPr>
            <w:tcW w:w="128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4,506,601 </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4,480,007 </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6.01%</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282,114 </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5.05% </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6.26%</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97</w:t>
            </w:r>
          </w:p>
        </w:tc>
        <w:tc>
          <w:tcPr>
            <w:tcW w:w="128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4,573,412 </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4,546,343 </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6.01%</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272,354 </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5.09% </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5.96%</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98</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4,737,178</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4,709,595</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6.01%</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271,801</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5.12%</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5.74%</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99</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5,196,134</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5,166,068</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6.01%</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318,684</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5.20%</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6.13%</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100</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5,482,848</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5,449,754</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6.01%</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342,363</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5.25%</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6.24%</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101</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5,641,538</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5,606,266</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6.01%</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336,891</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5.30%</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5.97%</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102</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5,798,851</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5,762,868</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6.01%</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340,541</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5.33%</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5.87%</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103</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6,020,787</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5,984,369</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6.01%</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352,648</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5.35%</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5.86%</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104</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6,221,337</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6,182,499</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6.04%</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383,495</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5.39%</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6.16%</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105</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6,395,674</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6,354,795</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6.04%</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402,856</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5.42%</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6.30%</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lastRenderedPageBreak/>
              <w:t>106</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6,586,389</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6,543,263</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6.03%</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429,810</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5.45%</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6.53%</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107</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6,777,903</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6,730,984</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6.03%</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520,326</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5.50%</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7.68%</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108</w:t>
            </w:r>
          </w:p>
        </w:tc>
        <w:tc>
          <w:tcPr>
            <w:tcW w:w="1283"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6,966,983</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6,915,819</w:t>
            </w:r>
          </w:p>
        </w:tc>
        <w:tc>
          <w:tcPr>
            <w:tcW w:w="1276"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6.03%</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610,793</w:t>
            </w:r>
          </w:p>
        </w:tc>
        <w:tc>
          <w:tcPr>
            <w:tcW w:w="1418"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5.57%</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8.77%</w:t>
            </w:r>
          </w:p>
        </w:tc>
      </w:tr>
      <w:tr w:rsidR="00BD50E5" w:rsidRPr="007B78CF" w:rsidTr="008F1977">
        <w:trPr>
          <w:trHeight w:val="330"/>
        </w:trPr>
        <w:tc>
          <w:tcPr>
            <w:tcW w:w="843" w:type="dxa"/>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109</w:t>
            </w:r>
          </w:p>
        </w:tc>
        <w:tc>
          <w:tcPr>
            <w:tcW w:w="128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7,084,436 </w:t>
            </w:r>
          </w:p>
        </w:tc>
        <w:tc>
          <w:tcPr>
            <w:tcW w:w="141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7,027,634</w:t>
            </w:r>
          </w:p>
        </w:tc>
        <w:tc>
          <w:tcPr>
            <w:tcW w:w="1276"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6.03%</w:t>
            </w:r>
          </w:p>
        </w:tc>
        <w:tc>
          <w:tcPr>
            <w:tcW w:w="141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714,349</w:t>
            </w:r>
          </w:p>
        </w:tc>
        <w:tc>
          <w:tcPr>
            <w:tcW w:w="141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5.62%</w:t>
            </w:r>
          </w:p>
        </w:tc>
        <w:tc>
          <w:tcPr>
            <w:tcW w:w="1417" w:type="dxa"/>
            <w:tcBorders>
              <w:top w:val="nil"/>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10.08%</w:t>
            </w:r>
          </w:p>
        </w:tc>
      </w:tr>
    </w:tbl>
    <w:p w:rsidR="00BD50E5" w:rsidRPr="007B78CF" w:rsidRDefault="00BD50E5" w:rsidP="00BD50E5">
      <w:pPr>
        <w:tabs>
          <w:tab w:val="left" w:pos="426"/>
        </w:tabs>
        <w:snapToGrid w:val="0"/>
        <w:spacing w:beforeLines="100" w:before="360" w:line="400" w:lineRule="exact"/>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(4) </w:t>
      </w:r>
      <w:r w:rsidRPr="007B78CF">
        <w:rPr>
          <w:rFonts w:ascii="微軟正黑體" w:eastAsia="微軟正黑體" w:hAnsi="微軟正黑體"/>
          <w:bCs/>
          <w:color w:val="000000" w:themeColor="text1"/>
        </w:rPr>
        <w:t>提繳工資組距之性別差異</w:t>
      </w:r>
    </w:p>
    <w:p w:rsidR="00BD50E5" w:rsidRPr="007B78CF" w:rsidRDefault="00BD50E5" w:rsidP="00BD50E5">
      <w:pPr>
        <w:snapToGrid w:val="0"/>
        <w:spacing w:beforeLines="50" w:before="180" w:line="400" w:lineRule="exact"/>
        <w:ind w:leftChars="283" w:left="895" w:hangingChars="90" w:hanging="216"/>
        <w:jc w:val="both"/>
        <w:rPr>
          <w:rFonts w:ascii="微軟正黑體" w:eastAsia="微軟正黑體" w:hAnsi="微軟正黑體"/>
          <w:bCs/>
          <w:color w:val="000000" w:themeColor="text1"/>
        </w:rPr>
      </w:pPr>
      <w:r w:rsidRPr="007B78CF">
        <w:rPr>
          <w:rFonts w:ascii="微軟正黑體" w:eastAsia="微軟正黑體" w:hAnsi="微軟正黑體"/>
          <w:b/>
          <w:bCs/>
          <w:color w:val="000000" w:themeColor="text1"/>
        </w:rPr>
        <w:t xml:space="preserve">    </w:t>
      </w:r>
      <w:r w:rsidRPr="007B78CF">
        <w:rPr>
          <w:rFonts w:ascii="微軟正黑體" w:eastAsia="微軟正黑體" w:hAnsi="微軟正黑體" w:hint="eastAsia"/>
          <w:b/>
          <w:bCs/>
          <w:color w:val="000000" w:themeColor="text1"/>
        </w:rPr>
        <w:t xml:space="preserve">  </w:t>
      </w:r>
      <w:r w:rsidRPr="007B78CF">
        <w:rPr>
          <w:rFonts w:ascii="微軟正黑體" w:eastAsia="微軟正黑體" w:hAnsi="微軟正黑體"/>
          <w:bCs/>
          <w:color w:val="000000" w:themeColor="text1"/>
        </w:rPr>
        <w:t>以10</w:t>
      </w:r>
      <w:r w:rsidRPr="007B78CF">
        <w:rPr>
          <w:rFonts w:ascii="微軟正黑體" w:eastAsia="微軟正黑體" w:hAnsi="微軟正黑體" w:hint="eastAsia"/>
          <w:bCs/>
          <w:color w:val="000000" w:themeColor="text1"/>
        </w:rPr>
        <w:t>9</w:t>
      </w:r>
      <w:r w:rsidRPr="007B78CF">
        <w:rPr>
          <w:rFonts w:ascii="微軟正黑體" w:eastAsia="微軟正黑體" w:hAnsi="微軟正黑體"/>
          <w:bCs/>
          <w:color w:val="000000" w:themeColor="text1"/>
        </w:rPr>
        <w:t>年提繳工資組距觀之，</w:t>
      </w:r>
      <w:r w:rsidRPr="007B78CF">
        <w:rPr>
          <w:rFonts w:ascii="微軟正黑體" w:eastAsia="微軟正黑體" w:hAnsi="微軟正黑體" w:hint="eastAsia"/>
          <w:bCs/>
          <w:color w:val="000000" w:themeColor="text1"/>
        </w:rPr>
        <w:t>男性提繳人數最多者為</w:t>
      </w:r>
      <w:r w:rsidR="005F1304" w:rsidRPr="00CB0F31">
        <w:rPr>
          <w:rFonts w:ascii="微軟正黑體" w:eastAsia="微軟正黑體" w:hAnsi="微軟正黑體" w:hint="eastAsia"/>
          <w:bCs/>
        </w:rPr>
        <w:t>「</w:t>
      </w:r>
      <w:r w:rsidRPr="00CB0F31">
        <w:rPr>
          <w:rFonts w:ascii="微軟正黑體" w:eastAsia="微軟正黑體" w:hAnsi="微軟正黑體" w:hint="eastAsia"/>
          <w:bCs/>
        </w:rPr>
        <w:t>36,301-45,800元組</w:t>
      </w:r>
      <w:r w:rsidR="005F1304" w:rsidRPr="00CB0F31">
        <w:rPr>
          <w:rFonts w:ascii="微軟正黑體" w:eastAsia="微軟正黑體" w:hAnsi="微軟正黑體" w:hint="eastAsia"/>
          <w:bCs/>
        </w:rPr>
        <w:t>」</w:t>
      </w:r>
      <w:r w:rsidRPr="00CB0F31">
        <w:rPr>
          <w:rFonts w:ascii="微軟正黑體" w:eastAsia="微軟正黑體" w:hAnsi="微軟正黑體" w:hint="eastAsia"/>
          <w:bCs/>
        </w:rPr>
        <w:t>，女性則為</w:t>
      </w:r>
      <w:r w:rsidR="005F1304" w:rsidRPr="00CB0F31">
        <w:rPr>
          <w:rFonts w:ascii="微軟正黑體" w:eastAsia="微軟正黑體" w:hAnsi="微軟正黑體" w:hint="eastAsia"/>
          <w:bCs/>
        </w:rPr>
        <w:t>「</w:t>
      </w:r>
      <w:r w:rsidRPr="00CB0F31">
        <w:rPr>
          <w:rFonts w:ascii="微軟正黑體" w:eastAsia="微軟正黑體" w:hAnsi="微軟正黑體" w:hint="eastAsia"/>
          <w:bCs/>
        </w:rPr>
        <w:t>13,501-23,800元組</w:t>
      </w:r>
      <w:r w:rsidR="005F1304" w:rsidRPr="00CB0F31">
        <w:rPr>
          <w:rFonts w:ascii="微軟正黑體" w:eastAsia="微軟正黑體" w:hAnsi="微軟正黑體" w:hint="eastAsia"/>
          <w:bCs/>
        </w:rPr>
        <w:t>」</w:t>
      </w:r>
      <w:r w:rsidRPr="00CB0F31">
        <w:rPr>
          <w:rFonts w:ascii="微軟正黑體" w:eastAsia="微軟正黑體" w:hAnsi="微軟正黑體" w:hint="eastAsia"/>
          <w:bCs/>
        </w:rPr>
        <w:t>。</w:t>
      </w:r>
      <w:r w:rsidRPr="00CB0F31">
        <w:rPr>
          <w:rFonts w:ascii="微軟正黑體" w:eastAsia="微軟正黑體" w:hAnsi="微軟正黑體"/>
          <w:bCs/>
        </w:rPr>
        <w:t>又全體男性平均</w:t>
      </w:r>
      <w:r w:rsidRPr="007B78CF">
        <w:rPr>
          <w:rFonts w:ascii="微軟正黑體" w:eastAsia="微軟正黑體" w:hAnsi="微軟正黑體"/>
          <w:bCs/>
          <w:color w:val="000000" w:themeColor="text1"/>
        </w:rPr>
        <w:t>提繳工資為</w:t>
      </w:r>
      <w:r w:rsidRPr="007B78CF">
        <w:rPr>
          <w:rFonts w:ascii="微軟正黑體" w:eastAsia="微軟正黑體" w:hAnsi="微軟正黑體" w:hint="eastAsia"/>
          <w:bCs/>
          <w:color w:val="000000" w:themeColor="text1"/>
        </w:rPr>
        <w:t>44,470</w:t>
      </w:r>
      <w:r w:rsidRPr="007B78CF">
        <w:rPr>
          <w:rFonts w:ascii="微軟正黑體" w:eastAsia="微軟正黑體" w:hAnsi="微軟正黑體"/>
          <w:bCs/>
          <w:color w:val="000000" w:themeColor="text1"/>
        </w:rPr>
        <w:t>元，全體女性平均提繳工資則為</w:t>
      </w:r>
      <w:r w:rsidRPr="007B78CF">
        <w:rPr>
          <w:rFonts w:ascii="微軟正黑體" w:eastAsia="微軟正黑體" w:hAnsi="微軟正黑體" w:hint="eastAsia"/>
          <w:bCs/>
          <w:color w:val="000000" w:themeColor="text1"/>
        </w:rPr>
        <w:t>35,964</w:t>
      </w:r>
      <w:r w:rsidRPr="007B78CF">
        <w:rPr>
          <w:rFonts w:ascii="微軟正黑體" w:eastAsia="微軟正黑體" w:hAnsi="微軟正黑體"/>
          <w:bCs/>
          <w:color w:val="000000" w:themeColor="text1"/>
        </w:rPr>
        <w:t>元</w:t>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約為男性的80</w:t>
      </w:r>
      <w:r w:rsidRPr="007B78CF">
        <w:rPr>
          <w:rFonts w:ascii="微軟正黑體" w:eastAsia="微軟正黑體" w:hAnsi="微軟正黑體" w:hint="eastAsia"/>
          <w:bCs/>
          <w:color w:val="000000" w:themeColor="text1"/>
        </w:rPr>
        <w:t>.9</w:t>
      </w:r>
      <w:r w:rsidRPr="007B78CF">
        <w:rPr>
          <w:rFonts w:ascii="微軟正黑體" w:eastAsia="微軟正黑體" w:hAnsi="微軟正黑體"/>
          <w:bCs/>
          <w:color w:val="000000" w:themeColor="text1"/>
        </w:rPr>
        <w:t>%</w:t>
      </w:r>
      <w:r w:rsidRPr="007B78CF">
        <w:rPr>
          <w:rFonts w:ascii="微軟正黑體" w:eastAsia="微軟正黑體" w:hAnsi="微軟正黑體" w:hint="eastAsia"/>
          <w:bCs/>
          <w:color w:val="000000" w:themeColor="text1"/>
        </w:rPr>
        <w:t>。較低提繳工</w:t>
      </w:r>
      <w:r w:rsidRPr="005F1304">
        <w:rPr>
          <w:rFonts w:ascii="微軟正黑體" w:eastAsia="微軟正黑體" w:hAnsi="微軟正黑體" w:hint="eastAsia"/>
          <w:bCs/>
          <w:color w:val="000000" w:themeColor="text1"/>
          <w:spacing w:val="-6"/>
        </w:rPr>
        <w:t>資組皆為女性多於男性，高於平均提繳工資之</w:t>
      </w:r>
      <w:r w:rsidRPr="005F1304">
        <w:rPr>
          <w:rFonts w:ascii="微軟正黑體" w:eastAsia="微軟正黑體" w:hAnsi="微軟正黑體"/>
          <w:bCs/>
          <w:color w:val="000000" w:themeColor="text1"/>
          <w:spacing w:val="-6"/>
        </w:rPr>
        <w:t>較高提繳工資組則男性皆多於女性。</w:t>
      </w:r>
    </w:p>
    <w:p w:rsidR="00BD50E5" w:rsidRPr="007B78CF" w:rsidRDefault="00BD50E5" w:rsidP="00BD50E5">
      <w:pPr>
        <w:snapToGrid w:val="0"/>
        <w:spacing w:beforeLines="50" w:before="180" w:line="400" w:lineRule="exact"/>
        <w:ind w:leftChars="177" w:left="425"/>
        <w:jc w:val="both"/>
        <w:rPr>
          <w:rFonts w:ascii="微軟正黑體" w:eastAsia="微軟正黑體" w:hAnsi="微軟正黑體"/>
          <w:bCs/>
          <w:color w:val="000000" w:themeColor="text1"/>
        </w:rPr>
      </w:pPr>
      <w:r w:rsidRPr="007B78CF">
        <w:rPr>
          <w:noProof/>
          <w:color w:val="000000" w:themeColor="text1"/>
        </w:rPr>
        <w:drawing>
          <wp:anchor distT="0" distB="0" distL="114300" distR="114300" simplePos="0" relativeHeight="252626944" behindDoc="0" locked="0" layoutInCell="1" allowOverlap="1" wp14:anchorId="7783DB3D" wp14:editId="187EBDDB">
            <wp:simplePos x="0" y="0"/>
            <wp:positionH relativeFrom="column">
              <wp:posOffset>310304</wp:posOffset>
            </wp:positionH>
            <wp:positionV relativeFrom="paragraph">
              <wp:posOffset>80010</wp:posOffset>
            </wp:positionV>
            <wp:extent cx="5486400" cy="3552825"/>
            <wp:effectExtent l="0" t="0" r="19050" b="9525"/>
            <wp:wrapNone/>
            <wp:docPr id="28" name="圖表 28">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p>
    <w:p w:rsidR="00BD50E5" w:rsidRPr="007B78CF" w:rsidRDefault="00BD50E5" w:rsidP="00BD50E5">
      <w:pPr>
        <w:snapToGrid w:val="0"/>
        <w:spacing w:beforeLines="50" w:before="18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Lines="50" w:before="18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Lines="50" w:before="18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Lines="50" w:before="18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spacing w:beforeLines="50" w:before="180" w:line="400" w:lineRule="exact"/>
        <w:ind w:leftChars="177" w:left="425"/>
        <w:jc w:val="both"/>
        <w:rPr>
          <w:rFonts w:ascii="微軟正黑體" w:eastAsia="微軟正黑體" w:hAnsi="微軟正黑體"/>
          <w:bCs/>
          <w:color w:val="000000" w:themeColor="text1"/>
        </w:rPr>
      </w:pPr>
    </w:p>
    <w:p w:rsidR="00BD50E5" w:rsidRPr="007B78CF" w:rsidRDefault="00BD50E5" w:rsidP="00BD50E5">
      <w:pPr>
        <w:snapToGrid w:val="0"/>
        <w:jc w:val="center"/>
        <w:rPr>
          <w:rFonts w:ascii="微軟正黑體" w:eastAsia="微軟正黑體" w:hAnsi="微軟正黑體"/>
          <w:bCs/>
          <w:color w:val="000000" w:themeColor="text1"/>
        </w:rPr>
      </w:pPr>
    </w:p>
    <w:p w:rsidR="00BD50E5" w:rsidRPr="007B78CF" w:rsidRDefault="00BD50E5" w:rsidP="00BD50E5">
      <w:pPr>
        <w:snapToGrid w:val="0"/>
        <w:jc w:val="center"/>
        <w:rPr>
          <w:rFonts w:ascii="微軟正黑體" w:eastAsia="微軟正黑體" w:hAnsi="微軟正黑體"/>
          <w:bCs/>
          <w:color w:val="000000" w:themeColor="text1"/>
        </w:rPr>
      </w:pPr>
    </w:p>
    <w:p w:rsidR="00BD50E5" w:rsidRPr="007B78CF" w:rsidRDefault="00BD50E5" w:rsidP="00BD50E5">
      <w:pPr>
        <w:snapToGrid w:val="0"/>
        <w:jc w:val="center"/>
        <w:rPr>
          <w:rFonts w:ascii="微軟正黑體" w:eastAsia="微軟正黑體" w:hAnsi="微軟正黑體"/>
          <w:bCs/>
          <w:color w:val="000000" w:themeColor="text1"/>
        </w:rPr>
      </w:pPr>
    </w:p>
    <w:p w:rsidR="00BD50E5" w:rsidRPr="007B78CF" w:rsidRDefault="00BD50E5" w:rsidP="00BD50E5">
      <w:pPr>
        <w:snapToGrid w:val="0"/>
        <w:jc w:val="center"/>
        <w:rPr>
          <w:rFonts w:ascii="微軟正黑體" w:eastAsia="微軟正黑體" w:hAnsi="微軟正黑體"/>
          <w:bCs/>
          <w:color w:val="000000" w:themeColor="text1"/>
        </w:rPr>
      </w:pPr>
    </w:p>
    <w:p w:rsidR="00BD50E5" w:rsidRPr="007B78CF" w:rsidRDefault="00BD50E5" w:rsidP="00BD50E5">
      <w:pPr>
        <w:snapToGrid w:val="0"/>
        <w:jc w:val="center"/>
        <w:rPr>
          <w:rFonts w:ascii="微軟正黑體" w:eastAsia="微軟正黑體" w:hAnsi="微軟正黑體"/>
          <w:bCs/>
          <w:color w:val="000000" w:themeColor="text1"/>
        </w:rPr>
      </w:pPr>
    </w:p>
    <w:p w:rsidR="00BD50E5" w:rsidRPr="007B78CF" w:rsidRDefault="00BD50E5" w:rsidP="00BD50E5">
      <w:pPr>
        <w:snapToGrid w:val="0"/>
        <w:rPr>
          <w:rFonts w:ascii="微軟正黑體" w:eastAsia="微軟正黑體" w:hAnsi="微軟正黑體"/>
          <w:bCs/>
          <w:color w:val="000000" w:themeColor="text1"/>
        </w:rPr>
      </w:pPr>
    </w:p>
    <w:p w:rsidR="00BD50E5" w:rsidRPr="007B78CF" w:rsidRDefault="00BD50E5" w:rsidP="00BD50E5">
      <w:pPr>
        <w:snapToGrid w:val="0"/>
        <w:jc w:val="center"/>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圖3.</w:t>
      </w:r>
      <w:r w:rsidRPr="007B78CF">
        <w:rPr>
          <w:rFonts w:ascii="微軟正黑體" w:eastAsia="微軟正黑體" w:hAnsi="微軟正黑體" w:hint="eastAsia"/>
          <w:bCs/>
          <w:color w:val="000000" w:themeColor="text1"/>
        </w:rPr>
        <w:t xml:space="preserve">7 </w:t>
      </w: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109年</w:t>
      </w:r>
      <w:r w:rsidRPr="007B78CF">
        <w:rPr>
          <w:rFonts w:ascii="微軟正黑體" w:eastAsia="微軟正黑體" w:hAnsi="微軟正黑體"/>
          <w:bCs/>
          <w:color w:val="000000" w:themeColor="text1"/>
        </w:rPr>
        <w:t>勞退新制提繳工資各組人數分布情形</w:t>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按性別分</w:t>
      </w:r>
      <w:r w:rsidRPr="007B78CF">
        <w:rPr>
          <w:rFonts w:ascii="微軟正黑體" w:eastAsia="微軟正黑體" w:hAnsi="微軟正黑體" w:hint="eastAsia"/>
          <w:bCs/>
          <w:color w:val="000000" w:themeColor="text1"/>
        </w:rPr>
        <w:t>)</w:t>
      </w:r>
    </w:p>
    <w:p w:rsidR="00BD50E5" w:rsidRPr="007B78CF" w:rsidRDefault="00BD50E5" w:rsidP="00BD50E5">
      <w:pPr>
        <w:snapToGrid w:val="0"/>
        <w:spacing w:beforeLines="100" w:before="360" w:line="400" w:lineRule="exact"/>
        <w:ind w:firstLineChars="100" w:firstLine="240"/>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2. </w:t>
      </w:r>
      <w:r w:rsidRPr="007B78CF">
        <w:rPr>
          <w:rFonts w:ascii="微軟正黑體" w:eastAsia="微軟正黑體" w:hAnsi="微軟正黑體"/>
          <w:bCs/>
          <w:color w:val="000000" w:themeColor="text1"/>
        </w:rPr>
        <w:t>核發概況</w:t>
      </w:r>
    </w:p>
    <w:p w:rsidR="00BD50E5" w:rsidRPr="007B78CF" w:rsidRDefault="00BD50E5" w:rsidP="00BD50E5">
      <w:pPr>
        <w:snapToGrid w:val="0"/>
        <w:spacing w:beforeLines="50" w:before="180" w:line="400" w:lineRule="exact"/>
        <w:ind w:leftChars="232" w:left="558" w:hanging="1"/>
        <w:jc w:val="both"/>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勞退新制自94年7月1日施行，勞工工作年資滿15年以上，得請領月退休金或一次金，</w:t>
      </w:r>
      <w:r w:rsidRPr="007B78CF">
        <w:rPr>
          <w:rFonts w:ascii="微軟正黑體" w:eastAsia="微軟正黑體" w:hAnsi="微軟正黑體"/>
          <w:bCs/>
          <w:color w:val="000000" w:themeColor="text1"/>
        </w:rPr>
        <w:t>109年底勞退新制核發總計</w:t>
      </w:r>
      <w:r w:rsidRPr="007B78CF">
        <w:rPr>
          <w:rFonts w:ascii="微軟正黑體" w:eastAsia="微軟正黑體" w:hAnsi="微軟正黑體" w:hint="eastAsia"/>
          <w:bCs/>
          <w:color w:val="000000" w:themeColor="text1"/>
        </w:rPr>
        <w:t>1</w:t>
      </w:r>
      <w:r w:rsidRPr="007B78CF">
        <w:rPr>
          <w:rFonts w:ascii="微軟正黑體" w:eastAsia="微軟正黑體" w:hAnsi="微軟正黑體"/>
          <w:bCs/>
          <w:color w:val="000000" w:themeColor="text1"/>
        </w:rPr>
        <w:t>2</w:t>
      </w:r>
      <w:r w:rsidRPr="007B78CF">
        <w:rPr>
          <w:rFonts w:ascii="微軟正黑體" w:eastAsia="微軟正黑體" w:hAnsi="微軟正黑體" w:hint="eastAsia"/>
          <w:bCs/>
          <w:color w:val="000000" w:themeColor="text1"/>
        </w:rPr>
        <w:t>萬1</w:t>
      </w:r>
      <w:r w:rsidRPr="007B78CF">
        <w:rPr>
          <w:rFonts w:ascii="微軟正黑體" w:eastAsia="微軟正黑體" w:hAnsi="微軟正黑體"/>
          <w:bCs/>
          <w:color w:val="000000" w:themeColor="text1"/>
        </w:rPr>
        <w:t>,460件</w:t>
      </w:r>
      <w:r w:rsidRPr="007B78CF">
        <w:rPr>
          <w:rFonts w:ascii="微軟正黑體" w:eastAsia="微軟正黑體" w:hAnsi="微軟正黑體" w:hint="eastAsia"/>
          <w:bCs/>
          <w:color w:val="000000" w:themeColor="text1"/>
        </w:rPr>
        <w:t>，</w:t>
      </w:r>
      <w:r w:rsidRPr="00C27D71">
        <w:rPr>
          <w:rFonts w:ascii="微軟正黑體" w:eastAsia="微軟正黑體" w:hAnsi="微軟正黑體" w:hint="eastAsia"/>
          <w:bCs/>
          <w:color w:val="000000" w:themeColor="text1"/>
        </w:rPr>
        <w:t>核發金額達</w:t>
      </w:r>
      <w:r w:rsidRPr="007B78CF">
        <w:rPr>
          <w:rFonts w:ascii="微軟正黑體" w:eastAsia="微軟正黑體" w:hAnsi="微軟正黑體" w:hint="eastAsia"/>
          <w:bCs/>
          <w:color w:val="000000" w:themeColor="text1"/>
        </w:rPr>
        <w:t>2</w:t>
      </w:r>
      <w:r w:rsidRPr="007B78CF">
        <w:rPr>
          <w:rFonts w:ascii="微軟正黑體" w:eastAsia="微軟正黑體" w:hAnsi="微軟正黑體"/>
          <w:bCs/>
          <w:color w:val="000000" w:themeColor="text1"/>
        </w:rPr>
        <w:t>7</w:t>
      </w:r>
      <w:r w:rsidRPr="007B78CF">
        <w:rPr>
          <w:rFonts w:ascii="微軟正黑體" w:eastAsia="微軟正黑體" w:hAnsi="微軟正黑體" w:hint="eastAsia"/>
          <w:bCs/>
          <w:color w:val="000000" w:themeColor="text1"/>
        </w:rPr>
        <w:t>5.</w:t>
      </w:r>
      <w:r w:rsidRPr="007B78CF">
        <w:rPr>
          <w:rFonts w:ascii="微軟正黑體" w:eastAsia="微軟正黑體" w:hAnsi="微軟正黑體"/>
          <w:bCs/>
          <w:color w:val="000000" w:themeColor="text1"/>
        </w:rPr>
        <w:t>3億元，主要給付方式係</w:t>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勞工本人請領一次退休金</w:t>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計有8</w:t>
      </w:r>
      <w:r w:rsidRPr="007B78CF">
        <w:rPr>
          <w:rFonts w:ascii="微軟正黑體" w:eastAsia="微軟正黑體" w:hAnsi="微軟正黑體" w:hint="eastAsia"/>
          <w:bCs/>
          <w:color w:val="000000" w:themeColor="text1"/>
        </w:rPr>
        <w:t>萬</w:t>
      </w:r>
      <w:r w:rsidRPr="007B78CF">
        <w:rPr>
          <w:rFonts w:ascii="微軟正黑體" w:eastAsia="微軟正黑體" w:hAnsi="微軟正黑體"/>
          <w:bCs/>
          <w:color w:val="000000" w:themeColor="text1"/>
        </w:rPr>
        <w:t>2,108件，總金額達231.3億元；</w:t>
      </w:r>
      <w:r w:rsidRPr="007B78CF">
        <w:rPr>
          <w:rFonts w:ascii="微軟正黑體" w:eastAsia="微軟正黑體" w:hAnsi="微軟正黑體" w:hint="eastAsia"/>
          <w:bCs/>
          <w:color w:val="000000" w:themeColor="text1"/>
        </w:rPr>
        <w:t>另外，勞退新制規定，勞工得將依法結清之舊制年資退休金全額移入新制個人專戶，合併計算其新舊制年資達15年以上者，亦得選擇請領月退休金，10</w:t>
      </w:r>
      <w:r w:rsidRPr="007B78CF">
        <w:rPr>
          <w:rFonts w:ascii="微軟正黑體" w:eastAsia="微軟正黑體" w:hAnsi="微軟正黑體"/>
          <w:bCs/>
          <w:color w:val="000000" w:themeColor="text1"/>
        </w:rPr>
        <w:t>9</w:t>
      </w:r>
      <w:r w:rsidRPr="007B78CF">
        <w:rPr>
          <w:rFonts w:ascii="微軟正黑體" w:eastAsia="微軟正黑體" w:hAnsi="微軟正黑體" w:hint="eastAsia"/>
          <w:bCs/>
          <w:color w:val="000000" w:themeColor="text1"/>
        </w:rPr>
        <w:lastRenderedPageBreak/>
        <w:t>年底「</w:t>
      </w:r>
      <w:r w:rsidRPr="007B78CF">
        <w:rPr>
          <w:rFonts w:ascii="微軟正黑體" w:eastAsia="微軟正黑體" w:hAnsi="微軟正黑體"/>
          <w:bCs/>
          <w:color w:val="000000" w:themeColor="text1"/>
        </w:rPr>
        <w:t>勞工本人請領月退休金</w:t>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首發806件，含續</w:t>
      </w:r>
      <w:r w:rsidRPr="007B78CF">
        <w:rPr>
          <w:rFonts w:ascii="微軟正黑體" w:eastAsia="微軟正黑體" w:hAnsi="微軟正黑體" w:hint="eastAsia"/>
          <w:bCs/>
          <w:color w:val="000000" w:themeColor="text1"/>
        </w:rPr>
        <w:t>發為9</w:t>
      </w:r>
      <w:r w:rsidRPr="007B78CF">
        <w:rPr>
          <w:rFonts w:ascii="微軟正黑體" w:eastAsia="微軟正黑體" w:hAnsi="微軟正黑體"/>
          <w:bCs/>
          <w:color w:val="000000" w:themeColor="text1"/>
        </w:rPr>
        <w:t>75件</w:t>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金額為</w:t>
      </w:r>
      <w:r w:rsidRPr="007B78CF">
        <w:rPr>
          <w:rFonts w:ascii="微軟正黑體" w:eastAsia="微軟正黑體" w:hAnsi="微軟正黑體" w:hint="eastAsia"/>
          <w:bCs/>
          <w:color w:val="000000" w:themeColor="text1"/>
        </w:rPr>
        <w:t>7</w:t>
      </w:r>
      <w:r w:rsidRPr="007B78CF">
        <w:rPr>
          <w:rFonts w:ascii="微軟正黑體" w:eastAsia="微軟正黑體" w:hAnsi="微軟正黑體"/>
          <w:bCs/>
          <w:color w:val="000000" w:themeColor="text1"/>
        </w:rPr>
        <w:t>,955.9萬元</w:t>
      </w:r>
      <w:r w:rsidRPr="007B78CF">
        <w:rPr>
          <w:rStyle w:val="af4"/>
          <w:rFonts w:ascii="微軟正黑體" w:eastAsia="微軟正黑體" w:hAnsi="微軟正黑體"/>
          <w:bCs/>
          <w:color w:val="000000" w:themeColor="text1"/>
        </w:rPr>
        <w:footnoteReference w:id="4"/>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自94年7月勞退新制實施以來，各給付方式及金額如下</w:t>
      </w:r>
      <w:r w:rsidRPr="007B78CF">
        <w:rPr>
          <w:rFonts w:ascii="微軟正黑體" w:eastAsia="微軟正黑體" w:hAnsi="微軟正黑體" w:hint="eastAsia"/>
          <w:bCs/>
          <w:color w:val="000000" w:themeColor="text1"/>
        </w:rPr>
        <w:t>表。</w:t>
      </w:r>
    </w:p>
    <w:p w:rsidR="00BD50E5" w:rsidRDefault="00BD50E5" w:rsidP="00BD50E5">
      <w:pPr>
        <w:snapToGrid w:val="0"/>
        <w:spacing w:afterLines="30" w:after="108" w:line="400" w:lineRule="exact"/>
        <w:ind w:rightChars="-85" w:right="-204"/>
        <w:jc w:val="center"/>
        <w:rPr>
          <w:rFonts w:ascii="微軟正黑體" w:eastAsia="微軟正黑體" w:hAnsi="微軟正黑體"/>
          <w:bCs/>
          <w:color w:val="000000" w:themeColor="text1"/>
        </w:rPr>
      </w:pPr>
    </w:p>
    <w:p w:rsidR="00BD50E5" w:rsidRPr="007B78CF" w:rsidRDefault="00BD50E5" w:rsidP="00BD50E5">
      <w:pPr>
        <w:snapToGrid w:val="0"/>
        <w:spacing w:afterLines="30" w:after="108" w:line="400" w:lineRule="exact"/>
        <w:ind w:rightChars="-85" w:right="-204"/>
        <w:jc w:val="center"/>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表3.</w:t>
      </w:r>
      <w:r w:rsidRPr="007B78CF">
        <w:rPr>
          <w:rFonts w:ascii="微軟正黑體" w:eastAsia="微軟正黑體" w:hAnsi="微軟正黑體" w:hint="eastAsia"/>
          <w:bCs/>
          <w:color w:val="000000" w:themeColor="text1"/>
        </w:rPr>
        <w:t>4</w:t>
      </w: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 xml:space="preserve"> 歷年</w:t>
      </w:r>
      <w:r w:rsidRPr="007B78CF">
        <w:rPr>
          <w:rFonts w:ascii="微軟正黑體" w:eastAsia="微軟正黑體" w:hAnsi="微軟正黑體"/>
          <w:bCs/>
          <w:color w:val="000000" w:themeColor="text1"/>
        </w:rPr>
        <w:t>勞退新制實施迄今給付統計</w:t>
      </w:r>
    </w:p>
    <w:tbl>
      <w:tblPr>
        <w:tblW w:w="8719" w:type="dxa"/>
        <w:jc w:val="center"/>
        <w:tblCellMar>
          <w:left w:w="28" w:type="dxa"/>
          <w:right w:w="28" w:type="dxa"/>
        </w:tblCellMar>
        <w:tblLook w:val="04A0" w:firstRow="1" w:lastRow="0" w:firstColumn="1" w:lastColumn="0" w:noHBand="0" w:noVBand="1"/>
      </w:tblPr>
      <w:tblGrid>
        <w:gridCol w:w="818"/>
        <w:gridCol w:w="992"/>
        <w:gridCol w:w="1843"/>
        <w:gridCol w:w="1275"/>
        <w:gridCol w:w="1134"/>
        <w:gridCol w:w="1560"/>
        <w:gridCol w:w="1097"/>
      </w:tblGrid>
      <w:tr w:rsidR="00BD50E5" w:rsidRPr="007B78CF" w:rsidTr="008F1977">
        <w:trPr>
          <w:trHeight w:val="379"/>
          <w:tblHeader/>
          <w:jc w:val="center"/>
        </w:trPr>
        <w:tc>
          <w:tcPr>
            <w:tcW w:w="8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年度</w:t>
            </w:r>
          </w:p>
        </w:tc>
        <w:tc>
          <w:tcPr>
            <w:tcW w:w="7901" w:type="dxa"/>
            <w:gridSpan w:val="6"/>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請領一次退休金</w:t>
            </w:r>
          </w:p>
        </w:tc>
      </w:tr>
      <w:tr w:rsidR="00BD50E5" w:rsidRPr="007B78CF" w:rsidTr="008F1977">
        <w:trPr>
          <w:trHeight w:val="352"/>
          <w:tblHeader/>
          <w:jc w:val="center"/>
        </w:trPr>
        <w:tc>
          <w:tcPr>
            <w:tcW w:w="818" w:type="dxa"/>
            <w:vMerge/>
            <w:tcBorders>
              <w:top w:val="single" w:sz="4" w:space="0" w:color="auto"/>
              <w:left w:val="single" w:sz="4" w:space="0" w:color="auto"/>
              <w:bottom w:val="single" w:sz="4" w:space="0" w:color="000000"/>
              <w:right w:val="single" w:sz="4" w:space="0" w:color="auto"/>
            </w:tcBorders>
            <w:vAlign w:val="center"/>
            <w:hideMark/>
          </w:tcPr>
          <w:p w:rsidR="00BD50E5" w:rsidRPr="007B78CF" w:rsidRDefault="00BD50E5" w:rsidP="008F1977">
            <w:pPr>
              <w:widowControl/>
              <w:spacing w:line="380" w:lineRule="exact"/>
              <w:rPr>
                <w:rFonts w:ascii="微軟正黑體" w:eastAsia="微軟正黑體" w:hAnsi="微軟正黑體"/>
                <w:color w:val="000000" w:themeColor="text1"/>
                <w:kern w:val="0"/>
                <w:sz w:val="22"/>
                <w:szCs w:val="22"/>
              </w:rPr>
            </w:pPr>
          </w:p>
        </w:tc>
        <w:tc>
          <w:tcPr>
            <w:tcW w:w="41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D50E5" w:rsidRPr="007B78CF" w:rsidRDefault="00BD50E5" w:rsidP="008F1977">
            <w:pPr>
              <w:widowControl/>
              <w:spacing w:line="3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勞工本人</w:t>
            </w:r>
          </w:p>
        </w:tc>
        <w:tc>
          <w:tcPr>
            <w:tcW w:w="3791" w:type="dxa"/>
            <w:gridSpan w:val="3"/>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勞工領取退休金後繼續工作者</w:t>
            </w:r>
          </w:p>
        </w:tc>
      </w:tr>
      <w:tr w:rsidR="00BD50E5" w:rsidRPr="007B78CF" w:rsidTr="008F1977">
        <w:trPr>
          <w:trHeight w:val="519"/>
          <w:tblHeader/>
          <w:jc w:val="center"/>
        </w:trPr>
        <w:tc>
          <w:tcPr>
            <w:tcW w:w="818" w:type="dxa"/>
            <w:vMerge/>
            <w:tcBorders>
              <w:top w:val="single" w:sz="4" w:space="0" w:color="auto"/>
              <w:left w:val="single" w:sz="4" w:space="0" w:color="auto"/>
              <w:bottom w:val="single" w:sz="4" w:space="0" w:color="000000"/>
              <w:right w:val="single" w:sz="4" w:space="0" w:color="auto"/>
            </w:tcBorders>
            <w:vAlign w:val="center"/>
            <w:hideMark/>
          </w:tcPr>
          <w:p w:rsidR="00BD50E5" w:rsidRPr="007B78CF" w:rsidRDefault="00BD50E5" w:rsidP="008F1977">
            <w:pPr>
              <w:widowControl/>
              <w:spacing w:line="380" w:lineRule="exact"/>
              <w:rPr>
                <w:rFonts w:ascii="微軟正黑體" w:eastAsia="微軟正黑體" w:hAnsi="微軟正黑體"/>
                <w:color w:val="000000" w:themeColor="text1"/>
                <w:kern w:val="0"/>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件數</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color w:val="000000" w:themeColor="text1"/>
                <w:kern w:val="0"/>
                <w:sz w:val="20"/>
                <w:szCs w:val="20"/>
              </w:rPr>
              <w:t>(件)</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總金額</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color w:val="000000" w:themeColor="text1"/>
                <w:kern w:val="0"/>
                <w:sz w:val="20"/>
                <w:szCs w:val="20"/>
              </w:rPr>
              <w:t>(元)</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平均金額</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0"/>
                <w:szCs w:val="20"/>
              </w:rPr>
              <w:t>(</w:t>
            </w:r>
            <w:r w:rsidRPr="007B78CF">
              <w:rPr>
                <w:rFonts w:ascii="微軟正黑體" w:eastAsia="微軟正黑體" w:hAnsi="微軟正黑體" w:hint="eastAsia"/>
                <w:color w:val="000000" w:themeColor="text1"/>
                <w:kern w:val="0"/>
                <w:sz w:val="20"/>
                <w:szCs w:val="20"/>
              </w:rPr>
              <w:t>元</w:t>
            </w:r>
            <w:r w:rsidRPr="007B78CF">
              <w:rPr>
                <w:rFonts w:ascii="微軟正黑體" w:eastAsia="微軟正黑體" w:hAnsi="微軟正黑體"/>
                <w:color w:val="000000" w:themeColor="text1"/>
                <w:kern w:val="0"/>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件數</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color w:val="000000" w:themeColor="text1"/>
                <w:kern w:val="0"/>
                <w:sz w:val="20"/>
                <w:szCs w:val="20"/>
              </w:rPr>
              <w:t>(件)</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總金額</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color w:val="000000" w:themeColor="text1"/>
                <w:kern w:val="0"/>
                <w:sz w:val="20"/>
                <w:szCs w:val="20"/>
              </w:rPr>
              <w:t>(元)</w:t>
            </w:r>
          </w:p>
        </w:tc>
        <w:tc>
          <w:tcPr>
            <w:tcW w:w="109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平均金額</w:t>
            </w:r>
            <w:r w:rsidRPr="007B78CF">
              <w:rPr>
                <w:rFonts w:ascii="微軟正黑體" w:eastAsia="微軟正黑體" w:hAnsi="微軟正黑體"/>
                <w:color w:val="000000" w:themeColor="text1"/>
                <w:kern w:val="0"/>
                <w:sz w:val="20"/>
                <w:szCs w:val="20"/>
              </w:rPr>
              <w:t>(元)</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94</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60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602,903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10,048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0 </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0 </w:t>
            </w:r>
          </w:p>
        </w:tc>
        <w:tc>
          <w:tcPr>
            <w:tcW w:w="109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0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95</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4,001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128,438,685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32,102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 </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8,172 </w:t>
            </w:r>
          </w:p>
        </w:tc>
        <w:tc>
          <w:tcPr>
            <w:tcW w:w="109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8,172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96</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13,738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519,900,173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37,844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155 </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2,566,404 </w:t>
            </w:r>
          </w:p>
        </w:tc>
        <w:tc>
          <w:tcPr>
            <w:tcW w:w="109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16,557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97</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657708">
              <w:rPr>
                <w:rFonts w:ascii="微軟正黑體" w:eastAsia="微軟正黑體" w:hAnsi="微軟正黑體"/>
                <w:color w:val="000000" w:themeColor="text1"/>
                <w:sz w:val="22"/>
                <w:szCs w:val="22"/>
              </w:rPr>
              <w:t>19,</w:t>
            </w:r>
            <w:r w:rsidRPr="007B78CF">
              <w:rPr>
                <w:rFonts w:ascii="微軟正黑體" w:eastAsia="微軟正黑體" w:hAnsi="微軟正黑體"/>
                <w:color w:val="000000" w:themeColor="text1"/>
                <w:sz w:val="22"/>
                <w:szCs w:val="22"/>
              </w:rPr>
              <w:t xml:space="preserve">758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994,862,757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50,352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499 </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11,400,593 </w:t>
            </w:r>
          </w:p>
        </w:tc>
        <w:tc>
          <w:tcPr>
            <w:tcW w:w="109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22,847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98</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17,639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1,230,795,901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69,777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883 </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20,832,489 </w:t>
            </w:r>
          </w:p>
        </w:tc>
        <w:tc>
          <w:tcPr>
            <w:tcW w:w="109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23,593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99</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19,860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1,617,254,219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81,433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1,279 </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35,564,943 </w:t>
            </w:r>
          </w:p>
        </w:tc>
        <w:tc>
          <w:tcPr>
            <w:tcW w:w="109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27,807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100</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37,521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2,781,478,822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74,131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1,943 </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57,457,008 </w:t>
            </w:r>
          </w:p>
        </w:tc>
        <w:tc>
          <w:tcPr>
            <w:tcW w:w="109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29,571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101</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50,053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4,636,835,151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92,639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2,953 </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95,735,703 </w:t>
            </w:r>
          </w:p>
        </w:tc>
        <w:tc>
          <w:tcPr>
            <w:tcW w:w="109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32,420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102</w:t>
            </w:r>
          </w:p>
        </w:tc>
        <w:tc>
          <w:tcPr>
            <w:tcW w:w="992"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54,850 </w:t>
            </w:r>
          </w:p>
        </w:tc>
        <w:tc>
          <w:tcPr>
            <w:tcW w:w="1843"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7,012,506,073 </w:t>
            </w:r>
          </w:p>
        </w:tc>
        <w:tc>
          <w:tcPr>
            <w:tcW w:w="1275"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127,849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4,378 </w:t>
            </w:r>
          </w:p>
        </w:tc>
        <w:tc>
          <w:tcPr>
            <w:tcW w:w="1560"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149,722,324 </w:t>
            </w:r>
          </w:p>
        </w:tc>
        <w:tc>
          <w:tcPr>
            <w:tcW w:w="1097"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34,199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103</w:t>
            </w:r>
          </w:p>
        </w:tc>
        <w:tc>
          <w:tcPr>
            <w:tcW w:w="992"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55,714 </w:t>
            </w:r>
          </w:p>
        </w:tc>
        <w:tc>
          <w:tcPr>
            <w:tcW w:w="1843"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8,758,523,322 </w:t>
            </w:r>
          </w:p>
        </w:tc>
        <w:tc>
          <w:tcPr>
            <w:tcW w:w="1275"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157,205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5,824 </w:t>
            </w:r>
          </w:p>
        </w:tc>
        <w:tc>
          <w:tcPr>
            <w:tcW w:w="1560"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213,919,103 </w:t>
            </w:r>
          </w:p>
        </w:tc>
        <w:tc>
          <w:tcPr>
            <w:tcW w:w="1097"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36,731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104</w:t>
            </w:r>
          </w:p>
        </w:tc>
        <w:tc>
          <w:tcPr>
            <w:tcW w:w="992"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75,912 </w:t>
            </w:r>
          </w:p>
        </w:tc>
        <w:tc>
          <w:tcPr>
            <w:tcW w:w="1843"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11,985,246,103 </w:t>
            </w:r>
          </w:p>
        </w:tc>
        <w:tc>
          <w:tcPr>
            <w:tcW w:w="1275"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157,883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8</w:t>
            </w:r>
            <w:r>
              <w:rPr>
                <w:rFonts w:ascii="微軟正黑體" w:eastAsia="微軟正黑體" w:hAnsi="微軟正黑體" w:hint="eastAsia"/>
                <w:color w:val="000000" w:themeColor="text1"/>
                <w:sz w:val="22"/>
                <w:szCs w:val="22"/>
              </w:rPr>
              <w:t>,</w:t>
            </w:r>
            <w:r w:rsidRPr="007B78CF">
              <w:rPr>
                <w:rFonts w:ascii="微軟正黑體" w:eastAsia="微軟正黑體" w:hAnsi="微軟正黑體"/>
                <w:color w:val="000000" w:themeColor="text1"/>
                <w:sz w:val="22"/>
                <w:szCs w:val="22"/>
              </w:rPr>
              <w:t>035</w:t>
            </w:r>
          </w:p>
        </w:tc>
        <w:tc>
          <w:tcPr>
            <w:tcW w:w="1560"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317,266,199 </w:t>
            </w:r>
          </w:p>
        </w:tc>
        <w:tc>
          <w:tcPr>
            <w:tcW w:w="1097"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39,486 </w:t>
            </w:r>
          </w:p>
        </w:tc>
      </w:tr>
      <w:tr w:rsidR="00BD50E5" w:rsidRPr="007B78CF" w:rsidTr="008F1977">
        <w:trPr>
          <w:trHeight w:val="330"/>
          <w:jc w:val="center"/>
        </w:trPr>
        <w:tc>
          <w:tcPr>
            <w:tcW w:w="818"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105</w:t>
            </w:r>
          </w:p>
        </w:tc>
        <w:tc>
          <w:tcPr>
            <w:tcW w:w="992"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80,902 </w:t>
            </w:r>
          </w:p>
        </w:tc>
        <w:tc>
          <w:tcPr>
            <w:tcW w:w="1843"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15,367,154,690 </w:t>
            </w:r>
          </w:p>
        </w:tc>
        <w:tc>
          <w:tcPr>
            <w:tcW w:w="1275"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189,948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10,586 </w:t>
            </w:r>
          </w:p>
        </w:tc>
        <w:tc>
          <w:tcPr>
            <w:tcW w:w="1560"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443,913,003 </w:t>
            </w:r>
          </w:p>
        </w:tc>
        <w:tc>
          <w:tcPr>
            <w:tcW w:w="1097"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41,934 </w:t>
            </w:r>
          </w:p>
        </w:tc>
      </w:tr>
      <w:tr w:rsidR="00BD50E5" w:rsidRPr="007B78CF" w:rsidTr="008F1977">
        <w:trPr>
          <w:trHeight w:val="311"/>
          <w:jc w:val="center"/>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80,668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17,535,912,097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217,384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13,404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607,709,003 </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45,338 </w:t>
            </w:r>
          </w:p>
        </w:tc>
      </w:tr>
      <w:tr w:rsidR="00BD50E5" w:rsidRPr="007B78CF" w:rsidTr="008F1977">
        <w:trPr>
          <w:trHeight w:val="235"/>
          <w:jc w:val="center"/>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75,473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17,891,513,731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237,058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15,964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753,469,312 </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47,198 </w:t>
            </w:r>
          </w:p>
        </w:tc>
      </w:tr>
      <w:tr w:rsidR="00BD50E5" w:rsidRPr="007B78CF" w:rsidTr="008F1977">
        <w:trPr>
          <w:trHeight w:val="235"/>
          <w:jc w:val="center"/>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08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87,619</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22,698,449,882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259,059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18,760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928,403,559</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49,488 </w:t>
            </w:r>
          </w:p>
        </w:tc>
      </w:tr>
      <w:tr w:rsidR="00BD50E5" w:rsidRPr="007B78CF" w:rsidTr="008F1977">
        <w:trPr>
          <w:trHeight w:val="235"/>
          <w:jc w:val="center"/>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09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82,108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23,127,888,843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281,676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20,638</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1,081,185,436</w:t>
            </w:r>
          </w:p>
        </w:tc>
        <w:tc>
          <w:tcPr>
            <w:tcW w:w="1097"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52,388 </w:t>
            </w:r>
          </w:p>
        </w:tc>
      </w:tr>
    </w:tbl>
    <w:p w:rsidR="00BD50E5" w:rsidRPr="007B78CF" w:rsidRDefault="00BD50E5" w:rsidP="00BD50E5">
      <w:pPr>
        <w:snapToGrid w:val="0"/>
        <w:spacing w:line="400" w:lineRule="exact"/>
        <w:rPr>
          <w:rFonts w:ascii="微軟正黑體" w:eastAsia="微軟正黑體" w:hAnsi="微軟正黑體"/>
          <w:bCs/>
          <w:color w:val="000000" w:themeColor="text1"/>
        </w:rPr>
      </w:pPr>
    </w:p>
    <w:p w:rsidR="00BD50E5" w:rsidRPr="007B78CF" w:rsidRDefault="00BD50E5" w:rsidP="00BD50E5">
      <w:pPr>
        <w:snapToGrid w:val="0"/>
        <w:spacing w:afterLines="30" w:after="108" w:line="400" w:lineRule="exact"/>
        <w:jc w:val="center"/>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表3.</w:t>
      </w:r>
      <w:r w:rsidRPr="007B78CF">
        <w:rPr>
          <w:rFonts w:ascii="微軟正黑體" w:eastAsia="微軟正黑體" w:hAnsi="微軟正黑體" w:hint="eastAsia"/>
          <w:bCs/>
          <w:color w:val="000000" w:themeColor="text1"/>
        </w:rPr>
        <w:t xml:space="preserve">4(續) </w:t>
      </w: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歷年</w:t>
      </w:r>
      <w:r w:rsidRPr="007B78CF">
        <w:rPr>
          <w:rFonts w:ascii="微軟正黑體" w:eastAsia="微軟正黑體" w:hAnsi="微軟正黑體"/>
          <w:bCs/>
          <w:color w:val="000000" w:themeColor="text1"/>
        </w:rPr>
        <w:t>勞退新制實施迄今給付統計</w:t>
      </w:r>
    </w:p>
    <w:tbl>
      <w:tblPr>
        <w:tblW w:w="8789" w:type="dxa"/>
        <w:tblInd w:w="170" w:type="dxa"/>
        <w:tblCellMar>
          <w:left w:w="28" w:type="dxa"/>
          <w:right w:w="28" w:type="dxa"/>
        </w:tblCellMar>
        <w:tblLook w:val="04A0" w:firstRow="1" w:lastRow="0" w:firstColumn="1" w:lastColumn="0" w:noHBand="0" w:noVBand="1"/>
      </w:tblPr>
      <w:tblGrid>
        <w:gridCol w:w="851"/>
        <w:gridCol w:w="992"/>
        <w:gridCol w:w="1843"/>
        <w:gridCol w:w="1275"/>
        <w:gridCol w:w="1134"/>
        <w:gridCol w:w="1134"/>
        <w:gridCol w:w="1560"/>
      </w:tblGrid>
      <w:tr w:rsidR="00BD50E5" w:rsidRPr="007B78CF" w:rsidTr="008F1977">
        <w:trPr>
          <w:trHeight w:val="365"/>
          <w:tblHead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D50E5" w:rsidRPr="007B78CF" w:rsidRDefault="00BD50E5" w:rsidP="008F1977">
            <w:pPr>
              <w:widowControl/>
              <w:spacing w:line="3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年度</w:t>
            </w:r>
          </w:p>
        </w:tc>
        <w:tc>
          <w:tcPr>
            <w:tcW w:w="4110" w:type="dxa"/>
            <w:gridSpan w:val="3"/>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請領一次退休金(續)</w:t>
            </w:r>
          </w:p>
        </w:tc>
        <w:tc>
          <w:tcPr>
            <w:tcW w:w="38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請領月退休金</w:t>
            </w:r>
          </w:p>
        </w:tc>
      </w:tr>
      <w:tr w:rsidR="00BD50E5" w:rsidRPr="007B78CF" w:rsidTr="008F1977">
        <w:trPr>
          <w:trHeight w:val="417"/>
          <w:tblHeader/>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BD50E5" w:rsidRPr="007B78CF" w:rsidRDefault="00BD50E5" w:rsidP="008F1977">
            <w:pPr>
              <w:widowControl/>
              <w:spacing w:line="300" w:lineRule="exact"/>
              <w:rPr>
                <w:rFonts w:ascii="微軟正黑體" w:eastAsia="微軟正黑體" w:hAnsi="微軟正黑體"/>
                <w:color w:val="000000" w:themeColor="text1"/>
                <w:kern w:val="0"/>
                <w:sz w:val="22"/>
                <w:szCs w:val="22"/>
              </w:rPr>
            </w:pPr>
          </w:p>
        </w:tc>
        <w:tc>
          <w:tcPr>
            <w:tcW w:w="41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遺屬或指定請領人</w:t>
            </w:r>
          </w:p>
        </w:tc>
        <w:tc>
          <w:tcPr>
            <w:tcW w:w="382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勞工本人</w:t>
            </w:r>
          </w:p>
        </w:tc>
      </w:tr>
      <w:tr w:rsidR="00BD50E5" w:rsidRPr="007B78CF" w:rsidTr="008F1977">
        <w:trPr>
          <w:trHeight w:val="602"/>
          <w:tblHeader/>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BD50E5" w:rsidRPr="007B78CF" w:rsidRDefault="00BD50E5" w:rsidP="008F1977">
            <w:pPr>
              <w:widowControl/>
              <w:spacing w:line="300" w:lineRule="exact"/>
              <w:rPr>
                <w:rFonts w:ascii="微軟正黑體" w:eastAsia="微軟正黑體" w:hAnsi="微軟正黑體"/>
                <w:color w:val="000000" w:themeColor="text1"/>
                <w:kern w:val="0"/>
                <w:sz w:val="22"/>
                <w:szCs w:val="22"/>
              </w:rPr>
            </w:pP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件數</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color w:val="000000" w:themeColor="text1"/>
                <w:kern w:val="0"/>
                <w:sz w:val="20"/>
                <w:szCs w:val="20"/>
              </w:rPr>
              <w:t xml:space="preserve">(件)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總金額</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color w:val="000000" w:themeColor="text1"/>
                <w:kern w:val="0"/>
                <w:sz w:val="20"/>
                <w:szCs w:val="20"/>
              </w:rPr>
              <w:t>(元)</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平均金額</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0"/>
                <w:szCs w:val="20"/>
              </w:rPr>
              <w:t>(元)</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件數</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color w:val="000000" w:themeColor="text1"/>
                <w:kern w:val="0"/>
                <w:sz w:val="20"/>
                <w:szCs w:val="20"/>
              </w:rPr>
              <w:t>(件)</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首發件數</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color w:val="000000" w:themeColor="text1"/>
                <w:kern w:val="0"/>
                <w:sz w:val="20"/>
                <w:szCs w:val="20"/>
              </w:rPr>
              <w:t>(件)</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hint="eastAsia"/>
                <w:color w:val="000000" w:themeColor="text1"/>
                <w:kern w:val="0"/>
                <w:sz w:val="22"/>
                <w:szCs w:val="22"/>
              </w:rPr>
              <w:t>總金額</w:t>
            </w:r>
          </w:p>
          <w:p w:rsidR="00BD50E5" w:rsidRPr="007B78CF" w:rsidRDefault="00BD50E5" w:rsidP="008F1977">
            <w:pPr>
              <w:widowControl/>
              <w:spacing w:line="280" w:lineRule="exact"/>
              <w:jc w:val="center"/>
              <w:rPr>
                <w:rFonts w:ascii="微軟正黑體" w:eastAsia="微軟正黑體" w:hAnsi="微軟正黑體"/>
                <w:color w:val="000000" w:themeColor="text1"/>
                <w:kern w:val="0"/>
                <w:sz w:val="20"/>
                <w:szCs w:val="20"/>
              </w:rPr>
            </w:pPr>
            <w:r w:rsidRPr="007B78CF">
              <w:rPr>
                <w:rFonts w:ascii="微軟正黑體" w:eastAsia="微軟正黑體" w:hAnsi="微軟正黑體"/>
                <w:color w:val="000000" w:themeColor="text1"/>
                <w:kern w:val="0"/>
                <w:sz w:val="20"/>
                <w:szCs w:val="20"/>
              </w:rPr>
              <w:t>(元)</w:t>
            </w: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94</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79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400,053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5,064 </w:t>
            </w:r>
          </w:p>
        </w:tc>
        <w:tc>
          <w:tcPr>
            <w:tcW w:w="3828" w:type="dxa"/>
            <w:gridSpan w:val="3"/>
            <w:vMerge w:val="restart"/>
            <w:tcBorders>
              <w:top w:val="single" w:sz="4" w:space="0" w:color="auto"/>
              <w:left w:val="nil"/>
              <w:right w:val="single" w:sz="4" w:space="0" w:color="auto"/>
              <w:tl2br w:val="single" w:sz="4" w:space="0" w:color="auto"/>
            </w:tcBorders>
            <w:shd w:val="clear" w:color="auto" w:fill="auto"/>
            <w:noWrap/>
            <w:vAlign w:val="center"/>
            <w:hideMark/>
          </w:tcPr>
          <w:p w:rsidR="00BD50E5" w:rsidRPr="007B78CF" w:rsidRDefault="00BD50E5" w:rsidP="008F1977">
            <w:pPr>
              <w:widowControl/>
              <w:spacing w:line="360" w:lineRule="exact"/>
              <w:rPr>
                <w:rFonts w:ascii="微軟正黑體" w:eastAsia="微軟正黑體" w:hAnsi="微軟正黑體"/>
                <w:color w:val="000000" w:themeColor="text1"/>
                <w:kern w:val="0"/>
                <w:sz w:val="22"/>
                <w:szCs w:val="22"/>
              </w:rPr>
            </w:pP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95</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1,807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34,703,746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19,205 </w:t>
            </w:r>
          </w:p>
        </w:tc>
        <w:tc>
          <w:tcPr>
            <w:tcW w:w="3828" w:type="dxa"/>
            <w:gridSpan w:val="3"/>
            <w:vMerge/>
            <w:tcBorders>
              <w:left w:val="nil"/>
              <w:right w:val="single" w:sz="4" w:space="0" w:color="auto"/>
              <w:tl2br w:val="single" w:sz="4" w:space="0" w:color="auto"/>
            </w:tcBorders>
            <w:shd w:val="clear" w:color="auto" w:fill="auto"/>
            <w:noWrap/>
            <w:vAlign w:val="center"/>
            <w:hideMark/>
          </w:tcPr>
          <w:p w:rsidR="00BD50E5" w:rsidRPr="007B78CF" w:rsidRDefault="00BD50E5" w:rsidP="008F1977">
            <w:pPr>
              <w:spacing w:line="360" w:lineRule="exact"/>
              <w:rPr>
                <w:rFonts w:ascii="微軟正黑體" w:eastAsia="微軟正黑體" w:hAnsi="微軟正黑體"/>
                <w:color w:val="000000" w:themeColor="text1"/>
                <w:kern w:val="0"/>
                <w:sz w:val="22"/>
                <w:szCs w:val="22"/>
              </w:rPr>
            </w:pP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96</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5,755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138,225,267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24,018 </w:t>
            </w:r>
          </w:p>
        </w:tc>
        <w:tc>
          <w:tcPr>
            <w:tcW w:w="3828" w:type="dxa"/>
            <w:gridSpan w:val="3"/>
            <w:vMerge/>
            <w:tcBorders>
              <w:left w:val="nil"/>
              <w:right w:val="single" w:sz="4" w:space="0" w:color="auto"/>
              <w:tl2br w:val="single" w:sz="4" w:space="0" w:color="auto"/>
            </w:tcBorders>
            <w:shd w:val="clear" w:color="auto" w:fill="auto"/>
            <w:noWrap/>
            <w:vAlign w:val="center"/>
            <w:hideMark/>
          </w:tcPr>
          <w:p w:rsidR="00BD50E5" w:rsidRPr="007B78CF" w:rsidRDefault="00BD50E5" w:rsidP="008F1977">
            <w:pPr>
              <w:spacing w:line="360" w:lineRule="exact"/>
              <w:rPr>
                <w:rFonts w:ascii="微軟正黑體" w:eastAsia="微軟正黑體" w:hAnsi="微軟正黑體"/>
                <w:color w:val="000000" w:themeColor="text1"/>
                <w:kern w:val="0"/>
                <w:sz w:val="22"/>
                <w:szCs w:val="22"/>
              </w:rPr>
            </w:pP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97</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5,187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222,520,083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42,900 </w:t>
            </w:r>
          </w:p>
        </w:tc>
        <w:tc>
          <w:tcPr>
            <w:tcW w:w="3828" w:type="dxa"/>
            <w:gridSpan w:val="3"/>
            <w:vMerge/>
            <w:tcBorders>
              <w:left w:val="nil"/>
              <w:right w:val="single" w:sz="4" w:space="0" w:color="auto"/>
              <w:tl2br w:val="single" w:sz="4" w:space="0" w:color="auto"/>
            </w:tcBorders>
            <w:shd w:val="clear" w:color="auto" w:fill="auto"/>
            <w:noWrap/>
            <w:vAlign w:val="center"/>
            <w:hideMark/>
          </w:tcPr>
          <w:p w:rsidR="00BD50E5" w:rsidRPr="007B78CF" w:rsidRDefault="00BD50E5" w:rsidP="008F1977">
            <w:pPr>
              <w:spacing w:line="360" w:lineRule="exact"/>
              <w:rPr>
                <w:rFonts w:ascii="微軟正黑體" w:eastAsia="微軟正黑體" w:hAnsi="微軟正黑體"/>
                <w:color w:val="000000" w:themeColor="text1"/>
                <w:kern w:val="0"/>
                <w:sz w:val="22"/>
                <w:szCs w:val="22"/>
              </w:rPr>
            </w:pP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98</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6,710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346,542,007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51,646 </w:t>
            </w:r>
          </w:p>
        </w:tc>
        <w:tc>
          <w:tcPr>
            <w:tcW w:w="3828" w:type="dxa"/>
            <w:gridSpan w:val="3"/>
            <w:vMerge/>
            <w:tcBorders>
              <w:left w:val="nil"/>
              <w:bottom w:val="single" w:sz="4" w:space="0" w:color="auto"/>
              <w:right w:val="single" w:sz="4" w:space="0" w:color="auto"/>
              <w:tl2br w:val="single" w:sz="4" w:space="0" w:color="auto"/>
            </w:tcBorders>
            <w:shd w:val="clear" w:color="auto" w:fill="auto"/>
            <w:noWrap/>
            <w:vAlign w:val="center"/>
            <w:hideMark/>
          </w:tcPr>
          <w:p w:rsidR="00BD50E5" w:rsidRPr="007B78CF" w:rsidRDefault="00BD50E5" w:rsidP="008F1977">
            <w:pPr>
              <w:spacing w:line="360" w:lineRule="exact"/>
              <w:rPr>
                <w:rFonts w:ascii="微軟正黑體" w:eastAsia="微軟正黑體" w:hAnsi="微軟正黑體"/>
                <w:color w:val="000000" w:themeColor="text1"/>
                <w:kern w:val="0"/>
                <w:sz w:val="22"/>
                <w:szCs w:val="22"/>
              </w:rPr>
            </w:pP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lastRenderedPageBreak/>
              <w:t>99</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6,092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428,719,282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70,374 </w:t>
            </w:r>
          </w:p>
        </w:tc>
        <w:tc>
          <w:tcPr>
            <w:tcW w:w="3828" w:type="dxa"/>
            <w:gridSpan w:val="3"/>
            <w:vMerge w:val="restart"/>
            <w:tcBorders>
              <w:left w:val="nil"/>
              <w:right w:val="single" w:sz="4" w:space="0" w:color="auto"/>
              <w:tl2br w:val="single" w:sz="4" w:space="0" w:color="auto"/>
            </w:tcBorders>
            <w:shd w:val="clear" w:color="auto" w:fill="auto"/>
            <w:noWrap/>
            <w:vAlign w:val="center"/>
            <w:hideMark/>
          </w:tcPr>
          <w:p w:rsidR="00BD50E5" w:rsidRPr="007B78CF" w:rsidRDefault="00BD50E5" w:rsidP="008F1977">
            <w:pPr>
              <w:spacing w:line="360" w:lineRule="exact"/>
              <w:rPr>
                <w:rFonts w:ascii="微軟正黑體" w:eastAsia="微軟正黑體" w:hAnsi="微軟正黑體"/>
                <w:color w:val="000000" w:themeColor="text1"/>
                <w:kern w:val="0"/>
                <w:sz w:val="22"/>
                <w:szCs w:val="22"/>
              </w:rPr>
            </w:pP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100</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11,635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730,931,664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62,822 </w:t>
            </w:r>
          </w:p>
        </w:tc>
        <w:tc>
          <w:tcPr>
            <w:tcW w:w="3828" w:type="dxa"/>
            <w:gridSpan w:val="3"/>
            <w:vMerge/>
            <w:tcBorders>
              <w:left w:val="nil"/>
              <w:bottom w:val="single" w:sz="4" w:space="0" w:color="auto"/>
              <w:right w:val="single" w:sz="4" w:space="0" w:color="auto"/>
              <w:tl2br w:val="single" w:sz="4" w:space="0" w:color="auto"/>
            </w:tcBorders>
            <w:shd w:val="clear" w:color="auto" w:fill="auto"/>
            <w:noWrap/>
            <w:vAlign w:val="center"/>
            <w:hideMark/>
          </w:tcPr>
          <w:p w:rsidR="00BD50E5" w:rsidRPr="007B78CF" w:rsidRDefault="00BD50E5" w:rsidP="008F1977">
            <w:pPr>
              <w:widowControl/>
              <w:spacing w:line="360" w:lineRule="exact"/>
              <w:rPr>
                <w:rFonts w:ascii="微軟正黑體" w:eastAsia="微軟正黑體" w:hAnsi="微軟正黑體"/>
                <w:color w:val="000000" w:themeColor="text1"/>
                <w:kern w:val="0"/>
                <w:sz w:val="22"/>
                <w:szCs w:val="22"/>
              </w:rPr>
            </w:pP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101</w:t>
            </w:r>
          </w:p>
        </w:tc>
        <w:tc>
          <w:tcPr>
            <w:tcW w:w="99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9,599 </w:t>
            </w:r>
          </w:p>
        </w:tc>
        <w:tc>
          <w:tcPr>
            <w:tcW w:w="1843"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756,631,146 </w:t>
            </w:r>
          </w:p>
        </w:tc>
        <w:tc>
          <w:tcPr>
            <w:tcW w:w="1275"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78,824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9 </w:t>
            </w:r>
          </w:p>
        </w:tc>
        <w:tc>
          <w:tcPr>
            <w:tcW w:w="113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9 </w:t>
            </w:r>
          </w:p>
        </w:tc>
        <w:tc>
          <w:tcPr>
            <w:tcW w:w="1560"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762,560 </w:t>
            </w: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102</w:t>
            </w:r>
          </w:p>
        </w:tc>
        <w:tc>
          <w:tcPr>
            <w:tcW w:w="992"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10,972 </w:t>
            </w:r>
          </w:p>
        </w:tc>
        <w:tc>
          <w:tcPr>
            <w:tcW w:w="1843"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1,003,465,160 </w:t>
            </w:r>
          </w:p>
        </w:tc>
        <w:tc>
          <w:tcPr>
            <w:tcW w:w="1275"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91,457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23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14 </w:t>
            </w:r>
          </w:p>
        </w:tc>
        <w:tc>
          <w:tcPr>
            <w:tcW w:w="1560"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5,362,588 </w:t>
            </w: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103</w:t>
            </w:r>
          </w:p>
        </w:tc>
        <w:tc>
          <w:tcPr>
            <w:tcW w:w="992"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13,049 </w:t>
            </w:r>
          </w:p>
        </w:tc>
        <w:tc>
          <w:tcPr>
            <w:tcW w:w="1843"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1,354,759,959 </w:t>
            </w:r>
          </w:p>
        </w:tc>
        <w:tc>
          <w:tcPr>
            <w:tcW w:w="1275"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103,821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35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12 </w:t>
            </w:r>
          </w:p>
        </w:tc>
        <w:tc>
          <w:tcPr>
            <w:tcW w:w="1560"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12,315,566 </w:t>
            </w:r>
          </w:p>
        </w:tc>
      </w:tr>
      <w:tr w:rsidR="00BD50E5" w:rsidRPr="007B78CF" w:rsidTr="008F1977">
        <w:trPr>
          <w:trHeight w:val="330"/>
        </w:trPr>
        <w:tc>
          <w:tcPr>
            <w:tcW w:w="851"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104</w:t>
            </w:r>
          </w:p>
        </w:tc>
        <w:tc>
          <w:tcPr>
            <w:tcW w:w="992"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14,815 </w:t>
            </w:r>
          </w:p>
        </w:tc>
        <w:tc>
          <w:tcPr>
            <w:tcW w:w="1843"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1,694,503,460 </w:t>
            </w:r>
          </w:p>
        </w:tc>
        <w:tc>
          <w:tcPr>
            <w:tcW w:w="1275"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114,378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59 </w:t>
            </w:r>
          </w:p>
        </w:tc>
        <w:tc>
          <w:tcPr>
            <w:tcW w:w="1134"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24 </w:t>
            </w:r>
          </w:p>
        </w:tc>
        <w:tc>
          <w:tcPr>
            <w:tcW w:w="1560"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19,572,094 </w:t>
            </w:r>
          </w:p>
        </w:tc>
      </w:tr>
      <w:tr w:rsidR="00BD50E5" w:rsidRPr="007B78CF" w:rsidTr="008F1977">
        <w:trPr>
          <w:trHeight w:val="330"/>
        </w:trPr>
        <w:tc>
          <w:tcPr>
            <w:tcW w:w="851" w:type="dxa"/>
            <w:tcBorders>
              <w:top w:val="nil"/>
              <w:left w:val="single" w:sz="4" w:space="0" w:color="auto"/>
              <w:bottom w:val="nil"/>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105</w:t>
            </w:r>
          </w:p>
        </w:tc>
        <w:tc>
          <w:tcPr>
            <w:tcW w:w="992" w:type="dxa"/>
            <w:tcBorders>
              <w:top w:val="nil"/>
              <w:left w:val="nil"/>
              <w:bottom w:val="nil"/>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16,002 </w:t>
            </w:r>
          </w:p>
        </w:tc>
        <w:tc>
          <w:tcPr>
            <w:tcW w:w="1843" w:type="dxa"/>
            <w:tcBorders>
              <w:top w:val="nil"/>
              <w:left w:val="nil"/>
              <w:bottom w:val="nil"/>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1,999,388,846 </w:t>
            </w:r>
          </w:p>
        </w:tc>
        <w:tc>
          <w:tcPr>
            <w:tcW w:w="1275" w:type="dxa"/>
            <w:tcBorders>
              <w:top w:val="nil"/>
              <w:left w:val="nil"/>
              <w:bottom w:val="nil"/>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124,946 </w:t>
            </w:r>
          </w:p>
        </w:tc>
        <w:tc>
          <w:tcPr>
            <w:tcW w:w="1134" w:type="dxa"/>
            <w:tcBorders>
              <w:top w:val="nil"/>
              <w:left w:val="nil"/>
              <w:bottom w:val="nil"/>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81 </w:t>
            </w:r>
          </w:p>
        </w:tc>
        <w:tc>
          <w:tcPr>
            <w:tcW w:w="1134" w:type="dxa"/>
            <w:tcBorders>
              <w:top w:val="nil"/>
              <w:left w:val="nil"/>
              <w:bottom w:val="nil"/>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24 </w:t>
            </w:r>
          </w:p>
        </w:tc>
        <w:tc>
          <w:tcPr>
            <w:tcW w:w="1560" w:type="dxa"/>
            <w:tcBorders>
              <w:top w:val="nil"/>
              <w:left w:val="nil"/>
              <w:bottom w:val="nil"/>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 xml:space="preserve">27,223,275 </w:t>
            </w:r>
          </w:p>
        </w:tc>
      </w:tr>
      <w:tr w:rsidR="00BD50E5" w:rsidRPr="007B78CF" w:rsidTr="008F1977">
        <w:trPr>
          <w:trHeight w:val="29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18,044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2,468,045,823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136,779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109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28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34,739,888 </w:t>
            </w:r>
          </w:p>
        </w:tc>
      </w:tr>
      <w:tr w:rsidR="00BD50E5" w:rsidRPr="007B78CF" w:rsidTr="008F1977">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107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17,824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2,813,640,806 </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157,857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142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33 </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46,898,504 </w:t>
            </w:r>
          </w:p>
        </w:tc>
      </w:tr>
      <w:tr w:rsidR="00BD50E5" w:rsidRPr="007B78CF" w:rsidTr="008F1977">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08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18,386</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3,219,586,577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175,111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170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28</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56,649,655</w:t>
            </w:r>
          </w:p>
        </w:tc>
      </w:tr>
      <w:tr w:rsidR="00BD50E5" w:rsidRPr="007B78CF" w:rsidTr="008F1977">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6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09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17,739</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3,241,608,942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182,739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975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806</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spacing w:line="36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79,559,109</w:t>
            </w:r>
          </w:p>
        </w:tc>
      </w:tr>
    </w:tbl>
    <w:p w:rsidR="00BD50E5" w:rsidRPr="007B78CF" w:rsidRDefault="00BD50E5" w:rsidP="00BD50E5">
      <w:pPr>
        <w:snapToGrid w:val="0"/>
        <w:spacing w:line="400" w:lineRule="exact"/>
        <w:rPr>
          <w:rFonts w:ascii="微軟正黑體" w:eastAsia="微軟正黑體" w:hAnsi="微軟正黑體"/>
          <w:bCs/>
          <w:color w:val="000000" w:themeColor="text1"/>
        </w:rPr>
      </w:pPr>
    </w:p>
    <w:p w:rsidR="00BD50E5" w:rsidRPr="007B78CF" w:rsidRDefault="00BD50E5" w:rsidP="00BD50E5">
      <w:pPr>
        <w:snapToGrid w:val="0"/>
        <w:spacing w:line="400" w:lineRule="exact"/>
        <w:rPr>
          <w:rFonts w:ascii="微軟正黑體" w:eastAsia="微軟正黑體" w:hAnsi="微軟正黑體"/>
          <w:bCs/>
          <w:color w:val="000000" w:themeColor="text1"/>
        </w:rPr>
      </w:pP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 xml:space="preserve">  3. </w:t>
      </w:r>
      <w:r w:rsidRPr="007B78CF">
        <w:rPr>
          <w:rFonts w:ascii="微軟正黑體" w:eastAsia="微軟正黑體" w:hAnsi="微軟正黑體"/>
          <w:bCs/>
          <w:color w:val="000000" w:themeColor="text1"/>
        </w:rPr>
        <w:t>財務概況</w:t>
      </w:r>
    </w:p>
    <w:p w:rsidR="00BD50E5" w:rsidRPr="007B78CF" w:rsidRDefault="00BD50E5" w:rsidP="00BD50E5">
      <w:pPr>
        <w:tabs>
          <w:tab w:val="left" w:pos="426"/>
        </w:tabs>
        <w:snapToGrid w:val="0"/>
        <w:spacing w:beforeLines="50" w:before="180" w:line="400" w:lineRule="exact"/>
        <w:ind w:firstLineChars="200" w:firstLine="480"/>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(1) </w:t>
      </w:r>
      <w:r w:rsidRPr="007B78CF">
        <w:rPr>
          <w:rFonts w:ascii="微軟正黑體" w:eastAsia="微軟正黑體" w:hAnsi="微軟正黑體"/>
          <w:bCs/>
          <w:color w:val="000000" w:themeColor="text1"/>
        </w:rPr>
        <w:t>基金運用效益</w:t>
      </w:r>
    </w:p>
    <w:p w:rsidR="00BD50E5" w:rsidRPr="007B78CF" w:rsidRDefault="00BD50E5" w:rsidP="00BD50E5">
      <w:pPr>
        <w:snapToGrid w:val="0"/>
        <w:spacing w:beforeLines="30" w:before="108" w:line="400" w:lineRule="exact"/>
        <w:ind w:leftChars="276" w:left="880" w:hangingChars="91" w:hanging="218"/>
        <w:jc w:val="both"/>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 xml:space="preserve">      新制勞工退休制度自94年7月開辦，並自96年7月起正式投資運用。觀察近10年基金運用收益情形，97年受全球金融海嘯衝擊，實際收益數為-176.6億元，收益率為-6.1%，98年則分別回升至481.1億元及11.8%，之後100年、104年及107年實際收益數及收益率為負值，其餘年度均為正值</w:t>
      </w:r>
      <w:r w:rsidRPr="007B78CF">
        <w:rPr>
          <w:rFonts w:ascii="微軟正黑體" w:eastAsia="微軟正黑體" w:hAnsi="微軟正黑體" w:hint="eastAsia"/>
          <w:color w:val="000000" w:themeColor="text1"/>
        </w:rPr>
        <w:t>。</w:t>
      </w:r>
      <w:r w:rsidRPr="007B78CF">
        <w:rPr>
          <w:rFonts w:ascii="微軟正黑體" w:eastAsia="微軟正黑體" w:hAnsi="微軟正黑體"/>
          <w:bCs/>
          <w:color w:val="000000" w:themeColor="text1"/>
        </w:rPr>
        <w:t>109年度</w:t>
      </w:r>
      <w:r w:rsidRPr="007B78CF">
        <w:rPr>
          <w:rFonts w:ascii="微軟正黑體" w:eastAsia="微軟正黑體" w:hAnsi="微軟正黑體" w:hint="eastAsia"/>
          <w:bCs/>
          <w:color w:val="000000" w:themeColor="text1"/>
        </w:rPr>
        <w:t>實際收益數</w:t>
      </w:r>
      <w:r w:rsidRPr="007B78CF">
        <w:rPr>
          <w:rFonts w:ascii="微軟正黑體" w:eastAsia="微軟正黑體" w:hAnsi="微軟正黑體"/>
          <w:bCs/>
          <w:color w:val="000000" w:themeColor="text1"/>
        </w:rPr>
        <w:t>為1</w:t>
      </w:r>
      <w:r w:rsidR="00897B8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781.8億元，</w:t>
      </w:r>
      <w:r w:rsidRPr="007B78CF">
        <w:rPr>
          <w:rFonts w:ascii="微軟正黑體" w:eastAsia="微軟正黑體" w:hAnsi="微軟正黑體" w:hint="eastAsia"/>
          <w:bCs/>
          <w:color w:val="000000" w:themeColor="text1"/>
        </w:rPr>
        <w:t>實際</w:t>
      </w:r>
      <w:r w:rsidRPr="007B78CF">
        <w:rPr>
          <w:rFonts w:ascii="微軟正黑體" w:eastAsia="微軟正黑體" w:hAnsi="微軟正黑體"/>
          <w:bCs/>
          <w:color w:val="000000" w:themeColor="text1"/>
        </w:rPr>
        <w:t>收益率為6.9%</w:t>
      </w:r>
      <w:r w:rsidRPr="007B78CF">
        <w:rPr>
          <w:rFonts w:ascii="微軟正黑體" w:eastAsia="微軟正黑體" w:hAnsi="微軟正黑體" w:hint="eastAsia"/>
          <w:bCs/>
          <w:color w:val="000000" w:themeColor="text1"/>
        </w:rPr>
        <w:t>，</w:t>
      </w:r>
      <w:r w:rsidRPr="007B78CF">
        <w:rPr>
          <w:rFonts w:ascii="微軟正黑體" w:eastAsia="微軟正黑體" w:hAnsi="微軟正黑體"/>
          <w:bCs/>
          <w:color w:val="000000" w:themeColor="text1"/>
        </w:rPr>
        <w:t>基金運用餘額為</w:t>
      </w:r>
      <w:r w:rsidRPr="007B78CF">
        <w:rPr>
          <w:rFonts w:ascii="微軟正黑體" w:eastAsia="微軟正黑體" w:hAnsi="微軟正黑體" w:hint="eastAsia"/>
          <w:bCs/>
          <w:color w:val="000000" w:themeColor="text1"/>
        </w:rPr>
        <w:t>2</w:t>
      </w:r>
      <w:r w:rsidRPr="007B78CF">
        <w:rPr>
          <w:rFonts w:ascii="微軟正黑體" w:eastAsia="微軟正黑體" w:hAnsi="微軟正黑體"/>
          <w:bCs/>
          <w:color w:val="000000" w:themeColor="text1"/>
        </w:rPr>
        <w:t>兆7,224.5億元</w:t>
      </w:r>
      <w:r w:rsidRPr="007B78CF">
        <w:rPr>
          <w:rFonts w:ascii="微軟正黑體" w:eastAsia="微軟正黑體" w:hAnsi="微軟正黑體" w:hint="eastAsia"/>
          <w:bCs/>
          <w:color w:val="000000" w:themeColor="text1"/>
        </w:rPr>
        <w:t>。</w:t>
      </w:r>
    </w:p>
    <w:p w:rsidR="00BD50E5" w:rsidRPr="007B78CF" w:rsidRDefault="00BD50E5" w:rsidP="00BD50E5">
      <w:pPr>
        <w:snapToGrid w:val="0"/>
        <w:spacing w:beforeLines="30" w:before="108" w:line="400" w:lineRule="exact"/>
        <w:ind w:leftChars="235" w:left="564"/>
        <w:jc w:val="both"/>
        <w:rPr>
          <w:rFonts w:ascii="微軟正黑體" w:eastAsia="微軟正黑體" w:hAnsi="微軟正黑體"/>
          <w:bCs/>
          <w:color w:val="000000" w:themeColor="text1"/>
        </w:rPr>
      </w:pPr>
      <w:r w:rsidRPr="007B78CF">
        <w:rPr>
          <w:noProof/>
          <w:color w:val="000000" w:themeColor="text1"/>
        </w:rPr>
        <w:drawing>
          <wp:anchor distT="0" distB="0" distL="114300" distR="114300" simplePos="0" relativeHeight="252603392" behindDoc="0" locked="0" layoutInCell="1" allowOverlap="1" wp14:anchorId="5146366D" wp14:editId="0DA2D276">
            <wp:simplePos x="0" y="0"/>
            <wp:positionH relativeFrom="column">
              <wp:posOffset>-5485</wp:posOffset>
            </wp:positionH>
            <wp:positionV relativeFrom="paragraph">
              <wp:posOffset>67850</wp:posOffset>
            </wp:positionV>
            <wp:extent cx="6167336" cy="2762656"/>
            <wp:effectExtent l="0" t="0" r="24130" b="19050"/>
            <wp:wrapNone/>
            <wp:docPr id="29" name="圖表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rsidR="00BD50E5" w:rsidRPr="007B78CF" w:rsidRDefault="00BD50E5" w:rsidP="00BD50E5">
      <w:pPr>
        <w:snapToGrid w:val="0"/>
        <w:spacing w:beforeLines="30" w:before="108" w:line="400" w:lineRule="exact"/>
        <w:ind w:leftChars="235" w:left="564"/>
        <w:jc w:val="both"/>
        <w:rPr>
          <w:rFonts w:ascii="微軟正黑體" w:eastAsia="微軟正黑體" w:hAnsi="微軟正黑體"/>
          <w:bCs/>
          <w:color w:val="000000" w:themeColor="text1"/>
        </w:rPr>
      </w:pPr>
    </w:p>
    <w:p w:rsidR="00BD50E5" w:rsidRPr="007B78CF" w:rsidRDefault="00BD50E5" w:rsidP="00BD50E5">
      <w:pPr>
        <w:snapToGrid w:val="0"/>
        <w:spacing w:beforeLines="5" w:before="18" w:afterLines="5" w:after="18"/>
        <w:ind w:leftChars="177" w:left="425"/>
        <w:jc w:val="center"/>
        <w:rPr>
          <w:rFonts w:ascii="微軟正黑體" w:eastAsia="微軟正黑體" w:hAnsi="微軟正黑體"/>
          <w:bCs/>
          <w:color w:val="000000" w:themeColor="text1"/>
        </w:rPr>
      </w:pPr>
    </w:p>
    <w:p w:rsidR="00BD50E5" w:rsidRPr="007B78CF" w:rsidRDefault="00BD50E5" w:rsidP="00BD50E5">
      <w:pPr>
        <w:snapToGrid w:val="0"/>
        <w:spacing w:beforeLines="5" w:before="18" w:afterLines="5" w:after="18"/>
        <w:ind w:leftChars="177" w:left="425"/>
        <w:jc w:val="center"/>
        <w:rPr>
          <w:rFonts w:ascii="微軟正黑體" w:eastAsia="微軟正黑體" w:hAnsi="微軟正黑體"/>
          <w:bCs/>
          <w:color w:val="000000" w:themeColor="text1"/>
        </w:rPr>
      </w:pPr>
    </w:p>
    <w:p w:rsidR="00BD50E5" w:rsidRPr="007B78CF" w:rsidRDefault="00BD50E5" w:rsidP="00BD50E5">
      <w:pPr>
        <w:snapToGrid w:val="0"/>
        <w:spacing w:beforeLines="5" w:before="18" w:afterLines="5" w:after="18"/>
        <w:ind w:leftChars="177" w:left="425"/>
        <w:jc w:val="center"/>
        <w:rPr>
          <w:rFonts w:ascii="微軟正黑體" w:eastAsia="微軟正黑體" w:hAnsi="微軟正黑體"/>
          <w:bCs/>
          <w:color w:val="000000" w:themeColor="text1"/>
        </w:rPr>
      </w:pPr>
    </w:p>
    <w:p w:rsidR="00BD50E5" w:rsidRPr="007B78CF" w:rsidRDefault="00BD50E5" w:rsidP="00BD50E5">
      <w:pPr>
        <w:snapToGrid w:val="0"/>
        <w:spacing w:beforeLines="5" w:before="18" w:afterLines="5" w:after="18"/>
        <w:ind w:leftChars="177" w:left="425"/>
        <w:jc w:val="center"/>
        <w:rPr>
          <w:rFonts w:ascii="微軟正黑體" w:eastAsia="微軟正黑體" w:hAnsi="微軟正黑體"/>
          <w:bCs/>
          <w:color w:val="000000" w:themeColor="text1"/>
        </w:rPr>
      </w:pPr>
    </w:p>
    <w:p w:rsidR="00BD50E5" w:rsidRPr="007B78CF" w:rsidRDefault="00BD50E5" w:rsidP="00BD50E5">
      <w:pPr>
        <w:snapToGrid w:val="0"/>
        <w:spacing w:beforeLines="5" w:before="18" w:afterLines="5" w:after="18"/>
        <w:ind w:leftChars="177" w:left="425"/>
        <w:jc w:val="center"/>
        <w:rPr>
          <w:rFonts w:ascii="微軟正黑體" w:eastAsia="微軟正黑體" w:hAnsi="微軟正黑體"/>
          <w:bCs/>
          <w:color w:val="000000" w:themeColor="text1"/>
        </w:rPr>
      </w:pPr>
    </w:p>
    <w:p w:rsidR="00BD50E5" w:rsidRPr="007B78CF" w:rsidRDefault="00BD50E5" w:rsidP="00BD50E5">
      <w:pPr>
        <w:snapToGrid w:val="0"/>
        <w:spacing w:beforeLines="5" w:before="18" w:afterLines="5" w:after="18"/>
        <w:ind w:leftChars="177" w:left="425"/>
        <w:jc w:val="center"/>
        <w:rPr>
          <w:rFonts w:ascii="微軟正黑體" w:eastAsia="微軟正黑體" w:hAnsi="微軟正黑體"/>
          <w:bCs/>
          <w:color w:val="000000" w:themeColor="text1"/>
        </w:rPr>
      </w:pPr>
    </w:p>
    <w:p w:rsidR="00BD50E5" w:rsidRPr="007B78CF" w:rsidRDefault="00BD50E5" w:rsidP="00BD50E5">
      <w:pPr>
        <w:snapToGrid w:val="0"/>
        <w:spacing w:beforeLines="5" w:before="18" w:afterLines="5" w:after="18"/>
        <w:rPr>
          <w:rFonts w:ascii="微軟正黑體" w:eastAsia="微軟正黑體" w:hAnsi="微軟正黑體"/>
          <w:bCs/>
          <w:color w:val="000000" w:themeColor="text1"/>
        </w:rPr>
      </w:pPr>
    </w:p>
    <w:p w:rsidR="00BD50E5" w:rsidRPr="007B78CF" w:rsidRDefault="00BD50E5" w:rsidP="00BD50E5">
      <w:pPr>
        <w:snapToGrid w:val="0"/>
        <w:spacing w:beforeLines="30" w:before="108"/>
        <w:jc w:val="center"/>
        <w:rPr>
          <w:rFonts w:ascii="微軟正黑體" w:eastAsia="微軟正黑體" w:hAnsi="微軟正黑體"/>
          <w:bCs/>
          <w:color w:val="000000" w:themeColor="text1"/>
        </w:rPr>
      </w:pPr>
    </w:p>
    <w:p w:rsidR="00BD50E5" w:rsidRPr="007B78CF" w:rsidRDefault="00BD50E5" w:rsidP="00BD50E5">
      <w:pPr>
        <w:snapToGrid w:val="0"/>
        <w:spacing w:line="400" w:lineRule="exact"/>
        <w:jc w:val="center"/>
        <w:rPr>
          <w:rFonts w:ascii="微軟正黑體" w:eastAsia="微軟正黑體" w:hAnsi="微軟正黑體"/>
          <w:bCs/>
          <w:color w:val="000000" w:themeColor="text1"/>
        </w:rPr>
      </w:pPr>
      <w:r w:rsidRPr="007B78CF">
        <w:rPr>
          <w:rFonts w:ascii="微軟正黑體" w:eastAsia="微軟正黑體" w:hAnsi="微軟正黑體" w:hint="eastAsia"/>
          <w:bCs/>
          <w:color w:val="000000" w:themeColor="text1"/>
        </w:rPr>
        <w:t>圖3.8  歷年</w:t>
      </w:r>
      <w:r w:rsidRPr="007B78CF">
        <w:rPr>
          <w:rFonts w:ascii="微軟正黑體" w:eastAsia="微軟正黑體" w:hAnsi="微軟正黑體"/>
          <w:bCs/>
          <w:color w:val="000000" w:themeColor="text1"/>
        </w:rPr>
        <w:t>勞退</w:t>
      </w:r>
      <w:r w:rsidRPr="007B78CF">
        <w:rPr>
          <w:rFonts w:ascii="微軟正黑體" w:eastAsia="微軟正黑體" w:hAnsi="微軟正黑體" w:hint="eastAsia"/>
          <w:bCs/>
          <w:color w:val="000000" w:themeColor="text1"/>
        </w:rPr>
        <w:t>新制基金收益情形</w:t>
      </w:r>
    </w:p>
    <w:p w:rsidR="00BD50E5" w:rsidRPr="007B78CF" w:rsidRDefault="00BD50E5" w:rsidP="00BD50E5">
      <w:pPr>
        <w:snapToGrid w:val="0"/>
        <w:spacing w:afterLines="30" w:after="108" w:line="400" w:lineRule="exact"/>
        <w:ind w:left="357"/>
        <w:jc w:val="center"/>
        <w:rPr>
          <w:rFonts w:ascii="微軟正黑體" w:eastAsia="微軟正黑體" w:hAnsi="微軟正黑體"/>
          <w:bCs/>
          <w:color w:val="000000" w:themeColor="text1"/>
          <w:sz w:val="20"/>
          <w:szCs w:val="20"/>
        </w:rPr>
      </w:pPr>
      <w:r w:rsidRPr="007B78CF">
        <w:rPr>
          <w:rFonts w:ascii="微軟正黑體" w:eastAsia="微軟正黑體" w:hAnsi="微軟正黑體" w:hint="eastAsia"/>
          <w:bCs/>
          <w:color w:val="000000" w:themeColor="text1"/>
        </w:rPr>
        <w:lastRenderedPageBreak/>
        <w:t xml:space="preserve">     </w:t>
      </w:r>
      <w:r w:rsidRPr="007B78CF">
        <w:rPr>
          <w:rFonts w:ascii="微軟正黑體" w:eastAsia="微軟正黑體" w:hAnsi="微軟正黑體"/>
          <w:bCs/>
          <w:color w:val="000000" w:themeColor="text1"/>
        </w:rPr>
        <w:t>表3.</w:t>
      </w:r>
      <w:r w:rsidRPr="007B78CF">
        <w:rPr>
          <w:rFonts w:ascii="微軟正黑體" w:eastAsia="微軟正黑體" w:hAnsi="微軟正黑體" w:hint="eastAsia"/>
          <w:bCs/>
          <w:color w:val="000000" w:themeColor="text1"/>
        </w:rPr>
        <w:t xml:space="preserve">5 </w:t>
      </w:r>
      <w:r w:rsidRPr="007B78CF">
        <w:rPr>
          <w:rFonts w:ascii="微軟正黑體" w:eastAsia="微軟正黑體" w:hAnsi="微軟正黑體"/>
          <w:bCs/>
          <w:color w:val="000000" w:themeColor="text1"/>
        </w:rPr>
        <w:t xml:space="preserve"> </w:t>
      </w:r>
      <w:r w:rsidRPr="007B78CF">
        <w:rPr>
          <w:rFonts w:ascii="微軟正黑體" w:eastAsia="微軟正黑體" w:hAnsi="微軟正黑體" w:hint="eastAsia"/>
          <w:bCs/>
          <w:color w:val="000000" w:themeColor="text1"/>
        </w:rPr>
        <w:t>歷年</w:t>
      </w:r>
      <w:r w:rsidRPr="007B78CF">
        <w:rPr>
          <w:rFonts w:ascii="微軟正黑體" w:eastAsia="微軟正黑體" w:hAnsi="微軟正黑體"/>
          <w:bCs/>
          <w:color w:val="000000" w:themeColor="text1"/>
        </w:rPr>
        <w:t>勞退新制基金收益情形</w:t>
      </w:r>
      <w:r w:rsidRPr="007B78CF">
        <w:rPr>
          <w:rFonts w:ascii="微軟正黑體" w:eastAsia="微軟正黑體" w:hAnsi="微軟正黑體" w:hint="eastAsia"/>
          <w:bCs/>
          <w:color w:val="000000" w:themeColor="text1"/>
        </w:rPr>
        <w:t xml:space="preserve">及基金運用餘額   </w:t>
      </w:r>
    </w:p>
    <w:tbl>
      <w:tblPr>
        <w:tblW w:w="8505" w:type="dxa"/>
        <w:jc w:val="center"/>
        <w:tblInd w:w="595" w:type="dxa"/>
        <w:tblLayout w:type="fixed"/>
        <w:tblCellMar>
          <w:left w:w="28" w:type="dxa"/>
          <w:right w:w="28" w:type="dxa"/>
        </w:tblCellMar>
        <w:tblLook w:val="04A0" w:firstRow="1" w:lastRow="0" w:firstColumn="1" w:lastColumn="0" w:noHBand="0" w:noVBand="1"/>
      </w:tblPr>
      <w:tblGrid>
        <w:gridCol w:w="1560"/>
        <w:gridCol w:w="2268"/>
        <w:gridCol w:w="2127"/>
        <w:gridCol w:w="2550"/>
      </w:tblGrid>
      <w:tr w:rsidR="00BD50E5" w:rsidRPr="007B78CF" w:rsidTr="00B671DC">
        <w:trPr>
          <w:trHeight w:val="330"/>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年度</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實際收益數</w:t>
            </w:r>
            <w:r w:rsidRPr="007B78CF">
              <w:rPr>
                <w:rFonts w:ascii="微軟正黑體" w:eastAsia="微軟正黑體" w:hAnsi="微軟正黑體" w:hint="eastAsia"/>
                <w:color w:val="000000" w:themeColor="text1"/>
                <w:kern w:val="0"/>
                <w:sz w:val="22"/>
                <w:szCs w:val="22"/>
              </w:rPr>
              <w:t>(億元</w:t>
            </w:r>
            <w:r w:rsidRPr="007B78CF">
              <w:rPr>
                <w:rFonts w:ascii="微軟正黑體" w:eastAsia="微軟正黑體" w:hAnsi="微軟正黑體"/>
                <w:color w:val="000000" w:themeColor="text1"/>
                <w:kern w:val="0"/>
                <w:sz w:val="22"/>
                <w:szCs w:val="22"/>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實際收益率(%)</w:t>
            </w:r>
          </w:p>
        </w:tc>
        <w:tc>
          <w:tcPr>
            <w:tcW w:w="2550" w:type="dxa"/>
            <w:tcBorders>
              <w:top w:val="single" w:sz="4" w:space="0" w:color="auto"/>
              <w:left w:val="nil"/>
              <w:bottom w:val="single" w:sz="4" w:space="0" w:color="auto"/>
              <w:right w:val="single" w:sz="4" w:space="0" w:color="auto"/>
            </w:tcBorders>
            <w:vAlign w:val="center"/>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基金運用餘額</w:t>
            </w:r>
            <w:r w:rsidRPr="007B78CF">
              <w:rPr>
                <w:rFonts w:ascii="微軟正黑體" w:eastAsia="微軟正黑體" w:hAnsi="微軟正黑體" w:hint="eastAsia"/>
                <w:color w:val="000000" w:themeColor="text1"/>
                <w:kern w:val="0"/>
                <w:sz w:val="22"/>
                <w:szCs w:val="22"/>
              </w:rPr>
              <w:t>(億元)</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94年底</w:t>
            </w:r>
          </w:p>
        </w:tc>
        <w:tc>
          <w:tcPr>
            <w:tcW w:w="226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0.6</w:t>
            </w:r>
          </w:p>
        </w:tc>
        <w:tc>
          <w:tcPr>
            <w:tcW w:w="212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1.5 </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282.1 </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95年底</w:t>
            </w:r>
          </w:p>
        </w:tc>
        <w:tc>
          <w:tcPr>
            <w:tcW w:w="226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12</w:t>
            </w:r>
            <w:r w:rsidRPr="007B78CF">
              <w:rPr>
                <w:rFonts w:ascii="微軟正黑體" w:eastAsia="微軟正黑體" w:hAnsi="微軟正黑體" w:hint="eastAsia"/>
                <w:color w:val="000000" w:themeColor="text1"/>
                <w:kern w:val="0"/>
                <w:sz w:val="22"/>
                <w:szCs w:val="22"/>
              </w:rPr>
              <w:t>.4</w:t>
            </w:r>
          </w:p>
        </w:tc>
        <w:tc>
          <w:tcPr>
            <w:tcW w:w="212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1.6 </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1,277.</w:t>
            </w:r>
            <w:r w:rsidRPr="007B78CF">
              <w:rPr>
                <w:rFonts w:ascii="微軟正黑體" w:eastAsia="微軟正黑體" w:hAnsi="微軟正黑體" w:hint="eastAsia"/>
                <w:color w:val="000000" w:themeColor="text1"/>
                <w:kern w:val="0"/>
                <w:sz w:val="22"/>
                <w:szCs w:val="22"/>
              </w:rPr>
              <w:t>7</w:t>
            </w:r>
            <w:r w:rsidRPr="007B78CF">
              <w:rPr>
                <w:rFonts w:ascii="微軟正黑體" w:eastAsia="微軟正黑體" w:hAnsi="微軟正黑體"/>
                <w:color w:val="000000" w:themeColor="text1"/>
                <w:kern w:val="0"/>
                <w:sz w:val="22"/>
                <w:szCs w:val="22"/>
              </w:rPr>
              <w:t xml:space="preserve"> </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96年底</w:t>
            </w:r>
          </w:p>
        </w:tc>
        <w:tc>
          <w:tcPr>
            <w:tcW w:w="226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7</w:t>
            </w:r>
            <w:r w:rsidRPr="007B78CF">
              <w:rPr>
                <w:rFonts w:ascii="微軟正黑體" w:eastAsia="微軟正黑體" w:hAnsi="微軟正黑體" w:hint="eastAsia"/>
                <w:color w:val="000000" w:themeColor="text1"/>
                <w:kern w:val="0"/>
                <w:sz w:val="22"/>
                <w:szCs w:val="22"/>
              </w:rPr>
              <w:t>.6</w:t>
            </w:r>
          </w:p>
        </w:tc>
        <w:tc>
          <w:tcPr>
            <w:tcW w:w="212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0.4 </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2,346.8 </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97年底</w:t>
            </w:r>
          </w:p>
        </w:tc>
        <w:tc>
          <w:tcPr>
            <w:tcW w:w="226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-176.</w:t>
            </w:r>
            <w:r w:rsidRPr="007B78CF">
              <w:rPr>
                <w:rFonts w:ascii="微軟正黑體" w:eastAsia="微軟正黑體" w:hAnsi="微軟正黑體" w:hint="eastAsia"/>
                <w:color w:val="000000" w:themeColor="text1"/>
                <w:kern w:val="0"/>
                <w:sz w:val="22"/>
                <w:szCs w:val="22"/>
              </w:rPr>
              <w:t>6</w:t>
            </w:r>
          </w:p>
        </w:tc>
        <w:tc>
          <w:tcPr>
            <w:tcW w:w="212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-6.</w:t>
            </w: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 xml:space="preserve"> </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3,403.</w:t>
            </w:r>
            <w:r w:rsidRPr="007B78CF">
              <w:rPr>
                <w:rFonts w:ascii="微軟正黑體" w:eastAsia="微軟正黑體" w:hAnsi="微軟正黑體" w:hint="eastAsia"/>
                <w:color w:val="000000" w:themeColor="text1"/>
                <w:kern w:val="0"/>
                <w:sz w:val="22"/>
                <w:szCs w:val="22"/>
              </w:rPr>
              <w:t>2</w:t>
            </w:r>
            <w:r w:rsidRPr="007B78CF">
              <w:rPr>
                <w:rFonts w:ascii="微軟正黑體" w:eastAsia="微軟正黑體" w:hAnsi="微軟正黑體"/>
                <w:color w:val="000000" w:themeColor="text1"/>
                <w:kern w:val="0"/>
                <w:sz w:val="22"/>
                <w:szCs w:val="22"/>
              </w:rPr>
              <w:t xml:space="preserve"> </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98年底</w:t>
            </w:r>
          </w:p>
        </w:tc>
        <w:tc>
          <w:tcPr>
            <w:tcW w:w="226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481.1</w:t>
            </w:r>
          </w:p>
        </w:tc>
        <w:tc>
          <w:tcPr>
            <w:tcW w:w="212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11.8 </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4,724.1 </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99年底</w:t>
            </w:r>
          </w:p>
        </w:tc>
        <w:tc>
          <w:tcPr>
            <w:tcW w:w="226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82.0</w:t>
            </w:r>
          </w:p>
        </w:tc>
        <w:tc>
          <w:tcPr>
            <w:tcW w:w="212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1.5 </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5,973.7 </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100年底</w:t>
            </w:r>
          </w:p>
        </w:tc>
        <w:tc>
          <w:tcPr>
            <w:tcW w:w="226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-264.0</w:t>
            </w:r>
          </w:p>
        </w:tc>
        <w:tc>
          <w:tcPr>
            <w:tcW w:w="212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-3.9 </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7,42</w:t>
            </w:r>
            <w:r w:rsidRPr="007B78CF">
              <w:rPr>
                <w:rFonts w:ascii="微軟正黑體" w:eastAsia="微軟正黑體" w:hAnsi="微軟正黑體" w:hint="eastAsia"/>
                <w:color w:val="000000" w:themeColor="text1"/>
                <w:kern w:val="0"/>
                <w:sz w:val="22"/>
                <w:szCs w:val="22"/>
              </w:rPr>
              <w:t>8</w:t>
            </w:r>
            <w:r w:rsidRPr="007B78CF">
              <w:rPr>
                <w:rFonts w:ascii="微軟正黑體" w:eastAsia="微軟正黑體" w:hAnsi="微軟正黑體"/>
                <w:color w:val="000000" w:themeColor="text1"/>
                <w:kern w:val="0"/>
                <w:sz w:val="22"/>
                <w:szCs w:val="22"/>
              </w:rPr>
              <w:t>.</w:t>
            </w:r>
            <w:r w:rsidRPr="007B78CF">
              <w:rPr>
                <w:rFonts w:ascii="微軟正黑體" w:eastAsia="微軟正黑體" w:hAnsi="微軟正黑體" w:hint="eastAsia"/>
                <w:color w:val="000000" w:themeColor="text1"/>
                <w:kern w:val="0"/>
                <w:sz w:val="22"/>
                <w:szCs w:val="22"/>
              </w:rPr>
              <w:t>0</w:t>
            </w:r>
            <w:r w:rsidRPr="007B78CF">
              <w:rPr>
                <w:rFonts w:ascii="微軟正黑體" w:eastAsia="微軟正黑體" w:hAnsi="微軟正黑體"/>
                <w:color w:val="000000" w:themeColor="text1"/>
                <w:kern w:val="0"/>
                <w:sz w:val="22"/>
                <w:szCs w:val="22"/>
              </w:rPr>
              <w:t xml:space="preserve"> </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101年底</w:t>
            </w:r>
          </w:p>
        </w:tc>
        <w:tc>
          <w:tcPr>
            <w:tcW w:w="226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406.3</w:t>
            </w:r>
          </w:p>
        </w:tc>
        <w:tc>
          <w:tcPr>
            <w:tcW w:w="2127"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5.0 </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8,841.</w:t>
            </w:r>
            <w:r w:rsidRPr="007B78CF">
              <w:rPr>
                <w:rFonts w:ascii="微軟正黑體" w:eastAsia="微軟正黑體" w:hAnsi="微軟正黑體" w:hint="eastAsia"/>
                <w:color w:val="000000" w:themeColor="text1"/>
                <w:kern w:val="0"/>
                <w:sz w:val="22"/>
                <w:szCs w:val="22"/>
              </w:rPr>
              <w:t>2</w:t>
            </w:r>
            <w:r w:rsidRPr="007B78CF">
              <w:rPr>
                <w:rFonts w:ascii="微軟正黑體" w:eastAsia="微軟正黑體" w:hAnsi="微軟正黑體"/>
                <w:color w:val="000000" w:themeColor="text1"/>
                <w:kern w:val="0"/>
                <w:sz w:val="22"/>
                <w:szCs w:val="22"/>
              </w:rPr>
              <w:t xml:space="preserve"> </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102年底</w:t>
            </w:r>
          </w:p>
        </w:tc>
        <w:tc>
          <w:tcPr>
            <w:tcW w:w="2268"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556.6 </w:t>
            </w:r>
          </w:p>
        </w:tc>
        <w:tc>
          <w:tcPr>
            <w:tcW w:w="2127"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5.</w:t>
            </w:r>
            <w:r w:rsidRPr="007B78CF">
              <w:rPr>
                <w:rFonts w:ascii="微軟正黑體" w:eastAsia="微軟正黑體" w:hAnsi="微軟正黑體" w:hint="eastAsia"/>
                <w:color w:val="000000" w:themeColor="text1"/>
                <w:kern w:val="0"/>
                <w:sz w:val="22"/>
                <w:szCs w:val="22"/>
              </w:rPr>
              <w:t>7</w:t>
            </w:r>
            <w:r w:rsidRPr="007B78CF">
              <w:rPr>
                <w:rFonts w:ascii="微軟正黑體" w:eastAsia="微軟正黑體" w:hAnsi="微軟正黑體"/>
                <w:color w:val="000000" w:themeColor="text1"/>
                <w:kern w:val="0"/>
                <w:sz w:val="22"/>
                <w:szCs w:val="22"/>
              </w:rPr>
              <w:t xml:space="preserve"> </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bCs/>
                <w:color w:val="000000" w:themeColor="text1"/>
                <w:kern w:val="0"/>
                <w:sz w:val="22"/>
                <w:szCs w:val="22"/>
              </w:rPr>
            </w:pPr>
            <w:r w:rsidRPr="007B78CF">
              <w:rPr>
                <w:rFonts w:ascii="微軟正黑體" w:eastAsia="微軟正黑體" w:hAnsi="微軟正黑體"/>
                <w:bCs/>
                <w:color w:val="000000" w:themeColor="text1"/>
                <w:kern w:val="0"/>
                <w:sz w:val="22"/>
                <w:szCs w:val="22"/>
              </w:rPr>
              <w:t>10,787.</w:t>
            </w:r>
            <w:r w:rsidRPr="007B78CF">
              <w:rPr>
                <w:rFonts w:ascii="微軟正黑體" w:eastAsia="微軟正黑體" w:hAnsi="微軟正黑體" w:hint="eastAsia"/>
                <w:bCs/>
                <w:color w:val="000000" w:themeColor="text1"/>
                <w:kern w:val="0"/>
                <w:sz w:val="22"/>
                <w:szCs w:val="22"/>
              </w:rPr>
              <w:t>8</w:t>
            </w:r>
            <w:r w:rsidRPr="007B78CF">
              <w:rPr>
                <w:rFonts w:ascii="微軟正黑體" w:eastAsia="微軟正黑體" w:hAnsi="微軟正黑體"/>
                <w:bCs/>
                <w:color w:val="000000" w:themeColor="text1"/>
                <w:kern w:val="0"/>
                <w:sz w:val="22"/>
                <w:szCs w:val="22"/>
              </w:rPr>
              <w:t xml:space="preserve"> </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w:t>
            </w:r>
            <w:r w:rsidRPr="007B78CF">
              <w:rPr>
                <w:rFonts w:ascii="微軟正黑體" w:eastAsia="微軟正黑體" w:hAnsi="微軟正黑體" w:hint="eastAsia"/>
                <w:color w:val="000000" w:themeColor="text1"/>
                <w:kern w:val="0"/>
                <w:sz w:val="22"/>
                <w:szCs w:val="22"/>
              </w:rPr>
              <w:t>3</w:t>
            </w:r>
            <w:r w:rsidRPr="007B78CF">
              <w:rPr>
                <w:rFonts w:ascii="微軟正黑體" w:eastAsia="微軟正黑體" w:hAnsi="微軟正黑體"/>
                <w:color w:val="000000" w:themeColor="text1"/>
                <w:kern w:val="0"/>
                <w:sz w:val="22"/>
                <w:szCs w:val="22"/>
              </w:rPr>
              <w:t>年底</w:t>
            </w:r>
          </w:p>
        </w:tc>
        <w:tc>
          <w:tcPr>
            <w:tcW w:w="2268"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754.0</w:t>
            </w:r>
          </w:p>
        </w:tc>
        <w:tc>
          <w:tcPr>
            <w:tcW w:w="2127"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6.4</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13,102.0</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w:t>
            </w:r>
            <w:r w:rsidRPr="007B78CF">
              <w:rPr>
                <w:rFonts w:ascii="微軟正黑體" w:eastAsia="微軟正黑體" w:hAnsi="微軟正黑體" w:hint="eastAsia"/>
                <w:color w:val="000000" w:themeColor="text1"/>
                <w:kern w:val="0"/>
                <w:sz w:val="22"/>
                <w:szCs w:val="22"/>
              </w:rPr>
              <w:t>4</w:t>
            </w:r>
            <w:r w:rsidRPr="007B78CF">
              <w:rPr>
                <w:rFonts w:ascii="微軟正黑體" w:eastAsia="微軟正黑體" w:hAnsi="微軟正黑體"/>
                <w:color w:val="000000" w:themeColor="text1"/>
                <w:kern w:val="0"/>
                <w:sz w:val="22"/>
                <w:szCs w:val="22"/>
              </w:rPr>
              <w:t>年底</w:t>
            </w:r>
          </w:p>
        </w:tc>
        <w:tc>
          <w:tcPr>
            <w:tcW w:w="2268"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-13.1</w:t>
            </w:r>
          </w:p>
        </w:tc>
        <w:tc>
          <w:tcPr>
            <w:tcW w:w="2127"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-0.1</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15,212.7</w:t>
            </w:r>
          </w:p>
        </w:tc>
      </w:tr>
      <w:tr w:rsidR="00BD50E5" w:rsidRPr="007B78CF" w:rsidTr="00B671DC">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w:t>
            </w:r>
            <w:r w:rsidRPr="007B78CF">
              <w:rPr>
                <w:rFonts w:ascii="微軟正黑體" w:eastAsia="微軟正黑體" w:hAnsi="微軟正黑體" w:hint="eastAsia"/>
                <w:color w:val="000000" w:themeColor="text1"/>
                <w:kern w:val="0"/>
                <w:sz w:val="22"/>
                <w:szCs w:val="22"/>
              </w:rPr>
              <w:t>5</w:t>
            </w:r>
            <w:r w:rsidRPr="007B78CF">
              <w:rPr>
                <w:rFonts w:ascii="微軟正黑體" w:eastAsia="微軟正黑體" w:hAnsi="微軟正黑體"/>
                <w:color w:val="000000" w:themeColor="text1"/>
                <w:kern w:val="0"/>
                <w:sz w:val="22"/>
                <w:szCs w:val="22"/>
              </w:rPr>
              <w:t>年底</w:t>
            </w:r>
          </w:p>
        </w:tc>
        <w:tc>
          <w:tcPr>
            <w:tcW w:w="2268"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515.4</w:t>
            </w:r>
          </w:p>
        </w:tc>
        <w:tc>
          <w:tcPr>
            <w:tcW w:w="2127" w:type="dxa"/>
            <w:tcBorders>
              <w:top w:val="nil"/>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3.2</w:t>
            </w:r>
          </w:p>
        </w:tc>
        <w:tc>
          <w:tcPr>
            <w:tcW w:w="2550" w:type="dxa"/>
            <w:tcBorders>
              <w:top w:val="nil"/>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bCs/>
                <w:color w:val="000000" w:themeColor="text1"/>
                <w:kern w:val="0"/>
                <w:sz w:val="22"/>
                <w:szCs w:val="22"/>
              </w:rPr>
            </w:pPr>
            <w:r w:rsidRPr="007B78CF">
              <w:rPr>
                <w:rFonts w:ascii="微軟正黑體" w:eastAsia="微軟正黑體" w:hAnsi="微軟正黑體" w:hint="eastAsia"/>
                <w:bCs/>
                <w:color w:val="000000" w:themeColor="text1"/>
                <w:kern w:val="0"/>
                <w:sz w:val="22"/>
                <w:szCs w:val="22"/>
              </w:rPr>
              <w:t>16,981.8</w:t>
            </w:r>
          </w:p>
        </w:tc>
      </w:tr>
      <w:tr w:rsidR="00BD50E5" w:rsidRPr="007B78CF" w:rsidTr="00B671DC">
        <w:trPr>
          <w:trHeight w:val="33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center"/>
              <w:rPr>
                <w:rFonts w:ascii="微軟正黑體" w:eastAsia="微軟正黑體" w:hAnsi="微軟正黑體"/>
                <w:bCs/>
                <w:noProof/>
                <w:color w:val="000000" w:themeColor="text1"/>
                <w:sz w:val="22"/>
                <w:szCs w:val="22"/>
              </w:rPr>
            </w:pPr>
            <w:r w:rsidRPr="007B78CF">
              <w:rPr>
                <w:rFonts w:ascii="微軟正黑體" w:eastAsia="微軟正黑體" w:hAnsi="微軟正黑體" w:hint="eastAsia"/>
                <w:bCs/>
                <w:noProof/>
                <w:color w:val="000000" w:themeColor="text1"/>
                <w:sz w:val="22"/>
                <w:szCs w:val="22"/>
              </w:rPr>
              <w:t>106年底</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1,407.0</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7.9</w:t>
            </w:r>
          </w:p>
        </w:tc>
        <w:tc>
          <w:tcPr>
            <w:tcW w:w="2550" w:type="dxa"/>
            <w:tcBorders>
              <w:top w:val="single" w:sz="4" w:space="0" w:color="auto"/>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bCs/>
                <w:color w:val="000000" w:themeColor="text1"/>
                <w:kern w:val="0"/>
                <w:sz w:val="22"/>
                <w:szCs w:val="22"/>
              </w:rPr>
            </w:pPr>
            <w:r w:rsidRPr="007B78CF">
              <w:rPr>
                <w:rFonts w:ascii="微軟正黑體" w:eastAsia="微軟正黑體" w:hAnsi="微軟正黑體" w:hint="eastAsia"/>
                <w:bCs/>
                <w:color w:val="000000" w:themeColor="text1"/>
                <w:kern w:val="0"/>
                <w:sz w:val="22"/>
                <w:szCs w:val="22"/>
              </w:rPr>
              <w:t>18,983.6</w:t>
            </w:r>
          </w:p>
        </w:tc>
      </w:tr>
      <w:tr w:rsidR="00BD50E5" w:rsidRPr="007B78CF" w:rsidTr="00B671DC">
        <w:trPr>
          <w:trHeight w:val="33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center"/>
              <w:rPr>
                <w:rFonts w:ascii="微軟正黑體" w:eastAsia="微軟正黑體" w:hAnsi="微軟正黑體"/>
                <w:bCs/>
                <w:noProof/>
                <w:color w:val="000000" w:themeColor="text1"/>
                <w:sz w:val="22"/>
                <w:szCs w:val="22"/>
              </w:rPr>
            </w:pPr>
            <w:r w:rsidRPr="007B78CF">
              <w:rPr>
                <w:rFonts w:ascii="微軟正黑體" w:eastAsia="微軟正黑體" w:hAnsi="微軟正黑體" w:hint="eastAsia"/>
                <w:bCs/>
                <w:noProof/>
                <w:color w:val="000000" w:themeColor="text1"/>
                <w:sz w:val="22"/>
                <w:szCs w:val="22"/>
              </w:rPr>
              <w:t>107年底</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-423.8</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-2.1</w:t>
            </w:r>
          </w:p>
        </w:tc>
        <w:tc>
          <w:tcPr>
            <w:tcW w:w="2550" w:type="dxa"/>
            <w:tcBorders>
              <w:top w:val="single" w:sz="4" w:space="0" w:color="auto"/>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bCs/>
                <w:color w:val="000000" w:themeColor="text1"/>
                <w:kern w:val="0"/>
                <w:sz w:val="22"/>
                <w:szCs w:val="22"/>
              </w:rPr>
            </w:pPr>
            <w:r w:rsidRPr="007B78CF">
              <w:rPr>
                <w:rFonts w:ascii="微軟正黑體" w:eastAsia="微軟正黑體" w:hAnsi="微軟正黑體" w:hint="eastAsia"/>
                <w:bCs/>
                <w:color w:val="000000" w:themeColor="text1"/>
                <w:kern w:val="0"/>
                <w:sz w:val="22"/>
                <w:szCs w:val="22"/>
              </w:rPr>
              <w:t>21,957.7</w:t>
            </w:r>
          </w:p>
        </w:tc>
      </w:tr>
      <w:tr w:rsidR="00BD50E5" w:rsidRPr="007B78CF" w:rsidTr="00B671DC">
        <w:trPr>
          <w:trHeight w:val="33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center"/>
              <w:rPr>
                <w:rFonts w:ascii="微軟正黑體" w:eastAsia="微軟正黑體" w:hAnsi="微軟正黑體"/>
                <w:bCs/>
                <w:noProof/>
                <w:color w:val="000000" w:themeColor="text1"/>
                <w:sz w:val="22"/>
                <w:szCs w:val="22"/>
              </w:rPr>
            </w:pPr>
            <w:r w:rsidRPr="007B78CF">
              <w:rPr>
                <w:rFonts w:ascii="微軟正黑體" w:eastAsia="微軟正黑體" w:hAnsi="微軟正黑體" w:hint="eastAsia"/>
                <w:bCs/>
                <w:noProof/>
                <w:color w:val="000000" w:themeColor="text1"/>
                <w:sz w:val="22"/>
                <w:szCs w:val="22"/>
              </w:rPr>
              <w:t>1</w:t>
            </w:r>
            <w:r w:rsidRPr="007B78CF">
              <w:rPr>
                <w:rFonts w:ascii="微軟正黑體" w:eastAsia="微軟正黑體" w:hAnsi="微軟正黑體"/>
                <w:bCs/>
                <w:noProof/>
                <w:color w:val="000000" w:themeColor="text1"/>
                <w:sz w:val="22"/>
                <w:szCs w:val="22"/>
              </w:rPr>
              <w:t>08</w:t>
            </w:r>
            <w:r w:rsidRPr="007B78CF">
              <w:rPr>
                <w:rFonts w:ascii="微軟正黑體" w:eastAsia="微軟正黑體" w:hAnsi="微軟正黑體" w:hint="eastAsia"/>
                <w:bCs/>
                <w:noProof/>
                <w:color w:val="000000" w:themeColor="text1"/>
                <w:sz w:val="22"/>
                <w:szCs w:val="22"/>
              </w:rPr>
              <w:t>年底</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2</w:t>
            </w:r>
            <w:r w:rsidRPr="007B78CF">
              <w:rPr>
                <w:rFonts w:ascii="微軟正黑體" w:eastAsia="微軟正黑體" w:hAnsi="微軟正黑體"/>
                <w:color w:val="000000" w:themeColor="text1"/>
                <w:kern w:val="0"/>
                <w:sz w:val="22"/>
                <w:szCs w:val="22"/>
              </w:rPr>
              <w:t>,670.1</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1.4</w:t>
            </w:r>
          </w:p>
        </w:tc>
        <w:tc>
          <w:tcPr>
            <w:tcW w:w="2550" w:type="dxa"/>
            <w:tcBorders>
              <w:top w:val="single" w:sz="4" w:space="0" w:color="auto"/>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bCs/>
                <w:color w:val="000000" w:themeColor="text1"/>
                <w:kern w:val="0"/>
                <w:sz w:val="22"/>
                <w:szCs w:val="22"/>
              </w:rPr>
            </w:pPr>
            <w:r w:rsidRPr="007B78CF">
              <w:rPr>
                <w:rFonts w:ascii="微軟正黑體" w:eastAsia="微軟正黑體" w:hAnsi="微軟正黑體" w:hint="eastAsia"/>
                <w:bCs/>
                <w:color w:val="000000" w:themeColor="text1"/>
                <w:kern w:val="0"/>
                <w:sz w:val="22"/>
                <w:szCs w:val="22"/>
              </w:rPr>
              <w:t>2</w:t>
            </w:r>
            <w:r w:rsidRPr="007B78CF">
              <w:rPr>
                <w:rFonts w:ascii="微軟正黑體" w:eastAsia="微軟正黑體" w:hAnsi="微軟正黑體"/>
                <w:bCs/>
                <w:color w:val="000000" w:themeColor="text1"/>
                <w:kern w:val="0"/>
                <w:sz w:val="22"/>
                <w:szCs w:val="22"/>
              </w:rPr>
              <w:t>4,448.5</w:t>
            </w:r>
          </w:p>
        </w:tc>
      </w:tr>
      <w:tr w:rsidR="00BD50E5" w:rsidRPr="007B78CF" w:rsidTr="00B671DC">
        <w:trPr>
          <w:trHeight w:val="33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center"/>
              <w:rPr>
                <w:rFonts w:ascii="微軟正黑體" w:eastAsia="微軟正黑體" w:hAnsi="微軟正黑體"/>
                <w:bCs/>
                <w:noProof/>
                <w:color w:val="000000" w:themeColor="text1"/>
                <w:sz w:val="22"/>
                <w:szCs w:val="22"/>
              </w:rPr>
            </w:pPr>
            <w:r w:rsidRPr="007B78CF">
              <w:rPr>
                <w:rFonts w:ascii="微軟正黑體" w:eastAsia="微軟正黑體" w:hAnsi="微軟正黑體" w:hint="eastAsia"/>
                <w:bCs/>
                <w:noProof/>
                <w:color w:val="000000" w:themeColor="text1"/>
                <w:sz w:val="22"/>
                <w:szCs w:val="22"/>
              </w:rPr>
              <w:t>1</w:t>
            </w:r>
            <w:r w:rsidRPr="007B78CF">
              <w:rPr>
                <w:rFonts w:ascii="微軟正黑體" w:eastAsia="微軟正黑體" w:hAnsi="微軟正黑體"/>
                <w:bCs/>
                <w:noProof/>
                <w:color w:val="000000" w:themeColor="text1"/>
                <w:sz w:val="22"/>
                <w:szCs w:val="22"/>
              </w:rPr>
              <w:t>09</w:t>
            </w:r>
            <w:r w:rsidRPr="007B78CF">
              <w:rPr>
                <w:rFonts w:ascii="微軟正黑體" w:eastAsia="微軟正黑體" w:hAnsi="微軟正黑體" w:hint="eastAsia"/>
                <w:bCs/>
                <w:noProof/>
                <w:color w:val="000000" w:themeColor="text1"/>
                <w:sz w:val="22"/>
                <w:szCs w:val="22"/>
              </w:rPr>
              <w:t>年底</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,781.8</w:t>
            </w:r>
          </w:p>
        </w:tc>
        <w:tc>
          <w:tcPr>
            <w:tcW w:w="2127" w:type="dxa"/>
            <w:tcBorders>
              <w:top w:val="single" w:sz="4" w:space="0" w:color="auto"/>
              <w:left w:val="nil"/>
              <w:bottom w:val="single" w:sz="4" w:space="0" w:color="auto"/>
              <w:right w:val="single" w:sz="4" w:space="0" w:color="auto"/>
            </w:tcBorders>
            <w:shd w:val="clear" w:color="auto" w:fill="auto"/>
            <w:noWrap/>
            <w:vAlign w:val="center"/>
          </w:tcPr>
          <w:p w:rsidR="00BD50E5" w:rsidRPr="007B78CF" w:rsidRDefault="00BD50E5" w:rsidP="008F1977">
            <w:pPr>
              <w:widowControl/>
              <w:spacing w:line="34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hint="eastAsia"/>
                <w:color w:val="000000" w:themeColor="text1"/>
                <w:kern w:val="0"/>
                <w:sz w:val="22"/>
                <w:szCs w:val="22"/>
              </w:rPr>
              <w:t>6</w:t>
            </w:r>
            <w:r w:rsidRPr="007B78CF">
              <w:rPr>
                <w:rFonts w:ascii="微軟正黑體" w:eastAsia="微軟正黑體" w:hAnsi="微軟正黑體"/>
                <w:color w:val="000000" w:themeColor="text1"/>
                <w:kern w:val="0"/>
                <w:sz w:val="22"/>
                <w:szCs w:val="22"/>
              </w:rPr>
              <w:t>.9</w:t>
            </w:r>
          </w:p>
        </w:tc>
        <w:tc>
          <w:tcPr>
            <w:tcW w:w="2550" w:type="dxa"/>
            <w:tcBorders>
              <w:top w:val="single" w:sz="4" w:space="0" w:color="auto"/>
              <w:left w:val="nil"/>
              <w:bottom w:val="single" w:sz="4" w:space="0" w:color="auto"/>
              <w:right w:val="single" w:sz="4" w:space="0" w:color="auto"/>
            </w:tcBorders>
            <w:vAlign w:val="center"/>
          </w:tcPr>
          <w:p w:rsidR="00BD50E5" w:rsidRPr="007B78CF" w:rsidRDefault="00BD50E5" w:rsidP="008F1977">
            <w:pPr>
              <w:widowControl/>
              <w:spacing w:line="340" w:lineRule="exact"/>
              <w:jc w:val="right"/>
              <w:rPr>
                <w:rFonts w:ascii="微軟正黑體" w:eastAsia="微軟正黑體" w:hAnsi="微軟正黑體"/>
                <w:bCs/>
                <w:color w:val="000000" w:themeColor="text1"/>
                <w:kern w:val="0"/>
                <w:sz w:val="22"/>
                <w:szCs w:val="22"/>
              </w:rPr>
            </w:pPr>
            <w:r w:rsidRPr="007B78CF">
              <w:rPr>
                <w:rFonts w:ascii="微軟正黑體" w:eastAsia="微軟正黑體" w:hAnsi="微軟正黑體" w:hint="eastAsia"/>
                <w:bCs/>
                <w:color w:val="000000" w:themeColor="text1"/>
                <w:kern w:val="0"/>
                <w:sz w:val="22"/>
                <w:szCs w:val="22"/>
              </w:rPr>
              <w:t>2</w:t>
            </w:r>
            <w:r w:rsidRPr="007B78CF">
              <w:rPr>
                <w:rFonts w:ascii="微軟正黑體" w:eastAsia="微軟正黑體" w:hAnsi="微軟正黑體"/>
                <w:bCs/>
                <w:color w:val="000000" w:themeColor="text1"/>
                <w:kern w:val="0"/>
                <w:sz w:val="22"/>
                <w:szCs w:val="22"/>
              </w:rPr>
              <w:t>7,224.5</w:t>
            </w:r>
          </w:p>
        </w:tc>
      </w:tr>
    </w:tbl>
    <w:p w:rsidR="00BD50E5" w:rsidRPr="007B78CF" w:rsidRDefault="00BD50E5" w:rsidP="00BD50E5">
      <w:pPr>
        <w:snapToGrid w:val="0"/>
        <w:spacing w:line="400" w:lineRule="exact"/>
        <w:ind w:firstLineChars="200" w:firstLine="440"/>
        <w:rPr>
          <w:rFonts w:ascii="微軟正黑體" w:eastAsia="微軟正黑體" w:hAnsi="微軟正黑體"/>
          <w:color w:val="000000" w:themeColor="text1"/>
        </w:rPr>
      </w:pPr>
      <w:r w:rsidRPr="007B78CF">
        <w:rPr>
          <w:rFonts w:ascii="微軟正黑體" w:eastAsia="微軟正黑體" w:hAnsi="微軟正黑體"/>
          <w:bCs/>
          <w:noProof/>
          <w:color w:val="000000" w:themeColor="text1"/>
          <w:sz w:val="22"/>
          <w:szCs w:val="22"/>
        </w:rPr>
        <mc:AlternateContent>
          <mc:Choice Requires="wps">
            <w:drawing>
              <wp:anchor distT="0" distB="0" distL="114300" distR="114300" simplePos="0" relativeHeight="252602368" behindDoc="0" locked="0" layoutInCell="1" allowOverlap="1" wp14:anchorId="3A70AAB2" wp14:editId="0F51407D">
                <wp:simplePos x="0" y="0"/>
                <wp:positionH relativeFrom="column">
                  <wp:posOffset>103505</wp:posOffset>
                </wp:positionH>
                <wp:positionV relativeFrom="paragraph">
                  <wp:posOffset>1905</wp:posOffset>
                </wp:positionV>
                <wp:extent cx="5443855" cy="453390"/>
                <wp:effectExtent l="0" t="0" r="0" b="3810"/>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453390"/>
                        </a:xfrm>
                        <a:prstGeom prst="rect">
                          <a:avLst/>
                        </a:prstGeom>
                        <a:noFill/>
                        <a:ln w="9525">
                          <a:noFill/>
                          <a:miter lim="800000"/>
                          <a:headEnd/>
                          <a:tailEnd/>
                        </a:ln>
                      </wps:spPr>
                      <wps:txbx>
                        <w:txbxContent>
                          <w:p w:rsidR="00745375" w:rsidRPr="005E5009" w:rsidRDefault="00745375" w:rsidP="00BD50E5">
                            <w:pPr>
                              <w:snapToGrid w:val="0"/>
                              <w:spacing w:line="240" w:lineRule="exact"/>
                              <w:ind w:left="336" w:hangingChars="168" w:hanging="336"/>
                              <w:rPr>
                                <w:rFonts w:ascii="微軟正黑體" w:eastAsia="微軟正黑體" w:hAnsi="微軟正黑體"/>
                                <w:color w:val="000000" w:themeColor="text1"/>
                                <w:sz w:val="20"/>
                                <w:szCs w:val="20"/>
                              </w:rPr>
                            </w:pPr>
                            <w:r w:rsidRPr="005E5009">
                              <w:rPr>
                                <w:rFonts w:ascii="微軟正黑體" w:eastAsia="微軟正黑體" w:hAnsi="微軟正黑體" w:hint="eastAsia"/>
                                <w:color w:val="000000" w:themeColor="text1"/>
                                <w:sz w:val="20"/>
                                <w:szCs w:val="20"/>
                              </w:rPr>
                              <w:t>註：新制勞工退休基金在96年7月2日勞工退休基金監理會成立前，係由勞保局以存儲金融機構之方式暫為保管。</w:t>
                            </w:r>
                          </w:p>
                          <w:p w:rsidR="00745375" w:rsidRPr="00B66A23" w:rsidRDefault="00745375" w:rsidP="00BD50E5">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15pt;margin-top:.15pt;width:428.65pt;height:35.7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" filled="f" stroked="f">
                <v:textbox>
                  <w:txbxContent>
                    <w:p w:rsidR="00745375" w:rsidRPr="005E5009" w:rsidRDefault="00745375" w:rsidP="00BD50E5">
                      <w:pPr>
                        <w:snapToGrid w:val="0"/>
                        <w:spacing w:line="240" w:lineRule="exact"/>
                        <w:ind w:left="336" w:hangingChars="168" w:hanging="336"/>
                        <w:rPr>
                          <w:rFonts w:ascii="微軟正黑體" w:eastAsia="微軟正黑體" w:hAnsi="微軟正黑體"/>
                          <w:color w:val="000000" w:themeColor="text1"/>
                          <w:sz w:val="20"/>
                          <w:szCs w:val="20"/>
                        </w:rPr>
                      </w:pPr>
                      <w:r w:rsidRPr="005E5009">
                        <w:rPr>
                          <w:rFonts w:ascii="微軟正黑體" w:eastAsia="微軟正黑體" w:hAnsi="微軟正黑體" w:hint="eastAsia"/>
                          <w:color w:val="000000" w:themeColor="text1"/>
                          <w:sz w:val="20"/>
                          <w:szCs w:val="20"/>
                        </w:rPr>
                        <w:t>註：新制勞工退休基金在96年7月2日勞工退休基金監理會成立前，係由勞保局以存儲金融機構之方式暫為保管。</w:t>
                      </w:r>
                    </w:p>
                    <w:p w:rsidR="00745375" w:rsidRPr="00B66A23" w:rsidRDefault="00745375" w:rsidP="00BD50E5">
                      <w:pPr>
                        <w:rPr>
                          <w:color w:val="0070C0"/>
                        </w:rPr>
                      </w:pPr>
                    </w:p>
                  </w:txbxContent>
                </v:textbox>
              </v:shape>
            </w:pict>
          </mc:Fallback>
        </mc:AlternateContent>
      </w:r>
    </w:p>
    <w:p w:rsidR="00BD50E5" w:rsidRPr="007B78CF" w:rsidRDefault="00BD50E5" w:rsidP="00BD50E5">
      <w:pPr>
        <w:snapToGrid w:val="0"/>
        <w:spacing w:line="400" w:lineRule="exact"/>
        <w:ind w:firstLineChars="200" w:firstLine="480"/>
        <w:rPr>
          <w:rFonts w:ascii="微軟正黑體" w:eastAsia="微軟正黑體" w:hAnsi="微軟正黑體"/>
          <w:color w:val="000000" w:themeColor="text1"/>
        </w:rPr>
      </w:pPr>
    </w:p>
    <w:p w:rsidR="00BD50E5" w:rsidRPr="007B78CF" w:rsidRDefault="00BD50E5" w:rsidP="00B671DC">
      <w:pPr>
        <w:snapToGrid w:val="0"/>
        <w:spacing w:beforeLines="50" w:before="180" w:line="400" w:lineRule="exact"/>
        <w:ind w:firstLineChars="200" w:firstLine="48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(2) </w:t>
      </w:r>
      <w:r w:rsidRPr="007B78CF">
        <w:rPr>
          <w:rFonts w:ascii="微軟正黑體" w:eastAsia="微軟正黑體" w:hAnsi="微軟正黑體"/>
          <w:color w:val="000000" w:themeColor="text1"/>
        </w:rPr>
        <w:t>基金資產配置</w:t>
      </w:r>
    </w:p>
    <w:p w:rsidR="00BD50E5" w:rsidRPr="007B78CF" w:rsidRDefault="00BD50E5" w:rsidP="0086106C">
      <w:pPr>
        <w:snapToGrid w:val="0"/>
        <w:spacing w:beforeLines="30" w:before="108" w:line="400" w:lineRule="exact"/>
        <w:ind w:leftChars="373" w:left="895"/>
        <w:jc w:val="both"/>
        <w:rPr>
          <w:rFonts w:ascii="微軟正黑體" w:eastAsia="微軟正黑體" w:hAnsi="微軟正黑體"/>
          <w:b/>
          <w:bCs/>
          <w:color w:val="000000" w:themeColor="text1"/>
        </w:rPr>
      </w:pPr>
      <w:r w:rsidRPr="007B78CF">
        <w:rPr>
          <w:rFonts w:ascii="微軟正黑體" w:eastAsia="微軟正黑體" w:hAnsi="微軟正黑體" w:hint="eastAsia"/>
          <w:color w:val="000000" w:themeColor="text1"/>
        </w:rPr>
        <w:t xml:space="preserve">    109年底基金運用規模為2兆7,224.5億元，較上年增加2,776.1億元，國內外委託經營占56.0%；自行運用占44.0%，主要為：「轉存金融機構」占21.6%、「國外投資」占9.2%及「</w:t>
      </w:r>
      <w:r w:rsidRPr="007B78CF">
        <w:rPr>
          <w:rFonts w:ascii="微軟正黑體" w:eastAsia="微軟正黑體" w:hAnsi="微軟正黑體"/>
          <w:color w:val="000000" w:themeColor="text1"/>
        </w:rPr>
        <w:t>公債、公司債、金融債券及特別股</w:t>
      </w:r>
      <w:r w:rsidRPr="007B78CF">
        <w:rPr>
          <w:rFonts w:ascii="微軟正黑體" w:eastAsia="微軟正黑體" w:hAnsi="微軟正黑體" w:hint="eastAsia"/>
          <w:color w:val="000000" w:themeColor="text1"/>
        </w:rPr>
        <w:t>」占7.2%。</w:t>
      </w:r>
    </w:p>
    <w:p w:rsidR="00BD50E5" w:rsidRPr="007B78CF" w:rsidRDefault="00BD50E5" w:rsidP="00BD50E5">
      <w:pPr>
        <w:snapToGrid w:val="0"/>
        <w:spacing w:beforeLines="10" w:before="36" w:line="400" w:lineRule="exact"/>
        <w:ind w:leftChars="236" w:left="566"/>
        <w:jc w:val="both"/>
        <w:rPr>
          <w:rFonts w:ascii="微軟正黑體" w:eastAsia="微軟正黑體" w:hAnsi="微軟正黑體"/>
          <w:b/>
          <w:bCs/>
          <w:color w:val="000000" w:themeColor="text1"/>
        </w:rPr>
      </w:pPr>
      <w:r w:rsidRPr="007B78CF">
        <w:rPr>
          <w:rFonts w:ascii="微軟正黑體" w:eastAsia="微軟正黑體" w:hAnsi="微軟正黑體"/>
          <w:noProof/>
          <w:color w:val="000000" w:themeColor="text1"/>
        </w:rPr>
        <mc:AlternateContent>
          <mc:Choice Requires="wps">
            <w:drawing>
              <wp:anchor distT="0" distB="0" distL="114300" distR="114300" simplePos="0" relativeHeight="252635136" behindDoc="0" locked="0" layoutInCell="1" allowOverlap="1" wp14:anchorId="3B23BC60" wp14:editId="64FE74DB">
                <wp:simplePos x="0" y="0"/>
                <wp:positionH relativeFrom="column">
                  <wp:posOffset>1188085</wp:posOffset>
                </wp:positionH>
                <wp:positionV relativeFrom="paragraph">
                  <wp:posOffset>213995</wp:posOffset>
                </wp:positionV>
                <wp:extent cx="109855" cy="101600"/>
                <wp:effectExtent l="0" t="0" r="23495" b="12700"/>
                <wp:wrapNone/>
                <wp:docPr id="10" name="矩形 10"/>
                <wp:cNvGraphicFramePr/>
                <a:graphic xmlns:a="http://schemas.openxmlformats.org/drawingml/2006/main">
                  <a:graphicData uri="http://schemas.microsoft.com/office/word/2010/wordprocessingShape">
                    <wps:wsp>
                      <wps:cNvSpPr/>
                      <wps:spPr>
                        <a:xfrm>
                          <a:off x="0" y="0"/>
                          <a:ext cx="109855" cy="101600"/>
                        </a:xfrm>
                        <a:prstGeom prst="rect">
                          <a:avLst/>
                        </a:prstGeom>
                        <a:solidFill>
                          <a:schemeClr val="accent6">
                            <a:lumMod val="40000"/>
                            <a:lumOff val="60000"/>
                          </a:schemeClr>
                        </a:solidFill>
                        <a:ln>
                          <a:solidFill>
                            <a:schemeClr val="accent6">
                              <a:lumMod val="40000"/>
                              <a:lumOff val="6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 o:spid="_x0000_s1026" style="position:absolute;margin-left:93.55pt;margin-top:16.85pt;width:8.65pt;height:8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" fillcolor="#fbd4b4 [1305]" strokecolor="#fbd4b4 [1305]" strokeweight="2pt"/>
            </w:pict>
          </mc:Fallback>
        </mc:AlternateContent>
      </w:r>
      <w:r w:rsidRPr="007B78CF">
        <w:rPr>
          <w:rFonts w:ascii="微軟正黑體" w:eastAsia="微軟正黑體" w:hAnsi="微軟正黑體"/>
          <w:noProof/>
          <w:color w:val="000000" w:themeColor="text1"/>
        </w:rPr>
        <mc:AlternateContent>
          <mc:Choice Requires="wps">
            <w:drawing>
              <wp:anchor distT="0" distB="0" distL="114300" distR="114300" simplePos="0" relativeHeight="252634112" behindDoc="0" locked="0" layoutInCell="1" allowOverlap="1" wp14:anchorId="10D5E86D" wp14:editId="79426287">
                <wp:simplePos x="0" y="0"/>
                <wp:positionH relativeFrom="column">
                  <wp:posOffset>346922</wp:posOffset>
                </wp:positionH>
                <wp:positionV relativeFrom="paragraph">
                  <wp:posOffset>211455</wp:posOffset>
                </wp:positionV>
                <wp:extent cx="109855" cy="101600"/>
                <wp:effectExtent l="0" t="0" r="23495" b="12700"/>
                <wp:wrapNone/>
                <wp:docPr id="11" name="矩形 11"/>
                <wp:cNvGraphicFramePr/>
                <a:graphic xmlns:a="http://schemas.openxmlformats.org/drawingml/2006/main">
                  <a:graphicData uri="http://schemas.microsoft.com/office/word/2010/wordprocessingShape">
                    <wps:wsp>
                      <wps:cNvSpPr/>
                      <wps:spPr>
                        <a:xfrm>
                          <a:off x="0" y="0"/>
                          <a:ext cx="109855" cy="101600"/>
                        </a:xfrm>
                        <a:prstGeom prst="rect">
                          <a:avLst/>
                        </a:prstGeom>
                        <a:solidFill>
                          <a:schemeClr val="accent6"/>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1" o:spid="_x0000_s1026" style="position:absolute;margin-left:27.3pt;margin-top:16.65pt;width:8.65pt;height:8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" fillcolor="#f79646 [3209]" strokecolor="#f79646 [3209]" strokeweight="2pt"/>
            </w:pict>
          </mc:Fallback>
        </mc:AlternateContent>
      </w:r>
      <w:r w:rsidRPr="007B78CF">
        <w:rPr>
          <w:noProof/>
          <w:color w:val="000000" w:themeColor="text1"/>
        </w:rPr>
        <mc:AlternateContent>
          <mc:Choice Requires="wps">
            <w:drawing>
              <wp:anchor distT="0" distB="0" distL="114300" distR="114300" simplePos="0" relativeHeight="252633088" behindDoc="0" locked="0" layoutInCell="1" allowOverlap="1" wp14:anchorId="02CAD972" wp14:editId="3B049C64">
                <wp:simplePos x="0" y="0"/>
                <wp:positionH relativeFrom="column">
                  <wp:posOffset>405765</wp:posOffset>
                </wp:positionH>
                <wp:positionV relativeFrom="paragraph">
                  <wp:posOffset>107315</wp:posOffset>
                </wp:positionV>
                <wp:extent cx="1574800" cy="317500"/>
                <wp:effectExtent l="0" t="0" r="6350" b="6350"/>
                <wp:wrapNone/>
                <wp:docPr id="2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17500"/>
                        </a:xfrm>
                        <a:prstGeom prst="rect">
                          <a:avLst/>
                        </a:prstGeom>
                        <a:solidFill>
                          <a:srgbClr val="FFFFFF"/>
                        </a:solidFill>
                        <a:ln w="9525">
                          <a:noFill/>
                          <a:miter lim="800000"/>
                          <a:headEnd/>
                          <a:tailEnd/>
                        </a:ln>
                      </wps:spPr>
                      <wps:txbx>
                        <w:txbxContent>
                          <w:p w:rsidR="00745375" w:rsidRPr="00DB49C5" w:rsidRDefault="00745375" w:rsidP="00BD50E5">
                            <w:pPr>
                              <w:rPr>
                                <w:rFonts w:ascii="微軟正黑體" w:eastAsia="微軟正黑體" w:hAnsi="微軟正黑體"/>
                                <w:sz w:val="20"/>
                              </w:rPr>
                            </w:pPr>
                            <w:r w:rsidRPr="00DB49C5">
                              <w:rPr>
                                <w:rFonts w:ascii="微軟正黑體" w:eastAsia="微軟正黑體" w:hAnsi="微軟正黑體" w:hint="eastAsia"/>
                                <w:sz w:val="20"/>
                              </w:rPr>
                              <w:t>委託經營     自行運用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1.95pt;margin-top:8.45pt;width:124pt;height:2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" stroked="f">
                <v:textbox>
                  <w:txbxContent>
                    <w:p w:rsidR="00745375" w:rsidRPr="00DB49C5" w:rsidRDefault="00745375" w:rsidP="00BD50E5">
                      <w:pPr>
                        <w:rPr>
                          <w:rFonts w:ascii="微軟正黑體" w:eastAsia="微軟正黑體" w:hAnsi="微軟正黑體"/>
                          <w:sz w:val="20"/>
                        </w:rPr>
                      </w:pPr>
                      <w:r w:rsidRPr="00DB49C5">
                        <w:rPr>
                          <w:rFonts w:ascii="微軟正黑體" w:eastAsia="微軟正黑體" w:hAnsi="微軟正黑體" w:hint="eastAsia"/>
                          <w:sz w:val="20"/>
                        </w:rPr>
                        <w:t>委託經營     自行運用</w:t>
                      </w:r>
                    </w:p>
                  </w:txbxContent>
                </v:textbox>
              </v:shape>
            </w:pict>
          </mc:Fallback>
        </mc:AlternateContent>
      </w:r>
      <w:r w:rsidRPr="007B78CF">
        <w:rPr>
          <w:noProof/>
          <w:color w:val="000000" w:themeColor="text1"/>
        </w:rPr>
        <w:drawing>
          <wp:anchor distT="0" distB="0" distL="114300" distR="114300" simplePos="0" relativeHeight="252632064" behindDoc="0" locked="0" layoutInCell="1" allowOverlap="1" wp14:anchorId="3AF08817" wp14:editId="38A1AA14">
            <wp:simplePos x="0" y="0"/>
            <wp:positionH relativeFrom="column">
              <wp:posOffset>52070</wp:posOffset>
            </wp:positionH>
            <wp:positionV relativeFrom="paragraph">
              <wp:posOffset>35560</wp:posOffset>
            </wp:positionV>
            <wp:extent cx="6035040" cy="2907030"/>
            <wp:effectExtent l="0" t="0" r="22860" b="26670"/>
            <wp:wrapNone/>
            <wp:docPr id="289" name="圖表 2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p w:rsidR="00BD50E5" w:rsidRPr="007B78CF" w:rsidRDefault="00BD50E5" w:rsidP="00BD50E5">
      <w:pPr>
        <w:snapToGrid w:val="0"/>
        <w:spacing w:beforeLines="10" w:before="36" w:line="400" w:lineRule="exact"/>
        <w:ind w:leftChars="236" w:left="566"/>
        <w:jc w:val="both"/>
        <w:rPr>
          <w:rFonts w:ascii="微軟正黑體" w:eastAsia="微軟正黑體" w:hAnsi="微軟正黑體"/>
          <w:color w:val="000000" w:themeColor="text1"/>
        </w:rPr>
      </w:pPr>
    </w:p>
    <w:p w:rsidR="00BD50E5" w:rsidRPr="007B78CF" w:rsidRDefault="00BD50E5" w:rsidP="00BD50E5">
      <w:pPr>
        <w:snapToGrid w:val="0"/>
        <w:spacing w:beforeLines="10" w:before="36" w:line="400" w:lineRule="exact"/>
        <w:ind w:leftChars="236" w:left="566"/>
        <w:jc w:val="both"/>
        <w:rPr>
          <w:rFonts w:ascii="微軟正黑體" w:eastAsia="微軟正黑體" w:hAnsi="微軟正黑體"/>
          <w:color w:val="000000" w:themeColor="text1"/>
        </w:rPr>
      </w:pPr>
    </w:p>
    <w:p w:rsidR="00BD50E5" w:rsidRPr="007B78CF" w:rsidRDefault="00BD50E5" w:rsidP="00BD50E5">
      <w:pPr>
        <w:snapToGrid w:val="0"/>
        <w:spacing w:beforeLines="10" w:before="36" w:line="400" w:lineRule="exact"/>
        <w:ind w:leftChars="236" w:left="566"/>
        <w:jc w:val="both"/>
        <w:rPr>
          <w:rFonts w:ascii="微軟正黑體" w:eastAsia="微軟正黑體" w:hAnsi="微軟正黑體"/>
          <w:color w:val="000000" w:themeColor="text1"/>
        </w:rPr>
      </w:pPr>
    </w:p>
    <w:p w:rsidR="00BD50E5" w:rsidRPr="007B78CF" w:rsidRDefault="00BD50E5" w:rsidP="00BD50E5">
      <w:pPr>
        <w:snapToGrid w:val="0"/>
        <w:spacing w:beforeLines="10" w:before="36" w:line="400" w:lineRule="exact"/>
        <w:ind w:leftChars="236" w:left="566"/>
        <w:jc w:val="both"/>
        <w:rPr>
          <w:rFonts w:ascii="微軟正黑體" w:eastAsia="微軟正黑體" w:hAnsi="微軟正黑體"/>
          <w:b/>
          <w:bCs/>
          <w:color w:val="000000" w:themeColor="text1"/>
        </w:rPr>
      </w:pPr>
    </w:p>
    <w:p w:rsidR="00BD50E5" w:rsidRPr="007B78CF" w:rsidRDefault="00BD50E5" w:rsidP="00BD50E5">
      <w:pPr>
        <w:snapToGrid w:val="0"/>
        <w:spacing w:beforeLines="10" w:before="36" w:afterLines="10" w:after="36"/>
        <w:jc w:val="center"/>
        <w:rPr>
          <w:rFonts w:ascii="微軟正黑體" w:eastAsia="微軟正黑體" w:hAnsi="微軟正黑體"/>
          <w:color w:val="000000" w:themeColor="text1"/>
        </w:rPr>
      </w:pPr>
    </w:p>
    <w:p w:rsidR="00BD50E5" w:rsidRPr="007B78CF" w:rsidRDefault="00BD50E5" w:rsidP="00BD50E5">
      <w:pPr>
        <w:snapToGrid w:val="0"/>
        <w:spacing w:beforeLines="10" w:before="36" w:afterLines="10" w:after="36"/>
        <w:jc w:val="center"/>
        <w:rPr>
          <w:rFonts w:ascii="微軟正黑體" w:eastAsia="微軟正黑體" w:hAnsi="微軟正黑體"/>
          <w:color w:val="000000" w:themeColor="text1"/>
        </w:rPr>
      </w:pPr>
    </w:p>
    <w:p w:rsidR="00BD50E5" w:rsidRPr="007B78CF" w:rsidRDefault="00BD50E5" w:rsidP="00BD50E5">
      <w:pPr>
        <w:snapToGrid w:val="0"/>
        <w:spacing w:beforeLines="10" w:before="36" w:afterLines="10" w:after="36"/>
        <w:jc w:val="center"/>
        <w:rPr>
          <w:rFonts w:ascii="微軟正黑體" w:eastAsia="微軟正黑體" w:hAnsi="微軟正黑體"/>
          <w:color w:val="000000" w:themeColor="text1"/>
        </w:rPr>
      </w:pPr>
    </w:p>
    <w:p w:rsidR="00BD50E5" w:rsidRPr="007B78CF" w:rsidRDefault="00BD50E5" w:rsidP="00BD50E5">
      <w:pPr>
        <w:snapToGrid w:val="0"/>
        <w:spacing w:beforeLines="10" w:before="36" w:afterLines="10" w:after="36"/>
        <w:jc w:val="center"/>
        <w:rPr>
          <w:rFonts w:ascii="微軟正黑體" w:eastAsia="微軟正黑體" w:hAnsi="微軟正黑體"/>
          <w:color w:val="000000" w:themeColor="text1"/>
        </w:rPr>
      </w:pPr>
    </w:p>
    <w:p w:rsidR="00BD50E5" w:rsidRPr="007B78CF" w:rsidRDefault="00BD50E5" w:rsidP="00BD50E5">
      <w:pPr>
        <w:snapToGrid w:val="0"/>
        <w:spacing w:beforeLines="10" w:before="36" w:afterLines="10" w:after="36"/>
        <w:jc w:val="center"/>
        <w:rPr>
          <w:rFonts w:ascii="微軟正黑體" w:eastAsia="微軟正黑體" w:hAnsi="微軟正黑體"/>
          <w:color w:val="000000" w:themeColor="text1"/>
        </w:rPr>
      </w:pPr>
    </w:p>
    <w:p w:rsidR="00BD50E5" w:rsidRPr="007B78CF" w:rsidRDefault="00BD50E5" w:rsidP="00BD50E5">
      <w:pPr>
        <w:snapToGrid w:val="0"/>
        <w:spacing w:beforeLines="80" w:before="288" w:afterLines="10" w:after="36"/>
        <w:jc w:val="center"/>
        <w:rPr>
          <w:rFonts w:ascii="微軟正黑體" w:eastAsia="微軟正黑體" w:hAnsi="微軟正黑體"/>
          <w:b/>
          <w:color w:val="000000" w:themeColor="text1"/>
        </w:rPr>
      </w:pPr>
      <w:r w:rsidRPr="007B78CF">
        <w:rPr>
          <w:rFonts w:ascii="微軟正黑體" w:eastAsia="微軟正黑體" w:hAnsi="微軟正黑體"/>
          <w:color w:val="000000" w:themeColor="text1"/>
        </w:rPr>
        <w:t>圖3.</w:t>
      </w:r>
      <w:r w:rsidRPr="007B78CF">
        <w:rPr>
          <w:rFonts w:ascii="微軟正黑體" w:eastAsia="微軟正黑體" w:hAnsi="微軟正黑體" w:hint="eastAsia"/>
          <w:color w:val="000000" w:themeColor="text1"/>
        </w:rPr>
        <w:t>9</w:t>
      </w:r>
      <w:r w:rsidRPr="007B78CF">
        <w:rPr>
          <w:rFonts w:ascii="微軟正黑體" w:eastAsia="微軟正黑體" w:hAnsi="微軟正黑體"/>
          <w:color w:val="000000" w:themeColor="text1"/>
        </w:rPr>
        <w:t xml:space="preserve">  109年</w:t>
      </w:r>
      <w:r w:rsidRPr="007B78CF">
        <w:rPr>
          <w:rFonts w:ascii="微軟正黑體" w:eastAsia="微軟正黑體" w:hAnsi="微軟正黑體"/>
          <w:bCs/>
          <w:color w:val="000000" w:themeColor="text1"/>
        </w:rPr>
        <w:t>勞退</w:t>
      </w:r>
      <w:r w:rsidRPr="007B78CF">
        <w:rPr>
          <w:rFonts w:ascii="微軟正黑體" w:eastAsia="微軟正黑體" w:hAnsi="微軟正黑體"/>
          <w:color w:val="000000" w:themeColor="text1"/>
        </w:rPr>
        <w:t>新制基金</w:t>
      </w:r>
      <w:r w:rsidRPr="007B78CF">
        <w:rPr>
          <w:rFonts w:ascii="微軟正黑體" w:eastAsia="微軟正黑體" w:hAnsi="微軟正黑體" w:hint="eastAsia"/>
          <w:color w:val="000000" w:themeColor="text1"/>
        </w:rPr>
        <w:t>資產配置情形</w:t>
      </w:r>
    </w:p>
    <w:p w:rsidR="00BD50E5" w:rsidRPr="00070D53" w:rsidRDefault="00BD50E5" w:rsidP="00BD50E5">
      <w:pPr>
        <w:snapToGrid w:val="0"/>
        <w:spacing w:beforeLines="100" w:before="36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lastRenderedPageBreak/>
        <w:t xml:space="preserve">   </w:t>
      </w:r>
      <w:r w:rsidRPr="00070D53">
        <w:rPr>
          <w:rFonts w:ascii="微軟正黑體" w:eastAsia="微軟正黑體" w:hAnsi="微軟正黑體" w:hint="eastAsia"/>
          <w:color w:val="000000" w:themeColor="text1"/>
        </w:rPr>
        <w:t xml:space="preserve">4. </w:t>
      </w:r>
      <w:r w:rsidRPr="00070D53">
        <w:rPr>
          <w:rFonts w:ascii="微軟正黑體" w:eastAsia="微軟正黑體" w:hAnsi="微軟正黑體"/>
          <w:color w:val="000000" w:themeColor="text1"/>
        </w:rPr>
        <w:t>制度動</w:t>
      </w:r>
      <w:r w:rsidRPr="00070D53">
        <w:rPr>
          <w:rFonts w:ascii="微軟正黑體" w:eastAsia="微軟正黑體" w:hAnsi="微軟正黑體" w:hint="eastAsia"/>
          <w:color w:val="000000" w:themeColor="text1"/>
        </w:rPr>
        <w:t>態</w:t>
      </w:r>
    </w:p>
    <w:p w:rsidR="0086106C" w:rsidRPr="0086106C" w:rsidRDefault="00BD50E5" w:rsidP="0086106C">
      <w:pPr>
        <w:snapToGrid w:val="0"/>
        <w:spacing w:beforeLines="30" w:before="108" w:line="400" w:lineRule="exact"/>
        <w:ind w:left="840" w:hangingChars="350" w:hanging="840"/>
        <w:jc w:val="both"/>
        <w:rPr>
          <w:rFonts w:ascii="微軟正黑體" w:eastAsia="微軟正黑體" w:hAnsi="微軟正黑體" w:cs="Times New Roman"/>
          <w:color w:val="000000" w:themeColor="text1"/>
          <w:kern w:val="0"/>
        </w:rPr>
      </w:pPr>
      <w:r w:rsidRPr="00070D53">
        <w:rPr>
          <w:rFonts w:ascii="微軟正黑體" w:eastAsia="微軟正黑體" w:hAnsi="微軟正黑體" w:cs="新細明體" w:hint="eastAsia"/>
          <w:color w:val="000000" w:themeColor="text1"/>
          <w:kern w:val="0"/>
        </w:rPr>
        <w:t xml:space="preserve"> </w:t>
      </w:r>
      <w:r w:rsidRPr="00070D53">
        <w:rPr>
          <w:rFonts w:ascii="微軟正黑體" w:eastAsia="微軟正黑體" w:hAnsi="微軟正黑體" w:cs="新細明體"/>
          <w:color w:val="000000" w:themeColor="text1"/>
          <w:kern w:val="0"/>
        </w:rPr>
        <w:t xml:space="preserve">   </w:t>
      </w:r>
      <w:r w:rsidRPr="00070D53">
        <w:rPr>
          <w:rFonts w:ascii="微軟正黑體" w:eastAsia="微軟正黑體" w:hAnsi="微軟正黑體" w:cs="新細明體" w:hint="eastAsia"/>
          <w:color w:val="000000" w:themeColor="text1"/>
          <w:kern w:val="0"/>
        </w:rPr>
        <w:t>(1) 109年1月1日起，因應基本工資調整為23,800元，</w:t>
      </w:r>
      <w:r w:rsidRPr="00070D53">
        <w:rPr>
          <w:rFonts w:ascii="微軟正黑體" w:eastAsia="微軟正黑體" w:hAnsi="微軟正黑體" w:cs="Times New Roman" w:hint="eastAsia"/>
          <w:color w:val="000000" w:themeColor="text1"/>
          <w:kern w:val="0"/>
        </w:rPr>
        <w:t>「勞工退休金月提繳分級表」配合修正實施。</w:t>
      </w:r>
    </w:p>
    <w:p w:rsidR="00BD50E5" w:rsidRPr="0086106C" w:rsidRDefault="0086106C" w:rsidP="0086106C">
      <w:pPr>
        <w:snapToGrid w:val="0"/>
        <w:spacing w:beforeLines="30" w:before="108" w:line="400" w:lineRule="exact"/>
        <w:ind w:left="840" w:hangingChars="350" w:hanging="840"/>
        <w:jc w:val="both"/>
        <w:rPr>
          <w:rFonts w:ascii="微軟正黑體" w:eastAsia="微軟正黑體" w:hAnsi="微軟正黑體" w:cs="新細明體"/>
          <w:color w:val="000000" w:themeColor="text1"/>
          <w:kern w:val="0"/>
        </w:rPr>
      </w:pPr>
      <w:r>
        <w:rPr>
          <w:rFonts w:ascii="微軟正黑體" w:eastAsia="微軟正黑體" w:hAnsi="微軟正黑體" w:cs="新細明體" w:hint="eastAsia"/>
          <w:color w:val="000000" w:themeColor="text1"/>
          <w:kern w:val="0"/>
        </w:rPr>
        <w:t xml:space="preserve">    </w:t>
      </w:r>
      <w:r w:rsidR="00BD50E5" w:rsidRPr="00070D53">
        <w:rPr>
          <w:rFonts w:ascii="微軟正黑體" w:eastAsia="微軟正黑體" w:hAnsi="微軟正黑體" w:cs="新細明體" w:hint="eastAsia"/>
          <w:color w:val="000000" w:themeColor="text1"/>
          <w:kern w:val="0"/>
        </w:rPr>
        <w:t>(2) 110年1月1日起，</w:t>
      </w:r>
      <w:r w:rsidR="00BD50E5" w:rsidRPr="0086106C">
        <w:rPr>
          <w:rFonts w:ascii="微軟正黑體" w:eastAsia="微軟正黑體" w:hAnsi="微軟正黑體" w:cs="新細明體" w:hint="eastAsia"/>
          <w:color w:val="000000" w:themeColor="text1"/>
          <w:kern w:val="0"/>
        </w:rPr>
        <w:t>因應基本工資調整為2</w:t>
      </w:r>
      <w:r w:rsidR="00BD50E5" w:rsidRPr="0086106C">
        <w:rPr>
          <w:rFonts w:ascii="微軟正黑體" w:eastAsia="微軟正黑體" w:hAnsi="微軟正黑體" w:cs="新細明體"/>
          <w:color w:val="000000" w:themeColor="text1"/>
          <w:kern w:val="0"/>
        </w:rPr>
        <w:t>4</w:t>
      </w:r>
      <w:r w:rsidR="00BD50E5" w:rsidRPr="0086106C">
        <w:rPr>
          <w:rFonts w:ascii="微軟正黑體" w:eastAsia="微軟正黑體" w:hAnsi="微軟正黑體" w:cs="新細明體" w:hint="eastAsia"/>
          <w:color w:val="000000" w:themeColor="text1"/>
          <w:kern w:val="0"/>
        </w:rPr>
        <w:t>,</w:t>
      </w:r>
      <w:r w:rsidR="00BD50E5" w:rsidRPr="0086106C">
        <w:rPr>
          <w:rFonts w:ascii="微軟正黑體" w:eastAsia="微軟正黑體" w:hAnsi="微軟正黑體" w:cs="新細明體"/>
          <w:color w:val="000000" w:themeColor="text1"/>
          <w:kern w:val="0"/>
        </w:rPr>
        <w:t>0</w:t>
      </w:r>
      <w:r w:rsidR="00BD50E5" w:rsidRPr="0086106C">
        <w:rPr>
          <w:rFonts w:ascii="微軟正黑體" w:eastAsia="微軟正黑體" w:hAnsi="微軟正黑體" w:cs="新細明體" w:hint="eastAsia"/>
          <w:color w:val="000000" w:themeColor="text1"/>
          <w:kern w:val="0"/>
        </w:rPr>
        <w:t>00元，「勞工退休金月提繳分級表」配合修正實施。</w:t>
      </w:r>
    </w:p>
    <w:p w:rsidR="00BD50E5" w:rsidRPr="00070D53" w:rsidRDefault="00BD50E5" w:rsidP="0086106C">
      <w:pPr>
        <w:snapToGrid w:val="0"/>
        <w:spacing w:beforeLines="30" w:before="108" w:line="400" w:lineRule="exact"/>
        <w:ind w:left="840" w:hangingChars="350" w:hanging="840"/>
        <w:jc w:val="both"/>
        <w:rPr>
          <w:rFonts w:ascii="微軟正黑體" w:eastAsia="微軟正黑體" w:hAnsi="微軟正黑體"/>
          <w:color w:val="000000" w:themeColor="text1"/>
        </w:rPr>
      </w:pPr>
      <w:r w:rsidRPr="00070D53">
        <w:rPr>
          <w:rFonts w:ascii="微軟正黑體" w:eastAsia="微軟正黑體" w:hAnsi="微軟正黑體" w:cs="Times New Roman" w:hint="eastAsia"/>
          <w:color w:val="000000" w:themeColor="text1"/>
          <w:kern w:val="0"/>
        </w:rPr>
        <w:t xml:space="preserve"> </w:t>
      </w:r>
      <w:r w:rsidRPr="00070D53">
        <w:rPr>
          <w:rFonts w:ascii="微軟正黑體" w:eastAsia="微軟正黑體" w:hAnsi="微軟正黑體" w:cs="Times New Roman"/>
          <w:color w:val="000000" w:themeColor="text1"/>
          <w:kern w:val="0"/>
        </w:rPr>
        <w:t xml:space="preserve">   (</w:t>
      </w:r>
      <w:r w:rsidRPr="00070D53">
        <w:rPr>
          <w:rFonts w:ascii="微軟正黑體" w:eastAsia="微軟正黑體" w:hAnsi="微軟正黑體" w:cs="Times New Roman" w:hint="eastAsia"/>
          <w:color w:val="000000" w:themeColor="text1"/>
          <w:kern w:val="0"/>
        </w:rPr>
        <w:t>3</w:t>
      </w:r>
      <w:r w:rsidRPr="00070D53">
        <w:rPr>
          <w:rFonts w:ascii="微軟正黑體" w:eastAsia="微軟正黑體" w:hAnsi="微軟正黑體" w:cs="Times New Roman"/>
          <w:color w:val="000000" w:themeColor="text1"/>
          <w:kern w:val="0"/>
        </w:rPr>
        <w:t xml:space="preserve">) </w:t>
      </w:r>
      <w:r w:rsidR="00304E43" w:rsidRPr="00CB0F31">
        <w:rPr>
          <w:rFonts w:ascii="微軟正黑體" w:eastAsia="微軟正黑體" w:hAnsi="微軟正黑體" w:cs="新細明體" w:hint="eastAsia"/>
          <w:kern w:val="0"/>
        </w:rPr>
        <w:t>1</w:t>
      </w:r>
      <w:r w:rsidR="00CB0F31" w:rsidRPr="00CB0F31">
        <w:rPr>
          <w:rFonts w:ascii="微軟正黑體" w:eastAsia="微軟正黑體" w:hAnsi="微軟正黑體" w:cs="新細明體" w:hint="eastAsia"/>
          <w:kern w:val="0"/>
        </w:rPr>
        <w:t>1</w:t>
      </w:r>
      <w:r w:rsidR="00304E43" w:rsidRPr="00CB0F31">
        <w:rPr>
          <w:rFonts w:ascii="微軟正黑體" w:eastAsia="微軟正黑體" w:hAnsi="微軟正黑體" w:cs="新細明體" w:hint="eastAsia"/>
          <w:kern w:val="0"/>
        </w:rPr>
        <w:t>0年10月25日起施行之</w:t>
      </w:r>
      <w:r w:rsidRPr="00CB0F31">
        <w:rPr>
          <w:rFonts w:ascii="微軟正黑體" w:eastAsia="微軟正黑體" w:hAnsi="微軟正黑體" w:hint="eastAsia"/>
        </w:rPr>
        <w:t>「外國專業人才延攬及僱用法」(以下簡稱外國人才專法)，有關勞退新制適用對象部分，因「勞工退休金條例」已放寬勞退新制適用對象至依入出國及移民法相關規定許可永久居留，在臺工作</w:t>
      </w:r>
      <w:r w:rsidRPr="00070D53">
        <w:rPr>
          <w:rFonts w:ascii="微軟正黑體" w:eastAsia="微軟正黑體" w:hAnsi="微軟正黑體" w:hint="eastAsia"/>
          <w:color w:val="000000" w:themeColor="text1"/>
        </w:rPr>
        <w:t>並適用勞動基準法之外國人，且實際從事勞動之雇主、自營作業者、受委任工作者及不適用勞動基準法之勞工亦得自願提繳退休金，故「外國人才專法」亦將勞退新制適用對象，由原本受聘僱從事專業工作，且經內政部移民署許可永久居留之外國專業人才，放寬至從事專業工作(不以受聘僱者為限)，且經內政部移民署依「外國人才專法」規定許可永久居留之外國專業人才及外國特定專業人才。</w:t>
      </w:r>
    </w:p>
    <w:p w:rsidR="00BD50E5" w:rsidRDefault="00BD50E5" w:rsidP="0086106C">
      <w:pPr>
        <w:snapToGrid w:val="0"/>
        <w:spacing w:beforeLines="30" w:before="108" w:line="400" w:lineRule="exact"/>
        <w:ind w:left="840" w:hangingChars="350" w:hanging="840"/>
        <w:jc w:val="both"/>
        <w:rPr>
          <w:rFonts w:ascii="微軟正黑體" w:eastAsia="微軟正黑體" w:hAnsi="微軟正黑體" w:cs="新細明體"/>
          <w:color w:val="000000" w:themeColor="text1"/>
          <w:kern w:val="0"/>
        </w:rPr>
      </w:pPr>
      <w:r w:rsidRPr="00070D53">
        <w:rPr>
          <w:rFonts w:ascii="微軟正黑體" w:eastAsia="微軟正黑體" w:hAnsi="微軟正黑體" w:hint="eastAsia"/>
          <w:color w:val="000000" w:themeColor="text1"/>
        </w:rPr>
        <w:t xml:space="preserve">    (4)</w:t>
      </w:r>
      <w:r>
        <w:rPr>
          <w:rFonts w:ascii="微軟正黑體" w:eastAsia="微軟正黑體" w:hAnsi="微軟正黑體" w:hint="eastAsia"/>
          <w:color w:val="000000" w:themeColor="text1"/>
        </w:rPr>
        <w:t xml:space="preserve"> </w:t>
      </w:r>
      <w:r w:rsidRPr="00070D53">
        <w:rPr>
          <w:rFonts w:ascii="微軟正黑體" w:eastAsia="微軟正黑體" w:hAnsi="微軟正黑體" w:cs="新細明體" w:hint="eastAsia"/>
          <w:color w:val="000000" w:themeColor="text1"/>
          <w:kern w:val="0"/>
        </w:rPr>
        <w:t>110年</w:t>
      </w:r>
      <w:r>
        <w:rPr>
          <w:rFonts w:ascii="微軟正黑體" w:eastAsia="微軟正黑體" w:hAnsi="微軟正黑體" w:cs="新細明體" w:hint="eastAsia"/>
          <w:color w:val="000000" w:themeColor="text1"/>
          <w:kern w:val="0"/>
        </w:rPr>
        <w:t>11</w:t>
      </w:r>
      <w:r w:rsidRPr="00052818">
        <w:rPr>
          <w:rFonts w:ascii="微軟正黑體" w:eastAsia="微軟正黑體" w:hAnsi="微軟正黑體" w:cs="新細明體" w:hint="eastAsia"/>
          <w:color w:val="000000" w:themeColor="text1"/>
          <w:kern w:val="0"/>
        </w:rPr>
        <w:t>月</w:t>
      </w:r>
      <w:r>
        <w:rPr>
          <w:rFonts w:ascii="微軟正黑體" w:eastAsia="微軟正黑體" w:hAnsi="微軟正黑體" w:cs="新細明體" w:hint="eastAsia"/>
          <w:color w:val="000000" w:themeColor="text1"/>
          <w:kern w:val="0"/>
        </w:rPr>
        <w:t>24</w:t>
      </w:r>
      <w:r w:rsidRPr="00070D53">
        <w:rPr>
          <w:rFonts w:ascii="微軟正黑體" w:eastAsia="微軟正黑體" w:hAnsi="微軟正黑體" w:cs="新細明體" w:hint="eastAsia"/>
          <w:color w:val="000000" w:themeColor="text1"/>
          <w:kern w:val="0"/>
        </w:rPr>
        <w:t>日因應111年基本工資調整為25,250元，修正發布「勞工退休金月提繳分級表」，並自111年1月1日起施行。</w:t>
      </w:r>
    </w:p>
    <w:p w:rsidR="00BD50E5" w:rsidRPr="00070D53" w:rsidRDefault="00BD50E5" w:rsidP="00BD50E5">
      <w:pPr>
        <w:snapToGrid w:val="0"/>
        <w:spacing w:beforeLines="30" w:before="108"/>
        <w:ind w:left="840" w:hangingChars="350" w:hanging="840"/>
        <w:jc w:val="both"/>
        <w:rPr>
          <w:rFonts w:ascii="微軟正黑體" w:eastAsia="微軟正黑體" w:hAnsi="微軟正黑體"/>
          <w:color w:val="000000" w:themeColor="text1"/>
        </w:rPr>
      </w:pPr>
    </w:p>
    <w:p w:rsidR="00BD50E5" w:rsidRDefault="00BD50E5" w:rsidP="00BD50E5">
      <w:pPr>
        <w:snapToGrid w:val="0"/>
        <w:spacing w:beforeLines="50" w:before="180" w:line="400" w:lineRule="exact"/>
        <w:rPr>
          <w:rFonts w:ascii="微軟正黑體" w:eastAsia="微軟正黑體" w:hAnsi="微軟正黑體"/>
          <w:color w:val="000000" w:themeColor="text1"/>
        </w:rPr>
      </w:pPr>
      <w:r w:rsidRPr="007B78CF">
        <w:rPr>
          <w:rFonts w:ascii="微軟正黑體" w:eastAsia="微軟正黑體" w:hAnsi="微軟正黑體"/>
          <w:color w:val="000000" w:themeColor="text1"/>
        </w:rPr>
        <w:t>＜資料</w:t>
      </w:r>
      <w:r w:rsidRPr="007B78CF">
        <w:rPr>
          <w:rFonts w:ascii="微軟正黑體" w:eastAsia="微軟正黑體" w:hAnsi="微軟正黑體" w:hint="eastAsia"/>
          <w:color w:val="000000" w:themeColor="text1"/>
        </w:rPr>
        <w:t>來源</w:t>
      </w:r>
      <w:r w:rsidRPr="007B78CF">
        <w:rPr>
          <w:rFonts w:ascii="微軟正黑體" w:eastAsia="微軟正黑體" w:hAnsi="微軟正黑體"/>
          <w:color w:val="000000" w:themeColor="text1"/>
        </w:rPr>
        <w:t>＞</w:t>
      </w:r>
    </w:p>
    <w:p w:rsidR="00BD50E5" w:rsidRPr="00BD50E5" w:rsidRDefault="00BD50E5" w:rsidP="0086106C">
      <w:pPr>
        <w:pStyle w:val="af0"/>
        <w:numPr>
          <w:ilvl w:val="0"/>
          <w:numId w:val="59"/>
        </w:numPr>
        <w:snapToGrid w:val="0"/>
        <w:spacing w:beforeLines="30" w:before="108" w:line="400" w:lineRule="exact"/>
        <w:ind w:leftChars="0"/>
        <w:rPr>
          <w:rFonts w:ascii="微軟正黑體" w:eastAsia="微軟正黑體" w:hAnsi="微軟正黑體"/>
          <w:color w:val="000000" w:themeColor="text1"/>
        </w:rPr>
      </w:pPr>
      <w:r w:rsidRPr="00BD50E5">
        <w:rPr>
          <w:rFonts w:ascii="微軟正黑體" w:eastAsia="微軟正黑體" w:hAnsi="微軟正黑體" w:hint="eastAsia"/>
          <w:color w:val="000000" w:themeColor="text1"/>
        </w:rPr>
        <w:t>109年性別勞動統計專輯。</w:t>
      </w:r>
    </w:p>
    <w:p w:rsidR="00BD50E5" w:rsidRPr="00B32619" w:rsidRDefault="00BD50E5" w:rsidP="0086106C">
      <w:pPr>
        <w:pStyle w:val="af0"/>
        <w:numPr>
          <w:ilvl w:val="0"/>
          <w:numId w:val="59"/>
        </w:numPr>
        <w:snapToGrid w:val="0"/>
        <w:spacing w:line="400" w:lineRule="exact"/>
        <w:ind w:leftChars="0" w:left="358" w:hangingChars="149" w:hanging="358"/>
        <w:rPr>
          <w:rFonts w:ascii="微軟正黑體" w:eastAsia="微軟正黑體" w:hAnsi="微軟正黑體"/>
          <w:color w:val="000000" w:themeColor="text1"/>
        </w:rPr>
      </w:pPr>
      <w:r w:rsidRPr="00B32619">
        <w:rPr>
          <w:rFonts w:ascii="微軟正黑體" w:eastAsia="微軟正黑體" w:hAnsi="微軟正黑體" w:hint="eastAsia"/>
          <w:color w:val="000000" w:themeColor="text1"/>
        </w:rPr>
        <w:t>10</w:t>
      </w:r>
      <w:r w:rsidRPr="00B32619">
        <w:rPr>
          <w:rFonts w:ascii="微軟正黑體" w:eastAsia="微軟正黑體" w:hAnsi="微軟正黑體"/>
          <w:color w:val="000000" w:themeColor="text1"/>
        </w:rPr>
        <w:t>9</w:t>
      </w:r>
      <w:r w:rsidRPr="00B32619">
        <w:rPr>
          <w:rFonts w:ascii="微軟正黑體" w:eastAsia="微軟正黑體" w:hAnsi="微軟正黑體" w:hint="eastAsia"/>
          <w:color w:val="000000" w:themeColor="text1"/>
        </w:rPr>
        <w:t>年勞動統計年報。</w:t>
      </w:r>
    </w:p>
    <w:p w:rsidR="00BD50E5" w:rsidRPr="00B32619" w:rsidRDefault="00BD50E5" w:rsidP="0086106C">
      <w:pPr>
        <w:pStyle w:val="af0"/>
        <w:numPr>
          <w:ilvl w:val="0"/>
          <w:numId w:val="59"/>
        </w:numPr>
        <w:snapToGrid w:val="0"/>
        <w:spacing w:line="400" w:lineRule="exact"/>
        <w:ind w:leftChars="0" w:left="358" w:hangingChars="149" w:hanging="358"/>
        <w:rPr>
          <w:rFonts w:ascii="微軟正黑體" w:eastAsia="微軟正黑體" w:hAnsi="微軟正黑體"/>
          <w:color w:val="000000" w:themeColor="text1"/>
        </w:rPr>
      </w:pPr>
      <w:r w:rsidRPr="00B32619">
        <w:rPr>
          <w:rFonts w:ascii="微軟正黑體" w:eastAsia="微軟正黑體" w:hAnsi="微軟正黑體" w:hint="eastAsia"/>
          <w:color w:val="000000" w:themeColor="text1"/>
        </w:rPr>
        <w:t>勞動部勞工保險局網站統計資料－</w:t>
      </w:r>
      <w:r w:rsidRPr="00B32619">
        <w:rPr>
          <w:rFonts w:ascii="微軟正黑體" w:eastAsia="微軟正黑體" w:hAnsi="微軟正黑體"/>
          <w:color w:val="000000" w:themeColor="text1"/>
        </w:rPr>
        <w:t>109年勞工</w:t>
      </w:r>
      <w:r w:rsidRPr="00B32619">
        <w:rPr>
          <w:rFonts w:ascii="微軟正黑體" w:eastAsia="微軟正黑體" w:hAnsi="微軟正黑體" w:hint="eastAsia"/>
          <w:color w:val="000000" w:themeColor="text1"/>
        </w:rPr>
        <w:t>退休金</w:t>
      </w:r>
      <w:r w:rsidRPr="00B32619">
        <w:rPr>
          <w:rFonts w:ascii="微軟正黑體" w:eastAsia="微軟正黑體" w:hAnsi="微軟正黑體"/>
          <w:color w:val="000000" w:themeColor="text1"/>
        </w:rPr>
        <w:t>統計年報</w:t>
      </w:r>
      <w:r w:rsidRPr="00B32619">
        <w:rPr>
          <w:rFonts w:ascii="微軟正黑體" w:eastAsia="微軟正黑體" w:hAnsi="微軟正黑體" w:hint="eastAsia"/>
          <w:color w:val="000000" w:themeColor="text1"/>
        </w:rPr>
        <w:t>。</w:t>
      </w:r>
    </w:p>
    <w:p w:rsidR="00BD50E5" w:rsidRPr="00B32619" w:rsidRDefault="00BD50E5" w:rsidP="0086106C">
      <w:pPr>
        <w:pStyle w:val="af0"/>
        <w:numPr>
          <w:ilvl w:val="0"/>
          <w:numId w:val="59"/>
        </w:numPr>
        <w:snapToGrid w:val="0"/>
        <w:spacing w:line="400" w:lineRule="exact"/>
        <w:ind w:leftChars="0" w:left="358" w:hangingChars="149" w:hanging="358"/>
        <w:rPr>
          <w:rFonts w:ascii="微軟正黑體" w:eastAsia="微軟正黑體" w:hAnsi="微軟正黑體"/>
          <w:color w:val="000000" w:themeColor="text1"/>
        </w:rPr>
      </w:pPr>
      <w:r w:rsidRPr="00B32619">
        <w:rPr>
          <w:rFonts w:ascii="微軟正黑體" w:eastAsia="微軟正黑體" w:hAnsi="微軟正黑體" w:hint="eastAsia"/>
          <w:color w:val="000000" w:themeColor="text1"/>
        </w:rPr>
        <w:t>勞動部勞動基金運用局中華民國10</w:t>
      </w:r>
      <w:r w:rsidRPr="00B32619">
        <w:rPr>
          <w:rFonts w:ascii="微軟正黑體" w:eastAsia="微軟正黑體" w:hAnsi="微軟正黑體"/>
          <w:color w:val="000000" w:themeColor="text1"/>
        </w:rPr>
        <w:t>9</w:t>
      </w:r>
      <w:r w:rsidRPr="00B32619">
        <w:rPr>
          <w:rFonts w:ascii="微軟正黑體" w:eastAsia="微軟正黑體" w:hAnsi="微軟正黑體" w:hint="eastAsia"/>
          <w:color w:val="000000" w:themeColor="text1"/>
        </w:rPr>
        <w:t>年度年報</w:t>
      </w:r>
      <w:r w:rsidRPr="00B32619">
        <w:rPr>
          <w:rFonts w:ascii="微軟正黑體" w:eastAsia="微軟正黑體" w:hAnsi="微軟正黑體"/>
          <w:color w:val="000000" w:themeColor="text1"/>
        </w:rPr>
        <w:t>。</w:t>
      </w:r>
    </w:p>
    <w:p w:rsidR="00BD50E5" w:rsidRPr="00B32619" w:rsidRDefault="00BD50E5" w:rsidP="0086106C">
      <w:pPr>
        <w:pStyle w:val="af0"/>
        <w:numPr>
          <w:ilvl w:val="0"/>
          <w:numId w:val="59"/>
        </w:numPr>
        <w:snapToGrid w:val="0"/>
        <w:spacing w:line="400" w:lineRule="exact"/>
        <w:ind w:leftChars="0" w:left="358" w:hangingChars="149" w:hanging="358"/>
        <w:rPr>
          <w:rFonts w:ascii="微軟正黑體" w:eastAsia="微軟正黑體" w:hAnsi="微軟正黑體"/>
          <w:color w:val="000000" w:themeColor="text1"/>
        </w:rPr>
      </w:pPr>
      <w:r w:rsidRPr="00B32619">
        <w:rPr>
          <w:rFonts w:ascii="微軟正黑體" w:eastAsia="微軟正黑體" w:hAnsi="微軟正黑體" w:hint="eastAsia"/>
          <w:color w:val="000000" w:themeColor="text1"/>
        </w:rPr>
        <w:t>勞動部勞動基金運用局網站統計資料。</w:t>
      </w:r>
    </w:p>
    <w:p w:rsidR="00BD50E5" w:rsidRDefault="00BD50E5" w:rsidP="00BD50E5">
      <w:pPr>
        <w:snapToGrid w:val="0"/>
        <w:spacing w:beforeLines="50" w:before="180" w:line="36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(圖表均由本文自行繪製)</w:t>
      </w:r>
    </w:p>
    <w:p w:rsidR="00BD50E5" w:rsidRPr="007B78CF" w:rsidRDefault="00BD50E5" w:rsidP="00BD50E5">
      <w:pPr>
        <w:widowControl/>
        <w:rPr>
          <w:rFonts w:ascii="微軟正黑體" w:eastAsia="微軟正黑體" w:hAnsi="微軟正黑體"/>
          <w:color w:val="000000" w:themeColor="text1"/>
        </w:rPr>
      </w:pPr>
      <w:r>
        <w:rPr>
          <w:rFonts w:ascii="微軟正黑體" w:eastAsia="微軟正黑體" w:hAnsi="微軟正黑體"/>
          <w:color w:val="000000" w:themeColor="text1"/>
        </w:rPr>
        <w:br w:type="page"/>
      </w:r>
    </w:p>
    <w:p w:rsidR="00BD50E5" w:rsidRPr="007B78CF" w:rsidRDefault="00BD50E5" w:rsidP="00BD50E5">
      <w:pPr>
        <w:spacing w:line="400" w:lineRule="exact"/>
        <w:rPr>
          <w:rFonts w:ascii="微軟正黑體" w:eastAsia="微軟正黑體" w:hAnsi="微軟正黑體"/>
          <w:b/>
          <w:color w:val="000000" w:themeColor="text1"/>
          <w:sz w:val="28"/>
          <w:szCs w:val="28"/>
        </w:rPr>
      </w:pPr>
      <w:bookmarkStart w:id="8" w:name="第一章第三節貳"/>
      <w:r w:rsidRPr="007B78CF">
        <w:rPr>
          <w:rFonts w:ascii="微軟正黑體" w:eastAsia="微軟正黑體" w:hAnsi="微軟正黑體" w:hint="eastAsia"/>
          <w:b/>
          <w:color w:val="000000" w:themeColor="text1"/>
          <w:sz w:val="28"/>
          <w:szCs w:val="28"/>
        </w:rPr>
        <w:lastRenderedPageBreak/>
        <w:t>二、</w:t>
      </w:r>
      <w:r w:rsidRPr="007B78CF">
        <w:rPr>
          <w:rFonts w:ascii="微軟正黑體" w:eastAsia="微軟正黑體" w:hAnsi="微軟正黑體"/>
          <w:b/>
          <w:color w:val="000000" w:themeColor="text1"/>
          <w:sz w:val="28"/>
          <w:szCs w:val="28"/>
        </w:rPr>
        <w:t>軍公教人員</w:t>
      </w:r>
      <w:r w:rsidRPr="007B78CF">
        <w:rPr>
          <w:rFonts w:ascii="微軟正黑體" w:eastAsia="微軟正黑體" w:hAnsi="微軟正黑體" w:hint="eastAsia"/>
          <w:b/>
          <w:color w:val="000000" w:themeColor="text1"/>
          <w:sz w:val="28"/>
          <w:szCs w:val="28"/>
        </w:rPr>
        <w:t>退休撫卹</w:t>
      </w:r>
      <w:bookmarkEnd w:id="8"/>
      <w:r w:rsidRPr="007B78CF">
        <w:rPr>
          <w:rFonts w:ascii="微軟正黑體" w:eastAsia="微軟正黑體" w:hAnsi="微軟正黑體" w:hint="eastAsia"/>
          <w:b/>
          <w:color w:val="000000" w:themeColor="text1"/>
          <w:sz w:val="28"/>
          <w:szCs w:val="28"/>
        </w:rPr>
        <w:t>新制(退撫基金)</w:t>
      </w:r>
      <w:r w:rsidRPr="007B78CF">
        <w:rPr>
          <w:rStyle w:val="af4"/>
          <w:rFonts w:ascii="微軟正黑體" w:eastAsia="微軟正黑體" w:hAnsi="微軟正黑體"/>
          <w:b/>
          <w:color w:val="000000" w:themeColor="text1"/>
          <w:sz w:val="28"/>
          <w:szCs w:val="28"/>
        </w:rPr>
        <w:footnoteReference w:id="5"/>
      </w:r>
      <w:r w:rsidRPr="007B78CF">
        <w:rPr>
          <w:noProof/>
          <w:color w:val="000000" w:themeColor="text1"/>
        </w:rPr>
        <w:t xml:space="preserve"> </w:t>
      </w:r>
    </w:p>
    <w:p w:rsidR="00BD50E5" w:rsidRPr="007B78CF" w:rsidRDefault="00BD50E5" w:rsidP="00BD50E5">
      <w:pPr>
        <w:spacing w:beforeLines="50" w:before="180"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(一) 參加人員概況</w:t>
      </w:r>
    </w:p>
    <w:p w:rsidR="00BD50E5" w:rsidRPr="007B78CF" w:rsidRDefault="00BD50E5" w:rsidP="00BD50E5">
      <w:pPr>
        <w:tabs>
          <w:tab w:val="left" w:pos="284"/>
          <w:tab w:val="left" w:pos="567"/>
          <w:tab w:val="left" w:pos="709"/>
        </w:tabs>
        <w:spacing w:beforeLines="30" w:before="108"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1. 參加人員(按參加單位分)</w:t>
      </w:r>
    </w:p>
    <w:p w:rsidR="00BD50E5" w:rsidRPr="007B78CF" w:rsidRDefault="00BD50E5" w:rsidP="00BD50E5">
      <w:pPr>
        <w:spacing w:beforeLines="30" w:before="108" w:line="400" w:lineRule="exact"/>
        <w:ind w:leftChars="236" w:left="566" w:firstLineChars="200" w:firstLine="480"/>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10</w:t>
      </w:r>
      <w:r w:rsidRPr="007B78CF">
        <w:rPr>
          <w:rFonts w:ascii="微軟正黑體" w:eastAsia="微軟正黑體" w:hAnsi="微軟正黑體"/>
          <w:color w:val="000000" w:themeColor="text1"/>
        </w:rPr>
        <w:t>9</w:t>
      </w:r>
      <w:r w:rsidRPr="007B78CF">
        <w:rPr>
          <w:rFonts w:ascii="微軟正黑體" w:eastAsia="微軟正黑體" w:hAnsi="微軟正黑體" w:hint="eastAsia"/>
          <w:color w:val="000000" w:themeColor="text1"/>
        </w:rPr>
        <w:t>年底參加退撫基金總人數為6</w:t>
      </w:r>
      <w:r w:rsidRPr="007B78CF">
        <w:rPr>
          <w:rFonts w:ascii="微軟正黑體" w:eastAsia="微軟正黑體" w:hAnsi="微軟正黑體"/>
          <w:color w:val="000000" w:themeColor="text1"/>
        </w:rPr>
        <w:t>7</w:t>
      </w:r>
      <w:r w:rsidRPr="007B78CF">
        <w:rPr>
          <w:rFonts w:ascii="微軟正黑體" w:eastAsia="微軟正黑體" w:hAnsi="微軟正黑體" w:hint="eastAsia"/>
          <w:color w:val="000000" w:themeColor="text1"/>
        </w:rPr>
        <w:t>萬</w:t>
      </w:r>
      <w:r w:rsidRPr="007B78CF">
        <w:rPr>
          <w:rFonts w:ascii="微軟正黑體" w:eastAsia="微軟正黑體" w:hAnsi="微軟正黑體"/>
          <w:color w:val="000000" w:themeColor="text1"/>
        </w:rPr>
        <w:t>1,550</w:t>
      </w:r>
      <w:r w:rsidRPr="007B78CF">
        <w:rPr>
          <w:rFonts w:ascii="微軟正黑體" w:eastAsia="微軟正黑體" w:hAnsi="微軟正黑體" w:hint="eastAsia"/>
          <w:color w:val="000000" w:themeColor="text1"/>
        </w:rPr>
        <w:t>人，其中以中央政府3</w:t>
      </w:r>
      <w:r w:rsidRPr="007B78CF">
        <w:rPr>
          <w:rFonts w:ascii="微軟正黑體" w:eastAsia="微軟正黑體" w:hAnsi="微軟正黑體"/>
          <w:color w:val="000000" w:themeColor="text1"/>
        </w:rPr>
        <w:t>3</w:t>
      </w:r>
      <w:r w:rsidRPr="007B78CF">
        <w:rPr>
          <w:rFonts w:ascii="微軟正黑體" w:eastAsia="微軟正黑體" w:hAnsi="微軟正黑體" w:hint="eastAsia"/>
          <w:color w:val="000000" w:themeColor="text1"/>
        </w:rPr>
        <w:t>萬</w:t>
      </w:r>
      <w:r w:rsidRPr="007B78CF">
        <w:rPr>
          <w:rFonts w:ascii="微軟正黑體" w:eastAsia="微軟正黑體" w:hAnsi="微軟正黑體"/>
          <w:color w:val="000000" w:themeColor="text1"/>
        </w:rPr>
        <w:t>5,065</w:t>
      </w:r>
      <w:r w:rsidRPr="007B78CF">
        <w:rPr>
          <w:rFonts w:ascii="微軟正黑體" w:eastAsia="微軟正黑體" w:hAnsi="微軟正黑體" w:hint="eastAsia"/>
          <w:color w:val="000000" w:themeColor="text1"/>
        </w:rPr>
        <w:t>人，占49.</w:t>
      </w:r>
      <w:r w:rsidRPr="007B78CF">
        <w:rPr>
          <w:rFonts w:ascii="微軟正黑體" w:eastAsia="微軟正黑體" w:hAnsi="微軟正黑體"/>
          <w:color w:val="000000" w:themeColor="text1"/>
        </w:rPr>
        <w:t>9</w:t>
      </w:r>
      <w:r w:rsidRPr="007B78CF">
        <w:rPr>
          <w:rFonts w:ascii="微軟正黑體" w:eastAsia="微軟正黑體" w:hAnsi="微軟正黑體" w:hint="eastAsia"/>
          <w:color w:val="000000" w:themeColor="text1"/>
        </w:rPr>
        <w:t>%最高；直轄市政府2</w:t>
      </w:r>
      <w:r w:rsidRPr="007B78CF">
        <w:rPr>
          <w:rFonts w:ascii="微軟正黑體" w:eastAsia="微軟正黑體" w:hAnsi="微軟正黑體"/>
          <w:color w:val="000000" w:themeColor="text1"/>
        </w:rPr>
        <w:t>1</w:t>
      </w:r>
      <w:r w:rsidRPr="007B78CF">
        <w:rPr>
          <w:rFonts w:ascii="微軟正黑體" w:eastAsia="微軟正黑體" w:hAnsi="微軟正黑體" w:hint="eastAsia"/>
          <w:color w:val="000000" w:themeColor="text1"/>
        </w:rPr>
        <w:t>萬1</w:t>
      </w:r>
      <w:r w:rsidRPr="007B78CF">
        <w:rPr>
          <w:rFonts w:ascii="微軟正黑體" w:eastAsia="微軟正黑體" w:hAnsi="微軟正黑體"/>
          <w:color w:val="000000" w:themeColor="text1"/>
        </w:rPr>
        <w:t>,684</w:t>
      </w:r>
      <w:r w:rsidRPr="007B78CF">
        <w:rPr>
          <w:rFonts w:ascii="微軟正黑體" w:eastAsia="微軟正黑體" w:hAnsi="微軟正黑體" w:hint="eastAsia"/>
          <w:color w:val="000000" w:themeColor="text1"/>
        </w:rPr>
        <w:t>人，占31.</w:t>
      </w:r>
      <w:r w:rsidRPr="007B78CF">
        <w:rPr>
          <w:rFonts w:ascii="微軟正黑體" w:eastAsia="微軟正黑體" w:hAnsi="微軟正黑體"/>
          <w:color w:val="000000" w:themeColor="text1"/>
        </w:rPr>
        <w:t>5</w:t>
      </w:r>
      <w:r w:rsidRPr="007B78CF">
        <w:rPr>
          <w:rFonts w:ascii="微軟正黑體" w:eastAsia="微軟正黑體" w:hAnsi="微軟正黑體" w:hint="eastAsia"/>
          <w:color w:val="000000" w:themeColor="text1"/>
        </w:rPr>
        <w:t>%次之。</w:t>
      </w:r>
    </w:p>
    <w:p w:rsidR="00BD50E5" w:rsidRPr="007B78CF" w:rsidRDefault="00BD50E5" w:rsidP="00BD50E5">
      <w:pPr>
        <w:spacing w:beforeLines="50" w:before="180" w:afterLines="30" w:after="108" w:line="400" w:lineRule="exact"/>
        <w:ind w:leftChars="177" w:left="425"/>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表3.6  10</w:t>
      </w:r>
      <w:r w:rsidRPr="007B78CF">
        <w:rPr>
          <w:rFonts w:ascii="微軟正黑體" w:eastAsia="微軟正黑體" w:hAnsi="微軟正黑體"/>
          <w:color w:val="000000" w:themeColor="text1"/>
        </w:rPr>
        <w:t>9</w:t>
      </w:r>
      <w:r w:rsidRPr="007B78CF">
        <w:rPr>
          <w:rFonts w:ascii="微軟正黑體" w:eastAsia="微軟正黑體" w:hAnsi="微軟正黑體" w:hint="eastAsia"/>
          <w:color w:val="000000" w:themeColor="text1"/>
        </w:rPr>
        <w:t>年退撫基金參加人員(按參加單位分)</w:t>
      </w:r>
    </w:p>
    <w:tbl>
      <w:tblPr>
        <w:tblW w:w="0" w:type="auto"/>
        <w:jc w:val="center"/>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134"/>
        <w:gridCol w:w="1168"/>
        <w:gridCol w:w="1100"/>
        <w:gridCol w:w="1134"/>
        <w:gridCol w:w="1134"/>
        <w:gridCol w:w="1276"/>
      </w:tblGrid>
      <w:tr w:rsidR="00BD50E5" w:rsidRPr="007B78CF" w:rsidTr="008F1977">
        <w:trPr>
          <w:jc w:val="center"/>
        </w:trPr>
        <w:tc>
          <w:tcPr>
            <w:tcW w:w="1417"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項目</w:t>
            </w:r>
          </w:p>
        </w:tc>
        <w:tc>
          <w:tcPr>
            <w:tcW w:w="1134" w:type="dxa"/>
            <w:shd w:val="clear" w:color="auto" w:fill="auto"/>
            <w:tcMar>
              <w:left w:w="57" w:type="dxa"/>
              <w:right w:w="57" w:type="dxa"/>
            </w:tcMar>
            <w:vAlign w:val="center"/>
          </w:tcPr>
          <w:p w:rsidR="00BD50E5" w:rsidRPr="00D8230D" w:rsidRDefault="00BD50E5" w:rsidP="008F1977">
            <w:pPr>
              <w:spacing w:line="320" w:lineRule="exact"/>
              <w:jc w:val="center"/>
              <w:rPr>
                <w:rFonts w:ascii="微軟正黑體" w:eastAsia="微軟正黑體" w:hAnsi="微軟正黑體"/>
                <w:b/>
                <w:color w:val="000000" w:themeColor="text1"/>
                <w:sz w:val="22"/>
                <w:szCs w:val="22"/>
              </w:rPr>
            </w:pPr>
            <w:r w:rsidRPr="00D8230D">
              <w:rPr>
                <w:rFonts w:ascii="微軟正黑體" w:eastAsia="微軟正黑體" w:hAnsi="微軟正黑體"/>
                <w:b/>
                <w:color w:val="000000" w:themeColor="text1"/>
                <w:sz w:val="22"/>
                <w:szCs w:val="22"/>
              </w:rPr>
              <w:t>總計</w:t>
            </w:r>
          </w:p>
        </w:tc>
        <w:tc>
          <w:tcPr>
            <w:tcW w:w="1168"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中央政府</w:t>
            </w:r>
          </w:p>
        </w:tc>
        <w:tc>
          <w:tcPr>
            <w:tcW w:w="1100"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直轄市</w:t>
            </w:r>
          </w:p>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政府</w:t>
            </w:r>
          </w:p>
        </w:tc>
        <w:tc>
          <w:tcPr>
            <w:tcW w:w="1134"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縣市</w:t>
            </w:r>
          </w:p>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政府</w:t>
            </w:r>
          </w:p>
        </w:tc>
        <w:tc>
          <w:tcPr>
            <w:tcW w:w="1134"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鄉鎮市</w:t>
            </w:r>
          </w:p>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公所</w:t>
            </w:r>
          </w:p>
        </w:tc>
        <w:tc>
          <w:tcPr>
            <w:tcW w:w="1276"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公營事業</w:t>
            </w:r>
          </w:p>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機構</w:t>
            </w:r>
          </w:p>
        </w:tc>
      </w:tr>
      <w:tr w:rsidR="00BD50E5" w:rsidRPr="007B78CF" w:rsidTr="008F1977">
        <w:trPr>
          <w:trHeight w:val="607"/>
          <w:jc w:val="center"/>
        </w:trPr>
        <w:tc>
          <w:tcPr>
            <w:tcW w:w="1417" w:type="dxa"/>
            <w:tcBorders>
              <w:bottom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單位數</w:t>
            </w:r>
            <w:r w:rsidRPr="007B78CF">
              <w:rPr>
                <w:rFonts w:ascii="微軟正黑體" w:eastAsia="微軟正黑體" w:hAnsi="微軟正黑體"/>
                <w:color w:val="000000" w:themeColor="text1"/>
                <w:sz w:val="20"/>
                <w:szCs w:val="20"/>
              </w:rPr>
              <w:t>(個)</w:t>
            </w:r>
          </w:p>
        </w:tc>
        <w:tc>
          <w:tcPr>
            <w:tcW w:w="1134" w:type="dxa"/>
            <w:tcBorders>
              <w:bottom w:val="double" w:sz="4" w:space="0" w:color="auto"/>
            </w:tcBorders>
            <w:shd w:val="clear" w:color="auto" w:fill="auto"/>
            <w:tcMar>
              <w:left w:w="57" w:type="dxa"/>
              <w:right w:w="57" w:type="dxa"/>
            </w:tcMar>
            <w:vAlign w:val="center"/>
          </w:tcPr>
          <w:p w:rsidR="00BD50E5" w:rsidRPr="00D8230D" w:rsidRDefault="00BD50E5" w:rsidP="008F1977">
            <w:pPr>
              <w:spacing w:line="320" w:lineRule="exact"/>
              <w:jc w:val="center"/>
              <w:rPr>
                <w:rFonts w:ascii="微軟正黑體" w:eastAsia="微軟正黑體" w:hAnsi="微軟正黑體" w:cs="Times New Roman"/>
                <w:color w:val="000000" w:themeColor="text1"/>
                <w:sz w:val="22"/>
                <w:szCs w:val="22"/>
              </w:rPr>
            </w:pPr>
            <w:r w:rsidRPr="00D8230D">
              <w:rPr>
                <w:rFonts w:ascii="微軟正黑體" w:eastAsia="微軟正黑體" w:hAnsi="微軟正黑體" w:cs="Times New Roman"/>
                <w:color w:val="000000" w:themeColor="text1"/>
                <w:sz w:val="22"/>
                <w:szCs w:val="22"/>
              </w:rPr>
              <w:t>7,125</w:t>
            </w:r>
          </w:p>
        </w:tc>
        <w:tc>
          <w:tcPr>
            <w:tcW w:w="1168" w:type="dxa"/>
            <w:tcBorders>
              <w:bottom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909</w:t>
            </w:r>
          </w:p>
        </w:tc>
        <w:tc>
          <w:tcPr>
            <w:tcW w:w="1100" w:type="dxa"/>
            <w:tcBorders>
              <w:bottom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2,883</w:t>
            </w:r>
          </w:p>
        </w:tc>
        <w:tc>
          <w:tcPr>
            <w:tcW w:w="1134" w:type="dxa"/>
            <w:tcBorders>
              <w:bottom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2,436</w:t>
            </w:r>
          </w:p>
        </w:tc>
        <w:tc>
          <w:tcPr>
            <w:tcW w:w="1134" w:type="dxa"/>
            <w:tcBorders>
              <w:bottom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763</w:t>
            </w:r>
          </w:p>
        </w:tc>
        <w:tc>
          <w:tcPr>
            <w:tcW w:w="1276" w:type="dxa"/>
            <w:tcBorders>
              <w:bottom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134</w:t>
            </w:r>
          </w:p>
        </w:tc>
      </w:tr>
      <w:tr w:rsidR="00BD50E5" w:rsidRPr="007B78CF" w:rsidTr="008F1977">
        <w:trPr>
          <w:trHeight w:val="499"/>
          <w:jc w:val="center"/>
        </w:trPr>
        <w:tc>
          <w:tcPr>
            <w:tcW w:w="1417" w:type="dxa"/>
            <w:tcBorders>
              <w:top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人數</w:t>
            </w:r>
            <w:r w:rsidRPr="007B78CF">
              <w:rPr>
                <w:rFonts w:ascii="微軟正黑體" w:eastAsia="微軟正黑體" w:hAnsi="微軟正黑體"/>
                <w:color w:val="000000" w:themeColor="text1"/>
                <w:sz w:val="20"/>
                <w:szCs w:val="20"/>
              </w:rPr>
              <w:t>(人)</w:t>
            </w:r>
          </w:p>
        </w:tc>
        <w:tc>
          <w:tcPr>
            <w:tcW w:w="1134" w:type="dxa"/>
            <w:tcBorders>
              <w:top w:val="double" w:sz="4" w:space="0" w:color="auto"/>
            </w:tcBorders>
            <w:shd w:val="clear" w:color="auto" w:fill="auto"/>
            <w:tcMar>
              <w:left w:w="57" w:type="dxa"/>
              <w:right w:w="57" w:type="dxa"/>
            </w:tcMar>
            <w:vAlign w:val="center"/>
          </w:tcPr>
          <w:p w:rsidR="00BD50E5" w:rsidRPr="00D8230D" w:rsidRDefault="00BD50E5" w:rsidP="008F1977">
            <w:pPr>
              <w:spacing w:line="320" w:lineRule="exact"/>
              <w:jc w:val="center"/>
              <w:rPr>
                <w:rFonts w:ascii="微軟正黑體" w:eastAsia="微軟正黑體" w:hAnsi="微軟正黑體" w:cs="Times New Roman"/>
                <w:color w:val="000000" w:themeColor="text1"/>
                <w:sz w:val="22"/>
                <w:szCs w:val="22"/>
              </w:rPr>
            </w:pPr>
            <w:r w:rsidRPr="00D8230D">
              <w:rPr>
                <w:rFonts w:ascii="微軟正黑體" w:eastAsia="微軟正黑體" w:hAnsi="微軟正黑體" w:cs="Times New Roman"/>
                <w:color w:val="000000" w:themeColor="text1"/>
                <w:sz w:val="22"/>
                <w:szCs w:val="22"/>
              </w:rPr>
              <w:t>671,550</w:t>
            </w:r>
          </w:p>
        </w:tc>
        <w:tc>
          <w:tcPr>
            <w:tcW w:w="1168" w:type="dxa"/>
            <w:tcBorders>
              <w:top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335,065</w:t>
            </w:r>
          </w:p>
        </w:tc>
        <w:tc>
          <w:tcPr>
            <w:tcW w:w="1100" w:type="dxa"/>
            <w:tcBorders>
              <w:top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211,684</w:t>
            </w:r>
          </w:p>
        </w:tc>
        <w:tc>
          <w:tcPr>
            <w:tcW w:w="1134" w:type="dxa"/>
            <w:tcBorders>
              <w:top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93,077</w:t>
            </w:r>
          </w:p>
        </w:tc>
        <w:tc>
          <w:tcPr>
            <w:tcW w:w="1134" w:type="dxa"/>
            <w:tcBorders>
              <w:top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10,030</w:t>
            </w:r>
          </w:p>
        </w:tc>
        <w:tc>
          <w:tcPr>
            <w:tcW w:w="1276" w:type="dxa"/>
            <w:tcBorders>
              <w:top w:val="double" w:sz="4" w:space="0" w:color="auto"/>
            </w:tcBorders>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Times New Roman"/>
                <w:color w:val="000000" w:themeColor="text1"/>
                <w:sz w:val="22"/>
                <w:szCs w:val="22"/>
              </w:rPr>
            </w:pPr>
            <w:r w:rsidRPr="007B78CF">
              <w:rPr>
                <w:rFonts w:ascii="微軟正黑體" w:eastAsia="微軟正黑體" w:hAnsi="微軟正黑體" w:cs="Times New Roman"/>
                <w:color w:val="000000" w:themeColor="text1"/>
                <w:sz w:val="22"/>
                <w:szCs w:val="22"/>
              </w:rPr>
              <w:t>21,694</w:t>
            </w:r>
          </w:p>
        </w:tc>
      </w:tr>
      <w:tr w:rsidR="00BD50E5" w:rsidRPr="007B78CF" w:rsidTr="008F1977">
        <w:trPr>
          <w:trHeight w:val="581"/>
          <w:jc w:val="center"/>
        </w:trPr>
        <w:tc>
          <w:tcPr>
            <w:tcW w:w="1417"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人數占比</w:t>
            </w:r>
            <w:r w:rsidRPr="007B78CF">
              <w:rPr>
                <w:rFonts w:ascii="微軟正黑體" w:eastAsia="微軟正黑體" w:hAnsi="微軟正黑體"/>
                <w:color w:val="000000" w:themeColor="text1"/>
                <w:sz w:val="20"/>
                <w:szCs w:val="20"/>
              </w:rPr>
              <w:t>(%)</w:t>
            </w:r>
          </w:p>
        </w:tc>
        <w:tc>
          <w:tcPr>
            <w:tcW w:w="1134" w:type="dxa"/>
            <w:shd w:val="clear" w:color="auto" w:fill="auto"/>
            <w:tcMar>
              <w:left w:w="57" w:type="dxa"/>
              <w:right w:w="57" w:type="dxa"/>
            </w:tcMar>
            <w:vAlign w:val="center"/>
          </w:tcPr>
          <w:p w:rsidR="00BD50E5" w:rsidRPr="00D8230D" w:rsidRDefault="00BD50E5" w:rsidP="008F1977">
            <w:pPr>
              <w:spacing w:line="320" w:lineRule="exact"/>
              <w:jc w:val="center"/>
              <w:rPr>
                <w:rFonts w:ascii="微軟正黑體" w:eastAsia="微軟正黑體" w:hAnsi="微軟正黑體" w:cs="新細明體"/>
                <w:color w:val="000000" w:themeColor="text1"/>
                <w:sz w:val="22"/>
                <w:szCs w:val="22"/>
              </w:rPr>
            </w:pPr>
            <w:r w:rsidRPr="00D8230D">
              <w:rPr>
                <w:rFonts w:ascii="微軟正黑體" w:eastAsia="微軟正黑體" w:hAnsi="微軟正黑體" w:hint="eastAsia"/>
                <w:color w:val="000000" w:themeColor="text1"/>
                <w:sz w:val="22"/>
                <w:szCs w:val="22"/>
              </w:rPr>
              <w:t>1</w:t>
            </w:r>
            <w:r w:rsidRPr="00D8230D">
              <w:rPr>
                <w:rFonts w:ascii="微軟正黑體" w:eastAsia="微軟正黑體" w:hAnsi="微軟正黑體"/>
                <w:color w:val="000000" w:themeColor="text1"/>
                <w:sz w:val="22"/>
                <w:szCs w:val="22"/>
              </w:rPr>
              <w:t>00</w:t>
            </w:r>
            <w:r w:rsidRPr="00D8230D">
              <w:rPr>
                <w:rFonts w:ascii="微軟正黑體" w:eastAsia="微軟正黑體" w:hAnsi="微軟正黑體" w:hint="eastAsia"/>
                <w:color w:val="000000" w:themeColor="text1"/>
                <w:sz w:val="22"/>
                <w:szCs w:val="22"/>
              </w:rPr>
              <w:t>.0</w:t>
            </w:r>
            <w:r w:rsidRPr="00D8230D">
              <w:rPr>
                <w:rFonts w:ascii="微軟正黑體" w:eastAsia="微軟正黑體" w:hAnsi="微軟正黑體"/>
                <w:color w:val="000000" w:themeColor="text1"/>
                <w:sz w:val="22"/>
                <w:szCs w:val="22"/>
              </w:rPr>
              <w:t>%</w:t>
            </w:r>
          </w:p>
        </w:tc>
        <w:tc>
          <w:tcPr>
            <w:tcW w:w="1168"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49.9%</w:t>
            </w:r>
          </w:p>
        </w:tc>
        <w:tc>
          <w:tcPr>
            <w:tcW w:w="1100"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31.5%</w:t>
            </w:r>
          </w:p>
        </w:tc>
        <w:tc>
          <w:tcPr>
            <w:tcW w:w="1134"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13.9%</w:t>
            </w:r>
          </w:p>
        </w:tc>
        <w:tc>
          <w:tcPr>
            <w:tcW w:w="1134"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1.5%</w:t>
            </w:r>
          </w:p>
        </w:tc>
        <w:tc>
          <w:tcPr>
            <w:tcW w:w="1276" w:type="dxa"/>
            <w:shd w:val="clear" w:color="auto" w:fill="auto"/>
            <w:tcMar>
              <w:left w:w="57" w:type="dxa"/>
              <w:right w:w="57" w:type="dxa"/>
            </w:tcMar>
            <w:vAlign w:val="center"/>
          </w:tcPr>
          <w:p w:rsidR="00BD50E5" w:rsidRPr="007B78CF" w:rsidRDefault="00BD50E5" w:rsidP="008F1977">
            <w:pPr>
              <w:spacing w:line="32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3.2%</w:t>
            </w:r>
          </w:p>
        </w:tc>
      </w:tr>
    </w:tbl>
    <w:p w:rsidR="00BD50E5" w:rsidRPr="007B78CF" w:rsidRDefault="00BD50E5" w:rsidP="00BD50E5">
      <w:pPr>
        <w:spacing w:beforeLines="100" w:before="36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2. 參加人員結構(按人員類別分)</w:t>
      </w:r>
    </w:p>
    <w:p w:rsidR="00BD50E5" w:rsidRPr="007B78CF" w:rsidRDefault="00BD50E5" w:rsidP="00BD50E5">
      <w:pPr>
        <w:spacing w:beforeLines="30" w:before="108" w:line="400" w:lineRule="exact"/>
        <w:ind w:leftChars="236" w:left="566" w:firstLineChars="200" w:firstLine="480"/>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109年參加退撫基金之人員區分為公務人員、教育人員及軍職人員等3類身分，其中以公務人員最多，30萬8,063人，占45.9%；教育人員次之，為18萬3,648人，占27.3%；軍職人員17萬9,839人，占26.8%。</w:t>
      </w:r>
    </w:p>
    <w:p w:rsidR="00BD50E5" w:rsidRPr="007B78CF" w:rsidRDefault="00BD50E5" w:rsidP="00BD50E5">
      <w:pPr>
        <w:spacing w:beforeLines="30" w:before="108" w:line="400" w:lineRule="exact"/>
        <w:ind w:leftChars="236" w:left="566" w:firstLineChars="140" w:firstLine="336"/>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另依近10年參加退撫基金人數觀之，總人數由100年63萬1,690人至109年增加為67萬1,550人，總計增加3萬9,860人，其中公務人員增加1萬6,576人，軍職人員增加3萬3,700人，教育人員減少1萬416人。</w:t>
      </w:r>
    </w:p>
    <w:p w:rsidR="00BD50E5" w:rsidRPr="007B78CF" w:rsidRDefault="00BD50E5" w:rsidP="00BD50E5">
      <w:pPr>
        <w:spacing w:beforeLines="30" w:before="108" w:line="400" w:lineRule="exact"/>
        <w:ind w:leftChars="236" w:left="566" w:firstLineChars="140" w:firstLine="336"/>
        <w:jc w:val="both"/>
        <w:rPr>
          <w:rFonts w:ascii="微軟正黑體" w:eastAsia="微軟正黑體" w:hAnsi="微軟正黑體"/>
          <w:color w:val="000000" w:themeColor="text1"/>
        </w:rPr>
      </w:pPr>
      <w:r w:rsidRPr="007B78CF">
        <w:rPr>
          <w:noProof/>
          <w:color w:val="000000" w:themeColor="text1"/>
        </w:rPr>
        <w:drawing>
          <wp:anchor distT="0" distB="0" distL="114300" distR="114300" simplePos="0" relativeHeight="252613632" behindDoc="0" locked="0" layoutInCell="1" allowOverlap="1" wp14:anchorId="2D06A54C" wp14:editId="73001AE4">
            <wp:simplePos x="0" y="0"/>
            <wp:positionH relativeFrom="column">
              <wp:posOffset>169613</wp:posOffset>
            </wp:positionH>
            <wp:positionV relativeFrom="paragraph">
              <wp:posOffset>75970</wp:posOffset>
            </wp:positionV>
            <wp:extent cx="5719863" cy="2587558"/>
            <wp:effectExtent l="0" t="0" r="14605" b="22860"/>
            <wp:wrapNone/>
            <wp:docPr id="290" name="圖表 290">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30" w:before="108" w:line="400" w:lineRule="exact"/>
        <w:ind w:leftChars="236" w:left="566" w:firstLineChars="140" w:firstLine="336"/>
        <w:jc w:val="both"/>
        <w:rPr>
          <w:rFonts w:ascii="微軟正黑體" w:eastAsia="微軟正黑體" w:hAnsi="微軟正黑體"/>
          <w:color w:val="000000" w:themeColor="text1"/>
        </w:rPr>
      </w:pPr>
    </w:p>
    <w:p w:rsidR="00BD50E5" w:rsidRPr="007B78CF" w:rsidRDefault="00BD50E5" w:rsidP="00BD50E5">
      <w:pPr>
        <w:spacing w:beforeLines="30" w:before="108" w:line="400" w:lineRule="exact"/>
        <w:ind w:leftChars="236" w:left="566" w:firstLineChars="140" w:firstLine="336"/>
        <w:jc w:val="both"/>
        <w:rPr>
          <w:rFonts w:ascii="微軟正黑體" w:eastAsia="微軟正黑體" w:hAnsi="微軟正黑體"/>
          <w:color w:val="000000" w:themeColor="text1"/>
        </w:rPr>
      </w:pPr>
    </w:p>
    <w:p w:rsidR="00BD50E5" w:rsidRPr="007B78CF" w:rsidRDefault="00BD50E5" w:rsidP="00BD50E5">
      <w:pPr>
        <w:spacing w:beforeLines="30" w:before="108" w:line="400" w:lineRule="exact"/>
        <w:ind w:leftChars="236" w:left="566" w:firstLineChars="140" w:firstLine="336"/>
        <w:jc w:val="both"/>
        <w:rPr>
          <w:rFonts w:ascii="微軟正黑體" w:eastAsia="微軟正黑體" w:hAnsi="微軟正黑體"/>
          <w:color w:val="000000" w:themeColor="text1"/>
        </w:rPr>
      </w:pPr>
    </w:p>
    <w:p w:rsidR="00BD50E5" w:rsidRPr="007B78CF" w:rsidRDefault="00BD50E5" w:rsidP="00BD50E5">
      <w:pPr>
        <w:spacing w:beforeLines="30" w:before="108" w:line="400" w:lineRule="exact"/>
        <w:ind w:leftChars="236" w:left="566" w:firstLineChars="140" w:firstLine="336"/>
        <w:jc w:val="both"/>
        <w:rPr>
          <w:rFonts w:ascii="微軟正黑體" w:eastAsia="微軟正黑體" w:hAnsi="微軟正黑體"/>
          <w:color w:val="000000" w:themeColor="text1"/>
        </w:rPr>
      </w:pPr>
    </w:p>
    <w:p w:rsidR="00BD50E5" w:rsidRPr="007B78CF" w:rsidRDefault="00BD50E5" w:rsidP="00BD50E5">
      <w:pPr>
        <w:spacing w:beforeLines="30" w:before="108" w:line="400" w:lineRule="exact"/>
        <w:ind w:leftChars="236" w:left="566" w:firstLineChars="140" w:firstLine="336"/>
        <w:jc w:val="both"/>
        <w:rPr>
          <w:rFonts w:ascii="微軟正黑體" w:eastAsia="微軟正黑體" w:hAnsi="微軟正黑體"/>
          <w:color w:val="000000" w:themeColor="text1"/>
        </w:rPr>
      </w:pPr>
    </w:p>
    <w:p w:rsidR="00BD50E5" w:rsidRPr="007B78CF" w:rsidRDefault="00BD50E5" w:rsidP="00BD50E5">
      <w:pPr>
        <w:rPr>
          <w:rFonts w:ascii="微軟正黑體" w:eastAsia="微軟正黑體" w:hAnsi="微軟正黑體"/>
          <w:color w:val="000000" w:themeColor="text1"/>
        </w:rPr>
      </w:pPr>
    </w:p>
    <w:p w:rsidR="00BD50E5" w:rsidRPr="007B78CF" w:rsidRDefault="00BD50E5" w:rsidP="00BD50E5">
      <w:pPr>
        <w:spacing w:beforeLines="180" w:before="648" w:line="24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圖3.10  近10年退撫基金參加人員(按人員類別分)</w:t>
      </w:r>
    </w:p>
    <w:p w:rsidR="00BD50E5" w:rsidRPr="007B78CF" w:rsidRDefault="00BD50E5" w:rsidP="00BD50E5">
      <w:pPr>
        <w:spacing w:beforeLines="50" w:before="18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lastRenderedPageBreak/>
        <w:t>3. 參加人員平均俸額</w:t>
      </w:r>
    </w:p>
    <w:p w:rsidR="00BD50E5" w:rsidRPr="007B78CF" w:rsidRDefault="00BD50E5" w:rsidP="00BD50E5">
      <w:pPr>
        <w:spacing w:before="50" w:line="400" w:lineRule="exact"/>
        <w:ind w:leftChars="236" w:left="566"/>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109年度參加退撫基金人員之平均俸額，以教育人員43,867元最高，公務人員33,675元次之，軍職人員20,721元最低。另近10年趨勢顯示，公務人員及教育人員平均俸額大致呈現成長趨勢；軍職人員平均俸額自100年至102年逐年成長，103年至106年逐年遞減，107年至109年則逐年成長。</w:t>
      </w:r>
    </w:p>
    <w:p w:rsidR="00BD50E5" w:rsidRPr="007B78CF" w:rsidRDefault="00BD50E5" w:rsidP="00BD50E5">
      <w:pPr>
        <w:spacing w:beforeLines="50" w:before="180"/>
        <w:rPr>
          <w:rFonts w:ascii="微軟正黑體" w:eastAsia="微軟正黑體" w:hAnsi="微軟正黑體"/>
          <w:color w:val="000000" w:themeColor="text1"/>
        </w:rPr>
      </w:pPr>
      <w:r w:rsidRPr="007B78CF">
        <w:rPr>
          <w:noProof/>
          <w:color w:val="000000" w:themeColor="text1"/>
        </w:rPr>
        <w:drawing>
          <wp:anchor distT="0" distB="0" distL="114300" distR="114300" simplePos="0" relativeHeight="252614656" behindDoc="0" locked="0" layoutInCell="1" allowOverlap="1" wp14:anchorId="66148534" wp14:editId="3C46F6C7">
            <wp:simplePos x="0" y="0"/>
            <wp:positionH relativeFrom="column">
              <wp:posOffset>62608</wp:posOffset>
            </wp:positionH>
            <wp:positionV relativeFrom="paragraph">
              <wp:posOffset>69608</wp:posOffset>
            </wp:positionV>
            <wp:extent cx="5778230" cy="3035030"/>
            <wp:effectExtent l="0" t="0" r="13335" b="13335"/>
            <wp:wrapNone/>
            <wp:docPr id="291" name="圖表 29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rPr>
          <w:rFonts w:ascii="微軟正黑體" w:eastAsia="微軟正黑體" w:hAnsi="微軟正黑體"/>
          <w:color w:val="000000" w:themeColor="text1"/>
        </w:rPr>
      </w:pPr>
    </w:p>
    <w:p w:rsidR="00BD50E5" w:rsidRPr="007B78CF" w:rsidRDefault="00BD50E5" w:rsidP="00BD50E5">
      <w:pPr>
        <w:spacing w:beforeLines="50" w:before="180"/>
        <w:rPr>
          <w:rFonts w:ascii="微軟正黑體" w:eastAsia="微軟正黑體" w:hAnsi="微軟正黑體"/>
          <w:color w:val="000000" w:themeColor="text1"/>
        </w:rPr>
      </w:pPr>
    </w:p>
    <w:p w:rsidR="00BD50E5" w:rsidRPr="007B78CF" w:rsidRDefault="00BD50E5" w:rsidP="00BD50E5">
      <w:pPr>
        <w:spacing w:beforeLines="50" w:before="180"/>
        <w:rPr>
          <w:rFonts w:ascii="微軟正黑體" w:eastAsia="微軟正黑體" w:hAnsi="微軟正黑體"/>
          <w:color w:val="000000" w:themeColor="text1"/>
        </w:rPr>
      </w:pPr>
    </w:p>
    <w:p w:rsidR="00BD50E5" w:rsidRPr="007B78CF" w:rsidRDefault="00BD50E5" w:rsidP="00BD50E5">
      <w:pPr>
        <w:rPr>
          <w:rFonts w:ascii="微軟正黑體" w:eastAsia="微軟正黑體" w:hAnsi="微軟正黑體"/>
          <w:color w:val="000000" w:themeColor="text1"/>
        </w:rPr>
      </w:pPr>
    </w:p>
    <w:p w:rsidR="00BD50E5" w:rsidRPr="007B78CF" w:rsidRDefault="00BD50E5" w:rsidP="00BD50E5">
      <w:pPr>
        <w:spacing w:afterLines="50" w:after="180" w:line="400" w:lineRule="exact"/>
        <w:jc w:val="center"/>
        <w:rPr>
          <w:rFonts w:ascii="微軟正黑體" w:eastAsia="微軟正黑體" w:hAnsi="微軟正黑體"/>
          <w:color w:val="000000" w:themeColor="text1"/>
        </w:rPr>
      </w:pPr>
    </w:p>
    <w:p w:rsidR="00BD50E5" w:rsidRPr="007B78CF" w:rsidRDefault="00BD50E5" w:rsidP="00BD50E5">
      <w:pPr>
        <w:spacing w:beforeLines="80" w:before="288" w:afterLines="50" w:after="180"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圖3.11  近10年參加退撫基金人員平均俸額</w:t>
      </w:r>
    </w:p>
    <w:p w:rsidR="00BD50E5" w:rsidRPr="007B78CF" w:rsidRDefault="00BD50E5" w:rsidP="00BD50E5">
      <w:pPr>
        <w:spacing w:beforeLines="100" w:before="36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4. 參加人員平均年齡</w:t>
      </w:r>
    </w:p>
    <w:p w:rsidR="00BD50E5" w:rsidRPr="007B78CF" w:rsidRDefault="00BD50E5" w:rsidP="00BD50E5">
      <w:pPr>
        <w:spacing w:beforeLines="30" w:before="108" w:line="400" w:lineRule="exact"/>
        <w:ind w:leftChars="236" w:left="566"/>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109年度參加退撫基金人員之平均年齡，以教育人員44.2歲最高，公務人員42.0歲次之，而以軍職人員28.0歲最低。另以近10年趨勢顯示，教育人員成長趨勢較明顯，與公務人員之年齡差距逐漸縮小，並於104年起超過公務人員；公務人員及軍職人員則互有起伏，年齡變動趨勢較不明顯。</w:t>
      </w:r>
    </w:p>
    <w:p w:rsidR="00BD50E5" w:rsidRPr="007B78CF" w:rsidRDefault="00BD50E5" w:rsidP="00BD50E5">
      <w:pPr>
        <w:spacing w:beforeLines="50" w:before="180"/>
        <w:rPr>
          <w:rFonts w:ascii="微軟正黑體" w:eastAsia="微軟正黑體" w:hAnsi="微軟正黑體"/>
          <w:color w:val="000000" w:themeColor="text1"/>
        </w:rPr>
      </w:pPr>
      <w:r w:rsidRPr="007B78CF">
        <w:rPr>
          <w:noProof/>
          <w:color w:val="000000" w:themeColor="text1"/>
        </w:rPr>
        <w:drawing>
          <wp:anchor distT="0" distB="0" distL="114300" distR="114300" simplePos="0" relativeHeight="252615680" behindDoc="0" locked="0" layoutInCell="1" allowOverlap="1" wp14:anchorId="097616CC" wp14:editId="1255562C">
            <wp:simplePos x="0" y="0"/>
            <wp:positionH relativeFrom="column">
              <wp:posOffset>5503</wp:posOffset>
            </wp:positionH>
            <wp:positionV relativeFrom="paragraph">
              <wp:posOffset>105833</wp:posOffset>
            </wp:positionV>
            <wp:extent cx="5748867" cy="2463800"/>
            <wp:effectExtent l="0" t="0" r="23495" b="12700"/>
            <wp:wrapNone/>
            <wp:docPr id="292" name="圖表 29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page">
              <wp14:pctWidth>0</wp14:pctWidth>
            </wp14:sizeRelH>
            <wp14:sizeRelV relativeFrom="page">
              <wp14:pctHeight>0</wp14:pctHeight>
            </wp14:sizeRelV>
          </wp:anchor>
        </w:drawing>
      </w: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圖3.12  近10年參加退撫基金人員平均年齡</w:t>
      </w:r>
    </w:p>
    <w:p w:rsidR="00BD50E5" w:rsidRPr="007B78CF" w:rsidRDefault="00BD50E5" w:rsidP="00BD50E5">
      <w:pPr>
        <w:spacing w:beforeLines="100" w:before="360"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lastRenderedPageBreak/>
        <w:t>(二) 給付概況</w:t>
      </w:r>
    </w:p>
    <w:p w:rsidR="00BD50E5" w:rsidRPr="007B78CF" w:rsidRDefault="00BD50E5" w:rsidP="00BD50E5">
      <w:pPr>
        <w:spacing w:beforeLines="30" w:before="108"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1. 退休(伍)人數</w:t>
      </w:r>
    </w:p>
    <w:p w:rsidR="00BD50E5" w:rsidRPr="007B78CF" w:rsidRDefault="00BD50E5" w:rsidP="00BD50E5">
      <w:pPr>
        <w:spacing w:beforeLines="30" w:before="108" w:line="400" w:lineRule="exact"/>
        <w:ind w:leftChars="236" w:left="566" w:firstLineChars="200" w:firstLine="480"/>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109年退休(伍)人數為2萬1,075人，較上年2萬2,728人減少1,653人，其中公務人員減少1,001人，教育人員減少1,398人，軍職人員則增加746人。觀察近10年來每年退休(伍)人數，公務人員在100至101年及104年，教育人員在100至101年及104至106年間退休人數較多，而軍職人員則102年出現退伍人數高峰，此後人數有所下降，惟108至109年已逐漸回升。</w:t>
      </w:r>
    </w:p>
    <w:p w:rsidR="00BD50E5" w:rsidRPr="007B78CF" w:rsidRDefault="00BD50E5" w:rsidP="00BD50E5">
      <w:pPr>
        <w:spacing w:beforeLines="30" w:before="108" w:line="400" w:lineRule="exact"/>
        <w:ind w:leftChars="177" w:left="425" w:firstLineChars="200" w:firstLine="480"/>
        <w:rPr>
          <w:rFonts w:ascii="微軟正黑體" w:eastAsia="微軟正黑體" w:hAnsi="微軟正黑體"/>
          <w:color w:val="000000" w:themeColor="text1"/>
        </w:rPr>
      </w:pPr>
      <w:r w:rsidRPr="007B78CF">
        <w:rPr>
          <w:noProof/>
          <w:color w:val="000000" w:themeColor="text1"/>
        </w:rPr>
        <w:drawing>
          <wp:anchor distT="0" distB="0" distL="114300" distR="114300" simplePos="0" relativeHeight="252616704" behindDoc="0" locked="0" layoutInCell="1" allowOverlap="1" wp14:anchorId="6ED78317" wp14:editId="5CCCF088">
            <wp:simplePos x="0" y="0"/>
            <wp:positionH relativeFrom="column">
              <wp:posOffset>266889</wp:posOffset>
            </wp:positionH>
            <wp:positionV relativeFrom="paragraph">
              <wp:posOffset>100925</wp:posOffset>
            </wp:positionV>
            <wp:extent cx="5544766" cy="2772382"/>
            <wp:effectExtent l="0" t="0" r="18415" b="9525"/>
            <wp:wrapNone/>
            <wp:docPr id="293" name="圖表 29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30" w:before="108" w:line="400" w:lineRule="exact"/>
        <w:ind w:leftChars="177" w:left="425" w:firstLineChars="200" w:firstLine="480"/>
        <w:rPr>
          <w:rFonts w:ascii="微軟正黑體" w:eastAsia="微軟正黑體" w:hAnsi="微軟正黑體"/>
          <w:color w:val="000000" w:themeColor="text1"/>
        </w:rPr>
      </w:pPr>
    </w:p>
    <w:p w:rsidR="00BD50E5" w:rsidRPr="007B78CF" w:rsidRDefault="00BD50E5" w:rsidP="00BD50E5">
      <w:pPr>
        <w:spacing w:beforeLines="30" w:before="108" w:line="400" w:lineRule="exact"/>
        <w:ind w:leftChars="177" w:left="425" w:firstLineChars="200" w:firstLine="480"/>
        <w:rPr>
          <w:rFonts w:ascii="微軟正黑體" w:eastAsia="微軟正黑體" w:hAnsi="微軟正黑體"/>
          <w:color w:val="000000" w:themeColor="text1"/>
        </w:rPr>
      </w:pPr>
    </w:p>
    <w:p w:rsidR="00BD50E5" w:rsidRPr="007B78CF" w:rsidRDefault="00BD50E5" w:rsidP="00BD50E5">
      <w:pPr>
        <w:spacing w:beforeLines="30" w:before="108" w:line="400" w:lineRule="exact"/>
        <w:ind w:leftChars="177" w:left="425" w:firstLineChars="200" w:firstLine="480"/>
        <w:rPr>
          <w:rFonts w:ascii="微軟正黑體" w:eastAsia="微軟正黑體" w:hAnsi="微軟正黑體"/>
          <w:color w:val="000000" w:themeColor="text1"/>
        </w:rPr>
      </w:pPr>
    </w:p>
    <w:p w:rsidR="00BD50E5" w:rsidRPr="007B78CF" w:rsidRDefault="00BD50E5" w:rsidP="00BD50E5">
      <w:pPr>
        <w:spacing w:beforeLines="30" w:before="108" w:line="400" w:lineRule="exact"/>
        <w:ind w:leftChars="177" w:left="425" w:firstLineChars="200" w:firstLine="480"/>
        <w:rPr>
          <w:rFonts w:ascii="微軟正黑體" w:eastAsia="微軟正黑體" w:hAnsi="微軟正黑體"/>
          <w:color w:val="000000" w:themeColor="text1"/>
        </w:rPr>
      </w:pPr>
    </w:p>
    <w:p w:rsidR="00BD50E5" w:rsidRPr="007B78CF" w:rsidRDefault="00BD50E5" w:rsidP="00BD50E5">
      <w:pPr>
        <w:spacing w:beforeLines="30" w:before="108" w:line="400" w:lineRule="exact"/>
        <w:ind w:leftChars="177" w:left="425" w:firstLineChars="200" w:firstLine="480"/>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圖3.13  近10年</w:t>
      </w:r>
      <w:r w:rsidRPr="007B78CF">
        <w:rPr>
          <w:rFonts w:ascii="微軟正黑體" w:eastAsia="微軟正黑體" w:hAnsi="微軟正黑體"/>
          <w:color w:val="000000" w:themeColor="text1"/>
        </w:rPr>
        <w:t>退撫基金退休</w:t>
      </w:r>
      <w:r w:rsidRPr="007B78CF">
        <w:rPr>
          <w:rFonts w:ascii="微軟正黑體" w:eastAsia="微軟正黑體" w:hAnsi="微軟正黑體" w:hint="eastAsia"/>
          <w:color w:val="000000" w:themeColor="text1"/>
        </w:rPr>
        <w:t>(</w:t>
      </w:r>
      <w:r w:rsidRPr="007B78CF">
        <w:rPr>
          <w:rFonts w:ascii="微軟正黑體" w:eastAsia="微軟正黑體" w:hAnsi="微軟正黑體"/>
          <w:color w:val="000000" w:themeColor="text1"/>
        </w:rPr>
        <w:t>伍</w:t>
      </w:r>
      <w:r w:rsidRPr="007B78CF">
        <w:rPr>
          <w:rFonts w:ascii="微軟正黑體" w:eastAsia="微軟正黑體" w:hAnsi="微軟正黑體" w:hint="eastAsia"/>
          <w:color w:val="000000" w:themeColor="text1"/>
        </w:rPr>
        <w:t>)</w:t>
      </w:r>
      <w:r w:rsidRPr="007B78CF">
        <w:rPr>
          <w:rFonts w:ascii="微軟正黑體" w:eastAsia="微軟正黑體" w:hAnsi="微軟正黑體"/>
          <w:color w:val="000000" w:themeColor="text1"/>
        </w:rPr>
        <w:t>人數</w:t>
      </w:r>
    </w:p>
    <w:p w:rsidR="00BD50E5" w:rsidRPr="007B78CF" w:rsidRDefault="00BD50E5" w:rsidP="00BD50E5">
      <w:pPr>
        <w:spacing w:beforeLines="50" w:before="180" w:line="400" w:lineRule="exact"/>
        <w:ind w:firstLineChars="100" w:firstLine="240"/>
        <w:rPr>
          <w:rFonts w:ascii="微軟正黑體" w:eastAsia="微軟正黑體" w:hAnsi="微軟正黑體"/>
          <w:color w:val="000000" w:themeColor="text1"/>
        </w:rPr>
      </w:pPr>
    </w:p>
    <w:p w:rsidR="00BD50E5" w:rsidRPr="007B78CF" w:rsidRDefault="00BD50E5" w:rsidP="00BD50E5">
      <w:pPr>
        <w:spacing w:beforeLines="50" w:before="18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2. 支領一次退休金、月退休金(含兼領)人數</w:t>
      </w:r>
    </w:p>
    <w:p w:rsidR="00BD50E5" w:rsidRDefault="00BD50E5" w:rsidP="00BD50E5">
      <w:pPr>
        <w:spacing w:beforeLines="30" w:before="108" w:line="400" w:lineRule="exact"/>
        <w:ind w:leftChars="236" w:left="566"/>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就支領一次退休金及月退休金之比率而言，近10年公教人員接近9成以上選擇支領月退休金(含兼領)，109年有96.0%退休公務人員及96.8%退休教育人員領取月退休金，軍職人員則因服役滿3年即可支領退伍金(一次金)，故109年退伍軍職人員有75.2%係支領一次金，僅24.8%支領月退休金(退休俸)。</w:t>
      </w:r>
    </w:p>
    <w:p w:rsidR="00BD50E5" w:rsidRDefault="00BD50E5" w:rsidP="00BD50E5">
      <w:pPr>
        <w:spacing w:beforeLines="30" w:before="108" w:line="400" w:lineRule="exact"/>
        <w:ind w:leftChars="236" w:left="566"/>
        <w:jc w:val="both"/>
        <w:rPr>
          <w:rFonts w:ascii="微軟正黑體" w:eastAsia="微軟正黑體" w:hAnsi="微軟正黑體"/>
          <w:color w:val="000000" w:themeColor="text1"/>
        </w:rPr>
      </w:pPr>
    </w:p>
    <w:p w:rsidR="00BD50E5" w:rsidRDefault="00BD50E5" w:rsidP="00BD50E5">
      <w:pPr>
        <w:spacing w:beforeLines="30" w:before="108" w:line="400" w:lineRule="exact"/>
        <w:ind w:leftChars="236" w:left="566"/>
        <w:jc w:val="both"/>
        <w:rPr>
          <w:rFonts w:ascii="微軟正黑體" w:eastAsia="微軟正黑體" w:hAnsi="微軟正黑體"/>
          <w:color w:val="000000" w:themeColor="text1"/>
        </w:rPr>
      </w:pPr>
    </w:p>
    <w:p w:rsidR="00BD50E5" w:rsidRDefault="00BD50E5" w:rsidP="00BD50E5">
      <w:pPr>
        <w:spacing w:beforeLines="30" w:before="108" w:line="400" w:lineRule="exact"/>
        <w:ind w:leftChars="236" w:left="566"/>
        <w:jc w:val="both"/>
        <w:rPr>
          <w:rFonts w:ascii="微軟正黑體" w:eastAsia="微軟正黑體" w:hAnsi="微軟正黑體"/>
          <w:color w:val="000000" w:themeColor="text1"/>
        </w:rPr>
      </w:pPr>
    </w:p>
    <w:p w:rsidR="00BD50E5" w:rsidRDefault="00BD50E5" w:rsidP="00BD50E5">
      <w:pPr>
        <w:spacing w:beforeLines="30" w:before="108" w:line="400" w:lineRule="exact"/>
        <w:ind w:leftChars="236" w:left="566"/>
        <w:jc w:val="both"/>
        <w:rPr>
          <w:rFonts w:ascii="微軟正黑體" w:eastAsia="微軟正黑體" w:hAnsi="微軟正黑體"/>
          <w:color w:val="000000" w:themeColor="text1"/>
        </w:rPr>
      </w:pPr>
    </w:p>
    <w:p w:rsidR="00BD50E5" w:rsidRDefault="00BD50E5" w:rsidP="00BD50E5">
      <w:pPr>
        <w:spacing w:beforeLines="30" w:before="108" w:line="400" w:lineRule="exact"/>
        <w:ind w:leftChars="236" w:left="566"/>
        <w:jc w:val="both"/>
        <w:rPr>
          <w:rFonts w:ascii="微軟正黑體" w:eastAsia="微軟正黑體" w:hAnsi="微軟正黑體"/>
          <w:color w:val="000000" w:themeColor="text1"/>
        </w:rPr>
      </w:pPr>
    </w:p>
    <w:p w:rsidR="00BD50E5" w:rsidRDefault="00BD50E5" w:rsidP="00BD50E5">
      <w:pPr>
        <w:spacing w:beforeLines="30" w:before="108"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30" w:before="108"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rPr>
          <w:noProof/>
          <w:color w:val="000000" w:themeColor="text1"/>
        </w:rPr>
      </w:pPr>
      <w:r w:rsidRPr="007B78CF">
        <w:rPr>
          <w:noProof/>
          <w:color w:val="000000" w:themeColor="text1"/>
        </w:rPr>
        <w:lastRenderedPageBreak/>
        <w:drawing>
          <wp:anchor distT="0" distB="0" distL="114300" distR="114300" simplePos="0" relativeHeight="252617728" behindDoc="0" locked="0" layoutInCell="1" allowOverlap="1" wp14:anchorId="3D346FE4" wp14:editId="1FB5598B">
            <wp:simplePos x="0" y="0"/>
            <wp:positionH relativeFrom="column">
              <wp:posOffset>580602</wp:posOffset>
            </wp:positionH>
            <wp:positionV relativeFrom="paragraph">
              <wp:posOffset>101177</wp:posOffset>
            </wp:positionV>
            <wp:extent cx="4572000" cy="2658533"/>
            <wp:effectExtent l="0" t="0" r="19050" b="27940"/>
            <wp:wrapNone/>
            <wp:docPr id="294" name="圖表 294">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Default="00BD50E5" w:rsidP="00BD50E5">
      <w:pPr>
        <w:spacing w:beforeLines="50" w:before="180"/>
        <w:rPr>
          <w:noProof/>
          <w:color w:val="000000" w:themeColor="text1"/>
        </w:rPr>
      </w:pPr>
    </w:p>
    <w:p w:rsidR="00BD50E5" w:rsidRDefault="00BD50E5" w:rsidP="00BD50E5">
      <w:pPr>
        <w:spacing w:beforeLines="50" w:before="180"/>
        <w:rPr>
          <w:noProof/>
          <w:color w:val="000000" w:themeColor="text1"/>
        </w:rPr>
      </w:pPr>
      <w:r w:rsidRPr="007B78CF">
        <w:rPr>
          <w:noProof/>
          <w:color w:val="000000" w:themeColor="text1"/>
        </w:rPr>
        <w:drawing>
          <wp:anchor distT="0" distB="0" distL="114300" distR="114300" simplePos="0" relativeHeight="252618752" behindDoc="0" locked="0" layoutInCell="1" allowOverlap="1" wp14:anchorId="0B38E990" wp14:editId="2164F868">
            <wp:simplePos x="0" y="0"/>
            <wp:positionH relativeFrom="column">
              <wp:posOffset>581237</wp:posOffset>
            </wp:positionH>
            <wp:positionV relativeFrom="paragraph">
              <wp:posOffset>317077</wp:posOffset>
            </wp:positionV>
            <wp:extent cx="4572000" cy="2700866"/>
            <wp:effectExtent l="0" t="0" r="19050" b="23495"/>
            <wp:wrapNone/>
            <wp:docPr id="295" name="圖表 295">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Default="00BD50E5" w:rsidP="00BD50E5">
      <w:pPr>
        <w:spacing w:beforeLines="50" w:before="180"/>
        <w:rPr>
          <w:noProof/>
          <w:color w:val="000000" w:themeColor="text1"/>
        </w:rPr>
      </w:pPr>
    </w:p>
    <w:p w:rsidR="00BD50E5" w:rsidRPr="007B78CF" w:rsidRDefault="00BD50E5" w:rsidP="00BD50E5">
      <w:pPr>
        <w:spacing w:beforeLines="50" w:before="180"/>
        <w:rPr>
          <w:noProof/>
          <w:color w:val="000000" w:themeColor="text1"/>
        </w:rPr>
      </w:pPr>
    </w:p>
    <w:p w:rsidR="00BD50E5" w:rsidRPr="007B78CF" w:rsidRDefault="00BD50E5" w:rsidP="00BD50E5">
      <w:pPr>
        <w:spacing w:beforeLines="50" w:before="180"/>
        <w:rPr>
          <w:rFonts w:ascii="微軟正黑體" w:eastAsia="微軟正黑體" w:hAnsi="微軟正黑體"/>
          <w:noProof/>
          <w:color w:val="000000" w:themeColor="text1"/>
        </w:rPr>
      </w:pPr>
      <w:r w:rsidRPr="007B78CF">
        <w:rPr>
          <w:noProof/>
          <w:color w:val="000000" w:themeColor="text1"/>
        </w:rPr>
        <w:drawing>
          <wp:anchor distT="0" distB="0" distL="114300" distR="114300" simplePos="0" relativeHeight="252619776" behindDoc="0" locked="0" layoutInCell="1" allowOverlap="1" wp14:anchorId="399A5F03" wp14:editId="723BB687">
            <wp:simplePos x="0" y="0"/>
            <wp:positionH relativeFrom="column">
              <wp:posOffset>581025</wp:posOffset>
            </wp:positionH>
            <wp:positionV relativeFrom="paragraph">
              <wp:posOffset>147531</wp:posOffset>
            </wp:positionV>
            <wp:extent cx="4572000" cy="2599266"/>
            <wp:effectExtent l="0" t="0" r="19050" b="10795"/>
            <wp:wrapNone/>
            <wp:docPr id="296" name="圖表 296">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rPr>
          <w:rFonts w:ascii="微軟正黑體" w:eastAsia="微軟正黑體" w:hAnsi="微軟正黑體"/>
          <w:noProof/>
          <w:color w:val="000000" w:themeColor="text1"/>
        </w:rPr>
      </w:pPr>
    </w:p>
    <w:p w:rsidR="00BD50E5" w:rsidRPr="007B78CF" w:rsidRDefault="00BD50E5" w:rsidP="00BD50E5">
      <w:pPr>
        <w:spacing w:beforeLines="50" w:before="180"/>
        <w:rPr>
          <w:rFonts w:ascii="微軟正黑體" w:eastAsia="微軟正黑體" w:hAnsi="微軟正黑體"/>
          <w:noProof/>
          <w:color w:val="000000" w:themeColor="text1"/>
        </w:rPr>
      </w:pPr>
    </w:p>
    <w:p w:rsidR="00BD50E5" w:rsidRPr="007B78CF" w:rsidRDefault="00BD50E5" w:rsidP="00BD50E5">
      <w:pPr>
        <w:spacing w:beforeLines="50" w:before="180" w:line="400" w:lineRule="exact"/>
        <w:jc w:val="center"/>
        <w:rPr>
          <w:rFonts w:ascii="微軟正黑體" w:eastAsia="微軟正黑體" w:hAnsi="微軟正黑體"/>
          <w:color w:val="000000" w:themeColor="text1"/>
        </w:rPr>
      </w:pPr>
    </w:p>
    <w:p w:rsidR="00BD50E5" w:rsidRDefault="00BD50E5" w:rsidP="00BD50E5">
      <w:pPr>
        <w:spacing w:beforeLines="50" w:before="180" w:line="400" w:lineRule="exact"/>
        <w:jc w:val="center"/>
        <w:rPr>
          <w:rFonts w:ascii="微軟正黑體" w:eastAsia="微軟正黑體" w:hAnsi="微軟正黑體"/>
          <w:color w:val="000000" w:themeColor="text1"/>
        </w:rPr>
      </w:pPr>
    </w:p>
    <w:p w:rsidR="00BD50E5" w:rsidRPr="007B78CF" w:rsidRDefault="00BD50E5" w:rsidP="00BD50E5">
      <w:pPr>
        <w:spacing w:beforeLines="50" w:before="180" w:line="400" w:lineRule="exact"/>
        <w:jc w:val="center"/>
        <w:rPr>
          <w:rFonts w:ascii="微軟正黑體" w:eastAsia="微軟正黑體" w:hAnsi="微軟正黑體"/>
          <w:color w:val="000000" w:themeColor="text1"/>
        </w:rPr>
      </w:pPr>
    </w:p>
    <w:p w:rsidR="00BD50E5" w:rsidRDefault="00BD50E5" w:rsidP="00BD50E5">
      <w:pPr>
        <w:spacing w:beforeLines="50" w:before="180"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圖3.14  近10年</w:t>
      </w:r>
      <w:r w:rsidRPr="007B78CF">
        <w:rPr>
          <w:rFonts w:ascii="微軟正黑體" w:eastAsia="微軟正黑體" w:hAnsi="微軟正黑體"/>
          <w:color w:val="000000" w:themeColor="text1"/>
        </w:rPr>
        <w:t>支領</w:t>
      </w:r>
      <w:r w:rsidRPr="007B78CF">
        <w:rPr>
          <w:rFonts w:ascii="微軟正黑體" w:eastAsia="微軟正黑體" w:hAnsi="微軟正黑體" w:hint="eastAsia"/>
          <w:color w:val="000000" w:themeColor="text1"/>
        </w:rPr>
        <w:t>一次</w:t>
      </w:r>
      <w:r w:rsidRPr="007B78CF">
        <w:rPr>
          <w:rFonts w:ascii="微軟正黑體" w:eastAsia="微軟正黑體" w:hAnsi="微軟正黑體"/>
          <w:color w:val="000000" w:themeColor="text1"/>
        </w:rPr>
        <w:t>退休金</w:t>
      </w:r>
      <w:r w:rsidRPr="007B78CF">
        <w:rPr>
          <w:rFonts w:ascii="微軟正黑體" w:eastAsia="微軟正黑體" w:hAnsi="微軟正黑體" w:hint="eastAsia"/>
          <w:color w:val="000000" w:themeColor="text1"/>
        </w:rPr>
        <w:t>、月退休金</w:t>
      </w:r>
      <w:r w:rsidRPr="007B78CF">
        <w:rPr>
          <w:rFonts w:ascii="微軟正黑體" w:eastAsia="微軟正黑體" w:hAnsi="微軟正黑體"/>
          <w:color w:val="000000" w:themeColor="text1"/>
        </w:rPr>
        <w:t>人數</w:t>
      </w:r>
      <w:r w:rsidRPr="007B78CF">
        <w:rPr>
          <w:rFonts w:ascii="微軟正黑體" w:eastAsia="微軟正黑體" w:hAnsi="微軟正黑體" w:hint="eastAsia"/>
          <w:color w:val="000000" w:themeColor="text1"/>
        </w:rPr>
        <w:t>占比</w:t>
      </w:r>
    </w:p>
    <w:p w:rsidR="00BD50E5" w:rsidRPr="007B78CF" w:rsidRDefault="00BD50E5" w:rsidP="00BD50E5">
      <w:pPr>
        <w:spacing w:beforeLines="50" w:before="18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lastRenderedPageBreak/>
        <w:t>3. 退休(伍)平均年齡</w:t>
      </w:r>
    </w:p>
    <w:p w:rsidR="00BD50E5" w:rsidRPr="007B78CF" w:rsidRDefault="00BD50E5" w:rsidP="00BD50E5">
      <w:pPr>
        <w:spacing w:beforeLines="30" w:before="108" w:line="400" w:lineRule="exact"/>
        <w:ind w:leftChars="236" w:left="566" w:firstLineChars="200" w:firstLine="480"/>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長期而言，公教人員退休年齡先呈現下降趨勢，惟近年有所回升。公務人員自86年平均60.9歲退休，逐漸降至94年的55.4歲，此後大致維持在55至56歲之間，至105年升至56.6歲，108年再升至57.5歲，109年則為57.0歲。教育人員86年平均58.0歲退休，逐漸降至94年的54.1歲，此後大致維持在54歲左右，106年升至54.3歲，109年再升至56.4歲。軍職人員因國軍自86年以來陸續推動各項精簡兵力方案，故有支領一次退伍金之志願士兵退伍大幅增加，致平均退伍年齡大幅下降或上升情形，若觀察軍職人員服役達20年以上，領取月退休俸年齡(月起支年齡)，則相對穩定，86年以來大致維持在42至44歲。</w:t>
      </w: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r w:rsidRPr="007B78CF">
        <w:rPr>
          <w:noProof/>
          <w:color w:val="000000" w:themeColor="text1"/>
        </w:rPr>
        <w:drawing>
          <wp:anchor distT="0" distB="0" distL="114300" distR="114300" simplePos="0" relativeHeight="252620800" behindDoc="0" locked="0" layoutInCell="1" allowOverlap="1" wp14:anchorId="77D63AF9" wp14:editId="70A14BE1">
            <wp:simplePos x="0" y="0"/>
            <wp:positionH relativeFrom="column">
              <wp:posOffset>23698</wp:posOffset>
            </wp:positionH>
            <wp:positionV relativeFrom="paragraph">
              <wp:posOffset>47909</wp:posOffset>
            </wp:positionV>
            <wp:extent cx="6070059" cy="3365770"/>
            <wp:effectExtent l="0" t="0" r="26035" b="25400"/>
            <wp:wrapNone/>
            <wp:docPr id="297" name="圖表 297">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jc w:val="center"/>
        <w:rPr>
          <w:rFonts w:ascii="微軟正黑體" w:eastAsia="微軟正黑體" w:hAnsi="微軟正黑體"/>
          <w:color w:val="000000" w:themeColor="text1"/>
        </w:rPr>
      </w:pPr>
    </w:p>
    <w:p w:rsidR="00BD50E5" w:rsidRPr="007B78CF" w:rsidRDefault="00BD50E5" w:rsidP="00BD50E5">
      <w:pPr>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圖3.15  近年軍公教人員退休(伍)平均年齡</w:t>
      </w:r>
    </w:p>
    <w:p w:rsidR="00BD50E5" w:rsidRPr="007B78CF" w:rsidRDefault="00BD50E5" w:rsidP="00BD50E5">
      <w:pPr>
        <w:spacing w:beforeLines="50" w:before="18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4. 退休(伍)平均俸額</w:t>
      </w:r>
    </w:p>
    <w:p w:rsidR="00BD50E5" w:rsidRPr="007B78CF" w:rsidRDefault="00BD50E5" w:rsidP="00BD50E5">
      <w:pPr>
        <w:spacing w:beforeLines="30" w:before="108" w:line="400" w:lineRule="exact"/>
        <w:ind w:leftChars="236" w:left="566" w:firstLineChars="140" w:firstLine="336"/>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近10年來公務及教育人員退休時平均俸額大致呈現長期緩步上升趨勢，109年度教育人員為48,863元，為3類人員中最高，其次為公務人員40,919元，領取月退休俸之軍職人員則為37,652元。</w:t>
      </w:r>
    </w:p>
    <w:p w:rsidR="00BD50E5" w:rsidRPr="007B78CF" w:rsidRDefault="00BD50E5" w:rsidP="00BD50E5">
      <w:pPr>
        <w:spacing w:beforeLines="30" w:before="108" w:line="400" w:lineRule="exact"/>
        <w:ind w:leftChars="236" w:left="566" w:firstLineChars="140" w:firstLine="336"/>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另全體退伍軍職人員部分，因軍職人員支領退伍金之年齡普遍偏低(依一般推算年齡約22歲即可辦理退伍)，且於支領退休俸之年齡亦無限制下，致軍職人員退伍之平均俸額為各身分別人員之最低者，惟若觀察軍職人員服役達20年以上，領取月退休俸之平均俸額，則金額較高且變動相對穩定。</w:t>
      </w:r>
    </w:p>
    <w:p w:rsidR="00BD50E5" w:rsidRPr="007B78CF" w:rsidRDefault="00BD50E5" w:rsidP="00BD50E5">
      <w:pPr>
        <w:spacing w:beforeLines="30" w:before="108" w:line="400" w:lineRule="exact"/>
        <w:jc w:val="both"/>
        <w:rPr>
          <w:rFonts w:ascii="微軟正黑體" w:eastAsia="微軟正黑體" w:hAnsi="微軟正黑體"/>
          <w:color w:val="000000" w:themeColor="text1"/>
        </w:rPr>
      </w:pPr>
    </w:p>
    <w:p w:rsidR="00BD50E5" w:rsidRPr="007B78CF" w:rsidRDefault="00BD50E5" w:rsidP="00BD50E5">
      <w:pPr>
        <w:spacing w:beforeLines="30" w:before="108" w:line="400" w:lineRule="exact"/>
        <w:jc w:val="both"/>
        <w:rPr>
          <w:rFonts w:ascii="微軟正黑體" w:eastAsia="微軟正黑體" w:hAnsi="微軟正黑體"/>
          <w:color w:val="000000" w:themeColor="text1"/>
        </w:rPr>
      </w:pPr>
    </w:p>
    <w:p w:rsidR="00BD50E5" w:rsidRPr="007B78CF" w:rsidRDefault="00BD50E5" w:rsidP="00BD50E5">
      <w:pPr>
        <w:tabs>
          <w:tab w:val="left" w:pos="1756"/>
        </w:tabs>
        <w:rPr>
          <w:rFonts w:ascii="微軟正黑體" w:eastAsia="微軟正黑體" w:hAnsi="微軟正黑體"/>
          <w:color w:val="000000" w:themeColor="text1"/>
        </w:rPr>
      </w:pPr>
      <w:r w:rsidRPr="007B78CF">
        <w:rPr>
          <w:noProof/>
          <w:color w:val="000000" w:themeColor="text1"/>
        </w:rPr>
        <w:lastRenderedPageBreak/>
        <w:drawing>
          <wp:anchor distT="0" distB="0" distL="114300" distR="114300" simplePos="0" relativeHeight="252621824" behindDoc="0" locked="0" layoutInCell="1" allowOverlap="1" wp14:anchorId="76E8E674" wp14:editId="5FDDE9BF">
            <wp:simplePos x="0" y="0"/>
            <wp:positionH relativeFrom="column">
              <wp:posOffset>4242</wp:posOffset>
            </wp:positionH>
            <wp:positionV relativeFrom="paragraph">
              <wp:posOffset>9484</wp:posOffset>
            </wp:positionV>
            <wp:extent cx="5768502" cy="3161490"/>
            <wp:effectExtent l="0" t="0" r="22860" b="20320"/>
            <wp:wrapNone/>
            <wp:docPr id="298" name="圖表 29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page">
              <wp14:pctWidth>0</wp14:pctWidth>
            </wp14:sizeRelH>
            <wp14:sizeRelV relativeFrom="page">
              <wp14:pctHeight>0</wp14:pctHeight>
            </wp14:sizeRelV>
          </wp:anchor>
        </w:drawing>
      </w:r>
    </w:p>
    <w:p w:rsidR="00BD50E5" w:rsidRPr="007B78CF" w:rsidRDefault="00BD50E5" w:rsidP="00BD50E5">
      <w:pPr>
        <w:tabs>
          <w:tab w:val="left" w:pos="1756"/>
        </w:tabs>
        <w:rPr>
          <w:rFonts w:ascii="微軟正黑體" w:eastAsia="微軟正黑體" w:hAnsi="微軟正黑體"/>
          <w:color w:val="000000" w:themeColor="text1"/>
        </w:rPr>
      </w:pPr>
    </w:p>
    <w:p w:rsidR="00BD50E5" w:rsidRPr="007B78CF" w:rsidRDefault="00BD50E5" w:rsidP="00BD50E5">
      <w:pPr>
        <w:tabs>
          <w:tab w:val="left" w:pos="1756"/>
        </w:tabs>
        <w:rPr>
          <w:rFonts w:ascii="微軟正黑體" w:eastAsia="微軟正黑體" w:hAnsi="微軟正黑體"/>
          <w:color w:val="000000" w:themeColor="text1"/>
        </w:rPr>
      </w:pPr>
    </w:p>
    <w:p w:rsidR="00BD50E5" w:rsidRPr="007B78CF" w:rsidRDefault="00BD50E5" w:rsidP="00BD50E5">
      <w:pPr>
        <w:tabs>
          <w:tab w:val="left" w:pos="1756"/>
        </w:tabs>
        <w:rPr>
          <w:rFonts w:ascii="微軟正黑體" w:eastAsia="微軟正黑體" w:hAnsi="微軟正黑體"/>
          <w:color w:val="000000" w:themeColor="text1"/>
        </w:rPr>
      </w:pPr>
    </w:p>
    <w:p w:rsidR="00BD50E5" w:rsidRPr="007B78CF" w:rsidRDefault="00BD50E5" w:rsidP="00BD50E5">
      <w:pPr>
        <w:tabs>
          <w:tab w:val="left" w:pos="1756"/>
        </w:tabs>
        <w:rPr>
          <w:rFonts w:ascii="微軟正黑體" w:eastAsia="微軟正黑體" w:hAnsi="微軟正黑體"/>
          <w:color w:val="000000" w:themeColor="text1"/>
        </w:rPr>
      </w:pPr>
    </w:p>
    <w:p w:rsidR="00BD50E5" w:rsidRPr="007B78CF" w:rsidRDefault="00BD50E5" w:rsidP="00BD50E5">
      <w:pPr>
        <w:tabs>
          <w:tab w:val="left" w:pos="1756"/>
        </w:tabs>
        <w:rPr>
          <w:rFonts w:ascii="微軟正黑體" w:eastAsia="微軟正黑體" w:hAnsi="微軟正黑體"/>
          <w:color w:val="000000" w:themeColor="text1"/>
        </w:rPr>
      </w:pPr>
    </w:p>
    <w:p w:rsidR="00BD50E5" w:rsidRPr="007B78CF" w:rsidRDefault="00BD50E5" w:rsidP="00BD50E5">
      <w:pPr>
        <w:tabs>
          <w:tab w:val="left" w:pos="1756"/>
        </w:tabs>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圖3.16  近10年軍公教人員退休(伍)平均俸額</w:t>
      </w: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beforeLines="50" w:before="180" w:line="400" w:lineRule="exact"/>
        <w:ind w:firstLineChars="100" w:firstLine="240"/>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5. 定期退撫給與之發放人數</w:t>
      </w:r>
    </w:p>
    <w:p w:rsidR="00BD50E5" w:rsidRPr="007B78CF" w:rsidRDefault="00BD50E5" w:rsidP="00BD50E5">
      <w:pPr>
        <w:spacing w:beforeLines="50" w:before="180" w:line="400" w:lineRule="exact"/>
        <w:ind w:leftChars="236" w:left="566"/>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定期退撫給與項目包括月</w:t>
      </w:r>
      <w:r w:rsidRPr="007B78CF">
        <w:rPr>
          <w:rFonts w:ascii="微軟正黑體" w:eastAsia="微軟正黑體" w:hAnsi="微軟正黑體" w:cs="DFKaiShu-SB-Estd-BF" w:hint="eastAsia"/>
          <w:color w:val="000000" w:themeColor="text1"/>
          <w:kern w:val="0"/>
        </w:rPr>
        <w:t>退休金</w:t>
      </w:r>
      <w:r w:rsidRPr="007B78CF">
        <w:rPr>
          <w:rFonts w:ascii="微軟正黑體" w:eastAsia="微軟正黑體" w:hAnsi="微軟正黑體" w:cs="DFKaiShu-SB-Estd-BF"/>
          <w:color w:val="000000" w:themeColor="text1"/>
          <w:kern w:val="0"/>
        </w:rPr>
        <w:t>(</w:t>
      </w:r>
      <w:r w:rsidRPr="007B78CF">
        <w:rPr>
          <w:rFonts w:ascii="微軟正黑體" w:eastAsia="微軟正黑體" w:hAnsi="微軟正黑體" w:cs="DFKaiShu-SB-Estd-BF" w:hint="eastAsia"/>
          <w:color w:val="000000" w:themeColor="text1"/>
          <w:kern w:val="0"/>
        </w:rPr>
        <w:t>退休俸</w:t>
      </w:r>
      <w:r w:rsidRPr="007B78CF">
        <w:rPr>
          <w:rFonts w:ascii="微軟正黑體" w:eastAsia="微軟正黑體" w:hAnsi="微軟正黑體" w:cs="DFKaiShu-SB-Estd-BF"/>
          <w:color w:val="000000" w:themeColor="text1"/>
          <w:kern w:val="0"/>
        </w:rPr>
        <w:t>)</w:t>
      </w:r>
      <w:r w:rsidRPr="007B78CF">
        <w:rPr>
          <w:rFonts w:ascii="微軟正黑體" w:eastAsia="微軟正黑體" w:hAnsi="微軟正黑體" w:cs="DFKaiShu-SB-Estd-BF" w:hint="eastAsia"/>
          <w:color w:val="000000" w:themeColor="text1"/>
          <w:kern w:val="0"/>
        </w:rPr>
        <w:t>、遺屬年金</w:t>
      </w:r>
      <w:r w:rsidRPr="007B78CF">
        <w:rPr>
          <w:rFonts w:ascii="微軟正黑體" w:eastAsia="微軟正黑體" w:hAnsi="微軟正黑體" w:cs="DFKaiShu-SB-Estd-BF"/>
          <w:color w:val="000000" w:themeColor="text1"/>
          <w:kern w:val="0"/>
        </w:rPr>
        <w:t>(</w:t>
      </w:r>
      <w:r w:rsidRPr="007B78CF">
        <w:rPr>
          <w:rFonts w:ascii="微軟正黑體" w:eastAsia="微軟正黑體" w:hAnsi="微軟正黑體" w:cs="DFKaiShu-SB-Estd-BF" w:hint="eastAsia"/>
          <w:color w:val="000000" w:themeColor="text1"/>
          <w:kern w:val="0"/>
        </w:rPr>
        <w:t>月撫慰金、退休俸半數</w:t>
      </w:r>
      <w:r w:rsidRPr="007B78CF">
        <w:rPr>
          <w:rFonts w:ascii="微軟正黑體" w:eastAsia="微軟正黑體" w:hAnsi="微軟正黑體" w:cs="DFKaiShu-SB-Estd-BF"/>
          <w:color w:val="000000" w:themeColor="text1"/>
          <w:kern w:val="0"/>
        </w:rPr>
        <w:t>)</w:t>
      </w:r>
      <w:r w:rsidRPr="007B78CF">
        <w:rPr>
          <w:rFonts w:ascii="微軟正黑體" w:eastAsia="微軟正黑體" w:hAnsi="微軟正黑體" w:cs="DFKaiShu-SB-Estd-BF" w:hint="eastAsia"/>
          <w:color w:val="000000" w:themeColor="text1"/>
          <w:kern w:val="0"/>
        </w:rPr>
        <w:t>、年</w:t>
      </w:r>
      <w:r w:rsidRPr="007B78CF">
        <w:rPr>
          <w:rFonts w:ascii="微軟正黑體" w:eastAsia="微軟正黑體" w:hAnsi="微軟正黑體" w:cs="DFKaiShu-SB-Estd-BF"/>
          <w:color w:val="000000" w:themeColor="text1"/>
          <w:kern w:val="0"/>
        </w:rPr>
        <w:t>(</w:t>
      </w:r>
      <w:r w:rsidRPr="007B78CF">
        <w:rPr>
          <w:rFonts w:ascii="微軟正黑體" w:eastAsia="微軟正黑體" w:hAnsi="微軟正黑體" w:cs="DFKaiShu-SB-Estd-BF" w:hint="eastAsia"/>
          <w:color w:val="000000" w:themeColor="text1"/>
          <w:kern w:val="0"/>
        </w:rPr>
        <w:t>月</w:t>
      </w:r>
      <w:r w:rsidRPr="007B78CF">
        <w:rPr>
          <w:rFonts w:ascii="微軟正黑體" w:eastAsia="微軟正黑體" w:hAnsi="微軟正黑體" w:cs="DFKaiShu-SB-Estd-BF"/>
          <w:color w:val="000000" w:themeColor="text1"/>
          <w:kern w:val="0"/>
        </w:rPr>
        <w:t>)</w:t>
      </w:r>
      <w:r w:rsidRPr="007B78CF">
        <w:rPr>
          <w:rFonts w:ascii="微軟正黑體" w:eastAsia="微軟正黑體" w:hAnsi="微軟正黑體" w:cs="DFKaiShu-SB-Estd-BF" w:hint="eastAsia"/>
          <w:color w:val="000000" w:themeColor="text1"/>
          <w:kern w:val="0"/>
        </w:rPr>
        <w:t>撫卹金、因公傷病退休</w:t>
      </w:r>
      <w:r w:rsidRPr="007B78CF">
        <w:rPr>
          <w:rFonts w:ascii="微軟正黑體" w:eastAsia="微軟正黑體" w:hAnsi="微軟正黑體" w:cs="DFKaiShu-SB-Estd-BF"/>
          <w:color w:val="000000" w:themeColor="text1"/>
          <w:kern w:val="0"/>
        </w:rPr>
        <w:t>(</w:t>
      </w:r>
      <w:r w:rsidRPr="007B78CF">
        <w:rPr>
          <w:rFonts w:ascii="微軟正黑體" w:eastAsia="微軟正黑體" w:hAnsi="微軟正黑體" w:cs="DFKaiShu-SB-Estd-BF" w:hint="eastAsia"/>
          <w:color w:val="000000" w:themeColor="text1"/>
          <w:kern w:val="0"/>
        </w:rPr>
        <w:t>職</w:t>
      </w:r>
      <w:r w:rsidRPr="007B78CF">
        <w:rPr>
          <w:rFonts w:ascii="微軟正黑體" w:eastAsia="微軟正黑體" w:hAnsi="微軟正黑體" w:cs="DFKaiShu-SB-Estd-BF"/>
          <w:color w:val="000000" w:themeColor="text1"/>
          <w:kern w:val="0"/>
        </w:rPr>
        <w:t>)</w:t>
      </w:r>
      <w:r w:rsidRPr="007B78CF">
        <w:rPr>
          <w:rFonts w:ascii="微軟正黑體" w:eastAsia="微軟正黑體" w:hAnsi="微軟正黑體" w:cs="DFKaiShu-SB-Estd-BF" w:hint="eastAsia"/>
          <w:color w:val="000000" w:themeColor="text1"/>
          <w:kern w:val="0"/>
        </w:rPr>
        <w:t>金、贍養金、贍養金半數等</w:t>
      </w:r>
      <w:r w:rsidRPr="007B78CF">
        <w:rPr>
          <w:rFonts w:ascii="微軟正黑體" w:eastAsia="微軟正黑體" w:hAnsi="微軟正黑體" w:hint="eastAsia"/>
          <w:color w:val="000000" w:themeColor="text1"/>
        </w:rPr>
        <w:t>，近10年軍公教人員累計定期退撫給與之發放人數持續成長，發放人數由100年21萬</w:t>
      </w:r>
      <w:r>
        <w:rPr>
          <w:rFonts w:ascii="微軟正黑體" w:eastAsia="微軟正黑體" w:hAnsi="微軟正黑體" w:hint="eastAsia"/>
          <w:color w:val="000000" w:themeColor="text1"/>
        </w:rPr>
        <w:t>2,943</w:t>
      </w:r>
      <w:r w:rsidRPr="007B78CF">
        <w:rPr>
          <w:rFonts w:ascii="微軟正黑體" w:eastAsia="微軟正黑體" w:hAnsi="微軟正黑體" w:hint="eastAsia"/>
          <w:color w:val="000000" w:themeColor="text1"/>
        </w:rPr>
        <w:t>人至109年累計為36萬</w:t>
      </w:r>
      <w:r>
        <w:rPr>
          <w:rFonts w:ascii="微軟正黑體" w:eastAsia="微軟正黑體" w:hAnsi="微軟正黑體" w:hint="eastAsia"/>
          <w:color w:val="000000" w:themeColor="text1"/>
        </w:rPr>
        <w:t>3,079</w:t>
      </w:r>
      <w:r w:rsidRPr="007B78CF">
        <w:rPr>
          <w:rFonts w:ascii="微軟正黑體" w:eastAsia="微軟正黑體" w:hAnsi="微軟正黑體" w:hint="eastAsia"/>
          <w:color w:val="000000" w:themeColor="text1"/>
        </w:rPr>
        <w:t>人，成長約1.7倍。以109年資料顯示，領取各項定期給與項目中，逾9成為領取月退休金(退休俸)。</w:t>
      </w:r>
    </w:p>
    <w:p w:rsidR="00BD50E5" w:rsidRPr="007B78CF" w:rsidRDefault="00BD50E5" w:rsidP="00BD50E5">
      <w:pPr>
        <w:spacing w:beforeLines="50" w:before="180" w:line="400" w:lineRule="exact"/>
        <w:ind w:leftChars="236" w:left="566"/>
        <w:rPr>
          <w:rFonts w:ascii="微軟正黑體" w:eastAsia="微軟正黑體" w:hAnsi="微軟正黑體"/>
          <w:color w:val="000000" w:themeColor="text1"/>
        </w:rPr>
      </w:pPr>
      <w:r w:rsidRPr="00017F98">
        <w:rPr>
          <w:noProof/>
          <w:sz w:val="16"/>
          <w:szCs w:val="16"/>
        </w:rPr>
        <w:drawing>
          <wp:anchor distT="0" distB="0" distL="114300" distR="114300" simplePos="0" relativeHeight="252639232" behindDoc="0" locked="0" layoutInCell="1" allowOverlap="1" wp14:anchorId="5F5D3D18" wp14:editId="16FDB376">
            <wp:simplePos x="0" y="0"/>
            <wp:positionH relativeFrom="column">
              <wp:posOffset>-181399</wp:posOffset>
            </wp:positionH>
            <wp:positionV relativeFrom="paragraph">
              <wp:posOffset>41275</wp:posOffset>
            </wp:positionV>
            <wp:extent cx="6341533" cy="3259666"/>
            <wp:effectExtent l="0" t="0" r="21590" b="17145"/>
            <wp:wrapNone/>
            <wp:docPr id="30" name="圖表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page">
              <wp14:pctWidth>0</wp14:pctWidth>
            </wp14:sizeRelH>
            <wp14:sizeRelV relativeFrom="page">
              <wp14:pctHeight>0</wp14:pctHeight>
            </wp14:sizeRelV>
          </wp:anchor>
        </w:drawing>
      </w:r>
    </w:p>
    <w:p w:rsidR="00BD50E5" w:rsidRPr="007B78CF" w:rsidRDefault="00BD50E5" w:rsidP="00BD50E5">
      <w:pPr>
        <w:spacing w:line="400" w:lineRule="exact"/>
        <w:ind w:leftChars="236" w:left="566"/>
        <w:rPr>
          <w:rFonts w:ascii="微軟正黑體" w:eastAsia="微軟正黑體" w:hAnsi="微軟正黑體"/>
          <w:color w:val="000000" w:themeColor="text1"/>
        </w:rPr>
      </w:pPr>
    </w:p>
    <w:p w:rsidR="00BD50E5" w:rsidRPr="007B78CF" w:rsidRDefault="00BD50E5" w:rsidP="00BD50E5">
      <w:pPr>
        <w:jc w:val="center"/>
        <w:rPr>
          <w:rFonts w:ascii="微軟正黑體" w:eastAsia="微軟正黑體" w:hAnsi="微軟正黑體"/>
          <w:color w:val="000000" w:themeColor="text1"/>
        </w:rPr>
      </w:pPr>
    </w:p>
    <w:p w:rsidR="00BD50E5" w:rsidRPr="007B78CF" w:rsidRDefault="00BD50E5" w:rsidP="00BD50E5">
      <w:pPr>
        <w:jc w:val="center"/>
        <w:rPr>
          <w:rFonts w:ascii="微軟正黑體" w:eastAsia="微軟正黑體" w:hAnsi="微軟正黑體"/>
          <w:color w:val="000000" w:themeColor="text1"/>
        </w:rPr>
      </w:pPr>
    </w:p>
    <w:p w:rsidR="00BD50E5" w:rsidRPr="007B78CF" w:rsidRDefault="00BD50E5" w:rsidP="00BD50E5">
      <w:pPr>
        <w:jc w:val="center"/>
        <w:rPr>
          <w:rFonts w:ascii="微軟正黑體" w:eastAsia="微軟正黑體" w:hAnsi="微軟正黑體"/>
          <w:color w:val="000000" w:themeColor="text1"/>
        </w:rPr>
      </w:pPr>
    </w:p>
    <w:p w:rsidR="00BD50E5" w:rsidRPr="007B78CF" w:rsidRDefault="00BD50E5" w:rsidP="00BD50E5">
      <w:pPr>
        <w:jc w:val="center"/>
        <w:rPr>
          <w:rFonts w:ascii="微軟正黑體" w:eastAsia="微軟正黑體" w:hAnsi="微軟正黑體"/>
          <w:color w:val="000000" w:themeColor="text1"/>
        </w:rPr>
      </w:pPr>
    </w:p>
    <w:p w:rsidR="00BD50E5" w:rsidRPr="007B78CF" w:rsidRDefault="00BD50E5" w:rsidP="00BD50E5">
      <w:pPr>
        <w:jc w:val="center"/>
        <w:rPr>
          <w:rFonts w:ascii="微軟正黑體" w:eastAsia="微軟正黑體" w:hAnsi="微軟正黑體"/>
          <w:color w:val="000000" w:themeColor="text1"/>
        </w:rPr>
      </w:pPr>
    </w:p>
    <w:p w:rsidR="00BD50E5" w:rsidRDefault="00BD50E5" w:rsidP="00BD50E5">
      <w:pPr>
        <w:spacing w:line="400" w:lineRule="exact"/>
        <w:jc w:val="center"/>
        <w:rPr>
          <w:rFonts w:ascii="微軟正黑體" w:eastAsia="微軟正黑體" w:hAnsi="微軟正黑體"/>
          <w:color w:val="000000" w:themeColor="text1"/>
        </w:rPr>
      </w:pPr>
    </w:p>
    <w:p w:rsidR="00BD50E5"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圖3.17  近10年定期退撫給與發放人數</w:t>
      </w:r>
    </w:p>
    <w:p w:rsidR="00BD50E5" w:rsidRDefault="00BD50E5" w:rsidP="00BD50E5">
      <w:pPr>
        <w:spacing w:line="400" w:lineRule="exact"/>
        <w:rPr>
          <w:rFonts w:ascii="微軟正黑體" w:eastAsia="微軟正黑體" w:hAnsi="微軟正黑體"/>
          <w:color w:val="000000" w:themeColor="text1"/>
        </w:rPr>
      </w:pPr>
      <w:r>
        <w:rPr>
          <w:noProof/>
        </w:rPr>
        <w:lastRenderedPageBreak/>
        <w:drawing>
          <wp:anchor distT="0" distB="0" distL="114300" distR="114300" simplePos="0" relativeHeight="252640256" behindDoc="0" locked="0" layoutInCell="1" allowOverlap="1" wp14:anchorId="1DDA855E" wp14:editId="633B3645">
            <wp:simplePos x="0" y="0"/>
            <wp:positionH relativeFrom="column">
              <wp:posOffset>109220</wp:posOffset>
            </wp:positionH>
            <wp:positionV relativeFrom="paragraph">
              <wp:posOffset>-90382</wp:posOffset>
            </wp:positionV>
            <wp:extent cx="5603358" cy="2955851"/>
            <wp:effectExtent l="0" t="0" r="16510" b="16510"/>
            <wp:wrapNone/>
            <wp:docPr id="65" name="圖表 6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page">
              <wp14:pctWidth>0</wp14:pctWidth>
            </wp14:sizeRelH>
            <wp14:sizeRelV relativeFrom="page">
              <wp14:pctHeight>0</wp14:pctHeight>
            </wp14:sizeRelV>
          </wp:anchor>
        </w:drawing>
      </w:r>
    </w:p>
    <w:p w:rsidR="00BD50E5" w:rsidRPr="007B78CF" w:rsidRDefault="00BD50E5" w:rsidP="00BD50E5">
      <w:pPr>
        <w:spacing w:line="400" w:lineRule="exact"/>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jc w:val="center"/>
        <w:rPr>
          <w:rFonts w:ascii="微軟正黑體" w:eastAsia="微軟正黑體" w:hAnsi="微軟正黑體"/>
          <w:color w:val="000000" w:themeColor="text1"/>
        </w:rPr>
      </w:pPr>
    </w:p>
    <w:p w:rsidR="00BD50E5" w:rsidRDefault="00BD50E5" w:rsidP="00BD50E5">
      <w:pPr>
        <w:spacing w:line="300" w:lineRule="exact"/>
        <w:contextualSpacing/>
        <w:jc w:val="center"/>
        <w:rPr>
          <w:rFonts w:ascii="微軟正黑體" w:eastAsia="微軟正黑體" w:hAnsi="微軟正黑體"/>
          <w:color w:val="000000" w:themeColor="text1"/>
        </w:rPr>
      </w:pPr>
    </w:p>
    <w:p w:rsidR="00BD50E5" w:rsidRDefault="00BD50E5" w:rsidP="00BD50E5">
      <w:pPr>
        <w:spacing w:line="280" w:lineRule="exact"/>
        <w:contextualSpacing/>
        <w:rPr>
          <w:rFonts w:ascii="微軟正黑體" w:eastAsia="微軟正黑體" w:hAnsi="微軟正黑體"/>
          <w:color w:val="000000" w:themeColor="text1"/>
          <w:sz w:val="20"/>
          <w:szCs w:val="20"/>
        </w:rPr>
      </w:pPr>
      <w:r w:rsidRPr="007B78CF">
        <w:rPr>
          <w:rFonts w:ascii="微軟正黑體" w:eastAsia="微軟正黑體" w:hAnsi="微軟正黑體"/>
          <w:bCs/>
          <w:noProof/>
          <w:color w:val="000000" w:themeColor="text1"/>
        </w:rPr>
        <mc:AlternateContent>
          <mc:Choice Requires="wps">
            <w:drawing>
              <wp:anchor distT="0" distB="0" distL="114300" distR="114300" simplePos="0" relativeHeight="252641280" behindDoc="0" locked="0" layoutInCell="1" allowOverlap="1" wp14:anchorId="719DEE13" wp14:editId="52C33627">
                <wp:simplePos x="0" y="0"/>
                <wp:positionH relativeFrom="column">
                  <wp:posOffset>115570</wp:posOffset>
                </wp:positionH>
                <wp:positionV relativeFrom="paragraph">
                  <wp:posOffset>130810</wp:posOffset>
                </wp:positionV>
                <wp:extent cx="3598333" cy="265430"/>
                <wp:effectExtent l="0" t="0" r="0" b="1270"/>
                <wp:wrapNone/>
                <wp:docPr id="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8333" cy="265430"/>
                        </a:xfrm>
                        <a:prstGeom prst="rect">
                          <a:avLst/>
                        </a:prstGeom>
                        <a:noFill/>
                        <a:ln w="9525">
                          <a:noFill/>
                          <a:miter lim="800000"/>
                          <a:headEnd/>
                          <a:tailEnd/>
                        </a:ln>
                      </wps:spPr>
                      <wps:txbx>
                        <w:txbxContent>
                          <w:p w:rsidR="00745375" w:rsidRPr="00632165" w:rsidRDefault="00745375" w:rsidP="00BD50E5">
                            <w:pPr>
                              <w:snapToGrid w:val="0"/>
                              <w:spacing w:line="240" w:lineRule="exact"/>
                              <w:rPr>
                                <w:rFonts w:ascii="微軟正黑體" w:eastAsia="微軟正黑體" w:hAnsi="微軟正黑體"/>
                                <w:sz w:val="20"/>
                                <w:szCs w:val="20"/>
                              </w:rPr>
                            </w:pPr>
                            <w:r w:rsidRPr="00632165">
                              <w:rPr>
                                <w:rFonts w:ascii="微軟正黑體" w:eastAsia="微軟正黑體" w:hAnsi="微軟正黑體" w:hint="eastAsia"/>
                                <w:sz w:val="20"/>
                                <w:szCs w:val="20"/>
                              </w:rPr>
                              <w:t>註：</w:t>
                            </w:r>
                            <w:r>
                              <w:rPr>
                                <w:rFonts w:ascii="微軟正黑體" w:eastAsia="微軟正黑體" w:hAnsi="微軟正黑體" w:hint="eastAsia"/>
                                <w:color w:val="000000" w:themeColor="text1"/>
                                <w:sz w:val="20"/>
                                <w:szCs w:val="20"/>
                              </w:rPr>
                              <w:t>人數包含政務人員、公務人員、教育人員及軍職人員。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9.1pt;margin-top:10.3pt;width:283.35pt;height:20.9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" filled="f" stroked="f">
                <v:textbox>
                  <w:txbxContent>
                    <w:p w:rsidR="00745375" w:rsidRPr="00632165" w:rsidRDefault="00745375" w:rsidP="00BD50E5">
                      <w:pPr>
                        <w:snapToGrid w:val="0"/>
                        <w:spacing w:line="240" w:lineRule="exact"/>
                        <w:rPr>
                          <w:rFonts w:ascii="微軟正黑體" w:eastAsia="微軟正黑體" w:hAnsi="微軟正黑體"/>
                          <w:sz w:val="20"/>
                          <w:szCs w:val="20"/>
                        </w:rPr>
                      </w:pPr>
                      <w:r w:rsidRPr="00632165">
                        <w:rPr>
                          <w:rFonts w:ascii="微軟正黑體" w:eastAsia="微軟正黑體" w:hAnsi="微軟正黑體" w:hint="eastAsia"/>
                          <w:sz w:val="20"/>
                          <w:szCs w:val="20"/>
                        </w:rPr>
                        <w:t>註：</w:t>
                      </w:r>
                      <w:r>
                        <w:rPr>
                          <w:rFonts w:ascii="微軟正黑體" w:eastAsia="微軟正黑體" w:hAnsi="微軟正黑體" w:hint="eastAsia"/>
                          <w:color w:val="000000" w:themeColor="text1"/>
                          <w:sz w:val="20"/>
                          <w:szCs w:val="20"/>
                        </w:rPr>
                        <w:t>人數包含政務人員、公務人員、教育人員及軍職人員。</w:t>
                      </w:r>
                    </w:p>
                  </w:txbxContent>
                </v:textbox>
              </v:shape>
            </w:pict>
          </mc:Fallback>
        </mc:AlternateContent>
      </w:r>
      <w:r w:rsidRPr="003835D2">
        <w:rPr>
          <w:rFonts w:ascii="微軟正黑體" w:eastAsia="微軟正黑體" w:hAnsi="微軟正黑體" w:hint="eastAsia"/>
          <w:color w:val="000000" w:themeColor="text1"/>
          <w:sz w:val="20"/>
          <w:szCs w:val="20"/>
        </w:rPr>
        <w:t xml:space="preserve">  </w:t>
      </w:r>
      <w:r>
        <w:rPr>
          <w:rFonts w:ascii="微軟正黑體" w:eastAsia="微軟正黑體" w:hAnsi="微軟正黑體" w:hint="eastAsia"/>
          <w:color w:val="000000" w:themeColor="text1"/>
          <w:sz w:val="20"/>
          <w:szCs w:val="20"/>
        </w:rPr>
        <w:t xml:space="preserve"> </w:t>
      </w:r>
    </w:p>
    <w:p w:rsidR="00BD50E5" w:rsidRPr="003835D2" w:rsidRDefault="00BD50E5" w:rsidP="00BD50E5">
      <w:pPr>
        <w:spacing w:line="280" w:lineRule="exact"/>
        <w:contextualSpacing/>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 xml:space="preserve"> </w:t>
      </w:r>
    </w:p>
    <w:p w:rsidR="00BD50E5" w:rsidRPr="007B78CF" w:rsidRDefault="00BD50E5" w:rsidP="00BD50E5">
      <w:pPr>
        <w:spacing w:beforeLines="30" w:before="108"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圖3.18  109年定期退撫給與發放項目及人數</w:t>
      </w:r>
    </w:p>
    <w:p w:rsidR="00BD50E5" w:rsidRPr="007B78CF" w:rsidRDefault="00BD50E5" w:rsidP="00BD50E5">
      <w:pPr>
        <w:spacing w:beforeLines="50" w:before="180"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(三) 財務概況</w:t>
      </w:r>
    </w:p>
    <w:p w:rsidR="00BD50E5" w:rsidRPr="007B78CF" w:rsidRDefault="00BD50E5" w:rsidP="00BD50E5">
      <w:pPr>
        <w:spacing w:beforeLines="50" w:before="18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1. 基金收支概況</w:t>
      </w:r>
    </w:p>
    <w:p w:rsidR="00BD50E5" w:rsidRPr="007B78CF" w:rsidRDefault="00BD50E5" w:rsidP="00BD50E5">
      <w:pPr>
        <w:autoSpaceDE w:val="0"/>
        <w:autoSpaceDN w:val="0"/>
        <w:adjustRightInd w:val="0"/>
        <w:spacing w:beforeLines="50" w:before="180" w:line="400" w:lineRule="exact"/>
        <w:ind w:leftChars="236" w:left="566"/>
        <w:rPr>
          <w:rFonts w:ascii="DFKaiShu-SB-Estd-BF" w:eastAsia="DFKaiShu-SB-Estd-BF" w:cs="DFKaiShu-SB-Estd-BF"/>
          <w:color w:val="000000" w:themeColor="text1"/>
          <w:kern w:val="0"/>
          <w:sz w:val="32"/>
          <w:szCs w:val="32"/>
        </w:rPr>
      </w:pPr>
      <w:r w:rsidRPr="007B78CF">
        <w:rPr>
          <w:rFonts w:ascii="微軟正黑體" w:eastAsia="微軟正黑體" w:hAnsi="微軟正黑體" w:hint="eastAsia"/>
          <w:color w:val="000000" w:themeColor="text1"/>
        </w:rPr>
        <w:t xml:space="preserve">    有關退撫基金給付占基金收繳百分比，公務人員及教育人員100年至108年皆大致呈現成長趨勢，109年公務人員為123.9%，教育人員為121.7%，皆較108年下降，</w:t>
      </w:r>
      <w:r w:rsidRPr="007B78CF">
        <w:rPr>
          <w:rFonts w:ascii="微軟正黑體" w:eastAsia="微軟正黑體" w:hAnsi="微軟正黑體" w:cs="DFKaiShu-SB-Estd-BF" w:hint="eastAsia"/>
          <w:color w:val="000000" w:themeColor="text1"/>
          <w:kern w:val="0"/>
        </w:rPr>
        <w:t>主要係因年金改革節省經費挹注基金所致</w:t>
      </w:r>
      <w:r w:rsidRPr="007B78CF">
        <w:rPr>
          <w:rFonts w:ascii="微軟正黑體" w:eastAsia="微軟正黑體" w:hAnsi="微軟正黑體" w:hint="eastAsia"/>
          <w:color w:val="000000" w:themeColor="text1"/>
        </w:rPr>
        <w:t>。另軍職人員100年至106年呈現成長趨勢，107年至108年明顯下降</w:t>
      </w:r>
      <w:r w:rsidRPr="007B78CF">
        <w:rPr>
          <w:rFonts w:ascii="微軟正黑體" w:eastAsia="微軟正黑體" w:hAnsi="微軟正黑體" w:cs="DFKaiShu-SB-Estd-BF" w:hint="eastAsia"/>
          <w:color w:val="000000" w:themeColor="text1"/>
          <w:kern w:val="0"/>
        </w:rPr>
        <w:t>，主要係自</w:t>
      </w:r>
      <w:r w:rsidRPr="007B78CF">
        <w:rPr>
          <w:rFonts w:ascii="微軟正黑體" w:eastAsia="微軟正黑體" w:hAnsi="微軟正黑體" w:cs="Times New Roman"/>
          <w:color w:val="000000" w:themeColor="text1"/>
          <w:kern w:val="0"/>
        </w:rPr>
        <w:t>107</w:t>
      </w:r>
      <w:r w:rsidRPr="007B78CF">
        <w:rPr>
          <w:rFonts w:ascii="微軟正黑體" w:eastAsia="微軟正黑體" w:hAnsi="微軟正黑體" w:cs="DFKaiShu-SB-Estd-BF" w:hint="eastAsia"/>
          <w:color w:val="000000" w:themeColor="text1"/>
          <w:kern w:val="0"/>
        </w:rPr>
        <w:t>年</w:t>
      </w:r>
      <w:r w:rsidRPr="007B78CF">
        <w:rPr>
          <w:rFonts w:ascii="微軟正黑體" w:eastAsia="微軟正黑體" w:hAnsi="微軟正黑體" w:cs="Times New Roman"/>
          <w:color w:val="000000" w:themeColor="text1"/>
          <w:kern w:val="0"/>
        </w:rPr>
        <w:t>7</w:t>
      </w:r>
      <w:r w:rsidRPr="007B78CF">
        <w:rPr>
          <w:rFonts w:ascii="微軟正黑體" w:eastAsia="微軟正黑體" w:hAnsi="微軟正黑體" w:cs="DFKaiShu-SB-Estd-BF" w:hint="eastAsia"/>
          <w:color w:val="000000" w:themeColor="text1"/>
          <w:kern w:val="0"/>
        </w:rPr>
        <w:t>月</w:t>
      </w:r>
      <w:r w:rsidRPr="007B78CF">
        <w:rPr>
          <w:rFonts w:ascii="微軟正黑體" w:eastAsia="微軟正黑體" w:hAnsi="微軟正黑體" w:cs="Times New Roman"/>
          <w:color w:val="000000" w:themeColor="text1"/>
          <w:kern w:val="0"/>
        </w:rPr>
        <w:t>1</w:t>
      </w:r>
      <w:r w:rsidRPr="007B78CF">
        <w:rPr>
          <w:rFonts w:ascii="微軟正黑體" w:eastAsia="微軟正黑體" w:hAnsi="微軟正黑體" w:cs="DFKaiShu-SB-Estd-BF" w:hint="eastAsia"/>
          <w:color w:val="000000" w:themeColor="text1"/>
          <w:kern w:val="0"/>
        </w:rPr>
        <w:t>日起，軍職人員退休俸由退撫基金及國軍退除役官兵輔導委員會(以下簡稱輔導會)按</w:t>
      </w:r>
      <w:r w:rsidRPr="007B78CF">
        <w:rPr>
          <w:rFonts w:ascii="微軟正黑體" w:eastAsia="微軟正黑體" w:hAnsi="微軟正黑體" w:cs="Times New Roman"/>
          <w:color w:val="000000" w:themeColor="text1"/>
          <w:kern w:val="0"/>
        </w:rPr>
        <w:t>30</w:t>
      </w:r>
      <w:r w:rsidRPr="007B78CF">
        <w:rPr>
          <w:rFonts w:ascii="微軟正黑體" w:eastAsia="微軟正黑體" w:hAnsi="微軟正黑體" w:cs="DFKaiShu-SB-Estd-BF" w:hint="eastAsia"/>
          <w:color w:val="000000" w:themeColor="text1"/>
          <w:kern w:val="0"/>
        </w:rPr>
        <w:t>％及</w:t>
      </w:r>
      <w:r w:rsidRPr="007B78CF">
        <w:rPr>
          <w:rFonts w:ascii="微軟正黑體" w:eastAsia="微軟正黑體" w:hAnsi="微軟正黑體" w:cs="Times New Roman"/>
          <w:color w:val="000000" w:themeColor="text1"/>
          <w:kern w:val="0"/>
        </w:rPr>
        <w:t>70</w:t>
      </w:r>
      <w:r w:rsidRPr="007B78CF">
        <w:rPr>
          <w:rFonts w:ascii="微軟正黑體" w:eastAsia="微軟正黑體" w:hAnsi="微軟正黑體" w:cs="DFKaiShu-SB-Estd-BF" w:hint="eastAsia"/>
          <w:color w:val="000000" w:themeColor="text1"/>
          <w:kern w:val="0"/>
        </w:rPr>
        <w:t>％比率支付，及退伍金由輔導會編列預算支付等因素所致。</w:t>
      </w: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r>
        <w:rPr>
          <w:noProof/>
        </w:rPr>
        <w:drawing>
          <wp:anchor distT="0" distB="0" distL="114300" distR="114300" simplePos="0" relativeHeight="252638208" behindDoc="0" locked="0" layoutInCell="1" allowOverlap="1" wp14:anchorId="26015BB3" wp14:editId="1D279A3A">
            <wp:simplePos x="0" y="0"/>
            <wp:positionH relativeFrom="column">
              <wp:posOffset>-39193</wp:posOffset>
            </wp:positionH>
            <wp:positionV relativeFrom="paragraph">
              <wp:posOffset>33345</wp:posOffset>
            </wp:positionV>
            <wp:extent cx="6113721" cy="2828260"/>
            <wp:effectExtent l="0" t="0" r="20955" b="10795"/>
            <wp:wrapNone/>
            <wp:docPr id="66" name="圖表 6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jc w:val="both"/>
        <w:rPr>
          <w:rFonts w:ascii="微軟正黑體" w:eastAsia="微軟正黑體" w:hAnsi="微軟正黑體"/>
          <w:color w:val="000000" w:themeColor="text1"/>
        </w:rPr>
      </w:pPr>
      <w:r w:rsidRPr="007B78CF">
        <w:rPr>
          <w:rFonts w:ascii="微軟正黑體" w:eastAsia="微軟正黑體" w:hAnsi="微軟正黑體"/>
          <w:bCs/>
          <w:noProof/>
          <w:color w:val="000000" w:themeColor="text1"/>
        </w:rPr>
        <mc:AlternateContent>
          <mc:Choice Requires="wps">
            <w:drawing>
              <wp:anchor distT="0" distB="0" distL="114300" distR="114300" simplePos="0" relativeHeight="252605440" behindDoc="0" locked="0" layoutInCell="1" allowOverlap="1" wp14:anchorId="13545F64" wp14:editId="26DC3B46">
                <wp:simplePos x="0" y="0"/>
                <wp:positionH relativeFrom="column">
                  <wp:posOffset>49742</wp:posOffset>
                </wp:positionH>
                <wp:positionV relativeFrom="paragraph">
                  <wp:posOffset>283210</wp:posOffset>
                </wp:positionV>
                <wp:extent cx="5664200" cy="265814"/>
                <wp:effectExtent l="0" t="0" r="0" b="1270"/>
                <wp:wrapNone/>
                <wp:docPr id="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265814"/>
                        </a:xfrm>
                        <a:prstGeom prst="rect">
                          <a:avLst/>
                        </a:prstGeom>
                        <a:noFill/>
                        <a:ln w="9525">
                          <a:noFill/>
                          <a:miter lim="800000"/>
                          <a:headEnd/>
                          <a:tailEnd/>
                        </a:ln>
                      </wps:spPr>
                      <wps:txbx>
                        <w:txbxContent>
                          <w:p w:rsidR="00745375" w:rsidRPr="00632165" w:rsidRDefault="00745375" w:rsidP="00BD50E5">
                            <w:pPr>
                              <w:snapToGrid w:val="0"/>
                              <w:spacing w:line="240" w:lineRule="exact"/>
                              <w:rPr>
                                <w:rFonts w:ascii="微軟正黑體" w:eastAsia="微軟正黑體" w:hAnsi="微軟正黑體"/>
                                <w:sz w:val="20"/>
                                <w:szCs w:val="20"/>
                              </w:rPr>
                            </w:pPr>
                            <w:r w:rsidRPr="00632165">
                              <w:rPr>
                                <w:rFonts w:ascii="微軟正黑體" w:eastAsia="微軟正黑體" w:hAnsi="微軟正黑體" w:hint="eastAsia"/>
                                <w:sz w:val="20"/>
                                <w:szCs w:val="20"/>
                              </w:rPr>
                              <w:t>註：1.公務人員收支部分含政務人員；2.</w:t>
                            </w:r>
                            <w:r>
                              <w:rPr>
                                <w:rFonts w:ascii="微軟正黑體" w:eastAsia="微軟正黑體" w:hAnsi="微軟正黑體" w:hint="eastAsia"/>
                                <w:sz w:val="20"/>
                                <w:szCs w:val="20"/>
                              </w:rPr>
                              <w:t>本項</w:t>
                            </w:r>
                            <w:r w:rsidRPr="00632165">
                              <w:rPr>
                                <w:rFonts w:ascii="微軟正黑體" w:eastAsia="微軟正黑體" w:hAnsi="微軟正黑體" w:hint="eastAsia"/>
                                <w:sz w:val="20"/>
                                <w:szCs w:val="20"/>
                              </w:rPr>
                              <w:t>為基金收入與支出之統計，</w:t>
                            </w:r>
                            <w:r w:rsidRPr="00632165">
                              <w:rPr>
                                <w:rFonts w:ascii="微軟正黑體" w:eastAsia="微軟正黑體" w:hAnsi="微軟正黑體"/>
                                <w:sz w:val="20"/>
                                <w:szCs w:val="20"/>
                              </w:rPr>
                              <w:t>不含基金投資運用收益。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9pt;margin-top:22.3pt;width:446pt;height:20.9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" filled="f" stroked="f">
                <v:textbox>
                  <w:txbxContent>
                    <w:p w:rsidR="00745375" w:rsidRPr="00632165" w:rsidRDefault="00745375" w:rsidP="00BD50E5">
                      <w:pPr>
                        <w:snapToGrid w:val="0"/>
                        <w:spacing w:line="240" w:lineRule="exact"/>
                        <w:rPr>
                          <w:rFonts w:ascii="微軟正黑體" w:eastAsia="微軟正黑體" w:hAnsi="微軟正黑體"/>
                          <w:sz w:val="20"/>
                          <w:szCs w:val="20"/>
                        </w:rPr>
                      </w:pPr>
                      <w:r w:rsidRPr="00632165">
                        <w:rPr>
                          <w:rFonts w:ascii="微軟正黑體" w:eastAsia="微軟正黑體" w:hAnsi="微軟正黑體" w:hint="eastAsia"/>
                          <w:sz w:val="20"/>
                          <w:szCs w:val="20"/>
                        </w:rPr>
                        <w:t>註：1.公務人員收支部分含政務人員；2.</w:t>
                      </w:r>
                      <w:r>
                        <w:rPr>
                          <w:rFonts w:ascii="微軟正黑體" w:eastAsia="微軟正黑體" w:hAnsi="微軟正黑體" w:hint="eastAsia"/>
                          <w:sz w:val="20"/>
                          <w:szCs w:val="20"/>
                        </w:rPr>
                        <w:t>本項</w:t>
                      </w:r>
                      <w:r w:rsidRPr="00632165">
                        <w:rPr>
                          <w:rFonts w:ascii="微軟正黑體" w:eastAsia="微軟正黑體" w:hAnsi="微軟正黑體" w:hint="eastAsia"/>
                          <w:sz w:val="20"/>
                          <w:szCs w:val="20"/>
                        </w:rPr>
                        <w:t>為基金收入與支出之統計，</w:t>
                      </w:r>
                      <w:r w:rsidRPr="00632165">
                        <w:rPr>
                          <w:rFonts w:ascii="微軟正黑體" w:eastAsia="微軟正黑體" w:hAnsi="微軟正黑體"/>
                          <w:sz w:val="20"/>
                          <w:szCs w:val="20"/>
                        </w:rPr>
                        <w:t>不含基金投資運用收益。</w:t>
                      </w:r>
                    </w:p>
                  </w:txbxContent>
                </v:textbox>
              </v:shape>
            </w:pict>
          </mc:Fallback>
        </mc:AlternateContent>
      </w:r>
    </w:p>
    <w:p w:rsidR="00BD50E5" w:rsidRPr="007B78CF" w:rsidRDefault="00BD50E5" w:rsidP="00BD50E5">
      <w:pPr>
        <w:spacing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w:t>
      </w:r>
    </w:p>
    <w:p w:rsidR="00BD50E5" w:rsidRPr="007B78CF" w:rsidRDefault="00BD50E5" w:rsidP="00BD50E5">
      <w:pPr>
        <w:spacing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圖3.19  近10年退撫基金支出占收入比率</w:t>
      </w:r>
    </w:p>
    <w:p w:rsidR="00BD50E5" w:rsidRPr="007B78CF" w:rsidRDefault="00BD50E5" w:rsidP="00BD50E5">
      <w:pPr>
        <w:spacing w:afterLines="30" w:after="108" w:line="400" w:lineRule="exact"/>
        <w:ind w:firstLineChars="200" w:firstLine="480"/>
        <w:rPr>
          <w:rFonts w:ascii="微軟正黑體" w:eastAsia="微軟正黑體" w:hAnsi="微軟正黑體"/>
          <w:color w:val="000000" w:themeColor="text1"/>
          <w:sz w:val="20"/>
          <w:szCs w:val="20"/>
        </w:rPr>
      </w:pPr>
      <w:r w:rsidRPr="007B78CF">
        <w:rPr>
          <w:rFonts w:ascii="微軟正黑體" w:eastAsia="微軟正黑體" w:hAnsi="微軟正黑體" w:hint="eastAsia"/>
          <w:color w:val="000000" w:themeColor="text1"/>
        </w:rPr>
        <w:lastRenderedPageBreak/>
        <w:t xml:space="preserve">                   表3.7  近10年退撫基金收支概況           </w:t>
      </w:r>
      <w:r w:rsidRPr="007B78CF">
        <w:rPr>
          <w:rFonts w:ascii="微軟正黑體" w:eastAsia="微軟正黑體" w:hAnsi="微軟正黑體" w:hint="eastAsia"/>
          <w:color w:val="000000" w:themeColor="text1"/>
          <w:sz w:val="20"/>
          <w:szCs w:val="20"/>
        </w:rPr>
        <w:t>單位：億元</w:t>
      </w:r>
    </w:p>
    <w:tbl>
      <w:tblPr>
        <w:tblW w:w="10143" w:type="dxa"/>
        <w:jc w:val="center"/>
        <w:tblInd w:w="-114" w:type="dxa"/>
        <w:tblLayout w:type="fixed"/>
        <w:tblCellMar>
          <w:left w:w="28" w:type="dxa"/>
          <w:right w:w="28" w:type="dxa"/>
        </w:tblCellMar>
        <w:tblLook w:val="04A0" w:firstRow="1" w:lastRow="0" w:firstColumn="1" w:lastColumn="0" w:noHBand="0" w:noVBand="1"/>
      </w:tblPr>
      <w:tblGrid>
        <w:gridCol w:w="646"/>
        <w:gridCol w:w="686"/>
        <w:gridCol w:w="881"/>
        <w:gridCol w:w="881"/>
        <w:gridCol w:w="881"/>
        <w:gridCol w:w="881"/>
        <w:gridCol w:w="881"/>
        <w:gridCol w:w="881"/>
        <w:gridCol w:w="881"/>
        <w:gridCol w:w="881"/>
        <w:gridCol w:w="881"/>
        <w:gridCol w:w="882"/>
      </w:tblGrid>
      <w:tr w:rsidR="00BD50E5" w:rsidRPr="007B78CF" w:rsidTr="00B671DC">
        <w:trPr>
          <w:trHeight w:val="330"/>
          <w:jc w:val="center"/>
        </w:trPr>
        <w:tc>
          <w:tcPr>
            <w:tcW w:w="13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年度</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100</w:t>
            </w:r>
            <w:r w:rsidRPr="007B78CF">
              <w:rPr>
                <w:rFonts w:ascii="微軟正黑體" w:eastAsia="微軟正黑體" w:hAnsi="微軟正黑體" w:cs="Times New Roman" w:hint="eastAsia"/>
                <w:color w:val="000000" w:themeColor="text1"/>
                <w:kern w:val="0"/>
                <w:sz w:val="22"/>
                <w:szCs w:val="22"/>
              </w:rPr>
              <w:t>年</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101</w:t>
            </w:r>
            <w:r w:rsidRPr="007B78CF">
              <w:rPr>
                <w:rFonts w:ascii="微軟正黑體" w:eastAsia="微軟正黑體" w:hAnsi="微軟正黑體" w:cs="Times New Roman" w:hint="eastAsia"/>
                <w:color w:val="000000" w:themeColor="text1"/>
                <w:kern w:val="0"/>
                <w:sz w:val="22"/>
                <w:szCs w:val="22"/>
              </w:rPr>
              <w:t>年</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102</w:t>
            </w:r>
            <w:r w:rsidRPr="007B78CF">
              <w:rPr>
                <w:rFonts w:ascii="微軟正黑體" w:eastAsia="微軟正黑體" w:hAnsi="微軟正黑體" w:cs="Times New Roman" w:hint="eastAsia"/>
                <w:color w:val="000000" w:themeColor="text1"/>
                <w:kern w:val="0"/>
                <w:sz w:val="22"/>
                <w:szCs w:val="22"/>
              </w:rPr>
              <w:t>年</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103</w:t>
            </w:r>
            <w:r w:rsidRPr="007B78CF">
              <w:rPr>
                <w:rFonts w:ascii="微軟正黑體" w:eastAsia="微軟正黑體" w:hAnsi="微軟正黑體" w:cs="Times New Roman" w:hint="eastAsia"/>
                <w:color w:val="000000" w:themeColor="text1"/>
                <w:kern w:val="0"/>
                <w:sz w:val="22"/>
                <w:szCs w:val="22"/>
              </w:rPr>
              <w:t>年</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104</w:t>
            </w:r>
            <w:r w:rsidRPr="007B78CF">
              <w:rPr>
                <w:rFonts w:ascii="微軟正黑體" w:eastAsia="微軟正黑體" w:hAnsi="微軟正黑體" w:cs="Times New Roman" w:hint="eastAsia"/>
                <w:color w:val="000000" w:themeColor="text1"/>
                <w:kern w:val="0"/>
                <w:sz w:val="22"/>
                <w:szCs w:val="22"/>
              </w:rPr>
              <w:t>年</w:t>
            </w:r>
          </w:p>
        </w:tc>
        <w:tc>
          <w:tcPr>
            <w:tcW w:w="881" w:type="dxa"/>
            <w:tcBorders>
              <w:top w:val="single" w:sz="4" w:space="0" w:color="auto"/>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105</w:t>
            </w:r>
            <w:r w:rsidRPr="007B78CF">
              <w:rPr>
                <w:rFonts w:ascii="微軟正黑體" w:eastAsia="微軟正黑體" w:hAnsi="微軟正黑體" w:cs="Times New Roman" w:hint="eastAsia"/>
                <w:color w:val="000000" w:themeColor="text1"/>
                <w:kern w:val="0"/>
                <w:sz w:val="22"/>
                <w:szCs w:val="22"/>
              </w:rPr>
              <w:t>年</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106</w:t>
            </w:r>
            <w:r w:rsidRPr="007B78CF">
              <w:rPr>
                <w:rFonts w:ascii="微軟正黑體" w:eastAsia="微軟正黑體" w:hAnsi="微軟正黑體" w:cs="Times New Roman" w:hint="eastAsia"/>
                <w:color w:val="000000" w:themeColor="text1"/>
                <w:kern w:val="0"/>
                <w:sz w:val="22"/>
                <w:szCs w:val="22"/>
              </w:rPr>
              <w:t>年</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107</w:t>
            </w:r>
            <w:r w:rsidRPr="007B78CF">
              <w:rPr>
                <w:rFonts w:ascii="微軟正黑體" w:eastAsia="微軟正黑體" w:hAnsi="微軟正黑體" w:cs="Times New Roman" w:hint="eastAsia"/>
                <w:color w:val="000000" w:themeColor="text1"/>
                <w:kern w:val="0"/>
                <w:sz w:val="22"/>
                <w:szCs w:val="22"/>
              </w:rPr>
              <w:t>年</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108</w:t>
            </w:r>
            <w:r w:rsidRPr="007B78CF">
              <w:rPr>
                <w:rFonts w:ascii="微軟正黑體" w:eastAsia="微軟正黑體" w:hAnsi="微軟正黑體" w:cs="Times New Roman" w:hint="eastAsia"/>
                <w:color w:val="000000" w:themeColor="text1"/>
                <w:kern w:val="0"/>
                <w:sz w:val="22"/>
                <w:szCs w:val="22"/>
              </w:rPr>
              <w:t>年</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109</w:t>
            </w:r>
            <w:r w:rsidRPr="007B78CF">
              <w:rPr>
                <w:rFonts w:ascii="微軟正黑體" w:eastAsia="微軟正黑體" w:hAnsi="微軟正黑體" w:cs="Times New Roman" w:hint="eastAsia"/>
                <w:color w:val="000000" w:themeColor="text1"/>
                <w:kern w:val="0"/>
                <w:sz w:val="22"/>
                <w:szCs w:val="22"/>
              </w:rPr>
              <w:t>年</w:t>
            </w:r>
          </w:p>
        </w:tc>
      </w:tr>
      <w:tr w:rsidR="00BD50E5" w:rsidRPr="007B78CF" w:rsidTr="00B671DC">
        <w:trPr>
          <w:trHeight w:val="330"/>
          <w:jc w:val="center"/>
        </w:trPr>
        <w:tc>
          <w:tcPr>
            <w:tcW w:w="646" w:type="dxa"/>
            <w:vMerge w:val="restart"/>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公務人員</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支出</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167.5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202.7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236.2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269.9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306.1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347.0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381.7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420.6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433.8 </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452.2 </w:t>
            </w:r>
          </w:p>
        </w:tc>
      </w:tr>
      <w:tr w:rsidR="00BD50E5" w:rsidRPr="007B78CF" w:rsidTr="00B671DC">
        <w:trPr>
          <w:trHeight w:val="330"/>
          <w:jc w:val="center"/>
        </w:trPr>
        <w:tc>
          <w:tcPr>
            <w:tcW w:w="646" w:type="dxa"/>
            <w:vMerge/>
            <w:tcBorders>
              <w:top w:val="nil"/>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Times New Roman"/>
                <w:color w:val="000000" w:themeColor="text1"/>
                <w:kern w:val="0"/>
                <w:sz w:val="22"/>
                <w:szCs w:val="22"/>
              </w:rPr>
            </w:pP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收入</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272.9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276.7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278.3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279.7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278.8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277.8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280.6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293.2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298.5 </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365.1 </w:t>
            </w:r>
          </w:p>
        </w:tc>
      </w:tr>
      <w:tr w:rsidR="00BD50E5" w:rsidRPr="007B78CF" w:rsidTr="00B671DC">
        <w:trPr>
          <w:trHeight w:val="330"/>
          <w:jc w:val="center"/>
        </w:trPr>
        <w:tc>
          <w:tcPr>
            <w:tcW w:w="646" w:type="dxa"/>
            <w:vMerge/>
            <w:tcBorders>
              <w:top w:val="nil"/>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Times New Roman"/>
                <w:color w:val="000000" w:themeColor="text1"/>
                <w:kern w:val="0"/>
                <w:sz w:val="22"/>
                <w:szCs w:val="22"/>
              </w:rPr>
            </w:pP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支</w:t>
            </w:r>
            <w:r w:rsidRPr="007B78CF">
              <w:rPr>
                <w:rFonts w:ascii="微軟正黑體" w:eastAsia="微軟正黑體" w:hAnsi="微軟正黑體" w:cs="Times New Roman"/>
                <w:color w:val="000000" w:themeColor="text1"/>
                <w:kern w:val="0"/>
                <w:sz w:val="22"/>
                <w:szCs w:val="22"/>
              </w:rPr>
              <w:t>/</w:t>
            </w:r>
            <w:r w:rsidRPr="007B78CF">
              <w:rPr>
                <w:rFonts w:ascii="微軟正黑體" w:eastAsia="微軟正黑體" w:hAnsi="微軟正黑體" w:cs="Times New Roman" w:hint="eastAsia"/>
                <w:color w:val="000000" w:themeColor="text1"/>
                <w:kern w:val="0"/>
                <w:sz w:val="22"/>
                <w:szCs w:val="22"/>
              </w:rPr>
              <w:t>收</w:t>
            </w: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61.4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73.2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84.9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96.5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109.8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124.9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136.0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143.4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145.3 </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123.9 </w:t>
            </w:r>
          </w:p>
        </w:tc>
      </w:tr>
      <w:tr w:rsidR="00BD50E5" w:rsidRPr="007B78CF" w:rsidTr="00B671DC">
        <w:trPr>
          <w:trHeight w:val="345"/>
          <w:jc w:val="center"/>
        </w:trPr>
        <w:tc>
          <w:tcPr>
            <w:tcW w:w="646" w:type="dxa"/>
            <w:vMerge w:val="restart"/>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教育人員</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支出</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159.8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183.1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204.9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224.5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249.3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279.1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310.1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342.8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361.1 </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375.3 </w:t>
            </w:r>
          </w:p>
        </w:tc>
      </w:tr>
      <w:tr w:rsidR="00BD50E5" w:rsidRPr="007B78CF" w:rsidTr="00B671DC">
        <w:trPr>
          <w:trHeight w:val="330"/>
          <w:jc w:val="center"/>
        </w:trPr>
        <w:tc>
          <w:tcPr>
            <w:tcW w:w="646" w:type="dxa"/>
            <w:vMerge/>
            <w:tcBorders>
              <w:top w:val="nil"/>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Times New Roman"/>
                <w:color w:val="000000" w:themeColor="text1"/>
                <w:kern w:val="0"/>
                <w:sz w:val="22"/>
                <w:szCs w:val="22"/>
              </w:rPr>
            </w:pP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收入</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211.9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215.7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217.7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219.8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220.2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219.4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218.5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227.9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228.6 </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308.4 </w:t>
            </w:r>
          </w:p>
        </w:tc>
      </w:tr>
      <w:tr w:rsidR="00BD50E5" w:rsidRPr="007B78CF" w:rsidTr="00B671DC">
        <w:trPr>
          <w:trHeight w:val="330"/>
          <w:jc w:val="center"/>
        </w:trPr>
        <w:tc>
          <w:tcPr>
            <w:tcW w:w="646" w:type="dxa"/>
            <w:vMerge/>
            <w:tcBorders>
              <w:top w:val="nil"/>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Times New Roman"/>
                <w:color w:val="000000" w:themeColor="text1"/>
                <w:kern w:val="0"/>
                <w:sz w:val="22"/>
                <w:szCs w:val="22"/>
              </w:rPr>
            </w:pP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支</w:t>
            </w:r>
            <w:r w:rsidRPr="007B78CF">
              <w:rPr>
                <w:rFonts w:ascii="微軟正黑體" w:eastAsia="微軟正黑體" w:hAnsi="微軟正黑體" w:cs="Times New Roman"/>
                <w:color w:val="000000" w:themeColor="text1"/>
                <w:kern w:val="0"/>
                <w:sz w:val="22"/>
                <w:szCs w:val="22"/>
              </w:rPr>
              <w:t>/</w:t>
            </w:r>
            <w:r w:rsidRPr="007B78CF">
              <w:rPr>
                <w:rFonts w:ascii="微軟正黑體" w:eastAsia="微軟正黑體" w:hAnsi="微軟正黑體" w:cs="Times New Roman" w:hint="eastAsia"/>
                <w:color w:val="000000" w:themeColor="text1"/>
                <w:kern w:val="0"/>
                <w:sz w:val="22"/>
                <w:szCs w:val="22"/>
              </w:rPr>
              <w:t>收</w:t>
            </w: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75.4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84.9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94.1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102.1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113.2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127.2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141.9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150.4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158.0 </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121.7 </w:t>
            </w:r>
          </w:p>
        </w:tc>
      </w:tr>
      <w:tr w:rsidR="00BD50E5" w:rsidRPr="007B78CF" w:rsidTr="00B671DC">
        <w:trPr>
          <w:trHeight w:val="330"/>
          <w:jc w:val="center"/>
        </w:trPr>
        <w:tc>
          <w:tcPr>
            <w:tcW w:w="646" w:type="dxa"/>
            <w:vMerge w:val="restart"/>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軍職人員</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支出</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98.7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115.7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136.2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135.9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144.9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159.7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174.3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141.2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 xml:space="preserve">107.9 </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111.9</w:t>
            </w:r>
          </w:p>
        </w:tc>
      </w:tr>
      <w:tr w:rsidR="00BD50E5" w:rsidRPr="007B78CF" w:rsidTr="00B671DC">
        <w:trPr>
          <w:trHeight w:val="330"/>
          <w:jc w:val="center"/>
        </w:trPr>
        <w:tc>
          <w:tcPr>
            <w:tcW w:w="646" w:type="dxa"/>
            <w:vMerge/>
            <w:tcBorders>
              <w:top w:val="nil"/>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Times New Roman"/>
                <w:color w:val="000000" w:themeColor="text1"/>
                <w:kern w:val="0"/>
                <w:sz w:val="22"/>
                <w:szCs w:val="22"/>
              </w:rPr>
            </w:pP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收入</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92.0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98.1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96.6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97.2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98.3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98.9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98.0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137.3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211.0</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213.0</w:t>
            </w:r>
          </w:p>
        </w:tc>
      </w:tr>
      <w:tr w:rsidR="00BD50E5" w:rsidRPr="007B78CF" w:rsidTr="00B671DC">
        <w:trPr>
          <w:trHeight w:val="330"/>
          <w:jc w:val="center"/>
        </w:trPr>
        <w:tc>
          <w:tcPr>
            <w:tcW w:w="646" w:type="dxa"/>
            <w:vMerge/>
            <w:tcBorders>
              <w:top w:val="nil"/>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Times New Roman"/>
                <w:color w:val="000000" w:themeColor="text1"/>
                <w:kern w:val="0"/>
                <w:sz w:val="22"/>
                <w:szCs w:val="22"/>
              </w:rPr>
            </w:pP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支</w:t>
            </w:r>
            <w:r w:rsidRPr="007B78CF">
              <w:rPr>
                <w:rFonts w:ascii="微軟正黑體" w:eastAsia="微軟正黑體" w:hAnsi="微軟正黑體" w:cs="Times New Roman"/>
                <w:color w:val="000000" w:themeColor="text1"/>
                <w:kern w:val="0"/>
                <w:sz w:val="22"/>
                <w:szCs w:val="22"/>
              </w:rPr>
              <w:t>/</w:t>
            </w:r>
            <w:r w:rsidRPr="007B78CF">
              <w:rPr>
                <w:rFonts w:ascii="微軟正黑體" w:eastAsia="微軟正黑體" w:hAnsi="微軟正黑體" w:cs="Times New Roman" w:hint="eastAsia"/>
                <w:color w:val="000000" w:themeColor="text1"/>
                <w:kern w:val="0"/>
                <w:sz w:val="22"/>
                <w:szCs w:val="22"/>
              </w:rPr>
              <w:t>收</w:t>
            </w: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107.3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118.0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141.1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139.9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147.4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Pr>
                <w:rFonts w:ascii="微軟正黑體" w:eastAsia="微軟正黑體" w:hAnsi="微軟正黑體" w:cs="Times New Roman"/>
                <w:color w:val="000000" w:themeColor="text1"/>
                <w:kern w:val="0"/>
                <w:sz w:val="22"/>
                <w:szCs w:val="22"/>
              </w:rPr>
              <w:t>161.</w:t>
            </w:r>
            <w:r>
              <w:rPr>
                <w:rFonts w:ascii="微軟正黑體" w:eastAsia="微軟正黑體" w:hAnsi="微軟正黑體" w:cs="Times New Roman" w:hint="eastAsia"/>
                <w:color w:val="000000" w:themeColor="text1"/>
                <w:kern w:val="0"/>
                <w:sz w:val="22"/>
                <w:szCs w:val="22"/>
              </w:rPr>
              <w:t>5</w:t>
            </w:r>
            <w:r w:rsidRPr="007B78CF">
              <w:rPr>
                <w:rFonts w:ascii="微軟正黑體" w:eastAsia="微軟正黑體" w:hAnsi="微軟正黑體" w:cs="Times New Roman"/>
                <w:color w:val="000000" w:themeColor="text1"/>
                <w:kern w:val="0"/>
                <w:sz w:val="22"/>
                <w:szCs w:val="22"/>
              </w:rPr>
              <w:t xml:space="preserve">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177.9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102.9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51.1</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52.5</w:t>
            </w:r>
          </w:p>
        </w:tc>
      </w:tr>
      <w:tr w:rsidR="00BD50E5" w:rsidRPr="007B78CF" w:rsidTr="00B671DC">
        <w:trPr>
          <w:trHeight w:val="330"/>
          <w:jc w:val="center"/>
        </w:trPr>
        <w:tc>
          <w:tcPr>
            <w:tcW w:w="646" w:type="dxa"/>
            <w:vMerge w:val="restart"/>
            <w:tcBorders>
              <w:top w:val="nil"/>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合計</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支出</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426.0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501.5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577.3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630.2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700.3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785.8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866.1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904.6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902.8</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939.4</w:t>
            </w:r>
          </w:p>
        </w:tc>
      </w:tr>
      <w:tr w:rsidR="00BD50E5" w:rsidRPr="007B78CF" w:rsidTr="00B671DC">
        <w:trPr>
          <w:trHeight w:val="330"/>
          <w:jc w:val="center"/>
        </w:trPr>
        <w:tc>
          <w:tcPr>
            <w:tcW w:w="646" w:type="dxa"/>
            <w:vMerge/>
            <w:tcBorders>
              <w:top w:val="nil"/>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Times New Roman"/>
                <w:color w:val="000000" w:themeColor="text1"/>
                <w:kern w:val="0"/>
                <w:sz w:val="22"/>
                <w:szCs w:val="22"/>
              </w:rPr>
            </w:pP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收入</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576.8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590.5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592.5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596.6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597.3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596.1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597.1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658.4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738.1</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886.5</w:t>
            </w:r>
          </w:p>
        </w:tc>
      </w:tr>
      <w:tr w:rsidR="00BD50E5" w:rsidRPr="007B78CF" w:rsidTr="00B671DC">
        <w:trPr>
          <w:trHeight w:val="330"/>
          <w:jc w:val="center"/>
        </w:trPr>
        <w:tc>
          <w:tcPr>
            <w:tcW w:w="646" w:type="dxa"/>
            <w:vMerge/>
            <w:tcBorders>
              <w:top w:val="nil"/>
              <w:left w:val="single" w:sz="4" w:space="0" w:color="auto"/>
              <w:bottom w:val="single" w:sz="4" w:space="0" w:color="auto"/>
              <w:right w:val="single" w:sz="4" w:space="0" w:color="auto"/>
            </w:tcBorders>
            <w:vAlign w:val="center"/>
            <w:hideMark/>
          </w:tcPr>
          <w:p w:rsidR="00BD50E5" w:rsidRPr="007B78CF" w:rsidRDefault="00BD50E5" w:rsidP="008F1977">
            <w:pPr>
              <w:widowControl/>
              <w:spacing w:line="360" w:lineRule="exact"/>
              <w:rPr>
                <w:rFonts w:ascii="微軟正黑體" w:eastAsia="微軟正黑體" w:hAnsi="微軟正黑體" w:cs="Times New Roman"/>
                <w:color w:val="000000" w:themeColor="text1"/>
                <w:kern w:val="0"/>
                <w:sz w:val="22"/>
                <w:szCs w:val="22"/>
              </w:rPr>
            </w:pPr>
          </w:p>
        </w:tc>
        <w:tc>
          <w:tcPr>
            <w:tcW w:w="686" w:type="dxa"/>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支</w:t>
            </w:r>
            <w:r w:rsidRPr="007B78CF">
              <w:rPr>
                <w:rFonts w:ascii="微軟正黑體" w:eastAsia="微軟正黑體" w:hAnsi="微軟正黑體" w:cs="Times New Roman"/>
                <w:color w:val="000000" w:themeColor="text1"/>
                <w:kern w:val="0"/>
                <w:sz w:val="22"/>
                <w:szCs w:val="22"/>
              </w:rPr>
              <w:t>/</w:t>
            </w:r>
            <w:r w:rsidRPr="007B78CF">
              <w:rPr>
                <w:rFonts w:ascii="微軟正黑體" w:eastAsia="微軟正黑體" w:hAnsi="微軟正黑體" w:cs="Times New Roman" w:hint="eastAsia"/>
                <w:color w:val="000000" w:themeColor="text1"/>
                <w:kern w:val="0"/>
                <w:sz w:val="22"/>
                <w:szCs w:val="22"/>
              </w:rPr>
              <w:t>收</w:t>
            </w: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73.9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84.9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97.4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105.6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Pr>
                <w:rFonts w:ascii="微軟正黑體" w:eastAsia="微軟正黑體" w:hAnsi="微軟正黑體" w:cs="Times New Roman"/>
                <w:color w:val="000000" w:themeColor="text1"/>
                <w:kern w:val="0"/>
                <w:sz w:val="22"/>
                <w:szCs w:val="22"/>
              </w:rPr>
              <w:t>117.</w:t>
            </w:r>
            <w:r>
              <w:rPr>
                <w:rFonts w:ascii="微軟正黑體" w:eastAsia="微軟正黑體" w:hAnsi="微軟正黑體" w:cs="Times New Roman" w:hint="eastAsia"/>
                <w:color w:val="000000" w:themeColor="text1"/>
                <w:kern w:val="0"/>
                <w:sz w:val="22"/>
                <w:szCs w:val="22"/>
              </w:rPr>
              <w:t>3</w:t>
            </w:r>
            <w:r w:rsidRPr="007B78CF">
              <w:rPr>
                <w:rFonts w:ascii="微軟正黑體" w:eastAsia="微軟正黑體" w:hAnsi="微軟正黑體" w:cs="Times New Roman"/>
                <w:color w:val="000000" w:themeColor="text1"/>
                <w:kern w:val="0"/>
                <w:sz w:val="22"/>
                <w:szCs w:val="22"/>
              </w:rPr>
              <w:t xml:space="preserve">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131.8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145.1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137.4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122.3</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106.0</w:t>
            </w:r>
          </w:p>
        </w:tc>
      </w:tr>
      <w:tr w:rsidR="00BD50E5" w:rsidRPr="007B78CF" w:rsidTr="00B671DC">
        <w:trPr>
          <w:trHeight w:val="330"/>
          <w:jc w:val="center"/>
        </w:trPr>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提撥率</w:t>
            </w: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12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12</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12</w:t>
            </w:r>
          </w:p>
        </w:tc>
      </w:tr>
      <w:tr w:rsidR="00BD50E5" w:rsidRPr="007B78CF" w:rsidTr="00B671DC">
        <w:trPr>
          <w:trHeight w:val="330"/>
          <w:jc w:val="center"/>
        </w:trPr>
        <w:tc>
          <w:tcPr>
            <w:tcW w:w="13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hint="eastAsia"/>
                <w:color w:val="000000" w:themeColor="text1"/>
                <w:kern w:val="0"/>
                <w:sz w:val="22"/>
                <w:szCs w:val="22"/>
              </w:rPr>
              <w:t>調薪</w:t>
            </w: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3</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3</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righ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w:t>
            </w:r>
          </w:p>
        </w:tc>
      </w:tr>
      <w:tr w:rsidR="00BD50E5" w:rsidRPr="007B78CF" w:rsidTr="00B671DC">
        <w:trPr>
          <w:trHeight w:val="366"/>
          <w:jc w:val="center"/>
        </w:trPr>
        <w:tc>
          <w:tcPr>
            <w:tcW w:w="133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參加人數(人)</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631,690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627,163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622,197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624,993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629,566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634,666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639,412 </w:t>
            </w:r>
          </w:p>
        </w:tc>
        <w:tc>
          <w:tcPr>
            <w:tcW w:w="881"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widowControl/>
              <w:spacing w:line="360" w:lineRule="exact"/>
              <w:jc w:val="center"/>
              <w:rPr>
                <w:rFonts w:ascii="微軟正黑體" w:eastAsia="微軟正黑體" w:hAnsi="微軟正黑體" w:cs="Times New Roman"/>
                <w:color w:val="000000" w:themeColor="text1"/>
                <w:kern w:val="0"/>
                <w:sz w:val="22"/>
                <w:szCs w:val="22"/>
              </w:rPr>
            </w:pPr>
            <w:r w:rsidRPr="007B78CF">
              <w:rPr>
                <w:rFonts w:ascii="微軟正黑體" w:eastAsia="微軟正黑體" w:hAnsi="微軟正黑體" w:cs="Times New Roman"/>
                <w:color w:val="000000" w:themeColor="text1"/>
                <w:kern w:val="0"/>
                <w:sz w:val="22"/>
                <w:szCs w:val="22"/>
              </w:rPr>
              <w:t xml:space="preserve">651,186 </w:t>
            </w:r>
          </w:p>
        </w:tc>
        <w:tc>
          <w:tcPr>
            <w:tcW w:w="88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663,550</w:t>
            </w:r>
          </w:p>
        </w:tc>
        <w:tc>
          <w:tcPr>
            <w:tcW w:w="88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2"/>
                <w:szCs w:val="22"/>
              </w:rPr>
            </w:pPr>
            <w:r w:rsidRPr="007B78CF">
              <w:rPr>
                <w:rFonts w:ascii="微軟正黑體" w:eastAsia="微軟正黑體" w:hAnsi="微軟正黑體" w:cs="新細明體" w:hint="eastAsia"/>
                <w:color w:val="000000" w:themeColor="text1"/>
                <w:kern w:val="0"/>
                <w:sz w:val="22"/>
                <w:szCs w:val="22"/>
              </w:rPr>
              <w:t>671,550</w:t>
            </w:r>
          </w:p>
        </w:tc>
      </w:tr>
    </w:tbl>
    <w:p w:rsidR="00BD50E5" w:rsidRPr="007B78CF" w:rsidRDefault="00BD50E5" w:rsidP="00BD50E5">
      <w:pPr>
        <w:spacing w:beforeLines="50" w:before="180" w:line="400" w:lineRule="exact"/>
        <w:rPr>
          <w:rFonts w:ascii="微軟正黑體" w:eastAsia="微軟正黑體" w:hAnsi="微軟正黑體"/>
          <w:color w:val="000000" w:themeColor="text1"/>
        </w:rPr>
      </w:pPr>
      <w:r w:rsidRPr="007B78CF">
        <w:rPr>
          <w:rFonts w:ascii="微軟正黑體" w:eastAsia="微軟正黑體" w:hAnsi="微軟正黑體"/>
          <w:bCs/>
          <w:noProof/>
          <w:color w:val="000000" w:themeColor="text1"/>
        </w:rPr>
        <mc:AlternateContent>
          <mc:Choice Requires="wps">
            <w:drawing>
              <wp:anchor distT="0" distB="0" distL="114300" distR="114300" simplePos="0" relativeHeight="252606464" behindDoc="0" locked="0" layoutInCell="1" allowOverlap="1" wp14:anchorId="69DAABE4" wp14:editId="05014444">
                <wp:simplePos x="0" y="0"/>
                <wp:positionH relativeFrom="column">
                  <wp:posOffset>-2963</wp:posOffset>
                </wp:positionH>
                <wp:positionV relativeFrom="paragraph">
                  <wp:posOffset>13970</wp:posOffset>
                </wp:positionV>
                <wp:extent cx="6326372" cy="584200"/>
                <wp:effectExtent l="0" t="0" r="0" b="6350"/>
                <wp:wrapNone/>
                <wp:docPr id="1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372" cy="584200"/>
                        </a:xfrm>
                        <a:prstGeom prst="rect">
                          <a:avLst/>
                        </a:prstGeom>
                        <a:noFill/>
                        <a:ln w="9525">
                          <a:noFill/>
                          <a:miter lim="800000"/>
                          <a:headEnd/>
                          <a:tailEnd/>
                        </a:ln>
                      </wps:spPr>
                      <wps:txbx>
                        <w:txbxContent>
                          <w:p w:rsidR="00745375" w:rsidRPr="00330C75" w:rsidRDefault="00745375" w:rsidP="00A341E4">
                            <w:pPr>
                              <w:snapToGrid w:val="0"/>
                              <w:spacing w:line="240" w:lineRule="exact"/>
                              <w:rPr>
                                <w:rFonts w:ascii="微軟正黑體" w:eastAsia="微軟正黑體" w:hAnsi="微軟正黑體"/>
                                <w:color w:val="000000" w:themeColor="text1"/>
                                <w:sz w:val="20"/>
                                <w:szCs w:val="20"/>
                              </w:rPr>
                            </w:pPr>
                            <w:r w:rsidRPr="00341FF8">
                              <w:rPr>
                                <w:rFonts w:ascii="微軟正黑體" w:eastAsia="微軟正黑體" w:hAnsi="微軟正黑體" w:hint="eastAsia"/>
                                <w:color w:val="000000" w:themeColor="text1"/>
                                <w:sz w:val="20"/>
                                <w:szCs w:val="20"/>
                              </w:rPr>
                              <w:t>註：</w:t>
                            </w:r>
                            <w:r w:rsidRPr="00330C75">
                              <w:rPr>
                                <w:rFonts w:ascii="微軟正黑體" w:eastAsia="微軟正黑體" w:hAnsi="微軟正黑體" w:hint="eastAsia"/>
                                <w:color w:val="000000" w:themeColor="text1"/>
                                <w:sz w:val="20"/>
                                <w:szCs w:val="20"/>
                              </w:rPr>
                              <w:t>1.公務人員收支部分含政務人員；2.本項為基金收入與支出之統計，</w:t>
                            </w:r>
                            <w:r w:rsidRPr="00330C75">
                              <w:rPr>
                                <w:rFonts w:ascii="微軟正黑體" w:eastAsia="微軟正黑體" w:hAnsi="微軟正黑體"/>
                                <w:color w:val="000000" w:themeColor="text1"/>
                                <w:sz w:val="20"/>
                                <w:szCs w:val="20"/>
                              </w:rPr>
                              <w:t>不含基金投資運用收益。</w:t>
                            </w:r>
                          </w:p>
                          <w:p w:rsidR="00745375" w:rsidRPr="00330C75" w:rsidRDefault="00745375" w:rsidP="00BD50E5">
                            <w:pPr>
                              <w:snapToGrid w:val="0"/>
                              <w:spacing w:line="280" w:lineRule="exact"/>
                              <w:ind w:left="566" w:hangingChars="283" w:hanging="566"/>
                              <w:rPr>
                                <w:rFonts w:ascii="微軟正黑體" w:eastAsia="微軟正黑體" w:hAnsi="微軟正黑體"/>
                                <w:color w:val="000000" w:themeColor="text1"/>
                                <w:sz w:val="20"/>
                                <w:szCs w:val="20"/>
                              </w:rPr>
                            </w:pPr>
                            <w:r w:rsidRPr="00330C75">
                              <w:rPr>
                                <w:rFonts w:ascii="微軟正黑體" w:eastAsia="微軟正黑體" w:hAnsi="微軟正黑體" w:hint="eastAsia"/>
                                <w:color w:val="000000" w:themeColor="text1"/>
                                <w:sz w:val="20"/>
                                <w:szCs w:val="20"/>
                              </w:rPr>
                              <w:t xml:space="preserve">    2.</w:t>
                            </w:r>
                            <w:r w:rsidRPr="00C16255">
                              <w:rPr>
                                <w:rFonts w:ascii="微軟正黑體" w:eastAsia="微軟正黑體" w:hAnsi="微軟正黑體" w:hint="eastAsia"/>
                                <w:color w:val="000000" w:themeColor="text1"/>
                                <w:sz w:val="20"/>
                                <w:szCs w:val="20"/>
                              </w:rPr>
                              <w:t>「支/收</w:t>
                            </w:r>
                            <w:r>
                              <w:rPr>
                                <w:rFonts w:ascii="微軟正黑體" w:eastAsia="微軟正黑體" w:hAnsi="微軟正黑體" w:hint="eastAsia"/>
                                <w:color w:val="000000" w:themeColor="text1"/>
                                <w:sz w:val="20"/>
                                <w:szCs w:val="20"/>
                              </w:rPr>
                              <w:t>(%)</w:t>
                            </w:r>
                            <w:r w:rsidRPr="00C16255">
                              <w:rPr>
                                <w:rFonts w:ascii="微軟正黑體" w:eastAsia="微軟正黑體" w:hAnsi="微軟正黑體" w:hint="eastAsia"/>
                                <w:color w:val="000000" w:themeColor="text1"/>
                                <w:sz w:val="20"/>
                                <w:szCs w:val="20"/>
                              </w:rPr>
                              <w:t>」</w:t>
                            </w:r>
                            <w:r>
                              <w:rPr>
                                <w:rFonts w:ascii="微軟正黑體" w:eastAsia="微軟正黑體" w:hAnsi="微軟正黑體" w:hint="eastAsia"/>
                                <w:color w:val="000000" w:themeColor="text1"/>
                                <w:sz w:val="20"/>
                                <w:szCs w:val="20"/>
                              </w:rPr>
                              <w:t>欄位</w:t>
                            </w:r>
                            <w:r w:rsidRPr="00330C75">
                              <w:rPr>
                                <w:rFonts w:ascii="微軟正黑體" w:eastAsia="微軟正黑體" w:hAnsi="微軟正黑體" w:hint="eastAsia"/>
                                <w:color w:val="000000" w:themeColor="text1"/>
                                <w:sz w:val="20"/>
                                <w:szCs w:val="20"/>
                              </w:rPr>
                              <w:t>係以</w:t>
                            </w:r>
                            <w:r w:rsidRPr="00C16255">
                              <w:rPr>
                                <w:rFonts w:ascii="微軟正黑體" w:eastAsia="微軟正黑體" w:hAnsi="微軟正黑體" w:hint="eastAsia"/>
                                <w:color w:val="000000" w:themeColor="text1"/>
                                <w:sz w:val="20"/>
                                <w:szCs w:val="20"/>
                              </w:rPr>
                              <w:t>「中華民國109年公務人員退休撫卹基金統計年報」</w:t>
                            </w:r>
                            <w:r>
                              <w:rPr>
                                <w:rFonts w:ascii="微軟正黑體" w:eastAsia="微軟正黑體" w:hAnsi="微軟正黑體" w:hint="eastAsia"/>
                                <w:color w:val="000000" w:themeColor="text1"/>
                                <w:sz w:val="20"/>
                                <w:szCs w:val="20"/>
                              </w:rPr>
                              <w:t>公布之收支數據(到千位數)計算。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5pt;margin-top:1.1pt;width:498.15pt;height:46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" filled="f" stroked="f">
                <v:textbox>
                  <w:txbxContent>
                    <w:p w:rsidR="00745375" w:rsidRPr="00330C75" w:rsidRDefault="00745375" w:rsidP="00A341E4">
                      <w:pPr>
                        <w:snapToGrid w:val="0"/>
                        <w:spacing w:line="240" w:lineRule="exact"/>
                        <w:rPr>
                          <w:rFonts w:ascii="微軟正黑體" w:eastAsia="微軟正黑體" w:hAnsi="微軟正黑體"/>
                          <w:color w:val="000000" w:themeColor="text1"/>
                          <w:sz w:val="20"/>
                          <w:szCs w:val="20"/>
                        </w:rPr>
                      </w:pPr>
                      <w:r w:rsidRPr="00341FF8">
                        <w:rPr>
                          <w:rFonts w:ascii="微軟正黑體" w:eastAsia="微軟正黑體" w:hAnsi="微軟正黑體" w:hint="eastAsia"/>
                          <w:color w:val="000000" w:themeColor="text1"/>
                          <w:sz w:val="20"/>
                          <w:szCs w:val="20"/>
                        </w:rPr>
                        <w:t>註：</w:t>
                      </w:r>
                      <w:r w:rsidRPr="00330C75">
                        <w:rPr>
                          <w:rFonts w:ascii="微軟正黑體" w:eastAsia="微軟正黑體" w:hAnsi="微軟正黑體" w:hint="eastAsia"/>
                          <w:color w:val="000000" w:themeColor="text1"/>
                          <w:sz w:val="20"/>
                          <w:szCs w:val="20"/>
                        </w:rPr>
                        <w:t>1.公務人員收支部分含政務人員；2.本項為基金收入與支出之統計，</w:t>
                      </w:r>
                      <w:r w:rsidRPr="00330C75">
                        <w:rPr>
                          <w:rFonts w:ascii="微軟正黑體" w:eastAsia="微軟正黑體" w:hAnsi="微軟正黑體"/>
                          <w:color w:val="000000" w:themeColor="text1"/>
                          <w:sz w:val="20"/>
                          <w:szCs w:val="20"/>
                        </w:rPr>
                        <w:t>不含基金投資運用收益。</w:t>
                      </w:r>
                    </w:p>
                    <w:p w:rsidR="00745375" w:rsidRPr="00330C75" w:rsidRDefault="00745375" w:rsidP="00BD50E5">
                      <w:pPr>
                        <w:snapToGrid w:val="0"/>
                        <w:spacing w:line="280" w:lineRule="exact"/>
                        <w:ind w:left="566" w:hangingChars="283" w:hanging="566"/>
                        <w:rPr>
                          <w:rFonts w:ascii="微軟正黑體" w:eastAsia="微軟正黑體" w:hAnsi="微軟正黑體"/>
                          <w:color w:val="000000" w:themeColor="text1"/>
                          <w:sz w:val="20"/>
                          <w:szCs w:val="20"/>
                        </w:rPr>
                      </w:pPr>
                      <w:r w:rsidRPr="00330C75">
                        <w:rPr>
                          <w:rFonts w:ascii="微軟正黑體" w:eastAsia="微軟正黑體" w:hAnsi="微軟正黑體" w:hint="eastAsia"/>
                          <w:color w:val="000000" w:themeColor="text1"/>
                          <w:sz w:val="20"/>
                          <w:szCs w:val="20"/>
                        </w:rPr>
                        <w:t xml:space="preserve">    2.</w:t>
                      </w:r>
                      <w:r w:rsidRPr="00C16255">
                        <w:rPr>
                          <w:rFonts w:ascii="微軟正黑體" w:eastAsia="微軟正黑體" w:hAnsi="微軟正黑體" w:hint="eastAsia"/>
                          <w:color w:val="000000" w:themeColor="text1"/>
                          <w:sz w:val="20"/>
                          <w:szCs w:val="20"/>
                        </w:rPr>
                        <w:t>「支/收</w:t>
                      </w:r>
                      <w:r>
                        <w:rPr>
                          <w:rFonts w:ascii="微軟正黑體" w:eastAsia="微軟正黑體" w:hAnsi="微軟正黑體" w:hint="eastAsia"/>
                          <w:color w:val="000000" w:themeColor="text1"/>
                          <w:sz w:val="20"/>
                          <w:szCs w:val="20"/>
                        </w:rPr>
                        <w:t>(%)</w:t>
                      </w:r>
                      <w:r w:rsidRPr="00C16255">
                        <w:rPr>
                          <w:rFonts w:ascii="微軟正黑體" w:eastAsia="微軟正黑體" w:hAnsi="微軟正黑體" w:hint="eastAsia"/>
                          <w:color w:val="000000" w:themeColor="text1"/>
                          <w:sz w:val="20"/>
                          <w:szCs w:val="20"/>
                        </w:rPr>
                        <w:t>」</w:t>
                      </w:r>
                      <w:r>
                        <w:rPr>
                          <w:rFonts w:ascii="微軟正黑體" w:eastAsia="微軟正黑體" w:hAnsi="微軟正黑體" w:hint="eastAsia"/>
                          <w:color w:val="000000" w:themeColor="text1"/>
                          <w:sz w:val="20"/>
                          <w:szCs w:val="20"/>
                        </w:rPr>
                        <w:t>欄位</w:t>
                      </w:r>
                      <w:r w:rsidRPr="00330C75">
                        <w:rPr>
                          <w:rFonts w:ascii="微軟正黑體" w:eastAsia="微軟正黑體" w:hAnsi="微軟正黑體" w:hint="eastAsia"/>
                          <w:color w:val="000000" w:themeColor="text1"/>
                          <w:sz w:val="20"/>
                          <w:szCs w:val="20"/>
                        </w:rPr>
                        <w:t>係以</w:t>
                      </w:r>
                      <w:r w:rsidRPr="00C16255">
                        <w:rPr>
                          <w:rFonts w:ascii="微軟正黑體" w:eastAsia="微軟正黑體" w:hAnsi="微軟正黑體" w:hint="eastAsia"/>
                          <w:color w:val="000000" w:themeColor="text1"/>
                          <w:sz w:val="20"/>
                          <w:szCs w:val="20"/>
                        </w:rPr>
                        <w:t>「中華民國109年公務人員退休撫卹基金統計年報」</w:t>
                      </w:r>
                      <w:r>
                        <w:rPr>
                          <w:rFonts w:ascii="微軟正黑體" w:eastAsia="微軟正黑體" w:hAnsi="微軟正黑體" w:hint="eastAsia"/>
                          <w:color w:val="000000" w:themeColor="text1"/>
                          <w:sz w:val="20"/>
                          <w:szCs w:val="20"/>
                        </w:rPr>
                        <w:t>公布之收支數據(到千位數)計算。</w:t>
                      </w:r>
                    </w:p>
                  </w:txbxContent>
                </v:textbox>
              </v:shape>
            </w:pict>
          </mc:Fallback>
        </mc:AlternateContent>
      </w:r>
      <w:r>
        <w:rPr>
          <w:rFonts w:ascii="微軟正黑體" w:eastAsia="微軟正黑體" w:hAnsi="微軟正黑體" w:hint="eastAsia"/>
          <w:color w:val="000000" w:themeColor="text1"/>
        </w:rPr>
        <w:t xml:space="preserve">    </w:t>
      </w:r>
    </w:p>
    <w:p w:rsidR="00BD50E5" w:rsidRDefault="00BD50E5" w:rsidP="00BD50E5">
      <w:pPr>
        <w:spacing w:beforeLines="50" w:before="180" w:line="400" w:lineRule="exact"/>
        <w:rPr>
          <w:rFonts w:ascii="微軟正黑體" w:eastAsia="微軟正黑體" w:hAnsi="微軟正黑體"/>
          <w:color w:val="000000" w:themeColor="text1"/>
        </w:rPr>
      </w:pPr>
    </w:p>
    <w:p w:rsidR="00BD50E5" w:rsidRPr="007B78CF" w:rsidRDefault="00BD50E5" w:rsidP="00BD50E5">
      <w:pPr>
        <w:spacing w:beforeLines="50" w:before="180"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2. 基金運用效益</w:t>
      </w:r>
    </w:p>
    <w:p w:rsidR="00BD50E5" w:rsidRDefault="00BD50E5" w:rsidP="00BD50E5">
      <w:pPr>
        <w:spacing w:beforeLines="50" w:before="180" w:line="400" w:lineRule="exact"/>
        <w:ind w:leftChars="118" w:left="283" w:firstLineChars="200" w:firstLine="480"/>
        <w:jc w:val="both"/>
        <w:rPr>
          <w:rFonts w:ascii="微軟正黑體" w:eastAsia="微軟正黑體" w:hAnsi="微軟正黑體"/>
          <w:color w:val="000000" w:themeColor="text1"/>
        </w:rPr>
      </w:pPr>
      <w:r w:rsidRPr="007B78CF">
        <w:rPr>
          <w:rFonts w:ascii="微軟正黑體" w:eastAsia="微軟正黑體" w:hAnsi="微軟正黑體"/>
          <w:color w:val="000000" w:themeColor="text1"/>
        </w:rPr>
        <w:t>10</w:t>
      </w:r>
      <w:r w:rsidRPr="007B78CF">
        <w:rPr>
          <w:rFonts w:ascii="微軟正黑體" w:eastAsia="微軟正黑體" w:hAnsi="微軟正黑體" w:hint="eastAsia"/>
          <w:color w:val="000000" w:themeColor="text1"/>
        </w:rPr>
        <w:t>9</w:t>
      </w:r>
      <w:r w:rsidRPr="007B78CF">
        <w:rPr>
          <w:rFonts w:ascii="微軟正黑體" w:eastAsia="微軟正黑體" w:hAnsi="微軟正黑體"/>
          <w:color w:val="000000" w:themeColor="text1"/>
        </w:rPr>
        <w:t>年基金已實現年收益率為</w:t>
      </w:r>
      <w:r w:rsidRPr="007B78CF">
        <w:rPr>
          <w:rFonts w:ascii="微軟正黑體" w:eastAsia="微軟正黑體" w:hAnsi="微軟正黑體" w:hint="eastAsia"/>
          <w:color w:val="000000" w:themeColor="text1"/>
        </w:rPr>
        <w:t>2.3</w:t>
      </w:r>
      <w:r w:rsidRPr="007B78CF">
        <w:rPr>
          <w:rFonts w:ascii="微軟正黑體" w:eastAsia="微軟正黑體" w:hAnsi="微軟正黑體"/>
          <w:color w:val="000000" w:themeColor="text1"/>
        </w:rPr>
        <w:t>%(</w:t>
      </w:r>
      <w:r w:rsidRPr="007B78CF">
        <w:rPr>
          <w:rFonts w:ascii="微軟正黑體" w:eastAsia="微軟正黑體" w:hAnsi="微軟正黑體" w:hint="eastAsia"/>
          <w:color w:val="000000" w:themeColor="text1"/>
        </w:rPr>
        <w:t>收益數136.6</w:t>
      </w:r>
      <w:r w:rsidRPr="007B78CF">
        <w:rPr>
          <w:rFonts w:ascii="微軟正黑體" w:eastAsia="微軟正黑體" w:hAnsi="微軟正黑體"/>
          <w:color w:val="000000" w:themeColor="text1"/>
        </w:rPr>
        <w:t>億元)，較依臺灣銀行2年期定期存款利率計算之收益率</w:t>
      </w:r>
      <w:r w:rsidRPr="007B78CF">
        <w:rPr>
          <w:rFonts w:ascii="微軟正黑體" w:eastAsia="微軟正黑體" w:hAnsi="微軟正黑體" w:hint="eastAsia"/>
          <w:color w:val="000000" w:themeColor="text1"/>
        </w:rPr>
        <w:t>0.83%</w:t>
      </w:r>
      <w:r w:rsidRPr="007B78CF">
        <w:rPr>
          <w:rFonts w:ascii="微軟正黑體" w:eastAsia="微軟正黑體" w:hAnsi="微軟正黑體"/>
          <w:color w:val="000000" w:themeColor="text1"/>
        </w:rPr>
        <w:t>高</w:t>
      </w:r>
      <w:r w:rsidRPr="007B78CF">
        <w:rPr>
          <w:rFonts w:ascii="微軟正黑體" w:eastAsia="微軟正黑體" w:hAnsi="微軟正黑體" w:hint="eastAsia"/>
          <w:color w:val="000000" w:themeColor="text1"/>
        </w:rPr>
        <w:t>出1.48</w:t>
      </w:r>
      <w:r w:rsidRPr="007B78CF">
        <w:rPr>
          <w:rFonts w:ascii="微軟正黑體" w:eastAsia="微軟正黑體" w:hAnsi="微軟正黑體"/>
          <w:color w:val="000000" w:themeColor="text1"/>
        </w:rPr>
        <w:t>個百分點。如加計10</w:t>
      </w:r>
      <w:r w:rsidRPr="007B78CF">
        <w:rPr>
          <w:rFonts w:ascii="微軟正黑體" w:eastAsia="微軟正黑體" w:hAnsi="微軟正黑體" w:hint="eastAsia"/>
          <w:color w:val="000000" w:themeColor="text1"/>
        </w:rPr>
        <w:t>9</w:t>
      </w:r>
      <w:r w:rsidRPr="007B78CF">
        <w:rPr>
          <w:rFonts w:ascii="微軟正黑體" w:eastAsia="微軟正黑體" w:hAnsi="微軟正黑體"/>
          <w:color w:val="000000" w:themeColor="text1"/>
        </w:rPr>
        <w:t>年度未實現損益及備供出售金融資產投資評價損益後之年收益率為</w:t>
      </w:r>
      <w:r w:rsidRPr="007B78CF">
        <w:rPr>
          <w:rFonts w:ascii="微軟正黑體" w:eastAsia="微軟正黑體" w:hAnsi="微軟正黑體" w:hint="eastAsia"/>
          <w:color w:val="000000" w:themeColor="text1"/>
        </w:rPr>
        <w:t>8.5</w:t>
      </w:r>
      <w:r w:rsidRPr="007B78CF">
        <w:rPr>
          <w:rFonts w:ascii="微軟正黑體" w:eastAsia="微軟正黑體" w:hAnsi="微軟正黑體"/>
          <w:color w:val="000000" w:themeColor="text1"/>
        </w:rPr>
        <w:t>%</w:t>
      </w:r>
      <w:r w:rsidRPr="007B78CF">
        <w:rPr>
          <w:rFonts w:ascii="微軟正黑體" w:eastAsia="微軟正黑體" w:hAnsi="微軟正黑體" w:hint="eastAsia"/>
          <w:color w:val="000000" w:themeColor="text1"/>
        </w:rPr>
        <w:t>(收益數499.5</w:t>
      </w:r>
      <w:r w:rsidRPr="007B78CF">
        <w:rPr>
          <w:rFonts w:ascii="微軟正黑體" w:eastAsia="微軟正黑體" w:hAnsi="微軟正黑體"/>
          <w:color w:val="000000" w:themeColor="text1"/>
        </w:rPr>
        <w:t>億元</w:t>
      </w:r>
      <w:r w:rsidRPr="007B78CF">
        <w:rPr>
          <w:rFonts w:ascii="微軟正黑體" w:eastAsia="微軟正黑體" w:hAnsi="微軟正黑體" w:hint="eastAsia"/>
          <w:color w:val="000000" w:themeColor="text1"/>
        </w:rPr>
        <w:t>)</w:t>
      </w:r>
      <w:r w:rsidRPr="007B78CF">
        <w:rPr>
          <w:rFonts w:ascii="微軟正黑體" w:eastAsia="微軟正黑體" w:hAnsi="微軟正黑體"/>
          <w:color w:val="000000" w:themeColor="text1"/>
        </w:rPr>
        <w:t>。</w:t>
      </w:r>
    </w:p>
    <w:p w:rsidR="00BD50E5" w:rsidRDefault="00BD50E5" w:rsidP="00BD50E5">
      <w:pPr>
        <w:spacing w:beforeLines="50" w:before="180" w:line="400" w:lineRule="exact"/>
        <w:ind w:leftChars="118" w:left="283" w:firstLineChars="200" w:firstLine="480"/>
        <w:jc w:val="both"/>
        <w:rPr>
          <w:rFonts w:ascii="微軟正黑體" w:eastAsia="微軟正黑體" w:hAnsi="微軟正黑體"/>
          <w:color w:val="000000" w:themeColor="text1"/>
        </w:rPr>
      </w:pPr>
    </w:p>
    <w:p w:rsidR="00BD50E5" w:rsidRDefault="00BD50E5" w:rsidP="00BD50E5">
      <w:pPr>
        <w:spacing w:beforeLines="50" w:before="180" w:line="400" w:lineRule="exact"/>
        <w:ind w:leftChars="118" w:left="283" w:firstLineChars="200" w:firstLine="480"/>
        <w:jc w:val="both"/>
        <w:rPr>
          <w:rFonts w:ascii="微軟正黑體" w:eastAsia="微軟正黑體" w:hAnsi="微軟正黑體"/>
          <w:color w:val="000000" w:themeColor="text1"/>
        </w:rPr>
      </w:pPr>
    </w:p>
    <w:p w:rsidR="00BD50E5" w:rsidRDefault="00BD50E5" w:rsidP="00BD50E5">
      <w:pPr>
        <w:spacing w:beforeLines="50" w:before="180" w:line="400" w:lineRule="exact"/>
        <w:ind w:leftChars="118" w:left="283" w:firstLineChars="200" w:firstLine="480"/>
        <w:jc w:val="both"/>
        <w:rPr>
          <w:rFonts w:ascii="微軟正黑體" w:eastAsia="微軟正黑體" w:hAnsi="微軟正黑體"/>
          <w:color w:val="000000" w:themeColor="text1"/>
        </w:rPr>
      </w:pPr>
    </w:p>
    <w:p w:rsidR="00BD50E5" w:rsidRDefault="00BD50E5" w:rsidP="00BD50E5">
      <w:pPr>
        <w:spacing w:beforeLines="50" w:before="180" w:line="400" w:lineRule="exact"/>
        <w:ind w:leftChars="118" w:left="283" w:firstLineChars="200" w:firstLine="480"/>
        <w:jc w:val="both"/>
        <w:rPr>
          <w:rFonts w:ascii="微軟正黑體" w:eastAsia="微軟正黑體" w:hAnsi="微軟正黑體"/>
          <w:color w:val="000000" w:themeColor="text1"/>
        </w:rPr>
      </w:pPr>
    </w:p>
    <w:p w:rsidR="00BD50E5" w:rsidRDefault="00BD50E5" w:rsidP="00BD50E5">
      <w:pPr>
        <w:spacing w:beforeLines="50" w:before="180" w:line="400" w:lineRule="exact"/>
        <w:ind w:leftChars="118" w:left="283" w:firstLineChars="200" w:firstLine="480"/>
        <w:jc w:val="both"/>
        <w:rPr>
          <w:rFonts w:ascii="微軟正黑體" w:eastAsia="微軟正黑體" w:hAnsi="微軟正黑體"/>
          <w:color w:val="000000" w:themeColor="text1"/>
        </w:rPr>
      </w:pPr>
    </w:p>
    <w:p w:rsidR="00BD50E5" w:rsidRDefault="00BD50E5" w:rsidP="00BD50E5">
      <w:pPr>
        <w:spacing w:beforeLines="50" w:before="180" w:line="400" w:lineRule="exact"/>
        <w:ind w:leftChars="118" w:left="283"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firstLineChars="200" w:firstLine="480"/>
        <w:jc w:val="both"/>
        <w:rPr>
          <w:rFonts w:ascii="微軟正黑體" w:eastAsia="微軟正黑體" w:hAnsi="微軟正黑體"/>
          <w:color w:val="000000" w:themeColor="text1"/>
        </w:rPr>
      </w:pPr>
      <w:r w:rsidRPr="007B78CF">
        <w:rPr>
          <w:noProof/>
          <w:color w:val="000000" w:themeColor="text1"/>
        </w:rPr>
        <w:lastRenderedPageBreak/>
        <w:drawing>
          <wp:anchor distT="0" distB="0" distL="114300" distR="114300" simplePos="0" relativeHeight="252622848" behindDoc="0" locked="0" layoutInCell="1" allowOverlap="1" wp14:anchorId="1CA4908A" wp14:editId="7049BB92">
            <wp:simplePos x="0" y="0"/>
            <wp:positionH relativeFrom="column">
              <wp:posOffset>81703</wp:posOffset>
            </wp:positionH>
            <wp:positionV relativeFrom="paragraph">
              <wp:posOffset>41910</wp:posOffset>
            </wp:positionV>
            <wp:extent cx="5655734" cy="3048000"/>
            <wp:effectExtent l="0" t="0" r="21590" b="19050"/>
            <wp:wrapNone/>
            <wp:docPr id="302" name="圖表 302">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line="400" w:lineRule="exact"/>
        <w:ind w:leftChars="236" w:left="566" w:firstLineChars="200" w:firstLine="480"/>
        <w:jc w:val="both"/>
        <w:rPr>
          <w:rFonts w:ascii="微軟正黑體" w:eastAsia="微軟正黑體" w:hAnsi="微軟正黑體"/>
          <w:color w:val="000000" w:themeColor="text1"/>
        </w:rPr>
      </w:pPr>
    </w:p>
    <w:p w:rsidR="00BD50E5" w:rsidRPr="007B78CF" w:rsidRDefault="00BD50E5" w:rsidP="00BD50E5">
      <w:pPr>
        <w:jc w:val="center"/>
        <w:rPr>
          <w:noProof/>
          <w:color w:val="000000" w:themeColor="text1"/>
        </w:rPr>
      </w:pPr>
    </w:p>
    <w:p w:rsidR="00BD50E5" w:rsidRPr="007B78CF" w:rsidRDefault="00BD50E5" w:rsidP="00BD50E5">
      <w:pPr>
        <w:jc w:val="center"/>
        <w:rPr>
          <w:noProof/>
          <w:color w:val="000000" w:themeColor="text1"/>
        </w:rPr>
      </w:pPr>
    </w:p>
    <w:p w:rsidR="00BD50E5" w:rsidRPr="007B78CF" w:rsidRDefault="00BD50E5" w:rsidP="00BD50E5">
      <w:pPr>
        <w:jc w:val="center"/>
        <w:rPr>
          <w:noProof/>
          <w:color w:val="000000" w:themeColor="text1"/>
        </w:rPr>
      </w:pPr>
    </w:p>
    <w:p w:rsidR="00BD50E5" w:rsidRPr="007B78CF" w:rsidRDefault="00BD50E5" w:rsidP="00BD50E5">
      <w:pPr>
        <w:jc w:val="center"/>
        <w:rPr>
          <w:noProof/>
          <w:color w:val="000000" w:themeColor="text1"/>
        </w:rPr>
      </w:pPr>
    </w:p>
    <w:p w:rsidR="00BD50E5" w:rsidRPr="007B78CF" w:rsidRDefault="00BD50E5" w:rsidP="00BD50E5">
      <w:pPr>
        <w:jc w:val="center"/>
        <w:rPr>
          <w:noProof/>
          <w:color w:val="000000" w:themeColor="text1"/>
        </w:rPr>
      </w:pPr>
    </w:p>
    <w:p w:rsidR="00BD50E5" w:rsidRPr="007B78CF" w:rsidRDefault="00BD50E5" w:rsidP="00BD50E5">
      <w:pPr>
        <w:jc w:val="center"/>
        <w:rPr>
          <w:noProof/>
          <w:color w:val="000000" w:themeColor="text1"/>
        </w:rPr>
      </w:pPr>
    </w:p>
    <w:p w:rsidR="00BD50E5" w:rsidRPr="007B78CF" w:rsidRDefault="00BD50E5" w:rsidP="00BD50E5">
      <w:pPr>
        <w:jc w:val="center"/>
        <w:rPr>
          <w:noProof/>
          <w:color w:val="000000" w:themeColor="text1"/>
        </w:rPr>
      </w:pPr>
    </w:p>
    <w:p w:rsidR="00BD50E5" w:rsidRPr="007B78CF" w:rsidRDefault="00BD50E5" w:rsidP="00BD50E5">
      <w:pPr>
        <w:jc w:val="center"/>
        <w:rPr>
          <w:noProof/>
          <w:color w:val="000000" w:themeColor="text1"/>
        </w:rPr>
      </w:pPr>
    </w:p>
    <w:p w:rsidR="00BD50E5" w:rsidRPr="007B78CF" w:rsidRDefault="00BD50E5" w:rsidP="00BD50E5">
      <w:pPr>
        <w:rPr>
          <w:noProof/>
          <w:color w:val="000000" w:themeColor="text1"/>
        </w:rPr>
      </w:pPr>
    </w:p>
    <w:p w:rsidR="00BD50E5" w:rsidRPr="007B78CF" w:rsidRDefault="00BD50E5" w:rsidP="00BD50E5">
      <w:pPr>
        <w:spacing w:line="240" w:lineRule="exact"/>
        <w:ind w:left="396" w:hangingChars="198" w:hanging="396"/>
        <w:rPr>
          <w:rFonts w:ascii="微軟正黑體" w:eastAsia="微軟正黑體" w:hAnsi="微軟正黑體"/>
          <w:color w:val="000000" w:themeColor="text1"/>
          <w:sz w:val="20"/>
          <w:szCs w:val="20"/>
        </w:rPr>
      </w:pPr>
      <w:r w:rsidRPr="007B78CF">
        <w:rPr>
          <w:rFonts w:ascii="微軟正黑體" w:eastAsia="微軟正黑體" w:hAnsi="微軟正黑體" w:hint="eastAsia"/>
          <w:color w:val="000000" w:themeColor="text1"/>
          <w:sz w:val="20"/>
          <w:szCs w:val="20"/>
        </w:rPr>
        <w:t xml:space="preserve">   </w:t>
      </w:r>
    </w:p>
    <w:p w:rsidR="00BD50E5" w:rsidRPr="007B78CF" w:rsidRDefault="00BD50E5" w:rsidP="00BD50E5">
      <w:pPr>
        <w:spacing w:line="240" w:lineRule="exact"/>
        <w:ind w:left="396" w:hangingChars="198" w:hanging="396"/>
        <w:rPr>
          <w:rFonts w:ascii="微軟正黑體" w:eastAsia="微軟正黑體" w:hAnsi="微軟正黑體"/>
          <w:color w:val="000000" w:themeColor="text1"/>
          <w:sz w:val="20"/>
          <w:szCs w:val="20"/>
        </w:rPr>
      </w:pPr>
    </w:p>
    <w:p w:rsidR="00BD50E5" w:rsidRPr="007B78CF" w:rsidRDefault="00BD50E5" w:rsidP="00BD50E5">
      <w:pPr>
        <w:spacing w:line="240" w:lineRule="exact"/>
        <w:ind w:left="396" w:hangingChars="198" w:hanging="396"/>
        <w:rPr>
          <w:rFonts w:ascii="微軟正黑體" w:eastAsia="微軟正黑體" w:hAnsi="微軟正黑體"/>
          <w:color w:val="000000" w:themeColor="text1"/>
          <w:sz w:val="20"/>
          <w:szCs w:val="20"/>
        </w:rPr>
      </w:pPr>
    </w:p>
    <w:p w:rsidR="00BD50E5" w:rsidRPr="007B78CF" w:rsidRDefault="00BD50E5" w:rsidP="00BD50E5">
      <w:pPr>
        <w:spacing w:line="240" w:lineRule="exact"/>
        <w:ind w:leftChars="100" w:left="240" w:firstLineChars="100" w:firstLine="200"/>
        <w:rPr>
          <w:rFonts w:ascii="微軟正黑體" w:eastAsia="微軟正黑體" w:hAnsi="微軟正黑體"/>
          <w:color w:val="000000" w:themeColor="text1"/>
          <w:sz w:val="20"/>
          <w:szCs w:val="20"/>
        </w:rPr>
      </w:pPr>
      <w:r w:rsidRPr="007B78CF">
        <w:rPr>
          <w:rFonts w:ascii="微軟正黑體" w:eastAsia="微軟正黑體" w:hAnsi="微軟正黑體" w:hint="eastAsia"/>
          <w:color w:val="000000" w:themeColor="text1"/>
          <w:sz w:val="20"/>
          <w:szCs w:val="20"/>
        </w:rPr>
        <w:t>註：整體收益數(率)係為列計未實現損益及備供出售金融資產投資評價損益後之收益數(率)。</w:t>
      </w:r>
    </w:p>
    <w:p w:rsidR="00BD50E5" w:rsidRPr="007B78CF" w:rsidRDefault="00BD50E5" w:rsidP="00BD50E5">
      <w:pPr>
        <w:spacing w:beforeLines="30" w:before="108" w:line="400" w:lineRule="exact"/>
        <w:jc w:val="center"/>
        <w:rPr>
          <w:rFonts w:ascii="微軟正黑體" w:eastAsia="微軟正黑體" w:hAnsi="微軟正黑體"/>
          <w:noProof/>
          <w:color w:val="000000" w:themeColor="text1"/>
        </w:rPr>
      </w:pPr>
      <w:r w:rsidRPr="007B78CF">
        <w:rPr>
          <w:rFonts w:ascii="微軟正黑體" w:eastAsia="微軟正黑體" w:hAnsi="微軟正黑體" w:hint="eastAsia"/>
          <w:noProof/>
          <w:color w:val="000000" w:themeColor="text1"/>
        </w:rPr>
        <w:t>圖3.20  近10年退撫基金運用績效</w:t>
      </w:r>
    </w:p>
    <w:p w:rsidR="00BD50E5" w:rsidRPr="007B78CF" w:rsidRDefault="00BD50E5" w:rsidP="00BD50E5">
      <w:pPr>
        <w:spacing w:line="400" w:lineRule="exact"/>
        <w:jc w:val="center"/>
        <w:rPr>
          <w:rFonts w:ascii="微軟正黑體" w:eastAsia="微軟正黑體" w:hAnsi="微軟正黑體"/>
          <w:noProof/>
          <w:color w:val="000000" w:themeColor="text1"/>
        </w:rPr>
      </w:pPr>
    </w:p>
    <w:p w:rsidR="00BD50E5" w:rsidRPr="007B78CF" w:rsidRDefault="00BD50E5" w:rsidP="00BD50E5">
      <w:pPr>
        <w:spacing w:afterLines="30" w:after="108"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表3.8  近10年退撫基金運用績效及投資運用金額</w:t>
      </w:r>
    </w:p>
    <w:tbl>
      <w:tblPr>
        <w:tblW w:w="9361" w:type="dxa"/>
        <w:jc w:val="center"/>
        <w:tblInd w:w="23" w:type="dxa"/>
        <w:tblCellMar>
          <w:left w:w="28" w:type="dxa"/>
          <w:right w:w="28" w:type="dxa"/>
        </w:tblCellMar>
        <w:tblLook w:val="04A0" w:firstRow="1" w:lastRow="0" w:firstColumn="1" w:lastColumn="0" w:noHBand="0" w:noVBand="1"/>
      </w:tblPr>
      <w:tblGrid>
        <w:gridCol w:w="982"/>
        <w:gridCol w:w="1704"/>
        <w:gridCol w:w="1714"/>
        <w:gridCol w:w="1688"/>
        <w:gridCol w:w="1572"/>
        <w:gridCol w:w="1701"/>
      </w:tblGrid>
      <w:tr w:rsidR="00BD50E5" w:rsidRPr="007B78CF" w:rsidTr="001E6B67">
        <w:trPr>
          <w:trHeight w:val="660"/>
          <w:jc w:val="center"/>
        </w:trPr>
        <w:tc>
          <w:tcPr>
            <w:tcW w:w="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項目別</w:t>
            </w:r>
          </w:p>
        </w:tc>
        <w:tc>
          <w:tcPr>
            <w:tcW w:w="1704" w:type="dxa"/>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已實現收益數</w:t>
            </w:r>
            <w:r w:rsidRPr="007B78CF">
              <w:rPr>
                <w:rFonts w:ascii="微軟正黑體" w:eastAsia="微軟正黑體" w:hAnsi="微軟正黑體" w:hint="eastAsia"/>
                <w:color w:val="000000" w:themeColor="text1"/>
              </w:rPr>
              <w:br/>
              <w:t>(億元)</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已實現收益率</w:t>
            </w:r>
            <w:r w:rsidRPr="007B78CF">
              <w:rPr>
                <w:rFonts w:ascii="微軟正黑體" w:eastAsia="微軟正黑體" w:hAnsi="微軟正黑體" w:hint="eastAsia"/>
                <w:color w:val="000000" w:themeColor="text1"/>
              </w:rPr>
              <w:br/>
              <w:t>(%)</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整體收益數</w:t>
            </w:r>
            <w:r w:rsidRPr="007B78CF">
              <w:rPr>
                <w:rFonts w:ascii="微軟正黑體" w:eastAsia="微軟正黑體" w:hAnsi="微軟正黑體" w:hint="eastAsia"/>
                <w:color w:val="000000" w:themeColor="text1"/>
              </w:rPr>
              <w:br/>
              <w:t>(億元)</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整體收益率</w:t>
            </w:r>
            <w:r w:rsidRPr="007B78CF">
              <w:rPr>
                <w:rFonts w:ascii="微軟正黑體" w:eastAsia="微軟正黑體" w:hAnsi="微軟正黑體" w:hint="eastAsia"/>
                <w:color w:val="000000" w:themeColor="text1"/>
              </w:rPr>
              <w:b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基金投資運用金額(億元)</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100年</w:t>
            </w:r>
          </w:p>
        </w:tc>
        <w:tc>
          <w:tcPr>
            <w:tcW w:w="170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68.7 </w:t>
            </w:r>
          </w:p>
        </w:tc>
        <w:tc>
          <w:tcPr>
            <w:tcW w:w="171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1.4 </w:t>
            </w:r>
          </w:p>
        </w:tc>
        <w:tc>
          <w:tcPr>
            <w:tcW w:w="168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-284.5 </w:t>
            </w:r>
          </w:p>
        </w:tc>
        <w:tc>
          <w:tcPr>
            <w:tcW w:w="157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-6.0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4,711.8 </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101年</w:t>
            </w:r>
          </w:p>
        </w:tc>
        <w:tc>
          <w:tcPr>
            <w:tcW w:w="170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106.6 </w:t>
            </w:r>
          </w:p>
        </w:tc>
        <w:tc>
          <w:tcPr>
            <w:tcW w:w="171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2.2 </w:t>
            </w:r>
          </w:p>
        </w:tc>
        <w:tc>
          <w:tcPr>
            <w:tcW w:w="168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298.1 </w:t>
            </w:r>
          </w:p>
        </w:tc>
        <w:tc>
          <w:tcPr>
            <w:tcW w:w="157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6.2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5,093.5 </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102年</w:t>
            </w:r>
          </w:p>
        </w:tc>
        <w:tc>
          <w:tcPr>
            <w:tcW w:w="170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205.9 </w:t>
            </w:r>
          </w:p>
        </w:tc>
        <w:tc>
          <w:tcPr>
            <w:tcW w:w="171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4.0 </w:t>
            </w:r>
          </w:p>
        </w:tc>
        <w:tc>
          <w:tcPr>
            <w:tcW w:w="168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427.7 </w:t>
            </w:r>
          </w:p>
        </w:tc>
        <w:tc>
          <w:tcPr>
            <w:tcW w:w="157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8.3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5,536.9 </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103年</w:t>
            </w:r>
          </w:p>
        </w:tc>
        <w:tc>
          <w:tcPr>
            <w:tcW w:w="170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252.1 </w:t>
            </w:r>
          </w:p>
        </w:tc>
        <w:tc>
          <w:tcPr>
            <w:tcW w:w="171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4.6 </w:t>
            </w:r>
          </w:p>
        </w:tc>
        <w:tc>
          <w:tcPr>
            <w:tcW w:w="168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356.5 </w:t>
            </w:r>
          </w:p>
        </w:tc>
        <w:tc>
          <w:tcPr>
            <w:tcW w:w="157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6.5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5,865.2 </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104年</w:t>
            </w:r>
          </w:p>
        </w:tc>
        <w:tc>
          <w:tcPr>
            <w:tcW w:w="170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131.3 </w:t>
            </w:r>
          </w:p>
        </w:tc>
        <w:tc>
          <w:tcPr>
            <w:tcW w:w="171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2.3 </w:t>
            </w:r>
          </w:p>
        </w:tc>
        <w:tc>
          <w:tcPr>
            <w:tcW w:w="168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-108.8 </w:t>
            </w:r>
          </w:p>
        </w:tc>
        <w:tc>
          <w:tcPr>
            <w:tcW w:w="157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-1.9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5,653.3 </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000000" w:fill="FFFFFF"/>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105年</w:t>
            </w:r>
          </w:p>
        </w:tc>
        <w:tc>
          <w:tcPr>
            <w:tcW w:w="1704"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110.7 </w:t>
            </w:r>
          </w:p>
        </w:tc>
        <w:tc>
          <w:tcPr>
            <w:tcW w:w="1714"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2.0 </w:t>
            </w:r>
          </w:p>
        </w:tc>
        <w:tc>
          <w:tcPr>
            <w:tcW w:w="1688"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236.9 </w:t>
            </w:r>
          </w:p>
        </w:tc>
        <w:tc>
          <w:tcPr>
            <w:tcW w:w="1572" w:type="dxa"/>
            <w:tcBorders>
              <w:top w:val="nil"/>
              <w:left w:val="nil"/>
              <w:bottom w:val="single" w:sz="4" w:space="0" w:color="auto"/>
              <w:right w:val="single" w:sz="4" w:space="0" w:color="auto"/>
            </w:tcBorders>
            <w:shd w:val="clear" w:color="000000" w:fill="FFFFFF"/>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4.3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5,701.1 </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106年</w:t>
            </w:r>
          </w:p>
        </w:tc>
        <w:tc>
          <w:tcPr>
            <w:tcW w:w="170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212.0 </w:t>
            </w:r>
          </w:p>
        </w:tc>
        <w:tc>
          <w:tcPr>
            <w:tcW w:w="171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3.8 </w:t>
            </w:r>
          </w:p>
        </w:tc>
        <w:tc>
          <w:tcPr>
            <w:tcW w:w="168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397.1 </w:t>
            </w:r>
          </w:p>
        </w:tc>
        <w:tc>
          <w:tcPr>
            <w:tcW w:w="157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7.1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5,842.7 </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107年</w:t>
            </w:r>
          </w:p>
        </w:tc>
        <w:tc>
          <w:tcPr>
            <w:tcW w:w="170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181.3 </w:t>
            </w:r>
          </w:p>
        </w:tc>
        <w:tc>
          <w:tcPr>
            <w:tcW w:w="171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3.2 </w:t>
            </w:r>
          </w:p>
        </w:tc>
        <w:tc>
          <w:tcPr>
            <w:tcW w:w="168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-65.3 </w:t>
            </w:r>
          </w:p>
        </w:tc>
        <w:tc>
          <w:tcPr>
            <w:tcW w:w="157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-1.1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5,523.9 </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108年</w:t>
            </w:r>
          </w:p>
        </w:tc>
        <w:tc>
          <w:tcPr>
            <w:tcW w:w="170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207.4 </w:t>
            </w:r>
          </w:p>
        </w:tc>
        <w:tc>
          <w:tcPr>
            <w:tcW w:w="171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3.6 </w:t>
            </w:r>
          </w:p>
        </w:tc>
        <w:tc>
          <w:tcPr>
            <w:tcW w:w="168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612.5 </w:t>
            </w:r>
          </w:p>
        </w:tc>
        <w:tc>
          <w:tcPr>
            <w:tcW w:w="157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10.6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5,957.8 </w:t>
            </w:r>
          </w:p>
        </w:tc>
      </w:tr>
      <w:tr w:rsidR="00BD50E5" w:rsidRPr="007B78CF" w:rsidTr="001E6B67">
        <w:trPr>
          <w:trHeight w:val="330"/>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center"/>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109年</w:t>
            </w:r>
          </w:p>
        </w:tc>
        <w:tc>
          <w:tcPr>
            <w:tcW w:w="170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136.6 </w:t>
            </w:r>
          </w:p>
        </w:tc>
        <w:tc>
          <w:tcPr>
            <w:tcW w:w="1714"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2.3 </w:t>
            </w:r>
          </w:p>
        </w:tc>
        <w:tc>
          <w:tcPr>
            <w:tcW w:w="1688"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499.5 </w:t>
            </w:r>
          </w:p>
        </w:tc>
        <w:tc>
          <w:tcPr>
            <w:tcW w:w="1572"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8.5 </w:t>
            </w:r>
          </w:p>
        </w:tc>
        <w:tc>
          <w:tcPr>
            <w:tcW w:w="1701" w:type="dxa"/>
            <w:tcBorders>
              <w:top w:val="nil"/>
              <w:left w:val="nil"/>
              <w:bottom w:val="single" w:sz="4" w:space="0" w:color="auto"/>
              <w:right w:val="single" w:sz="4" w:space="0" w:color="auto"/>
            </w:tcBorders>
            <w:shd w:val="clear" w:color="auto" w:fill="auto"/>
            <w:noWrap/>
            <w:vAlign w:val="center"/>
            <w:hideMark/>
          </w:tcPr>
          <w:p w:rsidR="00BD50E5" w:rsidRPr="007B78CF" w:rsidRDefault="00BD50E5" w:rsidP="008F1977">
            <w:pPr>
              <w:spacing w:line="400" w:lineRule="exact"/>
              <w:jc w:val="right"/>
              <w:rPr>
                <w:rFonts w:ascii="微軟正黑體" w:eastAsia="微軟正黑體" w:hAnsi="微軟正黑體" w:cs="新細明體"/>
                <w:color w:val="000000" w:themeColor="text1"/>
              </w:rPr>
            </w:pPr>
            <w:r w:rsidRPr="007B78CF">
              <w:rPr>
                <w:rFonts w:ascii="微軟正黑體" w:eastAsia="微軟正黑體" w:hAnsi="微軟正黑體" w:hint="eastAsia"/>
                <w:color w:val="000000" w:themeColor="text1"/>
              </w:rPr>
              <w:t xml:space="preserve">6,402.7 </w:t>
            </w:r>
          </w:p>
        </w:tc>
      </w:tr>
    </w:tbl>
    <w:p w:rsidR="00BD50E5" w:rsidRPr="007B78CF" w:rsidRDefault="00BD50E5" w:rsidP="001E6B67">
      <w:pPr>
        <w:spacing w:line="28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sz w:val="20"/>
          <w:szCs w:val="20"/>
        </w:rPr>
        <w:t>註：整體收益數(率)係為列計未實現損益及備供出售金融資產投資評價損益後之收益數(率)。</w:t>
      </w:r>
    </w:p>
    <w:p w:rsidR="00BD50E5" w:rsidRPr="007B78CF" w:rsidRDefault="00BD50E5" w:rsidP="00BD50E5">
      <w:pPr>
        <w:spacing w:beforeLines="100" w:before="36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3. 基金資產配置</w:t>
      </w:r>
    </w:p>
    <w:p w:rsidR="00BD50E5" w:rsidRPr="007B78CF" w:rsidRDefault="00BD50E5" w:rsidP="00BD50E5">
      <w:pPr>
        <w:spacing w:beforeLines="50" w:before="180" w:line="400" w:lineRule="exact"/>
        <w:ind w:leftChars="236" w:left="566" w:firstLineChars="200" w:firstLine="480"/>
        <w:jc w:val="both"/>
        <w:rPr>
          <w:rFonts w:ascii="微軟正黑體" w:eastAsia="微軟正黑體" w:hAnsi="微軟正黑體"/>
          <w:color w:val="000000" w:themeColor="text1"/>
        </w:rPr>
      </w:pPr>
      <w:r w:rsidRPr="009C249E">
        <w:rPr>
          <w:rFonts w:ascii="微軟正黑體" w:eastAsia="微軟正黑體" w:hAnsi="微軟正黑體" w:hint="eastAsia"/>
          <w:color w:val="000000" w:themeColor="text1"/>
        </w:rPr>
        <w:t>109年底基金資產總額為6,554.6億元。其中</w:t>
      </w:r>
      <w:r w:rsidRPr="009C249E">
        <w:rPr>
          <w:rFonts w:ascii="微軟正黑體" w:eastAsia="微軟正黑體" w:hAnsi="微軟正黑體"/>
          <w:color w:val="000000" w:themeColor="text1"/>
        </w:rPr>
        <w:t>基金</w:t>
      </w:r>
      <w:r w:rsidRPr="007B78CF">
        <w:rPr>
          <w:rFonts w:ascii="微軟正黑體" w:eastAsia="微軟正黑體" w:hAnsi="微軟正黑體" w:hint="eastAsia"/>
          <w:color w:val="000000" w:themeColor="text1"/>
        </w:rPr>
        <w:t>運用規模為6,402.7億元，較上年增加444.9億元，國內外委託經營占48.5%；自行運用占51.5%，主要為：「</w:t>
      </w:r>
      <w:r w:rsidRPr="007B78CF">
        <w:rPr>
          <w:rFonts w:ascii="微軟正黑體" w:eastAsia="微軟正黑體" w:hAnsi="微軟正黑體"/>
          <w:color w:val="000000" w:themeColor="text1"/>
        </w:rPr>
        <w:t>國內股票及指數股票型基金</w:t>
      </w:r>
      <w:r w:rsidRPr="007B78CF">
        <w:rPr>
          <w:rFonts w:ascii="微軟正黑體" w:eastAsia="微軟正黑體" w:hAnsi="微軟正黑體" w:hint="eastAsia"/>
          <w:color w:val="000000" w:themeColor="text1"/>
        </w:rPr>
        <w:t>」占15.6%、「國外債券」占11.5%及「</w:t>
      </w:r>
      <w:r w:rsidRPr="007B78CF">
        <w:rPr>
          <w:rFonts w:ascii="微軟正黑體" w:eastAsia="微軟正黑體" w:hAnsi="微軟正黑體"/>
          <w:color w:val="000000" w:themeColor="text1"/>
        </w:rPr>
        <w:t>國內債券</w:t>
      </w:r>
      <w:r w:rsidRPr="007B78CF">
        <w:rPr>
          <w:rFonts w:ascii="微軟正黑體" w:eastAsia="微軟正黑體" w:hAnsi="微軟正黑體" w:hint="eastAsia"/>
          <w:color w:val="000000" w:themeColor="text1"/>
        </w:rPr>
        <w:t>」占7.8%。</w:t>
      </w: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r w:rsidRPr="007B78CF">
        <w:rPr>
          <w:noProof/>
          <w:color w:val="000000" w:themeColor="text1"/>
        </w:rPr>
        <w:lastRenderedPageBreak/>
        <mc:AlternateContent>
          <mc:Choice Requires="wps">
            <w:drawing>
              <wp:anchor distT="0" distB="0" distL="114300" distR="114300" simplePos="0" relativeHeight="252637184" behindDoc="0" locked="0" layoutInCell="1" allowOverlap="1" wp14:anchorId="57ADCE24" wp14:editId="41CA2FE4">
                <wp:simplePos x="0" y="0"/>
                <wp:positionH relativeFrom="column">
                  <wp:posOffset>301837</wp:posOffset>
                </wp:positionH>
                <wp:positionV relativeFrom="paragraph">
                  <wp:posOffset>84243</wp:posOffset>
                </wp:positionV>
                <wp:extent cx="1930400" cy="317500"/>
                <wp:effectExtent l="0" t="0" r="0" b="6350"/>
                <wp:wrapNone/>
                <wp:docPr id="2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317500"/>
                        </a:xfrm>
                        <a:prstGeom prst="rect">
                          <a:avLst/>
                        </a:prstGeom>
                        <a:solidFill>
                          <a:srgbClr val="FFFFFF"/>
                        </a:solidFill>
                        <a:ln w="9525">
                          <a:noFill/>
                          <a:miter lim="800000"/>
                          <a:headEnd/>
                          <a:tailEnd/>
                        </a:ln>
                      </wps:spPr>
                      <wps:txbx>
                        <w:txbxContent>
                          <w:p w:rsidR="00745375" w:rsidRPr="00DB49C5" w:rsidRDefault="00745375" w:rsidP="00BD50E5">
                            <w:pPr>
                              <w:rPr>
                                <w:rFonts w:ascii="微軟正黑體" w:eastAsia="微軟正黑體" w:hAnsi="微軟正黑體"/>
                                <w:sz w:val="20"/>
                              </w:rPr>
                            </w:pPr>
                            <w:r>
                              <w:rPr>
                                <w:noProof/>
                              </w:rPr>
                              <w:drawing>
                                <wp:inline distT="0" distB="0" distL="0" distR="0" wp14:anchorId="045E1261" wp14:editId="27F3B7CE">
                                  <wp:extent cx="127000" cy="118745"/>
                                  <wp:effectExtent l="0" t="0" r="635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hint="eastAsia"/>
                              </w:rPr>
                              <w:t xml:space="preserve"> </w:t>
                            </w:r>
                            <w:r w:rsidRPr="00DB49C5">
                              <w:rPr>
                                <w:rFonts w:ascii="微軟正黑體" w:eastAsia="微軟正黑體" w:hAnsi="微軟正黑體" w:hint="eastAsia"/>
                                <w:sz w:val="20"/>
                              </w:rPr>
                              <w:t xml:space="preserve">委託經營  </w:t>
                            </w:r>
                            <w:r>
                              <w:rPr>
                                <w:rFonts w:ascii="微軟正黑體" w:eastAsia="微軟正黑體" w:hAnsi="微軟正黑體" w:hint="eastAsia"/>
                                <w:sz w:val="20"/>
                              </w:rPr>
                              <w:t xml:space="preserve">  </w:t>
                            </w:r>
                            <w:r>
                              <w:rPr>
                                <w:rFonts w:ascii="微軟正黑體" w:eastAsia="微軟正黑體" w:hAnsi="微軟正黑體" w:hint="eastAsia"/>
                                <w:noProof/>
                                <w:sz w:val="20"/>
                              </w:rPr>
                              <w:drawing>
                                <wp:inline distT="0" distB="0" distL="0" distR="0" wp14:anchorId="4BDF25E3" wp14:editId="4ABD5D51">
                                  <wp:extent cx="130810" cy="118745"/>
                                  <wp:effectExtent l="0" t="0" r="254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0810" cy="118745"/>
                                          </a:xfrm>
                                          <a:prstGeom prst="rect">
                                            <a:avLst/>
                                          </a:prstGeom>
                                          <a:noFill/>
                                          <a:ln>
                                            <a:noFill/>
                                          </a:ln>
                                        </pic:spPr>
                                      </pic:pic>
                                    </a:graphicData>
                                  </a:graphic>
                                </wp:inline>
                              </w:drawing>
                            </w:r>
                            <w:r>
                              <w:rPr>
                                <w:rFonts w:ascii="微軟正黑體" w:eastAsia="微軟正黑體" w:hAnsi="微軟正黑體" w:hint="eastAsia"/>
                                <w:sz w:val="20"/>
                              </w:rPr>
                              <w:t xml:space="preserve"> </w:t>
                            </w:r>
                            <w:r w:rsidRPr="00DB49C5">
                              <w:rPr>
                                <w:rFonts w:ascii="微軟正黑體" w:eastAsia="微軟正黑體" w:hAnsi="微軟正黑體" w:hint="eastAsia"/>
                                <w:sz w:val="20"/>
                              </w:rPr>
                              <w:t>自行運用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3.75pt;margin-top:6.65pt;width:152pt;height: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" stroked="f">
                <v:textbox>
                  <w:txbxContent>
                    <w:p w:rsidR="00745375" w:rsidRPr="00DB49C5" w:rsidRDefault="00745375" w:rsidP="00BD50E5">
                      <w:pPr>
                        <w:rPr>
                          <w:rFonts w:ascii="微軟正黑體" w:eastAsia="微軟正黑體" w:hAnsi="微軟正黑體"/>
                          <w:sz w:val="20"/>
                        </w:rPr>
                      </w:pPr>
                      <w:r>
                        <w:rPr>
                          <w:noProof/>
                        </w:rPr>
                        <w:drawing>
                          <wp:inline distT="0" distB="0" distL="0" distR="0" wp14:anchorId="045E1261" wp14:editId="27F3B7CE">
                            <wp:extent cx="127000" cy="118745"/>
                            <wp:effectExtent l="0" t="0" r="635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000" cy="118745"/>
                                    </a:xfrm>
                                    <a:prstGeom prst="rect">
                                      <a:avLst/>
                                    </a:prstGeom>
                                    <a:noFill/>
                                    <a:ln>
                                      <a:noFill/>
                                    </a:ln>
                                  </pic:spPr>
                                </pic:pic>
                              </a:graphicData>
                            </a:graphic>
                          </wp:inline>
                        </w:drawing>
                      </w:r>
                      <w:r>
                        <w:rPr>
                          <w:rFonts w:hint="eastAsia"/>
                        </w:rPr>
                        <w:t xml:space="preserve"> </w:t>
                      </w:r>
                      <w:r w:rsidRPr="00DB49C5">
                        <w:rPr>
                          <w:rFonts w:ascii="微軟正黑體" w:eastAsia="微軟正黑體" w:hAnsi="微軟正黑體" w:hint="eastAsia"/>
                          <w:sz w:val="20"/>
                        </w:rPr>
                        <w:t xml:space="preserve">委託經營  </w:t>
                      </w:r>
                      <w:r>
                        <w:rPr>
                          <w:rFonts w:ascii="微軟正黑體" w:eastAsia="微軟正黑體" w:hAnsi="微軟正黑體" w:hint="eastAsia"/>
                          <w:sz w:val="20"/>
                        </w:rPr>
                        <w:t xml:space="preserve">  </w:t>
                      </w:r>
                      <w:r>
                        <w:rPr>
                          <w:rFonts w:ascii="微軟正黑體" w:eastAsia="微軟正黑體" w:hAnsi="微軟正黑體" w:hint="eastAsia"/>
                          <w:noProof/>
                          <w:sz w:val="20"/>
                        </w:rPr>
                        <w:drawing>
                          <wp:inline distT="0" distB="0" distL="0" distR="0" wp14:anchorId="4BDF25E3" wp14:editId="4ABD5D51">
                            <wp:extent cx="130810" cy="118745"/>
                            <wp:effectExtent l="0" t="0" r="254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0810" cy="118745"/>
                                    </a:xfrm>
                                    <a:prstGeom prst="rect">
                                      <a:avLst/>
                                    </a:prstGeom>
                                    <a:noFill/>
                                    <a:ln>
                                      <a:noFill/>
                                    </a:ln>
                                  </pic:spPr>
                                </pic:pic>
                              </a:graphicData>
                            </a:graphic>
                          </wp:inline>
                        </w:drawing>
                      </w:r>
                      <w:r>
                        <w:rPr>
                          <w:rFonts w:ascii="微軟正黑體" w:eastAsia="微軟正黑體" w:hAnsi="微軟正黑體" w:hint="eastAsia"/>
                          <w:sz w:val="20"/>
                        </w:rPr>
                        <w:t xml:space="preserve"> </w:t>
                      </w:r>
                      <w:r w:rsidRPr="00DB49C5">
                        <w:rPr>
                          <w:rFonts w:ascii="微軟正黑體" w:eastAsia="微軟正黑體" w:hAnsi="微軟正黑體" w:hint="eastAsia"/>
                          <w:sz w:val="20"/>
                        </w:rPr>
                        <w:t>自行運用</w:t>
                      </w:r>
                    </w:p>
                  </w:txbxContent>
                </v:textbox>
              </v:shape>
            </w:pict>
          </mc:Fallback>
        </mc:AlternateContent>
      </w:r>
      <w:r w:rsidRPr="007B78CF">
        <w:rPr>
          <w:noProof/>
          <w:color w:val="000000" w:themeColor="text1"/>
        </w:rPr>
        <w:drawing>
          <wp:anchor distT="0" distB="0" distL="114300" distR="114300" simplePos="0" relativeHeight="252636160" behindDoc="0" locked="0" layoutInCell="1" allowOverlap="1" wp14:anchorId="049C1E7D" wp14:editId="744A6105">
            <wp:simplePos x="0" y="0"/>
            <wp:positionH relativeFrom="column">
              <wp:posOffset>108973</wp:posOffset>
            </wp:positionH>
            <wp:positionV relativeFrom="paragraph">
              <wp:posOffset>-7571</wp:posOffset>
            </wp:positionV>
            <wp:extent cx="5628903" cy="3325091"/>
            <wp:effectExtent l="0" t="0" r="10160" b="27940"/>
            <wp:wrapNone/>
            <wp:docPr id="303" name="圖表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firstLineChars="200" w:firstLine="480"/>
        <w:jc w:val="both"/>
        <w:rPr>
          <w:rFonts w:ascii="微軟正黑體" w:eastAsia="微軟正黑體" w:hAnsi="微軟正黑體"/>
          <w:color w:val="000000" w:themeColor="text1"/>
        </w:rPr>
      </w:pPr>
    </w:p>
    <w:p w:rsidR="00BD50E5" w:rsidRPr="007B78CF" w:rsidRDefault="00BD50E5" w:rsidP="00BD50E5">
      <w:pPr>
        <w:spacing w:beforeLines="80" w:before="288" w:afterLines="50" w:after="180" w:line="360" w:lineRule="exact"/>
        <w:jc w:val="center"/>
        <w:rPr>
          <w:rFonts w:ascii="微軟正黑體" w:eastAsia="微軟正黑體" w:hAnsi="微軟正黑體"/>
          <w:color w:val="000000" w:themeColor="text1"/>
        </w:rPr>
      </w:pPr>
    </w:p>
    <w:p w:rsidR="00BD50E5" w:rsidRDefault="00BD50E5" w:rsidP="00BD50E5">
      <w:pPr>
        <w:spacing w:beforeLines="80" w:before="288" w:afterLines="50" w:after="180" w:line="36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圖3.21  109年度退撫基金資產配置情形</w:t>
      </w:r>
    </w:p>
    <w:p w:rsidR="00BD50E5" w:rsidRPr="007B78CF" w:rsidRDefault="00BD50E5" w:rsidP="00BD50E5">
      <w:pPr>
        <w:spacing w:line="360" w:lineRule="exact"/>
        <w:jc w:val="center"/>
        <w:rPr>
          <w:rFonts w:ascii="微軟正黑體" w:eastAsia="微軟正黑體" w:hAnsi="微軟正黑體"/>
          <w:color w:val="000000" w:themeColor="text1"/>
        </w:rPr>
      </w:pPr>
    </w:p>
    <w:p w:rsidR="00BD50E5" w:rsidRPr="007B78CF" w:rsidRDefault="00BD50E5" w:rsidP="00BD50E5">
      <w:pPr>
        <w:spacing w:beforeLines="50" w:before="18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4. 財務精算結果</w:t>
      </w: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依公務人員退休撫卹基金管理條例施行細則第17條規定：「本基金財務管理以收支平衡為原則，基金管理會為評估基金財務負擔能力，應實施定期精算，精算頻率採3年一次為原則。每次精算50年。」爰該基金自86年成立以來已實施7次財務精算。依最近一次於108年2月完成之第7次財務精算報告結果，公務、教育及軍職人員基金之最適提撥率分別為26.27%、30.24%及12.34%。另提撥率維持12%時，預估公務及教育人員基金用罄年度分別為130年及129年，軍職人員則未來50年內基金不會用罄；而假設提撥率自108年1月1日起，由現行12%逐年提高1%至18%，則公務、教育人員基金用罄年度分別延後至141年及136年，軍職人員未來50年內基金不會用罄。</w:t>
      </w: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afterLines="30" w:after="108"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lastRenderedPageBreak/>
        <w:t>表3.9  退撫基金最近一次財務精算結果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551"/>
        <w:gridCol w:w="1654"/>
        <w:gridCol w:w="2729"/>
      </w:tblGrid>
      <w:tr w:rsidR="00BD50E5" w:rsidRPr="007B78CF" w:rsidTr="008F1977">
        <w:trPr>
          <w:jc w:val="center"/>
        </w:trPr>
        <w:tc>
          <w:tcPr>
            <w:tcW w:w="4394" w:type="dxa"/>
            <w:gridSpan w:val="2"/>
            <w:shd w:val="clear" w:color="auto" w:fill="auto"/>
            <w:vAlign w:val="center"/>
          </w:tcPr>
          <w:p w:rsidR="00BD50E5" w:rsidRPr="007B78CF" w:rsidRDefault="00BD50E5" w:rsidP="008F1977">
            <w:pPr>
              <w:pStyle w:val="xl24"/>
              <w:adjustRightInd w:val="0"/>
              <w:snapToGrid w:val="0"/>
              <w:spacing w:before="0" w:beforeAutospacing="0" w:after="0" w:afterAutospacing="0" w:line="400" w:lineRule="exact"/>
              <w:rPr>
                <w:rFonts w:ascii="微軟正黑體" w:eastAsia="微軟正黑體" w:hAnsi="微軟正黑體" w:cs="Times New Roman"/>
                <w:color w:val="000000" w:themeColor="text1"/>
                <w:kern w:val="2"/>
                <w:sz w:val="22"/>
                <w:szCs w:val="22"/>
              </w:rPr>
            </w:pPr>
            <w:r w:rsidRPr="007B78CF">
              <w:rPr>
                <w:rFonts w:ascii="微軟正黑體" w:eastAsia="微軟正黑體" w:hAnsi="微軟正黑體" w:cs="Times New Roman" w:hint="eastAsia"/>
                <w:color w:val="000000" w:themeColor="text1"/>
                <w:kern w:val="2"/>
                <w:sz w:val="22"/>
                <w:szCs w:val="22"/>
              </w:rPr>
              <w:t>精算基準日</w:t>
            </w:r>
          </w:p>
        </w:tc>
        <w:tc>
          <w:tcPr>
            <w:tcW w:w="4383" w:type="dxa"/>
            <w:gridSpan w:val="2"/>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106年12月31日</w:t>
            </w:r>
          </w:p>
        </w:tc>
      </w:tr>
      <w:tr w:rsidR="00BD50E5" w:rsidRPr="007B78CF" w:rsidTr="008F1977">
        <w:trPr>
          <w:jc w:val="center"/>
        </w:trPr>
        <w:tc>
          <w:tcPr>
            <w:tcW w:w="4394" w:type="dxa"/>
            <w:gridSpan w:val="2"/>
            <w:shd w:val="clear" w:color="auto" w:fill="auto"/>
            <w:vAlign w:val="center"/>
          </w:tcPr>
          <w:p w:rsidR="00BD50E5" w:rsidRPr="007B78CF" w:rsidRDefault="00BD50E5" w:rsidP="008F1977">
            <w:pPr>
              <w:pStyle w:val="xl24"/>
              <w:adjustRightInd w:val="0"/>
              <w:snapToGrid w:val="0"/>
              <w:spacing w:before="0" w:beforeAutospacing="0" w:after="0" w:afterAutospacing="0" w:line="400" w:lineRule="exact"/>
              <w:rPr>
                <w:rFonts w:ascii="微軟正黑體" w:eastAsia="微軟正黑體" w:hAnsi="微軟正黑體" w:cs="Times New Roman"/>
                <w:color w:val="000000" w:themeColor="text1"/>
                <w:kern w:val="2"/>
                <w:sz w:val="22"/>
                <w:szCs w:val="22"/>
              </w:rPr>
            </w:pPr>
            <w:r w:rsidRPr="007B78CF">
              <w:rPr>
                <w:rFonts w:ascii="微軟正黑體" w:eastAsia="微軟正黑體" w:hAnsi="微軟正黑體" w:cs="Times New Roman" w:hint="eastAsia"/>
                <w:color w:val="000000" w:themeColor="text1"/>
                <w:kern w:val="2"/>
                <w:sz w:val="22"/>
                <w:szCs w:val="22"/>
              </w:rPr>
              <w:t>報告完成時間</w:t>
            </w:r>
          </w:p>
        </w:tc>
        <w:tc>
          <w:tcPr>
            <w:tcW w:w="4383" w:type="dxa"/>
            <w:gridSpan w:val="2"/>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108年2月</w:t>
            </w:r>
          </w:p>
        </w:tc>
      </w:tr>
      <w:tr w:rsidR="00BD50E5" w:rsidRPr="007B78CF" w:rsidTr="008F1977">
        <w:trPr>
          <w:trHeight w:val="609"/>
          <w:jc w:val="center"/>
        </w:trPr>
        <w:tc>
          <w:tcPr>
            <w:tcW w:w="1843" w:type="dxa"/>
            <w:vMerge w:val="restart"/>
            <w:shd w:val="clear" w:color="auto" w:fill="auto"/>
            <w:vAlign w:val="center"/>
          </w:tcPr>
          <w:p w:rsidR="00BD50E5" w:rsidRPr="007B78CF" w:rsidRDefault="00BD50E5" w:rsidP="008F1977">
            <w:pPr>
              <w:pStyle w:val="xl24"/>
              <w:adjustRightInd w:val="0"/>
              <w:snapToGrid w:val="0"/>
              <w:spacing w:before="0" w:beforeAutospacing="0" w:after="0" w:afterAutospacing="0" w:line="400" w:lineRule="exact"/>
              <w:rPr>
                <w:rFonts w:ascii="微軟正黑體" w:eastAsia="微軟正黑體" w:hAnsi="微軟正黑體" w:cs="Times New Roman"/>
                <w:color w:val="000000" w:themeColor="text1"/>
                <w:kern w:val="2"/>
                <w:sz w:val="22"/>
                <w:szCs w:val="22"/>
              </w:rPr>
            </w:pPr>
            <w:r w:rsidRPr="007B78CF">
              <w:rPr>
                <w:rFonts w:ascii="微軟正黑體" w:eastAsia="微軟正黑體" w:hAnsi="微軟正黑體" w:cs="Times New Roman" w:hint="eastAsia"/>
                <w:color w:val="000000" w:themeColor="text1"/>
                <w:kern w:val="2"/>
                <w:sz w:val="22"/>
                <w:szCs w:val="22"/>
              </w:rPr>
              <w:t>精算假設</w:t>
            </w:r>
          </w:p>
        </w:tc>
        <w:tc>
          <w:tcPr>
            <w:tcW w:w="2551" w:type="dxa"/>
            <w:shd w:val="clear" w:color="auto" w:fill="auto"/>
            <w:vAlign w:val="center"/>
          </w:tcPr>
          <w:p w:rsidR="00BD50E5" w:rsidRPr="007B78CF" w:rsidRDefault="00BD50E5" w:rsidP="008F1977">
            <w:pPr>
              <w:pStyle w:val="xl24"/>
              <w:adjustRightInd w:val="0"/>
              <w:snapToGrid w:val="0"/>
              <w:spacing w:before="0" w:beforeAutospacing="0" w:after="0" w:afterAutospacing="0" w:line="320" w:lineRule="exact"/>
              <w:rPr>
                <w:rFonts w:ascii="微軟正黑體" w:eastAsia="微軟正黑體" w:hAnsi="微軟正黑體" w:cs="Times New Roman"/>
                <w:color w:val="000000" w:themeColor="text1"/>
                <w:kern w:val="2"/>
                <w:sz w:val="22"/>
                <w:szCs w:val="22"/>
              </w:rPr>
            </w:pPr>
            <w:r w:rsidRPr="007B78CF">
              <w:rPr>
                <w:rFonts w:ascii="微軟正黑體" w:eastAsia="微軟正黑體" w:hAnsi="微軟正黑體" w:cs="Times New Roman"/>
                <w:color w:val="000000" w:themeColor="text1"/>
                <w:kern w:val="2"/>
                <w:sz w:val="22"/>
                <w:szCs w:val="22"/>
              </w:rPr>
              <w:t>折現率</w:t>
            </w:r>
          </w:p>
          <w:p w:rsidR="00BD50E5" w:rsidRPr="007B78CF" w:rsidRDefault="00BD50E5" w:rsidP="008F1977">
            <w:pPr>
              <w:pStyle w:val="xl24"/>
              <w:adjustRightInd w:val="0"/>
              <w:snapToGrid w:val="0"/>
              <w:spacing w:before="0" w:beforeAutospacing="0" w:after="0" w:afterAutospacing="0" w:line="320" w:lineRule="exact"/>
              <w:rPr>
                <w:rFonts w:ascii="微軟正黑體" w:eastAsia="微軟正黑體" w:hAnsi="微軟正黑體" w:cs="Times New Roman"/>
                <w:color w:val="000000" w:themeColor="text1"/>
                <w:kern w:val="2"/>
                <w:sz w:val="22"/>
                <w:szCs w:val="22"/>
              </w:rPr>
            </w:pPr>
            <w:r w:rsidRPr="007B78CF">
              <w:rPr>
                <w:rFonts w:ascii="微軟正黑體" w:eastAsia="微軟正黑體" w:hAnsi="微軟正黑體" w:cs="Times New Roman"/>
                <w:color w:val="000000" w:themeColor="text1"/>
                <w:kern w:val="2"/>
                <w:sz w:val="22"/>
                <w:szCs w:val="22"/>
              </w:rPr>
              <w:t>(預定投資報酬率)</w:t>
            </w:r>
          </w:p>
        </w:tc>
        <w:tc>
          <w:tcPr>
            <w:tcW w:w="4383" w:type="dxa"/>
            <w:gridSpan w:val="2"/>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4%</w:t>
            </w:r>
          </w:p>
        </w:tc>
      </w:tr>
      <w:tr w:rsidR="00BD50E5" w:rsidRPr="007B78CF" w:rsidTr="008F1977">
        <w:trPr>
          <w:trHeight w:val="377"/>
          <w:jc w:val="center"/>
        </w:trPr>
        <w:tc>
          <w:tcPr>
            <w:tcW w:w="1843" w:type="dxa"/>
            <w:vMerge/>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p>
        </w:tc>
        <w:tc>
          <w:tcPr>
            <w:tcW w:w="2551" w:type="dxa"/>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當時提撥率</w:t>
            </w:r>
          </w:p>
        </w:tc>
        <w:tc>
          <w:tcPr>
            <w:tcW w:w="4383" w:type="dxa"/>
            <w:gridSpan w:val="2"/>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12%</w:t>
            </w:r>
          </w:p>
        </w:tc>
      </w:tr>
      <w:tr w:rsidR="00BD50E5" w:rsidRPr="007B78CF" w:rsidTr="008F1977">
        <w:trPr>
          <w:jc w:val="center"/>
        </w:trPr>
        <w:tc>
          <w:tcPr>
            <w:tcW w:w="1843" w:type="dxa"/>
            <w:vMerge w:val="restart"/>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精算結果</w:t>
            </w:r>
          </w:p>
        </w:tc>
        <w:tc>
          <w:tcPr>
            <w:tcW w:w="2551" w:type="dxa"/>
            <w:vMerge w:val="restart"/>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精算結果</w:t>
            </w:r>
          </w:p>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(最適提撥率)</w:t>
            </w: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公務</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26.27</w:t>
            </w:r>
            <w:r w:rsidRPr="007B78CF">
              <w:rPr>
                <w:rFonts w:ascii="微軟正黑體" w:eastAsia="微軟正黑體" w:hAnsi="微軟正黑體"/>
                <w:color w:val="000000" w:themeColor="text1"/>
                <w:sz w:val="22"/>
                <w:szCs w:val="22"/>
              </w:rPr>
              <w:t>%</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400" w:lineRule="exact"/>
              <w:rPr>
                <w:rFonts w:ascii="微軟正黑體" w:eastAsia="微軟正黑體" w:hAnsi="微軟正黑體"/>
                <w:color w:val="000000" w:themeColor="text1"/>
                <w:sz w:val="22"/>
                <w:szCs w:val="22"/>
              </w:rPr>
            </w:pPr>
          </w:p>
        </w:tc>
        <w:tc>
          <w:tcPr>
            <w:tcW w:w="2551" w:type="dxa"/>
            <w:vMerge/>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教育</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30.24</w:t>
            </w:r>
            <w:r w:rsidRPr="007B78CF">
              <w:rPr>
                <w:rFonts w:ascii="微軟正黑體" w:eastAsia="微軟正黑體" w:hAnsi="微軟正黑體"/>
                <w:color w:val="000000" w:themeColor="text1"/>
                <w:sz w:val="22"/>
                <w:szCs w:val="22"/>
              </w:rPr>
              <w:t>%</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400" w:lineRule="exact"/>
              <w:rPr>
                <w:rFonts w:ascii="微軟正黑體" w:eastAsia="微軟正黑體" w:hAnsi="微軟正黑體"/>
                <w:color w:val="000000" w:themeColor="text1"/>
                <w:sz w:val="22"/>
                <w:szCs w:val="22"/>
              </w:rPr>
            </w:pPr>
          </w:p>
        </w:tc>
        <w:tc>
          <w:tcPr>
            <w:tcW w:w="2551" w:type="dxa"/>
            <w:vMerge/>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軍職</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12.34</w:t>
            </w:r>
            <w:r w:rsidRPr="007B78CF">
              <w:rPr>
                <w:rFonts w:ascii="微軟正黑體" w:eastAsia="微軟正黑體" w:hAnsi="微軟正黑體"/>
                <w:color w:val="000000" w:themeColor="text1"/>
                <w:sz w:val="22"/>
                <w:szCs w:val="22"/>
              </w:rPr>
              <w:t>%</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400" w:lineRule="exact"/>
              <w:rPr>
                <w:rFonts w:ascii="微軟正黑體" w:eastAsia="微軟正黑體" w:hAnsi="微軟正黑體"/>
                <w:color w:val="000000" w:themeColor="text1"/>
                <w:sz w:val="22"/>
                <w:szCs w:val="22"/>
              </w:rPr>
            </w:pPr>
          </w:p>
        </w:tc>
        <w:tc>
          <w:tcPr>
            <w:tcW w:w="2551" w:type="dxa"/>
            <w:vMerge w:val="restart"/>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基金規模開始        連續遞減年度</w:t>
            </w:r>
          </w:p>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(提撥率維持12%)</w:t>
            </w: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公務</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115年</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400" w:lineRule="exact"/>
              <w:rPr>
                <w:rFonts w:ascii="微軟正黑體" w:eastAsia="微軟正黑體" w:hAnsi="微軟正黑體"/>
                <w:color w:val="000000" w:themeColor="text1"/>
                <w:sz w:val="22"/>
                <w:szCs w:val="22"/>
              </w:rPr>
            </w:pPr>
          </w:p>
        </w:tc>
        <w:tc>
          <w:tcPr>
            <w:tcW w:w="2551" w:type="dxa"/>
            <w:vMerge/>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教育</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118年</w:t>
            </w:r>
          </w:p>
        </w:tc>
      </w:tr>
      <w:tr w:rsidR="00BD50E5" w:rsidRPr="007B78CF" w:rsidTr="008F1977">
        <w:trPr>
          <w:trHeight w:val="327"/>
          <w:jc w:val="center"/>
        </w:trPr>
        <w:tc>
          <w:tcPr>
            <w:tcW w:w="1843" w:type="dxa"/>
            <w:vMerge/>
            <w:shd w:val="clear" w:color="auto" w:fill="auto"/>
            <w:vAlign w:val="center"/>
          </w:tcPr>
          <w:p w:rsidR="00BD50E5" w:rsidRPr="007B78CF" w:rsidRDefault="00BD50E5" w:rsidP="008F1977">
            <w:pPr>
              <w:spacing w:line="400" w:lineRule="exact"/>
              <w:rPr>
                <w:rFonts w:ascii="微軟正黑體" w:eastAsia="微軟正黑體" w:hAnsi="微軟正黑體"/>
                <w:color w:val="000000" w:themeColor="text1"/>
                <w:sz w:val="22"/>
                <w:szCs w:val="22"/>
              </w:rPr>
            </w:pPr>
          </w:p>
        </w:tc>
        <w:tc>
          <w:tcPr>
            <w:tcW w:w="2551" w:type="dxa"/>
            <w:vMerge/>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軍職</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NA</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400" w:lineRule="exact"/>
              <w:rPr>
                <w:rFonts w:ascii="微軟正黑體" w:eastAsia="微軟正黑體" w:hAnsi="微軟正黑體"/>
                <w:color w:val="000000" w:themeColor="text1"/>
                <w:sz w:val="22"/>
                <w:szCs w:val="22"/>
              </w:rPr>
            </w:pPr>
          </w:p>
        </w:tc>
        <w:tc>
          <w:tcPr>
            <w:tcW w:w="2551" w:type="dxa"/>
            <w:vMerge w:val="restart"/>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基金用罄年度</w:t>
            </w:r>
          </w:p>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(提撥率維持12%)</w:t>
            </w: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公務</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130年</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400" w:lineRule="exact"/>
              <w:rPr>
                <w:rFonts w:ascii="微軟正黑體" w:eastAsia="微軟正黑體" w:hAnsi="微軟正黑體"/>
                <w:color w:val="000000" w:themeColor="text1"/>
                <w:sz w:val="22"/>
                <w:szCs w:val="22"/>
              </w:rPr>
            </w:pPr>
          </w:p>
        </w:tc>
        <w:tc>
          <w:tcPr>
            <w:tcW w:w="2551" w:type="dxa"/>
            <w:vMerge/>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教育</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129年</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400" w:lineRule="exact"/>
              <w:rPr>
                <w:rFonts w:ascii="微軟正黑體" w:eastAsia="微軟正黑體" w:hAnsi="微軟正黑體"/>
                <w:color w:val="000000" w:themeColor="text1"/>
                <w:sz w:val="22"/>
                <w:szCs w:val="22"/>
              </w:rPr>
            </w:pPr>
          </w:p>
        </w:tc>
        <w:tc>
          <w:tcPr>
            <w:tcW w:w="2551" w:type="dxa"/>
            <w:vMerge/>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軍職</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NA</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400" w:lineRule="exact"/>
              <w:rPr>
                <w:rFonts w:ascii="微軟正黑體" w:eastAsia="微軟正黑體" w:hAnsi="微軟正黑體"/>
                <w:color w:val="000000" w:themeColor="text1"/>
                <w:sz w:val="22"/>
                <w:szCs w:val="22"/>
              </w:rPr>
            </w:pPr>
          </w:p>
        </w:tc>
        <w:tc>
          <w:tcPr>
            <w:tcW w:w="2551" w:type="dxa"/>
            <w:vMerge w:val="restart"/>
            <w:shd w:val="clear" w:color="auto" w:fill="auto"/>
            <w:vAlign w:val="center"/>
          </w:tcPr>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基金用罄年度</w:t>
            </w:r>
          </w:p>
          <w:p w:rsidR="00BD50E5" w:rsidRPr="007B78CF" w:rsidRDefault="00BD50E5" w:rsidP="008F1977">
            <w:pPr>
              <w:spacing w:line="32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(提撥率自108年1月1日起由現行12%逐年提高1%至18%)</w:t>
            </w: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公務</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1</w:t>
            </w:r>
            <w:r w:rsidRPr="007B78CF">
              <w:rPr>
                <w:rFonts w:ascii="微軟正黑體" w:eastAsia="微軟正黑體" w:hAnsi="微軟正黑體" w:hint="eastAsia"/>
                <w:color w:val="000000" w:themeColor="text1"/>
                <w:sz w:val="22"/>
                <w:szCs w:val="22"/>
              </w:rPr>
              <w:t>41年</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p>
        </w:tc>
        <w:tc>
          <w:tcPr>
            <w:tcW w:w="2551" w:type="dxa"/>
            <w:vMerge/>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p>
        </w:tc>
        <w:tc>
          <w:tcPr>
            <w:tcW w:w="1654"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教育</w:t>
            </w:r>
          </w:p>
        </w:tc>
        <w:tc>
          <w:tcPr>
            <w:tcW w:w="2729" w:type="dxa"/>
            <w:shd w:val="clear" w:color="auto" w:fill="auto"/>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color w:val="000000" w:themeColor="text1"/>
                <w:sz w:val="22"/>
                <w:szCs w:val="22"/>
              </w:rPr>
              <w:t>1</w:t>
            </w:r>
            <w:r w:rsidRPr="007B78CF">
              <w:rPr>
                <w:rFonts w:ascii="微軟正黑體" w:eastAsia="微軟正黑體" w:hAnsi="微軟正黑體" w:hint="eastAsia"/>
                <w:color w:val="000000" w:themeColor="text1"/>
                <w:sz w:val="22"/>
                <w:szCs w:val="22"/>
              </w:rPr>
              <w:t>36年</w:t>
            </w:r>
          </w:p>
        </w:tc>
      </w:tr>
      <w:tr w:rsidR="00BD50E5" w:rsidRPr="007B78CF" w:rsidTr="008F1977">
        <w:trPr>
          <w:jc w:val="center"/>
        </w:trPr>
        <w:tc>
          <w:tcPr>
            <w:tcW w:w="1843" w:type="dxa"/>
            <w:vMerge/>
            <w:shd w:val="clear" w:color="auto" w:fill="auto"/>
            <w:vAlign w:val="center"/>
          </w:tcPr>
          <w:p w:rsidR="00BD50E5" w:rsidRPr="007B78CF" w:rsidRDefault="00BD50E5" w:rsidP="008F1977">
            <w:pPr>
              <w:spacing w:line="280" w:lineRule="exact"/>
              <w:jc w:val="center"/>
              <w:rPr>
                <w:rFonts w:ascii="微軟正黑體" w:eastAsia="微軟正黑體" w:hAnsi="微軟正黑體"/>
                <w:color w:val="000000" w:themeColor="text1"/>
                <w:sz w:val="22"/>
                <w:szCs w:val="22"/>
              </w:rPr>
            </w:pPr>
          </w:p>
        </w:tc>
        <w:tc>
          <w:tcPr>
            <w:tcW w:w="2551" w:type="dxa"/>
            <w:vMerge/>
            <w:shd w:val="clear" w:color="auto" w:fill="auto"/>
            <w:vAlign w:val="center"/>
          </w:tcPr>
          <w:p w:rsidR="00BD50E5" w:rsidRPr="007B78CF" w:rsidRDefault="00BD50E5" w:rsidP="008F1977">
            <w:pPr>
              <w:spacing w:line="280" w:lineRule="exact"/>
              <w:jc w:val="center"/>
              <w:rPr>
                <w:rFonts w:ascii="微軟正黑體" w:eastAsia="微軟正黑體" w:hAnsi="微軟正黑體"/>
                <w:color w:val="000000" w:themeColor="text1"/>
                <w:sz w:val="22"/>
                <w:szCs w:val="22"/>
              </w:rPr>
            </w:pPr>
          </w:p>
        </w:tc>
        <w:tc>
          <w:tcPr>
            <w:tcW w:w="1654" w:type="dxa"/>
            <w:shd w:val="clear" w:color="auto" w:fill="auto"/>
            <w:vAlign w:val="center"/>
          </w:tcPr>
          <w:p w:rsidR="00BD50E5" w:rsidRPr="007B78CF" w:rsidRDefault="00BD50E5" w:rsidP="008F1977">
            <w:pPr>
              <w:spacing w:line="28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軍職</w:t>
            </w:r>
          </w:p>
        </w:tc>
        <w:tc>
          <w:tcPr>
            <w:tcW w:w="2729" w:type="dxa"/>
            <w:shd w:val="clear" w:color="auto" w:fill="auto"/>
            <w:vAlign w:val="center"/>
          </w:tcPr>
          <w:p w:rsidR="00BD50E5" w:rsidRPr="007B78CF" w:rsidRDefault="00BD50E5" w:rsidP="008F1977">
            <w:pPr>
              <w:spacing w:line="28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NA</w:t>
            </w:r>
          </w:p>
        </w:tc>
      </w:tr>
    </w:tbl>
    <w:p w:rsidR="00BD50E5" w:rsidRPr="007B78CF" w:rsidRDefault="00BD50E5" w:rsidP="00BD50E5">
      <w:pPr>
        <w:autoSpaceDE w:val="0"/>
        <w:autoSpaceDN w:val="0"/>
        <w:adjustRightInd w:val="0"/>
        <w:spacing w:line="300" w:lineRule="exact"/>
        <w:ind w:leftChars="59" w:left="714" w:rightChars="57" w:right="137" w:hangingChars="286" w:hanging="572"/>
        <w:rPr>
          <w:rFonts w:ascii="微軟正黑體" w:eastAsia="微軟正黑體" w:hAnsi="微軟正黑體"/>
          <w:color w:val="000000" w:themeColor="text1"/>
          <w:sz w:val="20"/>
          <w:szCs w:val="20"/>
        </w:rPr>
      </w:pPr>
      <w:r w:rsidRPr="007B78CF">
        <w:rPr>
          <w:rFonts w:ascii="微軟正黑體" w:eastAsia="微軟正黑體" w:hAnsi="微軟正黑體" w:hint="eastAsia"/>
          <w:color w:val="000000" w:themeColor="text1"/>
          <w:sz w:val="20"/>
          <w:szCs w:val="20"/>
        </w:rPr>
        <w:t>註：1.有關基金規模開始連續遞減年度及基金用罄年度之精算，均已計入107年7月1日退撫新法實施後節省退撫經費支出之挹注款，以及國軍配合政府組織精簡政策之挹注款。</w:t>
      </w:r>
    </w:p>
    <w:p w:rsidR="00BD50E5" w:rsidRPr="007B78CF" w:rsidRDefault="00BD50E5" w:rsidP="00BD50E5">
      <w:pPr>
        <w:autoSpaceDE w:val="0"/>
        <w:autoSpaceDN w:val="0"/>
        <w:adjustRightInd w:val="0"/>
        <w:spacing w:line="300" w:lineRule="exact"/>
        <w:ind w:leftChars="59" w:left="682" w:rightChars="57" w:right="137" w:hangingChars="270" w:hanging="540"/>
        <w:rPr>
          <w:rFonts w:ascii="微軟正黑體" w:eastAsia="微軟正黑體" w:hAnsi="微軟正黑體" w:cs="ArialUnicodeMS"/>
          <w:color w:val="000000" w:themeColor="text1"/>
          <w:kern w:val="0"/>
          <w:sz w:val="20"/>
          <w:szCs w:val="20"/>
        </w:rPr>
      </w:pPr>
      <w:r w:rsidRPr="007B78CF">
        <w:rPr>
          <w:rFonts w:ascii="微軟正黑體" w:eastAsia="微軟正黑體" w:hAnsi="微軟正黑體" w:cs="ArialUnicodeMS" w:hint="eastAsia"/>
          <w:color w:val="000000" w:themeColor="text1"/>
          <w:kern w:val="0"/>
          <w:sz w:val="20"/>
          <w:szCs w:val="20"/>
        </w:rPr>
        <w:t xml:space="preserve">    2.</w:t>
      </w:r>
      <w:r w:rsidRPr="007B78CF">
        <w:rPr>
          <w:rFonts w:ascii="微軟正黑體" w:eastAsia="微軟正黑體" w:hAnsi="微軟正黑體" w:cs="ArialUnicodeMS"/>
          <w:color w:val="000000" w:themeColor="text1"/>
          <w:kern w:val="0"/>
          <w:sz w:val="20"/>
          <w:szCs w:val="20"/>
        </w:rPr>
        <w:t>NA</w:t>
      </w:r>
      <w:r w:rsidRPr="007B78CF">
        <w:rPr>
          <w:rFonts w:ascii="微軟正黑體" w:eastAsia="微軟正黑體" w:hAnsi="微軟正黑體" w:cs="ArialUnicodeMS" w:hint="eastAsia"/>
          <w:color w:val="000000" w:themeColor="text1"/>
          <w:kern w:val="0"/>
          <w:sz w:val="20"/>
          <w:szCs w:val="20"/>
        </w:rPr>
        <w:t>代表未來</w:t>
      </w:r>
      <w:r w:rsidRPr="007B78CF">
        <w:rPr>
          <w:rFonts w:ascii="微軟正黑體" w:eastAsia="微軟正黑體" w:hAnsi="微軟正黑體" w:cs="ArialUnicodeMS"/>
          <w:color w:val="000000" w:themeColor="text1"/>
          <w:kern w:val="0"/>
          <w:sz w:val="20"/>
          <w:szCs w:val="20"/>
        </w:rPr>
        <w:t>50</w:t>
      </w:r>
      <w:r w:rsidRPr="007B78CF">
        <w:rPr>
          <w:rFonts w:ascii="微軟正黑體" w:eastAsia="微軟正黑體" w:hAnsi="微軟正黑體" w:cs="ArialUnicodeMS" w:hint="eastAsia"/>
          <w:color w:val="000000" w:themeColor="text1"/>
          <w:kern w:val="0"/>
          <w:sz w:val="20"/>
          <w:szCs w:val="20"/>
        </w:rPr>
        <w:t>年內都不會出現負值年度。</w:t>
      </w:r>
    </w:p>
    <w:p w:rsidR="00BD50E5" w:rsidRPr="007B78CF" w:rsidRDefault="00BD50E5" w:rsidP="00BD50E5">
      <w:pPr>
        <w:spacing w:beforeLines="100" w:before="360" w:afterLines="30" w:after="108"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(四) 制度動態</w:t>
      </w:r>
    </w:p>
    <w:p w:rsidR="001E6B67" w:rsidRDefault="00BD50E5" w:rsidP="00A341E4">
      <w:pPr>
        <w:pStyle w:val="af0"/>
        <w:numPr>
          <w:ilvl w:val="0"/>
          <w:numId w:val="62"/>
        </w:numPr>
        <w:spacing w:beforeLines="30" w:before="108" w:line="400" w:lineRule="exact"/>
        <w:ind w:leftChars="0" w:left="709" w:hanging="425"/>
        <w:jc w:val="both"/>
        <w:rPr>
          <w:rFonts w:ascii="微軟正黑體" w:eastAsia="微軟正黑體" w:hAnsi="微軟正黑體"/>
          <w:color w:val="000000" w:themeColor="text1"/>
        </w:rPr>
      </w:pPr>
      <w:r w:rsidRPr="001E6B67">
        <w:rPr>
          <w:rFonts w:ascii="微軟正黑體" w:eastAsia="微軟正黑體" w:hAnsi="微軟正黑體" w:hint="eastAsia"/>
          <w:color w:val="000000" w:themeColor="text1"/>
        </w:rPr>
        <w:t>考試院會同行政院於1</w:t>
      </w:r>
      <w:r w:rsidRPr="001E6B67">
        <w:rPr>
          <w:rFonts w:ascii="微軟正黑體" w:eastAsia="微軟正黑體" w:hAnsi="微軟正黑體"/>
          <w:color w:val="000000" w:themeColor="text1"/>
        </w:rPr>
        <w:t>09</w:t>
      </w:r>
      <w:r w:rsidRPr="001E6B67">
        <w:rPr>
          <w:rFonts w:ascii="微軟正黑體" w:eastAsia="微軟正黑體" w:hAnsi="微軟正黑體" w:hint="eastAsia"/>
          <w:color w:val="000000" w:themeColor="text1"/>
        </w:rPr>
        <w:t>年8月2</w:t>
      </w:r>
      <w:r w:rsidRPr="001E6B67">
        <w:rPr>
          <w:rFonts w:ascii="微軟正黑體" w:eastAsia="微軟正黑體" w:hAnsi="微軟正黑體"/>
          <w:color w:val="000000" w:themeColor="text1"/>
        </w:rPr>
        <w:t>8</w:t>
      </w:r>
      <w:r w:rsidRPr="001E6B67">
        <w:rPr>
          <w:rFonts w:ascii="微軟正黑體" w:eastAsia="微軟正黑體" w:hAnsi="微軟正黑體" w:hint="eastAsia"/>
          <w:color w:val="000000" w:themeColor="text1"/>
        </w:rPr>
        <w:t>日釐訂公告，軍公教人員退休撫卹基金提撥費率，由現行1</w:t>
      </w:r>
      <w:r w:rsidRPr="001E6B67">
        <w:rPr>
          <w:rFonts w:ascii="微軟正黑體" w:eastAsia="微軟正黑體" w:hAnsi="微軟正黑體"/>
          <w:color w:val="000000" w:themeColor="text1"/>
        </w:rPr>
        <w:t>2%</w:t>
      </w:r>
      <w:r w:rsidRPr="001E6B67">
        <w:rPr>
          <w:rFonts w:ascii="微軟正黑體" w:eastAsia="微軟正黑體" w:hAnsi="微軟正黑體" w:hint="eastAsia"/>
          <w:color w:val="000000" w:themeColor="text1"/>
        </w:rPr>
        <w:t>，自1</w:t>
      </w:r>
      <w:r w:rsidRPr="001E6B67">
        <w:rPr>
          <w:rFonts w:ascii="微軟正黑體" w:eastAsia="微軟正黑體" w:hAnsi="微軟正黑體"/>
          <w:color w:val="000000" w:themeColor="text1"/>
        </w:rPr>
        <w:t>10</w:t>
      </w:r>
      <w:r w:rsidRPr="001E6B67">
        <w:rPr>
          <w:rFonts w:ascii="微軟正黑體" w:eastAsia="微軟正黑體" w:hAnsi="微軟正黑體" w:hint="eastAsia"/>
          <w:color w:val="000000" w:themeColor="text1"/>
        </w:rPr>
        <w:t>年1月1日起每年調升1</w:t>
      </w:r>
      <w:r w:rsidRPr="001E6B67">
        <w:rPr>
          <w:rFonts w:ascii="微軟正黑體" w:eastAsia="微軟正黑體" w:hAnsi="微軟正黑體"/>
          <w:color w:val="000000" w:themeColor="text1"/>
        </w:rPr>
        <w:t>%</w:t>
      </w:r>
      <w:r w:rsidRPr="001E6B67">
        <w:rPr>
          <w:rFonts w:ascii="微軟正黑體" w:eastAsia="微軟正黑體" w:hAnsi="微軟正黑體" w:hint="eastAsia"/>
          <w:color w:val="000000" w:themeColor="text1"/>
        </w:rPr>
        <w:t>，至1</w:t>
      </w:r>
      <w:r w:rsidRPr="001E6B67">
        <w:rPr>
          <w:rFonts w:ascii="微軟正黑體" w:eastAsia="微軟正黑體" w:hAnsi="微軟正黑體"/>
          <w:color w:val="000000" w:themeColor="text1"/>
        </w:rPr>
        <w:t>12</w:t>
      </w:r>
      <w:r w:rsidRPr="001E6B67">
        <w:rPr>
          <w:rFonts w:ascii="微軟正黑體" w:eastAsia="微軟正黑體" w:hAnsi="微軟正黑體" w:hint="eastAsia"/>
          <w:color w:val="000000" w:themeColor="text1"/>
        </w:rPr>
        <w:t>年為1</w:t>
      </w:r>
      <w:r w:rsidRPr="001E6B67">
        <w:rPr>
          <w:rFonts w:ascii="微軟正黑體" w:eastAsia="微軟正黑體" w:hAnsi="微軟正黑體"/>
          <w:color w:val="000000" w:themeColor="text1"/>
        </w:rPr>
        <w:t>5%</w:t>
      </w:r>
      <w:r w:rsidRPr="001E6B67">
        <w:rPr>
          <w:rFonts w:ascii="微軟正黑體" w:eastAsia="微軟正黑體" w:hAnsi="微軟正黑體" w:hint="eastAsia"/>
          <w:color w:val="000000" w:themeColor="text1"/>
        </w:rPr>
        <w:t>。</w:t>
      </w:r>
    </w:p>
    <w:p w:rsidR="00BD50E5" w:rsidRPr="001E6B67" w:rsidRDefault="00BD50E5" w:rsidP="00A341E4">
      <w:pPr>
        <w:pStyle w:val="af0"/>
        <w:numPr>
          <w:ilvl w:val="0"/>
          <w:numId w:val="62"/>
        </w:numPr>
        <w:spacing w:beforeLines="30" w:before="108" w:line="400" w:lineRule="exact"/>
        <w:ind w:leftChars="0" w:left="709" w:hanging="425"/>
        <w:jc w:val="both"/>
        <w:rPr>
          <w:rFonts w:ascii="微軟正黑體" w:eastAsia="微軟正黑體" w:hAnsi="微軟正黑體"/>
          <w:color w:val="000000" w:themeColor="text1"/>
        </w:rPr>
      </w:pPr>
      <w:r w:rsidRPr="001E6B67">
        <w:rPr>
          <w:rFonts w:ascii="微軟正黑體" w:eastAsia="微軟正黑體" w:hAnsi="微軟正黑體" w:cstheme="minorBidi"/>
          <w:color w:val="000000" w:themeColor="text1"/>
        </w:rPr>
        <w:t>考試院於</w:t>
      </w:r>
      <w:r w:rsidRPr="001E6B67">
        <w:rPr>
          <w:rFonts w:ascii="微軟正黑體" w:eastAsia="微軟正黑體" w:hAnsi="微軟正黑體" w:cstheme="minorBidi" w:hint="eastAsia"/>
          <w:color w:val="000000" w:themeColor="text1"/>
        </w:rPr>
        <w:t>110年3月30日修正發布「公務人員退休資遣撫卹法施行細則」第7條、第131條條文，教育部於同年5月7日修正發布「公立學校教職員退休資遣續條例施行細則」第7條、第129條條文，針對該2細則有關公務人員及教職員選擇育嬰留職停薪期間繼續繳付全額退撫基金費用之規定，增訂得選擇遞延3年繳付機制。</w:t>
      </w:r>
    </w:p>
    <w:p w:rsidR="00BD50E5" w:rsidRPr="007B78CF" w:rsidRDefault="00BD50E5" w:rsidP="00BD50E5">
      <w:pPr>
        <w:spacing w:beforeLines="100" w:before="360" w:line="36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＜資料來源＞</w:t>
      </w:r>
    </w:p>
    <w:p w:rsidR="00BD50E5" w:rsidRPr="001E6B67" w:rsidRDefault="00BD50E5" w:rsidP="001E6B67">
      <w:pPr>
        <w:pStyle w:val="af0"/>
        <w:numPr>
          <w:ilvl w:val="0"/>
          <w:numId w:val="63"/>
        </w:numPr>
        <w:spacing w:beforeLines="30" w:before="108" w:line="360" w:lineRule="exact"/>
        <w:ind w:leftChars="0"/>
        <w:rPr>
          <w:rFonts w:ascii="微軟正黑體" w:eastAsia="微軟正黑體" w:hAnsi="微軟正黑體"/>
          <w:color w:val="000000" w:themeColor="text1"/>
        </w:rPr>
      </w:pPr>
      <w:r w:rsidRPr="001E6B67">
        <w:rPr>
          <w:rFonts w:ascii="微軟正黑體" w:eastAsia="微軟正黑體" w:hAnsi="微軟正黑體" w:hint="eastAsia"/>
          <w:color w:val="000000" w:themeColor="text1"/>
        </w:rPr>
        <w:t>中華民國109年公務人員退休撫卹基金統計年報。</w:t>
      </w:r>
    </w:p>
    <w:p w:rsidR="00BD50E5" w:rsidRDefault="00BD50E5" w:rsidP="001E6B67">
      <w:pPr>
        <w:pStyle w:val="af0"/>
        <w:numPr>
          <w:ilvl w:val="0"/>
          <w:numId w:val="63"/>
        </w:numPr>
        <w:spacing w:line="360" w:lineRule="exact"/>
        <w:ind w:leftChars="0" w:left="358" w:hangingChars="149" w:hanging="358"/>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公務人員退休撫卹基金第7次精算評估報告。</w:t>
      </w:r>
    </w:p>
    <w:p w:rsidR="00BD50E5" w:rsidRPr="00116356" w:rsidRDefault="00BD50E5" w:rsidP="001E6B67">
      <w:pPr>
        <w:pStyle w:val="af0"/>
        <w:numPr>
          <w:ilvl w:val="0"/>
          <w:numId w:val="63"/>
        </w:numPr>
        <w:spacing w:line="360" w:lineRule="exact"/>
        <w:ind w:leftChars="0" w:left="358" w:hangingChars="149" w:hanging="358"/>
        <w:rPr>
          <w:rFonts w:ascii="微軟正黑體" w:eastAsia="微軟正黑體" w:hAnsi="微軟正黑體"/>
          <w:color w:val="000000" w:themeColor="text1"/>
        </w:rPr>
      </w:pPr>
      <w:r w:rsidRPr="00116356">
        <w:rPr>
          <w:rFonts w:ascii="微軟正黑體" w:eastAsia="微軟正黑體" w:hAnsi="微軟正黑體" w:hint="eastAsia"/>
          <w:color w:val="000000" w:themeColor="text1"/>
        </w:rPr>
        <w:t>「公務人員退休撫卹基金管理委員會」</w:t>
      </w:r>
      <w:r>
        <w:rPr>
          <w:rFonts w:ascii="微軟正黑體" w:eastAsia="微軟正黑體" w:hAnsi="微軟正黑體" w:hint="eastAsia"/>
          <w:color w:val="000000" w:themeColor="text1"/>
        </w:rPr>
        <w:t>網站統計資料。</w:t>
      </w:r>
    </w:p>
    <w:p w:rsidR="00BD50E5" w:rsidRPr="007B78CF" w:rsidRDefault="00BD50E5" w:rsidP="00BD50E5">
      <w:pPr>
        <w:snapToGrid w:val="0"/>
        <w:spacing w:beforeLines="50" w:before="180" w:line="36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(圖表均由本文自行繪製)</w:t>
      </w:r>
      <w:r w:rsidRPr="007B78CF">
        <w:rPr>
          <w:rFonts w:ascii="微軟正黑體" w:eastAsia="微軟正黑體" w:hAnsi="微軟正黑體"/>
          <w:color w:val="000000" w:themeColor="text1"/>
        </w:rPr>
        <w:br w:type="page"/>
      </w:r>
    </w:p>
    <w:p w:rsidR="00BD50E5" w:rsidRPr="007B78CF" w:rsidRDefault="00BD50E5" w:rsidP="00BD50E5">
      <w:pPr>
        <w:spacing w:beforeLines="50" w:before="180" w:line="400" w:lineRule="exact"/>
        <w:rPr>
          <w:rFonts w:ascii="微軟正黑體" w:eastAsia="微軟正黑體" w:hAnsi="微軟正黑體"/>
          <w:b/>
          <w:color w:val="000000" w:themeColor="text1"/>
          <w:sz w:val="28"/>
          <w:szCs w:val="28"/>
        </w:rPr>
      </w:pPr>
      <w:bookmarkStart w:id="9" w:name="第一章第三節參"/>
      <w:r w:rsidRPr="007B78CF">
        <w:rPr>
          <w:rFonts w:ascii="微軟正黑體" w:eastAsia="微軟正黑體" w:hAnsi="微軟正黑體" w:hint="eastAsia"/>
          <w:b/>
          <w:color w:val="000000" w:themeColor="text1"/>
          <w:sz w:val="28"/>
          <w:szCs w:val="28"/>
        </w:rPr>
        <w:lastRenderedPageBreak/>
        <w:t>三、</w:t>
      </w:r>
      <w:r w:rsidRPr="007B78CF">
        <w:rPr>
          <w:rFonts w:ascii="微軟正黑體" w:eastAsia="微軟正黑體" w:hAnsi="微軟正黑體"/>
          <w:b/>
          <w:color w:val="000000" w:themeColor="text1"/>
          <w:sz w:val="28"/>
          <w:szCs w:val="28"/>
        </w:rPr>
        <w:t>私立學校教職員</w:t>
      </w:r>
      <w:r w:rsidRPr="007B78CF">
        <w:rPr>
          <w:rFonts w:ascii="微軟正黑體" w:eastAsia="微軟正黑體" w:hAnsi="微軟正黑體" w:hint="eastAsia"/>
          <w:b/>
          <w:color w:val="000000" w:themeColor="text1"/>
          <w:sz w:val="28"/>
          <w:szCs w:val="28"/>
        </w:rPr>
        <w:t>退休撫卹制度(新制)</w:t>
      </w:r>
      <w:bookmarkEnd w:id="9"/>
      <w:r w:rsidRPr="007B78CF">
        <w:rPr>
          <w:rStyle w:val="af4"/>
          <w:rFonts w:ascii="微軟正黑體" w:eastAsia="微軟正黑體" w:hAnsi="微軟正黑體"/>
          <w:b/>
          <w:color w:val="000000" w:themeColor="text1"/>
          <w:sz w:val="28"/>
          <w:szCs w:val="28"/>
        </w:rPr>
        <w:footnoteReference w:id="6"/>
      </w:r>
    </w:p>
    <w:p w:rsidR="00BD50E5" w:rsidRPr="007B78CF" w:rsidRDefault="00BD50E5" w:rsidP="00BD50E5">
      <w:pPr>
        <w:spacing w:beforeLines="50" w:before="180"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(一) </w:t>
      </w:r>
      <w:r w:rsidRPr="007B78CF">
        <w:rPr>
          <w:rFonts w:ascii="微軟正黑體" w:eastAsia="微軟正黑體" w:hAnsi="微軟正黑體"/>
          <w:color w:val="000000" w:themeColor="text1"/>
        </w:rPr>
        <w:t>參加人員概況</w:t>
      </w:r>
    </w:p>
    <w:p w:rsidR="00BD50E5" w:rsidRPr="007B78CF" w:rsidRDefault="00BD50E5" w:rsidP="00BD50E5">
      <w:pPr>
        <w:spacing w:beforeLines="50" w:before="180"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1. </w:t>
      </w:r>
      <w:r w:rsidRPr="007B78CF">
        <w:rPr>
          <w:rFonts w:ascii="微軟正黑體" w:eastAsia="微軟正黑體" w:hAnsi="微軟正黑體"/>
          <w:color w:val="000000" w:themeColor="text1"/>
        </w:rPr>
        <w:t>會員學校</w:t>
      </w:r>
    </w:p>
    <w:p w:rsidR="00BD50E5" w:rsidRPr="007B78CF" w:rsidRDefault="00BD50E5" w:rsidP="00BD50E5">
      <w:pPr>
        <w:spacing w:beforeLines="50" w:before="180" w:line="400" w:lineRule="exact"/>
        <w:ind w:leftChars="236" w:left="566"/>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截至109年底，參加私校教職員退撫新制之會員學校共計376所，按主管機關分，以教育部主管之學校123所占最多數</w:t>
      </w:r>
      <w:r>
        <w:rPr>
          <w:rFonts w:ascii="微軟正黑體" w:eastAsia="微軟正黑體" w:hAnsi="微軟正黑體" w:hint="eastAsia"/>
          <w:color w:val="000000" w:themeColor="text1"/>
        </w:rPr>
        <w:t>、</w:t>
      </w:r>
      <w:r w:rsidRPr="00251895">
        <w:rPr>
          <w:rFonts w:ascii="微軟正黑體" w:eastAsia="微軟正黑體" w:hAnsi="微軟正黑體"/>
          <w:color w:val="000000" w:themeColor="text1"/>
        </w:rPr>
        <w:t>教育部國民及學前教育署主管之學校</w:t>
      </w:r>
      <w:r w:rsidRPr="00251895">
        <w:rPr>
          <w:rFonts w:ascii="微軟正黑體" w:eastAsia="微軟正黑體" w:hAnsi="微軟正黑體" w:hint="eastAsia"/>
          <w:color w:val="000000" w:themeColor="text1"/>
        </w:rPr>
        <w:t>102所次之</w:t>
      </w:r>
      <w:r w:rsidRPr="007B78CF">
        <w:rPr>
          <w:rFonts w:ascii="微軟正黑體" w:eastAsia="微軟正黑體" w:hAnsi="微軟正黑體" w:hint="eastAsia"/>
          <w:color w:val="000000" w:themeColor="text1"/>
        </w:rPr>
        <w:t>；按學制分，則以高中1</w:t>
      </w:r>
      <w:r w:rsidRPr="008D4D8B">
        <w:rPr>
          <w:rFonts w:ascii="微軟正黑體" w:eastAsia="微軟正黑體" w:hAnsi="微軟正黑體" w:hint="eastAsia"/>
        </w:rPr>
        <w:t>56</w:t>
      </w:r>
      <w:r w:rsidRPr="007B78CF">
        <w:rPr>
          <w:rFonts w:ascii="微軟正黑體" w:eastAsia="微軟正黑體" w:hAnsi="微軟正黑體" w:hint="eastAsia"/>
          <w:color w:val="000000" w:themeColor="text1"/>
        </w:rPr>
        <w:t>所最多，高職62所及科技大學/技術學院61所次之。</w:t>
      </w:r>
    </w:p>
    <w:p w:rsidR="00BD50E5" w:rsidRPr="007B78CF" w:rsidRDefault="00BD50E5" w:rsidP="00BD50E5">
      <w:pPr>
        <w:spacing w:beforeLines="50" w:before="180"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表3.10  109年私校教職員退撫新制會員學校數(</w:t>
      </w:r>
      <w:r w:rsidRPr="007B78CF">
        <w:rPr>
          <w:rFonts w:ascii="微軟正黑體" w:eastAsia="微軟正黑體" w:hAnsi="微軟正黑體"/>
          <w:color w:val="000000" w:themeColor="text1"/>
        </w:rPr>
        <w:t>按主管機關</w:t>
      </w:r>
      <w:r w:rsidRPr="007B78CF">
        <w:rPr>
          <w:rFonts w:ascii="微軟正黑體" w:eastAsia="微軟正黑體" w:hAnsi="微軟正黑體" w:hint="eastAsia"/>
          <w:color w:val="000000" w:themeColor="text1"/>
        </w:rPr>
        <w:t>分)</w:t>
      </w:r>
    </w:p>
    <w:tbl>
      <w:tblPr>
        <w:tblW w:w="9654" w:type="dxa"/>
        <w:tblInd w:w="13" w:type="dxa"/>
        <w:tblCellMar>
          <w:left w:w="28" w:type="dxa"/>
          <w:right w:w="28" w:type="dxa"/>
        </w:tblCellMar>
        <w:tblLook w:val="04A0" w:firstRow="1" w:lastRow="0" w:firstColumn="1" w:lastColumn="0" w:noHBand="0" w:noVBand="1"/>
      </w:tblPr>
      <w:tblGrid>
        <w:gridCol w:w="866"/>
        <w:gridCol w:w="976"/>
        <w:gridCol w:w="976"/>
        <w:gridCol w:w="977"/>
        <w:gridCol w:w="976"/>
        <w:gridCol w:w="977"/>
        <w:gridCol w:w="976"/>
        <w:gridCol w:w="977"/>
        <w:gridCol w:w="976"/>
        <w:gridCol w:w="977"/>
      </w:tblGrid>
      <w:tr w:rsidR="00BD50E5" w:rsidRPr="007B78CF" w:rsidTr="008F1977">
        <w:trPr>
          <w:trHeight w:val="720"/>
        </w:trPr>
        <w:tc>
          <w:tcPr>
            <w:tcW w:w="8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主管</w:t>
            </w:r>
          </w:p>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機關</w:t>
            </w:r>
          </w:p>
        </w:tc>
        <w:tc>
          <w:tcPr>
            <w:tcW w:w="9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教育部</w:t>
            </w:r>
          </w:p>
        </w:tc>
        <w:tc>
          <w:tcPr>
            <w:tcW w:w="9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教育部國民及學前教育署</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各縣市</w:t>
            </w:r>
          </w:p>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政府</w:t>
            </w:r>
          </w:p>
        </w:tc>
        <w:tc>
          <w:tcPr>
            <w:tcW w:w="9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臺北市政府教育局</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高雄市政府教育局</w:t>
            </w:r>
          </w:p>
        </w:tc>
        <w:tc>
          <w:tcPr>
            <w:tcW w:w="9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新北市政府教育局</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臺中市政府教育局</w:t>
            </w:r>
          </w:p>
        </w:tc>
        <w:tc>
          <w:tcPr>
            <w:tcW w:w="9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桃園市政府教育局</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總計</w:t>
            </w:r>
          </w:p>
        </w:tc>
      </w:tr>
      <w:tr w:rsidR="00BD50E5" w:rsidRPr="007B78CF" w:rsidTr="008F1977">
        <w:trPr>
          <w:trHeight w:val="720"/>
        </w:trPr>
        <w:tc>
          <w:tcPr>
            <w:tcW w:w="866"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c>
          <w:tcPr>
            <w:tcW w:w="977"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c>
          <w:tcPr>
            <w:tcW w:w="977"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c>
          <w:tcPr>
            <w:tcW w:w="977"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c>
          <w:tcPr>
            <w:tcW w:w="976"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c>
          <w:tcPr>
            <w:tcW w:w="977" w:type="dxa"/>
            <w:vMerge/>
            <w:tcBorders>
              <w:top w:val="single" w:sz="8" w:space="0" w:color="000000"/>
              <w:left w:val="single" w:sz="8" w:space="0" w:color="000000"/>
              <w:bottom w:val="single" w:sz="8" w:space="0" w:color="000000"/>
              <w:right w:val="single" w:sz="8" w:space="0" w:color="000000"/>
            </w:tcBorders>
            <w:vAlign w:val="center"/>
            <w:hideMark/>
          </w:tcPr>
          <w:p w:rsidR="00BD50E5" w:rsidRPr="007B78CF" w:rsidRDefault="00BD50E5" w:rsidP="008F1977">
            <w:pPr>
              <w:widowControl/>
              <w:spacing w:line="360" w:lineRule="exact"/>
              <w:rPr>
                <w:rFonts w:ascii="微軟正黑體" w:eastAsia="微軟正黑體" w:hAnsi="微軟正黑體" w:cs="新細明體"/>
                <w:color w:val="000000" w:themeColor="text1"/>
                <w:kern w:val="0"/>
                <w:sz w:val="21"/>
                <w:szCs w:val="21"/>
              </w:rPr>
            </w:pPr>
          </w:p>
        </w:tc>
      </w:tr>
      <w:tr w:rsidR="00BD50E5" w:rsidRPr="007B78CF" w:rsidTr="00A341E4">
        <w:trPr>
          <w:trHeight w:val="820"/>
        </w:trPr>
        <w:tc>
          <w:tcPr>
            <w:tcW w:w="866" w:type="dxa"/>
            <w:tcBorders>
              <w:top w:val="nil"/>
              <w:left w:val="single" w:sz="8" w:space="0" w:color="000000"/>
              <w:bottom w:val="single" w:sz="4" w:space="0" w:color="000000"/>
              <w:right w:val="single" w:sz="8" w:space="0" w:color="000000"/>
            </w:tcBorders>
            <w:shd w:val="clear" w:color="auto" w:fill="auto"/>
            <w:vAlign w:val="center"/>
            <w:hideMark/>
          </w:tcPr>
          <w:p w:rsidR="00BD50E5" w:rsidRPr="007B78CF" w:rsidRDefault="00BD50E5" w:rsidP="00A341E4">
            <w:pPr>
              <w:widowControl/>
              <w:spacing w:line="32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學校數(所)</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123</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102</w:t>
            </w:r>
          </w:p>
        </w:tc>
        <w:tc>
          <w:tcPr>
            <w:tcW w:w="977"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15</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41</w:t>
            </w:r>
          </w:p>
        </w:tc>
        <w:tc>
          <w:tcPr>
            <w:tcW w:w="977"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11</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36</w:t>
            </w:r>
          </w:p>
        </w:tc>
        <w:tc>
          <w:tcPr>
            <w:tcW w:w="977"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28</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20</w:t>
            </w:r>
          </w:p>
        </w:tc>
        <w:tc>
          <w:tcPr>
            <w:tcW w:w="977"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376</w:t>
            </w:r>
          </w:p>
        </w:tc>
      </w:tr>
    </w:tbl>
    <w:p w:rsidR="00BD50E5" w:rsidRPr="007B78CF" w:rsidRDefault="00BD50E5" w:rsidP="00BD50E5">
      <w:pPr>
        <w:spacing w:beforeLines="50" w:before="180" w:line="400" w:lineRule="exact"/>
        <w:jc w:val="center"/>
        <w:rPr>
          <w:rFonts w:ascii="微軟正黑體" w:eastAsia="微軟正黑體" w:hAnsi="微軟正黑體"/>
          <w:color w:val="000000" w:themeColor="text1"/>
        </w:rPr>
      </w:pPr>
    </w:p>
    <w:p w:rsidR="00BD50E5" w:rsidRPr="007B78CF" w:rsidRDefault="00BD50E5" w:rsidP="00BD50E5">
      <w:pPr>
        <w:spacing w:beforeLines="50" w:before="180"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表3.11  109年私校教職員退撫新制會員學校數(</w:t>
      </w:r>
      <w:r w:rsidRPr="007B78CF">
        <w:rPr>
          <w:rFonts w:ascii="微軟正黑體" w:eastAsia="微軟正黑體" w:hAnsi="微軟正黑體"/>
          <w:color w:val="000000" w:themeColor="text1"/>
        </w:rPr>
        <w:t>按</w:t>
      </w:r>
      <w:r w:rsidRPr="007B78CF">
        <w:rPr>
          <w:rFonts w:ascii="微軟正黑體" w:eastAsia="微軟正黑體" w:hAnsi="微軟正黑體" w:hint="eastAsia"/>
          <w:color w:val="000000" w:themeColor="text1"/>
        </w:rPr>
        <w:t>學制分)</w:t>
      </w:r>
    </w:p>
    <w:tbl>
      <w:tblPr>
        <w:tblW w:w="9654" w:type="dxa"/>
        <w:tblInd w:w="13" w:type="dxa"/>
        <w:tblCellMar>
          <w:left w:w="28" w:type="dxa"/>
          <w:right w:w="28" w:type="dxa"/>
        </w:tblCellMar>
        <w:tblLook w:val="04A0" w:firstRow="1" w:lastRow="0" w:firstColumn="1" w:lastColumn="0" w:noHBand="0" w:noVBand="1"/>
      </w:tblPr>
      <w:tblGrid>
        <w:gridCol w:w="866"/>
        <w:gridCol w:w="976"/>
        <w:gridCol w:w="976"/>
        <w:gridCol w:w="977"/>
        <w:gridCol w:w="976"/>
        <w:gridCol w:w="977"/>
        <w:gridCol w:w="976"/>
        <w:gridCol w:w="977"/>
        <w:gridCol w:w="976"/>
        <w:gridCol w:w="977"/>
      </w:tblGrid>
      <w:tr w:rsidR="00BD50E5" w:rsidRPr="007B78CF" w:rsidTr="008F1977">
        <w:trPr>
          <w:trHeight w:val="1005"/>
        </w:trPr>
        <w:tc>
          <w:tcPr>
            <w:tcW w:w="8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學制</w:t>
            </w:r>
          </w:p>
        </w:tc>
        <w:tc>
          <w:tcPr>
            <w:tcW w:w="976" w:type="dxa"/>
            <w:tcBorders>
              <w:top w:val="single" w:sz="8" w:space="0" w:color="000000"/>
              <w:left w:val="nil"/>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大學</w:t>
            </w:r>
          </w:p>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院校</w:t>
            </w:r>
          </w:p>
        </w:tc>
        <w:tc>
          <w:tcPr>
            <w:tcW w:w="976" w:type="dxa"/>
            <w:tcBorders>
              <w:top w:val="single" w:sz="8" w:space="0" w:color="000000"/>
              <w:left w:val="nil"/>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ind w:leftChars="-5" w:left="-12" w:rightChars="-25" w:right="-60"/>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科技大學/技術學院</w:t>
            </w:r>
          </w:p>
        </w:tc>
        <w:tc>
          <w:tcPr>
            <w:tcW w:w="977" w:type="dxa"/>
            <w:tcBorders>
              <w:top w:val="single" w:sz="8" w:space="0" w:color="000000"/>
              <w:left w:val="nil"/>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專科</w:t>
            </w:r>
          </w:p>
        </w:tc>
        <w:tc>
          <w:tcPr>
            <w:tcW w:w="976" w:type="dxa"/>
            <w:tcBorders>
              <w:top w:val="single" w:sz="8" w:space="0" w:color="000000"/>
              <w:left w:val="nil"/>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大陸地區臺商學校</w:t>
            </w:r>
          </w:p>
        </w:tc>
        <w:tc>
          <w:tcPr>
            <w:tcW w:w="977" w:type="dxa"/>
            <w:tcBorders>
              <w:top w:val="single" w:sz="8" w:space="0" w:color="000000"/>
              <w:left w:val="nil"/>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海外臺灣學校</w:t>
            </w:r>
          </w:p>
        </w:tc>
        <w:tc>
          <w:tcPr>
            <w:tcW w:w="976" w:type="dxa"/>
            <w:tcBorders>
              <w:top w:val="single" w:sz="8" w:space="0" w:color="000000"/>
              <w:left w:val="nil"/>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高中</w:t>
            </w:r>
          </w:p>
        </w:tc>
        <w:tc>
          <w:tcPr>
            <w:tcW w:w="977" w:type="dxa"/>
            <w:tcBorders>
              <w:top w:val="single" w:sz="8" w:space="0" w:color="000000"/>
              <w:left w:val="nil"/>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高職</w:t>
            </w:r>
          </w:p>
        </w:tc>
        <w:tc>
          <w:tcPr>
            <w:tcW w:w="976" w:type="dxa"/>
            <w:tcBorders>
              <w:top w:val="single" w:sz="8" w:space="0" w:color="000000"/>
              <w:left w:val="nil"/>
              <w:bottom w:val="single" w:sz="8"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國中小</w:t>
            </w:r>
          </w:p>
        </w:tc>
        <w:tc>
          <w:tcPr>
            <w:tcW w:w="977" w:type="dxa"/>
            <w:tcBorders>
              <w:top w:val="single" w:sz="8" w:space="0" w:color="000000"/>
              <w:left w:val="nil"/>
              <w:bottom w:val="single" w:sz="8" w:space="0" w:color="000000"/>
              <w:right w:val="single" w:sz="8" w:space="0" w:color="000000"/>
            </w:tcBorders>
            <w:shd w:val="clear" w:color="auto" w:fill="auto"/>
            <w:noWrap/>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總計</w:t>
            </w:r>
          </w:p>
        </w:tc>
      </w:tr>
      <w:tr w:rsidR="00BD50E5" w:rsidRPr="007B78CF" w:rsidTr="00A341E4">
        <w:trPr>
          <w:trHeight w:val="764"/>
        </w:trPr>
        <w:tc>
          <w:tcPr>
            <w:tcW w:w="866" w:type="dxa"/>
            <w:tcBorders>
              <w:top w:val="nil"/>
              <w:left w:val="single" w:sz="8" w:space="0" w:color="000000"/>
              <w:bottom w:val="single" w:sz="4" w:space="0" w:color="000000"/>
              <w:right w:val="single" w:sz="8" w:space="0" w:color="000000"/>
            </w:tcBorders>
            <w:shd w:val="clear" w:color="auto" w:fill="auto"/>
            <w:vAlign w:val="center"/>
            <w:hideMark/>
          </w:tcPr>
          <w:p w:rsidR="00BD50E5" w:rsidRPr="007B78CF" w:rsidRDefault="00BD50E5" w:rsidP="00A341E4">
            <w:pPr>
              <w:widowControl/>
              <w:spacing w:line="32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學校數</w:t>
            </w:r>
            <w:r w:rsidRPr="007B78CF">
              <w:rPr>
                <w:rFonts w:ascii="微軟正黑體" w:eastAsia="微軟正黑體" w:hAnsi="微軟正黑體" w:cs="新細明體" w:hint="eastAsia"/>
                <w:color w:val="000000" w:themeColor="text1"/>
                <w:kern w:val="0"/>
                <w:sz w:val="21"/>
                <w:szCs w:val="21"/>
              </w:rPr>
              <w:br/>
              <w:t>(所)</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8D4D8B" w:rsidRDefault="00BD50E5" w:rsidP="008F1977">
            <w:pPr>
              <w:widowControl/>
              <w:spacing w:line="360" w:lineRule="exact"/>
              <w:jc w:val="center"/>
              <w:rPr>
                <w:rFonts w:ascii="微軟正黑體" w:eastAsia="微軟正黑體" w:hAnsi="微軟正黑體" w:cs="新細明體"/>
                <w:kern w:val="0"/>
                <w:sz w:val="21"/>
                <w:szCs w:val="21"/>
              </w:rPr>
            </w:pPr>
            <w:r w:rsidRPr="008D4D8B">
              <w:rPr>
                <w:rFonts w:ascii="微軟正黑體" w:eastAsia="微軟正黑體" w:hAnsi="微軟正黑體" w:cs="新細明體" w:hint="eastAsia"/>
                <w:kern w:val="0"/>
                <w:sz w:val="21"/>
                <w:szCs w:val="21"/>
              </w:rPr>
              <w:t>43</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8D4D8B" w:rsidRDefault="00BD50E5" w:rsidP="008F1977">
            <w:pPr>
              <w:widowControl/>
              <w:spacing w:line="360" w:lineRule="exact"/>
              <w:jc w:val="center"/>
              <w:rPr>
                <w:rFonts w:ascii="微軟正黑體" w:eastAsia="微軟正黑體" w:hAnsi="微軟正黑體" w:cs="新細明體"/>
                <w:kern w:val="0"/>
                <w:sz w:val="21"/>
                <w:szCs w:val="21"/>
              </w:rPr>
            </w:pPr>
            <w:r w:rsidRPr="008D4D8B">
              <w:rPr>
                <w:rFonts w:ascii="微軟正黑體" w:eastAsia="微軟正黑體" w:hAnsi="微軟正黑體" w:cs="新細明體" w:hint="eastAsia"/>
                <w:kern w:val="0"/>
                <w:sz w:val="21"/>
                <w:szCs w:val="21"/>
              </w:rPr>
              <w:t>61</w:t>
            </w:r>
          </w:p>
        </w:tc>
        <w:tc>
          <w:tcPr>
            <w:tcW w:w="977" w:type="dxa"/>
            <w:tcBorders>
              <w:top w:val="nil"/>
              <w:left w:val="nil"/>
              <w:bottom w:val="single" w:sz="4" w:space="0" w:color="000000"/>
              <w:right w:val="single" w:sz="8" w:space="0" w:color="000000"/>
            </w:tcBorders>
            <w:shd w:val="clear" w:color="auto" w:fill="auto"/>
            <w:vAlign w:val="center"/>
            <w:hideMark/>
          </w:tcPr>
          <w:p w:rsidR="00BD50E5" w:rsidRPr="008D4D8B" w:rsidRDefault="00BD50E5" w:rsidP="008F1977">
            <w:pPr>
              <w:widowControl/>
              <w:spacing w:line="360" w:lineRule="exact"/>
              <w:jc w:val="center"/>
              <w:rPr>
                <w:rFonts w:ascii="微軟正黑體" w:eastAsia="微軟正黑體" w:hAnsi="微軟正黑體" w:cs="新細明體"/>
                <w:kern w:val="0"/>
                <w:sz w:val="21"/>
                <w:szCs w:val="21"/>
              </w:rPr>
            </w:pPr>
            <w:r w:rsidRPr="008D4D8B">
              <w:rPr>
                <w:rFonts w:ascii="微軟正黑體" w:eastAsia="微軟正黑體" w:hAnsi="微軟正黑體" w:cs="新細明體" w:hint="eastAsia"/>
                <w:kern w:val="0"/>
                <w:sz w:val="21"/>
                <w:szCs w:val="21"/>
              </w:rPr>
              <w:t>11</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8D4D8B" w:rsidRDefault="00BD50E5" w:rsidP="008F1977">
            <w:pPr>
              <w:widowControl/>
              <w:spacing w:line="360" w:lineRule="exact"/>
              <w:jc w:val="center"/>
              <w:rPr>
                <w:rFonts w:ascii="微軟正黑體" w:eastAsia="微軟正黑體" w:hAnsi="微軟正黑體" w:cs="新細明體"/>
                <w:kern w:val="0"/>
                <w:sz w:val="21"/>
                <w:szCs w:val="21"/>
              </w:rPr>
            </w:pPr>
            <w:r w:rsidRPr="008D4D8B">
              <w:rPr>
                <w:rFonts w:ascii="微軟正黑體" w:eastAsia="微軟正黑體" w:hAnsi="微軟正黑體" w:cs="新細明體" w:hint="eastAsia"/>
                <w:kern w:val="0"/>
                <w:sz w:val="21"/>
                <w:szCs w:val="21"/>
              </w:rPr>
              <w:t>3</w:t>
            </w:r>
          </w:p>
        </w:tc>
        <w:tc>
          <w:tcPr>
            <w:tcW w:w="977" w:type="dxa"/>
            <w:tcBorders>
              <w:top w:val="nil"/>
              <w:left w:val="nil"/>
              <w:bottom w:val="single" w:sz="4" w:space="0" w:color="000000"/>
              <w:right w:val="single" w:sz="8" w:space="0" w:color="000000"/>
            </w:tcBorders>
            <w:shd w:val="clear" w:color="auto" w:fill="auto"/>
            <w:vAlign w:val="center"/>
            <w:hideMark/>
          </w:tcPr>
          <w:p w:rsidR="00BD50E5" w:rsidRPr="008D4D8B" w:rsidRDefault="00BD50E5" w:rsidP="008F1977">
            <w:pPr>
              <w:widowControl/>
              <w:spacing w:line="360" w:lineRule="exact"/>
              <w:jc w:val="center"/>
              <w:rPr>
                <w:rFonts w:ascii="微軟正黑體" w:eastAsia="微軟正黑體" w:hAnsi="微軟正黑體" w:cs="新細明體"/>
                <w:kern w:val="0"/>
                <w:sz w:val="21"/>
                <w:szCs w:val="21"/>
              </w:rPr>
            </w:pPr>
            <w:r w:rsidRPr="008D4D8B">
              <w:rPr>
                <w:rFonts w:ascii="微軟正黑體" w:eastAsia="微軟正黑體" w:hAnsi="微軟正黑體" w:cs="新細明體" w:hint="eastAsia"/>
                <w:kern w:val="0"/>
                <w:sz w:val="21"/>
                <w:szCs w:val="21"/>
              </w:rPr>
              <w:t>4</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8D4D8B" w:rsidRDefault="00BD50E5" w:rsidP="008F1977">
            <w:pPr>
              <w:widowControl/>
              <w:spacing w:line="360" w:lineRule="exact"/>
              <w:jc w:val="center"/>
              <w:rPr>
                <w:rFonts w:ascii="微軟正黑體" w:eastAsia="微軟正黑體" w:hAnsi="微軟正黑體" w:cs="新細明體"/>
                <w:kern w:val="0"/>
                <w:sz w:val="21"/>
                <w:szCs w:val="21"/>
              </w:rPr>
            </w:pPr>
            <w:r w:rsidRPr="008D4D8B">
              <w:rPr>
                <w:rFonts w:ascii="微軟正黑體" w:eastAsia="微軟正黑體" w:hAnsi="微軟正黑體" w:cs="新細明體" w:hint="eastAsia"/>
                <w:kern w:val="0"/>
                <w:sz w:val="21"/>
                <w:szCs w:val="21"/>
              </w:rPr>
              <w:t>156</w:t>
            </w:r>
          </w:p>
        </w:tc>
        <w:tc>
          <w:tcPr>
            <w:tcW w:w="977"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62</w:t>
            </w:r>
          </w:p>
        </w:tc>
        <w:tc>
          <w:tcPr>
            <w:tcW w:w="976"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36</w:t>
            </w:r>
          </w:p>
        </w:tc>
        <w:tc>
          <w:tcPr>
            <w:tcW w:w="977" w:type="dxa"/>
            <w:tcBorders>
              <w:top w:val="nil"/>
              <w:left w:val="nil"/>
              <w:bottom w:val="single" w:sz="4" w:space="0" w:color="000000"/>
              <w:right w:val="single" w:sz="8" w:space="0" w:color="000000"/>
            </w:tcBorders>
            <w:shd w:val="clear" w:color="auto" w:fill="auto"/>
            <w:vAlign w:val="center"/>
            <w:hideMark/>
          </w:tcPr>
          <w:p w:rsidR="00BD50E5" w:rsidRPr="007B78CF" w:rsidRDefault="00BD50E5" w:rsidP="008F1977">
            <w:pPr>
              <w:widowControl/>
              <w:spacing w:line="360" w:lineRule="exact"/>
              <w:jc w:val="center"/>
              <w:rPr>
                <w:rFonts w:ascii="微軟正黑體" w:eastAsia="微軟正黑體" w:hAnsi="微軟正黑體" w:cs="新細明體"/>
                <w:color w:val="000000" w:themeColor="text1"/>
                <w:kern w:val="0"/>
                <w:sz w:val="21"/>
                <w:szCs w:val="21"/>
              </w:rPr>
            </w:pPr>
            <w:r w:rsidRPr="007B78CF">
              <w:rPr>
                <w:rFonts w:ascii="微軟正黑體" w:eastAsia="微軟正黑體" w:hAnsi="微軟正黑體" w:cs="新細明體" w:hint="eastAsia"/>
                <w:color w:val="000000" w:themeColor="text1"/>
                <w:kern w:val="0"/>
                <w:sz w:val="21"/>
                <w:szCs w:val="21"/>
              </w:rPr>
              <w:t>376</w:t>
            </w:r>
          </w:p>
        </w:tc>
      </w:tr>
    </w:tbl>
    <w:p w:rsidR="00BD50E5" w:rsidRPr="007B78CF" w:rsidRDefault="00BD50E5" w:rsidP="00BD50E5">
      <w:pPr>
        <w:spacing w:beforeLines="100" w:before="360" w:line="400" w:lineRule="exact"/>
        <w:ind w:firstLineChars="100" w:firstLine="240"/>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2. </w:t>
      </w:r>
      <w:r w:rsidRPr="007B78CF">
        <w:rPr>
          <w:rFonts w:ascii="微軟正黑體" w:eastAsia="微軟正黑體" w:hAnsi="微軟正黑體"/>
          <w:color w:val="000000" w:themeColor="text1"/>
        </w:rPr>
        <w:t>參加人</w:t>
      </w:r>
      <w:r w:rsidRPr="007B78CF">
        <w:rPr>
          <w:rFonts w:ascii="微軟正黑體" w:eastAsia="微軟正黑體" w:hAnsi="微軟正黑體" w:hint="eastAsia"/>
          <w:color w:val="000000" w:themeColor="text1"/>
        </w:rPr>
        <w:t>員</w:t>
      </w: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109年底參加私校教職員退撫新制人員共計5萬181人，其中以大學院校教職員占比最高，占總參加人數的34.4%，高中職(含大陸地區臺商學校及海外臺灣學校)及科技大學/技術學院教職員次之，分別占總參加人數32.9%及27.5%，其餘專科學校及國中小等參加人數占比均不到1成。</w:t>
      </w:r>
    </w:p>
    <w:p w:rsidR="00BD50E5" w:rsidRPr="007B78CF" w:rsidRDefault="00BD50E5" w:rsidP="00BD50E5">
      <w:pPr>
        <w:spacing w:line="400" w:lineRule="exact"/>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r w:rsidRPr="007B78CF">
        <w:rPr>
          <w:noProof/>
          <w:color w:val="000000" w:themeColor="text1"/>
        </w:rPr>
        <w:lastRenderedPageBreak/>
        <w:drawing>
          <wp:anchor distT="0" distB="0" distL="114300" distR="114300" simplePos="0" relativeHeight="252623872" behindDoc="0" locked="0" layoutInCell="1" allowOverlap="1" wp14:anchorId="6479052F" wp14:editId="11C8CC65">
            <wp:simplePos x="0" y="0"/>
            <wp:positionH relativeFrom="column">
              <wp:posOffset>33020</wp:posOffset>
            </wp:positionH>
            <wp:positionV relativeFrom="paragraph">
              <wp:posOffset>80010</wp:posOffset>
            </wp:positionV>
            <wp:extent cx="5638800" cy="2657475"/>
            <wp:effectExtent l="0" t="0" r="19050" b="9525"/>
            <wp:wrapNone/>
            <wp:docPr id="304" name="圖表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jc w:val="both"/>
        <w:rPr>
          <w:rFonts w:ascii="微軟正黑體" w:eastAsia="微軟正黑體" w:hAnsi="微軟正黑體"/>
          <w:color w:val="000000" w:themeColor="text1"/>
        </w:rPr>
      </w:pPr>
    </w:p>
    <w:p w:rsidR="00BD50E5" w:rsidRPr="007B78CF" w:rsidRDefault="00BD50E5" w:rsidP="00BD50E5">
      <w:pPr>
        <w:jc w:val="center"/>
        <w:rPr>
          <w:rFonts w:ascii="微軟正黑體" w:eastAsia="微軟正黑體" w:hAnsi="微軟正黑體"/>
          <w:color w:val="000000" w:themeColor="text1"/>
        </w:rPr>
      </w:pPr>
      <w:r w:rsidRPr="007B78CF">
        <w:rPr>
          <w:rFonts w:ascii="微軟正黑體" w:eastAsia="微軟正黑體" w:hAnsi="微軟正黑體"/>
          <w:bCs/>
          <w:noProof/>
          <w:color w:val="000000" w:themeColor="text1"/>
        </w:rPr>
        <mc:AlternateContent>
          <mc:Choice Requires="wps">
            <w:drawing>
              <wp:anchor distT="0" distB="0" distL="114300" distR="114300" simplePos="0" relativeHeight="252607488" behindDoc="0" locked="0" layoutInCell="1" allowOverlap="1" wp14:anchorId="5F55FCE1" wp14:editId="00D33ACE">
                <wp:simplePos x="0" y="0"/>
                <wp:positionH relativeFrom="column">
                  <wp:posOffset>29210</wp:posOffset>
                </wp:positionH>
                <wp:positionV relativeFrom="paragraph">
                  <wp:posOffset>282575</wp:posOffset>
                </wp:positionV>
                <wp:extent cx="5664200" cy="265430"/>
                <wp:effectExtent l="0" t="0" r="0" b="1270"/>
                <wp:wrapNone/>
                <wp:docPr id="1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265430"/>
                        </a:xfrm>
                        <a:prstGeom prst="rect">
                          <a:avLst/>
                        </a:prstGeom>
                        <a:noFill/>
                        <a:ln w="9525">
                          <a:noFill/>
                          <a:miter lim="800000"/>
                          <a:headEnd/>
                          <a:tailEnd/>
                        </a:ln>
                      </wps:spPr>
                      <wps:txbx>
                        <w:txbxContent>
                          <w:p w:rsidR="00745375" w:rsidRPr="005E5009" w:rsidRDefault="00745375" w:rsidP="00BD50E5">
                            <w:pPr>
                              <w:snapToGrid w:val="0"/>
                              <w:spacing w:line="240" w:lineRule="exact"/>
                              <w:rPr>
                                <w:rFonts w:ascii="微軟正黑體" w:eastAsia="微軟正黑體" w:hAnsi="微軟正黑體"/>
                                <w:color w:val="000000" w:themeColor="text1"/>
                                <w:sz w:val="20"/>
                                <w:szCs w:val="20"/>
                              </w:rPr>
                            </w:pPr>
                            <w:r w:rsidRPr="005E5009">
                              <w:rPr>
                                <w:rFonts w:ascii="微軟正黑體" w:eastAsia="微軟正黑體" w:hAnsi="微軟正黑體" w:hint="eastAsia"/>
                                <w:color w:val="000000" w:themeColor="text1"/>
                                <w:sz w:val="20"/>
                                <w:szCs w:val="20"/>
                              </w:rPr>
                              <w:t>註：高中職教職員1</w:t>
                            </w:r>
                            <w:r w:rsidRPr="001523FA">
                              <w:rPr>
                                <w:rFonts w:ascii="微軟正黑體" w:eastAsia="微軟正黑體" w:hAnsi="微軟正黑體" w:hint="eastAsia"/>
                                <w:color w:val="000000" w:themeColor="text1"/>
                                <w:sz w:val="20"/>
                                <w:szCs w:val="20"/>
                              </w:rPr>
                              <w:t>萬</w:t>
                            </w:r>
                            <w:r w:rsidRPr="005E5009">
                              <w:rPr>
                                <w:rFonts w:ascii="微軟正黑體" w:eastAsia="微軟正黑體" w:hAnsi="微軟正黑體" w:hint="eastAsia"/>
                                <w:color w:val="000000" w:themeColor="text1"/>
                                <w:sz w:val="20"/>
                                <w:szCs w:val="20"/>
                              </w:rPr>
                              <w:t>6,489人包含大陸地區臺商學校教職員278人及海外臺灣學校106人。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3pt;margin-top:22.25pt;width:446pt;height:20.9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" filled="f" stroked="f">
                <v:textbox>
                  <w:txbxContent>
                    <w:p w:rsidR="00745375" w:rsidRPr="005E5009" w:rsidRDefault="00745375" w:rsidP="00BD50E5">
                      <w:pPr>
                        <w:snapToGrid w:val="0"/>
                        <w:spacing w:line="240" w:lineRule="exact"/>
                        <w:rPr>
                          <w:rFonts w:ascii="微軟正黑體" w:eastAsia="微軟正黑體" w:hAnsi="微軟正黑體"/>
                          <w:color w:val="000000" w:themeColor="text1"/>
                          <w:sz w:val="20"/>
                          <w:szCs w:val="20"/>
                        </w:rPr>
                      </w:pPr>
                      <w:r w:rsidRPr="005E5009">
                        <w:rPr>
                          <w:rFonts w:ascii="微軟正黑體" w:eastAsia="微軟正黑體" w:hAnsi="微軟正黑體" w:hint="eastAsia"/>
                          <w:color w:val="000000" w:themeColor="text1"/>
                          <w:sz w:val="20"/>
                          <w:szCs w:val="20"/>
                        </w:rPr>
                        <w:t>註：高中職教職員1</w:t>
                      </w:r>
                      <w:r w:rsidRPr="001523FA">
                        <w:rPr>
                          <w:rFonts w:ascii="微軟正黑體" w:eastAsia="微軟正黑體" w:hAnsi="微軟正黑體" w:hint="eastAsia"/>
                          <w:color w:val="000000" w:themeColor="text1"/>
                          <w:sz w:val="20"/>
                          <w:szCs w:val="20"/>
                        </w:rPr>
                        <w:t>萬</w:t>
                      </w:r>
                      <w:r w:rsidRPr="005E5009">
                        <w:rPr>
                          <w:rFonts w:ascii="微軟正黑體" w:eastAsia="微軟正黑體" w:hAnsi="微軟正黑體" w:hint="eastAsia"/>
                          <w:color w:val="000000" w:themeColor="text1"/>
                          <w:sz w:val="20"/>
                          <w:szCs w:val="20"/>
                        </w:rPr>
                        <w:t>6,489人包含大陸地區臺商學校教職員278人及海外臺灣學校106人。</w:t>
                      </w:r>
                    </w:p>
                  </w:txbxContent>
                </v:textbox>
              </v:shape>
            </w:pict>
          </mc:Fallback>
        </mc:AlternateContent>
      </w:r>
    </w:p>
    <w:p w:rsidR="00BD50E5" w:rsidRPr="007B78CF" w:rsidRDefault="00BD50E5" w:rsidP="00BD50E5">
      <w:pPr>
        <w:spacing w:beforeLines="50" w:before="180"/>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圖3.22  109年私校教職員退撫新制參加人員概況</w:t>
      </w:r>
    </w:p>
    <w:p w:rsidR="00BD50E5" w:rsidRPr="007B78CF" w:rsidRDefault="00BD50E5" w:rsidP="00BD50E5">
      <w:pPr>
        <w:spacing w:beforeLines="50" w:before="180"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(二) 給付</w:t>
      </w:r>
      <w:r w:rsidRPr="007B78CF">
        <w:rPr>
          <w:rFonts w:ascii="微軟正黑體" w:eastAsia="微軟正黑體" w:hAnsi="微軟正黑體"/>
          <w:color w:val="000000" w:themeColor="text1"/>
        </w:rPr>
        <w:t>概況</w:t>
      </w:r>
    </w:p>
    <w:p w:rsidR="00BD50E5" w:rsidRPr="007B78CF" w:rsidRDefault="00BD50E5" w:rsidP="00BD50E5">
      <w:pPr>
        <w:spacing w:beforeLines="50" w:before="180" w:line="400" w:lineRule="exact"/>
        <w:ind w:leftChars="177" w:left="425"/>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私校退撫新制規定參加者遇退休、資遣、撫卹及離職等4項情形，得支領個人退撫儲金專戶本息。私校退撫新制實施以來，隨著專戶本息逐年累積，給付金額也逐漸增加，109年度給與件數中以「退休」最多，達2,148件，總給付金額31.1億元，平均領取金額約144.8萬元；「離職」給與計有1,043件次之，總給付金額4.4億元，平均領取金額約42.0萬元</w:t>
      </w:r>
      <w:r w:rsidRPr="00B151E1">
        <w:rPr>
          <w:rFonts w:ascii="微軟正黑體" w:eastAsia="微軟正黑體" w:hAnsi="微軟正黑體" w:hint="eastAsia"/>
          <w:color w:val="000000" w:themeColor="text1"/>
        </w:rPr>
        <w:t>(個人</w:t>
      </w:r>
      <w:r>
        <w:rPr>
          <w:rFonts w:ascii="微軟正黑體" w:eastAsia="微軟正黑體" w:hAnsi="微軟正黑體" w:hint="eastAsia"/>
          <w:color w:val="000000" w:themeColor="text1"/>
        </w:rPr>
        <w:t>退休、資遣、撫卹</w:t>
      </w:r>
      <w:r w:rsidRPr="00B151E1">
        <w:rPr>
          <w:rFonts w:ascii="微軟正黑體" w:eastAsia="微軟正黑體" w:hAnsi="微軟正黑體" w:hint="eastAsia"/>
          <w:color w:val="000000" w:themeColor="text1"/>
        </w:rPr>
        <w:t>領取總額仍須加計舊制所領取金額)</w:t>
      </w:r>
      <w:r w:rsidRPr="007B78CF">
        <w:rPr>
          <w:rFonts w:ascii="微軟正黑體" w:eastAsia="微軟正黑體" w:hAnsi="微軟正黑體" w:hint="eastAsia"/>
          <w:color w:val="000000" w:themeColor="text1"/>
        </w:rPr>
        <w:t>。</w:t>
      </w:r>
    </w:p>
    <w:p w:rsidR="00BD50E5" w:rsidRPr="007B78CF" w:rsidRDefault="009014AA" w:rsidP="00BD50E5">
      <w:pPr>
        <w:spacing w:beforeLines="50" w:before="180" w:line="400" w:lineRule="exact"/>
        <w:ind w:leftChars="177" w:left="425"/>
        <w:jc w:val="both"/>
        <w:rPr>
          <w:rFonts w:ascii="微軟正黑體" w:eastAsia="微軟正黑體" w:hAnsi="微軟正黑體"/>
          <w:color w:val="000000" w:themeColor="text1"/>
        </w:rPr>
      </w:pPr>
      <w:r>
        <w:rPr>
          <w:noProof/>
        </w:rPr>
        <w:drawing>
          <wp:anchor distT="0" distB="0" distL="114300" distR="114300" simplePos="0" relativeHeight="252685312" behindDoc="0" locked="0" layoutInCell="1" allowOverlap="1" wp14:anchorId="42839600" wp14:editId="4D1E5B70">
            <wp:simplePos x="0" y="0"/>
            <wp:positionH relativeFrom="column">
              <wp:posOffset>225637</wp:posOffset>
            </wp:positionH>
            <wp:positionV relativeFrom="paragraph">
              <wp:posOffset>20742</wp:posOffset>
            </wp:positionV>
            <wp:extent cx="5511800" cy="3005667"/>
            <wp:effectExtent l="0" t="0" r="12700" b="23495"/>
            <wp:wrapNone/>
            <wp:docPr id="27" name="圖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Lines="50" w:before="18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Lines="50" w:before="180" w:line="400" w:lineRule="exact"/>
        <w:ind w:leftChars="177" w:left="425"/>
        <w:jc w:val="both"/>
        <w:rPr>
          <w:rFonts w:ascii="微軟正黑體" w:eastAsia="微軟正黑體" w:hAnsi="微軟正黑體"/>
          <w:color w:val="000000" w:themeColor="text1"/>
        </w:rPr>
      </w:pPr>
    </w:p>
    <w:p w:rsidR="00BD50E5" w:rsidRDefault="00BD50E5" w:rsidP="00BD50E5">
      <w:pPr>
        <w:spacing w:beforeLines="30" w:before="108"/>
        <w:ind w:leftChars="177" w:left="425"/>
        <w:jc w:val="center"/>
        <w:rPr>
          <w:rFonts w:ascii="微軟正黑體" w:eastAsia="微軟正黑體" w:hAnsi="微軟正黑體"/>
          <w:color w:val="000000" w:themeColor="text1"/>
        </w:rPr>
      </w:pPr>
      <w:r w:rsidRPr="007B78CF">
        <w:rPr>
          <w:rFonts w:ascii="微軟正黑體" w:eastAsia="微軟正黑體" w:hAnsi="微軟正黑體" w:hint="eastAsia"/>
          <w:noProof/>
          <w:color w:val="000000" w:themeColor="text1"/>
        </w:rPr>
        <mc:AlternateContent>
          <mc:Choice Requires="wps">
            <w:drawing>
              <wp:anchor distT="0" distB="0" distL="114300" distR="114300" simplePos="0" relativeHeight="252604416" behindDoc="0" locked="0" layoutInCell="1" allowOverlap="1" wp14:anchorId="20A6AA09" wp14:editId="34D5E6A6">
                <wp:simplePos x="0" y="0"/>
                <wp:positionH relativeFrom="column">
                  <wp:posOffset>5112385</wp:posOffset>
                </wp:positionH>
                <wp:positionV relativeFrom="paragraph">
                  <wp:posOffset>2628900</wp:posOffset>
                </wp:positionV>
                <wp:extent cx="533400" cy="287020"/>
                <wp:effectExtent l="2540" t="0" r="0" b="0"/>
                <wp:wrapNone/>
                <wp:docPr id="421" name="文字方塊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5375" w:rsidRPr="00433335" w:rsidRDefault="00745375" w:rsidP="00BD50E5">
                            <w:pPr>
                              <w:rPr>
                                <w:rFonts w:ascii="微軟正黑體" w:eastAsia="微軟正黑體" w:hAnsi="微軟正黑體"/>
                                <w:sz w:val="20"/>
                                <w:szCs w:val="20"/>
                              </w:rPr>
                            </w:pPr>
                            <w:r w:rsidRPr="00433335">
                              <w:rPr>
                                <w:rFonts w:ascii="微軟正黑體" w:eastAsia="微軟正黑體" w:hAnsi="微軟正黑體" w:hint="eastAsia"/>
                                <w:sz w:val="20"/>
                                <w:szCs w:val="20"/>
                              </w:rPr>
                              <w:t>(千元)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21" o:spid="_x0000_s1047" type="#_x0000_t202" style="position:absolute;left:0;text-align:left;margin-left:402.55pt;margin-top:207pt;width:42pt;height:22.6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" stroked="f">
                <v:textbox>
                  <w:txbxContent>
                    <w:p w:rsidR="00745375" w:rsidRPr="00433335" w:rsidRDefault="00745375" w:rsidP="00BD50E5">
                      <w:pPr>
                        <w:rPr>
                          <w:rFonts w:ascii="微軟正黑體" w:eastAsia="微軟正黑體" w:hAnsi="微軟正黑體"/>
                          <w:sz w:val="20"/>
                          <w:szCs w:val="20"/>
                        </w:rPr>
                      </w:pPr>
                      <w:r w:rsidRPr="00433335">
                        <w:rPr>
                          <w:rFonts w:ascii="微軟正黑體" w:eastAsia="微軟正黑體" w:hAnsi="微軟正黑體" w:hint="eastAsia"/>
                          <w:sz w:val="20"/>
                          <w:szCs w:val="20"/>
                        </w:rPr>
                        <w:t>(千元)</w:t>
                      </w:r>
                    </w:p>
                  </w:txbxContent>
                </v:textbox>
              </v:shape>
            </w:pict>
          </mc:Fallback>
        </mc:AlternateContent>
      </w:r>
      <w:r w:rsidRPr="007B78CF">
        <w:rPr>
          <w:rFonts w:ascii="微軟正黑體" w:eastAsia="微軟正黑體" w:hAnsi="微軟正黑體" w:hint="eastAsia"/>
          <w:color w:val="000000" w:themeColor="text1"/>
        </w:rPr>
        <w:t xml:space="preserve">圖3.23 </w:t>
      </w:r>
      <w:r w:rsidRPr="003656D8">
        <w:rPr>
          <w:rFonts w:ascii="微軟正黑體" w:eastAsia="微軟正黑體" w:hAnsi="微軟正黑體" w:hint="eastAsia"/>
        </w:rPr>
        <w:t xml:space="preserve"> 109年私校教職員退撫新制給付金額</w:t>
      </w:r>
      <w:r w:rsidR="009014AA" w:rsidRPr="003656D8">
        <w:rPr>
          <w:rFonts w:ascii="微軟正黑體" w:eastAsia="微軟正黑體" w:hAnsi="微軟正黑體" w:hint="eastAsia"/>
        </w:rPr>
        <w:t>占比</w:t>
      </w:r>
    </w:p>
    <w:p w:rsidR="00BD50E5" w:rsidRDefault="00BD50E5" w:rsidP="00BD50E5">
      <w:pPr>
        <w:spacing w:line="300" w:lineRule="exact"/>
        <w:jc w:val="center"/>
        <w:rPr>
          <w:rFonts w:ascii="微軟正黑體" w:eastAsia="微軟正黑體" w:hAnsi="微軟正黑體"/>
          <w:color w:val="000000" w:themeColor="text1"/>
        </w:rPr>
      </w:pPr>
    </w:p>
    <w:p w:rsidR="00BD50E5" w:rsidRPr="007B78CF" w:rsidRDefault="00BD50E5" w:rsidP="00BD50E5">
      <w:pPr>
        <w:spacing w:afterLines="30" w:after="108" w:line="3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lastRenderedPageBreak/>
        <w:t>表3.12  99-109年私校教職員退撫新制給付件數與金額</w:t>
      </w:r>
    </w:p>
    <w:tbl>
      <w:tblPr>
        <w:tblW w:w="9371" w:type="dxa"/>
        <w:tblInd w:w="13" w:type="dxa"/>
        <w:tblCellMar>
          <w:left w:w="28" w:type="dxa"/>
          <w:right w:w="28" w:type="dxa"/>
        </w:tblCellMar>
        <w:tblLook w:val="04A0" w:firstRow="1" w:lastRow="0" w:firstColumn="1" w:lastColumn="0" w:noHBand="0" w:noVBand="1"/>
      </w:tblPr>
      <w:tblGrid>
        <w:gridCol w:w="960"/>
        <w:gridCol w:w="960"/>
        <w:gridCol w:w="1214"/>
        <w:gridCol w:w="992"/>
        <w:gridCol w:w="992"/>
        <w:gridCol w:w="993"/>
        <w:gridCol w:w="1134"/>
        <w:gridCol w:w="992"/>
        <w:gridCol w:w="1134"/>
      </w:tblGrid>
      <w:tr w:rsidR="00BD50E5" w:rsidRPr="007B78CF" w:rsidTr="008F1977">
        <w:trPr>
          <w:trHeight w:val="536"/>
          <w:tblHeader/>
        </w:trPr>
        <w:tc>
          <w:tcPr>
            <w:tcW w:w="960" w:type="dxa"/>
            <w:vMerge w:val="restart"/>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年度</w:t>
            </w:r>
          </w:p>
        </w:tc>
        <w:tc>
          <w:tcPr>
            <w:tcW w:w="2174"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退休</w:t>
            </w:r>
          </w:p>
        </w:tc>
        <w:tc>
          <w:tcPr>
            <w:tcW w:w="1984"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資遣</w:t>
            </w:r>
          </w:p>
        </w:tc>
        <w:tc>
          <w:tcPr>
            <w:tcW w:w="2127"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撫卹</w:t>
            </w:r>
          </w:p>
        </w:tc>
        <w:tc>
          <w:tcPr>
            <w:tcW w:w="2126"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離職</w:t>
            </w:r>
          </w:p>
        </w:tc>
      </w:tr>
      <w:tr w:rsidR="00BD50E5" w:rsidRPr="007B78CF" w:rsidTr="008F1977">
        <w:trPr>
          <w:trHeight w:val="690"/>
          <w:tblHeader/>
        </w:trPr>
        <w:tc>
          <w:tcPr>
            <w:tcW w:w="960" w:type="dxa"/>
            <w:vMerge/>
            <w:tcBorders>
              <w:top w:val="single" w:sz="8" w:space="0" w:color="auto"/>
              <w:left w:val="single" w:sz="4" w:space="0" w:color="auto"/>
              <w:bottom w:val="single" w:sz="8" w:space="0" w:color="auto"/>
              <w:right w:val="single" w:sz="4" w:space="0" w:color="auto"/>
            </w:tcBorders>
            <w:vAlign w:val="center"/>
            <w:hideMark/>
          </w:tcPr>
          <w:p w:rsidR="00BD50E5" w:rsidRPr="007B78CF" w:rsidRDefault="00BD50E5" w:rsidP="008F1977">
            <w:pPr>
              <w:widowControl/>
              <w:spacing w:line="400" w:lineRule="exact"/>
              <w:rPr>
                <w:rFonts w:ascii="微軟正黑體" w:eastAsia="微軟正黑體" w:hAnsi="微軟正黑體"/>
                <w:color w:val="000000" w:themeColor="text1"/>
                <w:kern w:val="0"/>
                <w:sz w:val="22"/>
                <w:szCs w:val="22"/>
              </w:rPr>
            </w:pPr>
          </w:p>
        </w:tc>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件數</w:t>
            </w:r>
          </w:p>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w:t>
            </w:r>
          </w:p>
        </w:tc>
        <w:tc>
          <w:tcPr>
            <w:tcW w:w="121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金額</w:t>
            </w:r>
          </w:p>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(千元)</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件數</w:t>
            </w:r>
          </w:p>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金額</w:t>
            </w:r>
          </w:p>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(千元)</w:t>
            </w:r>
          </w:p>
        </w:tc>
        <w:tc>
          <w:tcPr>
            <w:tcW w:w="9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件數</w:t>
            </w:r>
          </w:p>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金額</w:t>
            </w:r>
          </w:p>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(千元)</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件數</w:t>
            </w:r>
          </w:p>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(件)</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金額</w:t>
            </w:r>
          </w:p>
          <w:p w:rsidR="00BD50E5" w:rsidRPr="007B78CF" w:rsidRDefault="00BD50E5" w:rsidP="008F1977">
            <w:pPr>
              <w:widowControl/>
              <w:spacing w:line="32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(千元)</w:t>
            </w:r>
          </w:p>
        </w:tc>
      </w:tr>
      <w:tr w:rsidR="00BD50E5" w:rsidRPr="007B78CF" w:rsidTr="008F1977">
        <w:trPr>
          <w:trHeight w:val="350"/>
        </w:trPr>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99</w:t>
            </w:r>
          </w:p>
        </w:tc>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949 </w:t>
            </w:r>
          </w:p>
        </w:tc>
        <w:tc>
          <w:tcPr>
            <w:tcW w:w="121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51,142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292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12,570 </w:t>
            </w:r>
          </w:p>
        </w:tc>
        <w:tc>
          <w:tcPr>
            <w:tcW w:w="9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34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1,03</w:t>
            </w:r>
            <w:r w:rsidRPr="007B78CF">
              <w:rPr>
                <w:rFonts w:ascii="微軟正黑體" w:eastAsia="微軟正黑體" w:hAnsi="微軟正黑體" w:hint="eastAsia"/>
                <w:color w:val="000000" w:themeColor="text1"/>
                <w:kern w:val="0"/>
                <w:sz w:val="22"/>
                <w:szCs w:val="22"/>
              </w:rPr>
              <w:t>5</w:t>
            </w:r>
            <w:r w:rsidRPr="007B78CF">
              <w:rPr>
                <w:rFonts w:ascii="微軟正黑體" w:eastAsia="微軟正黑體" w:hAnsi="微軟正黑體"/>
                <w:color w:val="000000" w:themeColor="text1"/>
                <w:kern w:val="0"/>
                <w:sz w:val="22"/>
                <w:szCs w:val="22"/>
              </w:rPr>
              <w:t xml:space="preserve">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887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32,22</w:t>
            </w:r>
            <w:r w:rsidRPr="007B78CF">
              <w:rPr>
                <w:rFonts w:ascii="微軟正黑體" w:eastAsia="微軟正黑體" w:hAnsi="微軟正黑體" w:hint="eastAsia"/>
                <w:color w:val="000000" w:themeColor="text1"/>
                <w:kern w:val="0"/>
                <w:sz w:val="22"/>
                <w:szCs w:val="22"/>
              </w:rPr>
              <w:t>5</w:t>
            </w:r>
            <w:r w:rsidRPr="007B78CF">
              <w:rPr>
                <w:rFonts w:ascii="微軟正黑體" w:eastAsia="微軟正黑體" w:hAnsi="微軟正黑體"/>
                <w:color w:val="000000" w:themeColor="text1"/>
                <w:kern w:val="0"/>
                <w:sz w:val="22"/>
                <w:szCs w:val="22"/>
              </w:rPr>
              <w:t xml:space="preserve"> </w:t>
            </w:r>
          </w:p>
        </w:tc>
      </w:tr>
      <w:tr w:rsidR="00BD50E5" w:rsidRPr="007B78CF" w:rsidTr="008F1977">
        <w:trPr>
          <w:trHeight w:val="350"/>
        </w:trPr>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100</w:t>
            </w:r>
          </w:p>
        </w:tc>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1,058 </w:t>
            </w:r>
          </w:p>
        </w:tc>
        <w:tc>
          <w:tcPr>
            <w:tcW w:w="121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182,928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362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47,301 </w:t>
            </w:r>
          </w:p>
        </w:tc>
        <w:tc>
          <w:tcPr>
            <w:tcW w:w="9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41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5,373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2,293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108,77</w:t>
            </w:r>
            <w:r w:rsidRPr="007B78CF">
              <w:rPr>
                <w:rFonts w:ascii="微軟正黑體" w:eastAsia="微軟正黑體" w:hAnsi="微軟正黑體" w:hint="eastAsia"/>
                <w:color w:val="000000" w:themeColor="text1"/>
                <w:kern w:val="0"/>
                <w:sz w:val="22"/>
                <w:szCs w:val="22"/>
              </w:rPr>
              <w:t>7</w:t>
            </w:r>
            <w:r w:rsidRPr="007B78CF">
              <w:rPr>
                <w:rFonts w:ascii="微軟正黑體" w:eastAsia="微軟正黑體" w:hAnsi="微軟正黑體"/>
                <w:color w:val="000000" w:themeColor="text1"/>
                <w:kern w:val="0"/>
                <w:sz w:val="22"/>
                <w:szCs w:val="22"/>
              </w:rPr>
              <w:t xml:space="preserve"> </w:t>
            </w:r>
          </w:p>
        </w:tc>
      </w:tr>
      <w:tr w:rsidR="00BD50E5" w:rsidRPr="007B78CF" w:rsidTr="008F1977">
        <w:trPr>
          <w:trHeight w:val="350"/>
        </w:trPr>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101</w:t>
            </w:r>
          </w:p>
        </w:tc>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1,156 </w:t>
            </w:r>
          </w:p>
        </w:tc>
        <w:tc>
          <w:tcPr>
            <w:tcW w:w="121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351,687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249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60,90</w:t>
            </w: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 xml:space="preserve"> </w:t>
            </w:r>
          </w:p>
        </w:tc>
        <w:tc>
          <w:tcPr>
            <w:tcW w:w="9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51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11,380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3,042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179,81</w:t>
            </w:r>
            <w:r w:rsidRPr="007B78CF">
              <w:rPr>
                <w:rFonts w:ascii="微軟正黑體" w:eastAsia="微軟正黑體" w:hAnsi="微軟正黑體" w:hint="eastAsia"/>
                <w:color w:val="000000" w:themeColor="text1"/>
                <w:kern w:val="0"/>
                <w:sz w:val="22"/>
                <w:szCs w:val="22"/>
              </w:rPr>
              <w:t>2</w:t>
            </w:r>
            <w:r w:rsidRPr="007B78CF">
              <w:rPr>
                <w:rFonts w:ascii="微軟正黑體" w:eastAsia="微軟正黑體" w:hAnsi="微軟正黑體"/>
                <w:color w:val="000000" w:themeColor="text1"/>
                <w:kern w:val="0"/>
                <w:sz w:val="22"/>
                <w:szCs w:val="22"/>
              </w:rPr>
              <w:t xml:space="preserve"> </w:t>
            </w:r>
          </w:p>
        </w:tc>
      </w:tr>
      <w:tr w:rsidR="00BD50E5" w:rsidRPr="007B78CF" w:rsidTr="008F1977">
        <w:trPr>
          <w:trHeight w:val="350"/>
        </w:trPr>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102</w:t>
            </w:r>
          </w:p>
        </w:tc>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1,233 </w:t>
            </w:r>
          </w:p>
        </w:tc>
        <w:tc>
          <w:tcPr>
            <w:tcW w:w="121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526,551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200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65,8</w:t>
            </w:r>
            <w:r w:rsidRPr="007B78CF">
              <w:rPr>
                <w:rFonts w:ascii="微軟正黑體" w:eastAsia="微軟正黑體" w:hAnsi="微軟正黑體" w:hint="eastAsia"/>
                <w:color w:val="000000" w:themeColor="text1"/>
                <w:kern w:val="0"/>
                <w:sz w:val="22"/>
                <w:szCs w:val="22"/>
              </w:rPr>
              <w:t>70</w:t>
            </w:r>
            <w:r w:rsidRPr="007B78CF">
              <w:rPr>
                <w:rFonts w:ascii="微軟正黑體" w:eastAsia="微軟正黑體" w:hAnsi="微軟正黑體"/>
                <w:color w:val="000000" w:themeColor="text1"/>
                <w:kern w:val="0"/>
                <w:sz w:val="22"/>
                <w:szCs w:val="22"/>
              </w:rPr>
              <w:t xml:space="preserve"> </w:t>
            </w:r>
          </w:p>
        </w:tc>
        <w:tc>
          <w:tcPr>
            <w:tcW w:w="9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63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22,531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2,999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221,857 </w:t>
            </w:r>
          </w:p>
        </w:tc>
      </w:tr>
      <w:tr w:rsidR="00BD50E5" w:rsidRPr="007B78CF" w:rsidTr="008F1977">
        <w:trPr>
          <w:trHeight w:val="350"/>
        </w:trPr>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103</w:t>
            </w:r>
          </w:p>
        </w:tc>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1,632 </w:t>
            </w:r>
          </w:p>
        </w:tc>
        <w:tc>
          <w:tcPr>
            <w:tcW w:w="121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926,75</w:t>
            </w: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 xml:space="preserve">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310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130,461 </w:t>
            </w:r>
          </w:p>
        </w:tc>
        <w:tc>
          <w:tcPr>
            <w:tcW w:w="9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51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22,98</w:t>
            </w:r>
            <w:r w:rsidRPr="007B78CF">
              <w:rPr>
                <w:rFonts w:ascii="微軟正黑體" w:eastAsia="微軟正黑體" w:hAnsi="微軟正黑體" w:hint="eastAsia"/>
                <w:color w:val="000000" w:themeColor="text1"/>
                <w:kern w:val="0"/>
                <w:sz w:val="22"/>
                <w:szCs w:val="22"/>
              </w:rPr>
              <w:t>7</w:t>
            </w:r>
            <w:r w:rsidRPr="007B78CF">
              <w:rPr>
                <w:rFonts w:ascii="微軟正黑體" w:eastAsia="微軟正黑體" w:hAnsi="微軟正黑體"/>
                <w:color w:val="000000" w:themeColor="text1"/>
                <w:kern w:val="0"/>
                <w:sz w:val="22"/>
                <w:szCs w:val="22"/>
              </w:rPr>
              <w:t xml:space="preserve">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2,655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252,09</w:t>
            </w:r>
            <w:r w:rsidRPr="007B78CF">
              <w:rPr>
                <w:rFonts w:ascii="微軟正黑體" w:eastAsia="微軟正黑體" w:hAnsi="微軟正黑體" w:hint="eastAsia"/>
                <w:color w:val="000000" w:themeColor="text1"/>
                <w:kern w:val="0"/>
                <w:sz w:val="22"/>
                <w:szCs w:val="22"/>
              </w:rPr>
              <w:t>7</w:t>
            </w:r>
            <w:r w:rsidRPr="007B78CF">
              <w:rPr>
                <w:rFonts w:ascii="微軟正黑體" w:eastAsia="微軟正黑體" w:hAnsi="微軟正黑體"/>
                <w:color w:val="000000" w:themeColor="text1"/>
                <w:kern w:val="0"/>
                <w:sz w:val="22"/>
                <w:szCs w:val="22"/>
              </w:rPr>
              <w:t xml:space="preserve"> </w:t>
            </w:r>
          </w:p>
        </w:tc>
      </w:tr>
      <w:tr w:rsidR="00BD50E5" w:rsidRPr="007B78CF" w:rsidTr="008F1977">
        <w:trPr>
          <w:trHeight w:val="350"/>
        </w:trPr>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104</w:t>
            </w:r>
          </w:p>
        </w:tc>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1,976 </w:t>
            </w:r>
          </w:p>
        </w:tc>
        <w:tc>
          <w:tcPr>
            <w:tcW w:w="121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1,278,504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270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132,64</w:t>
            </w:r>
            <w:r w:rsidRPr="007B78CF">
              <w:rPr>
                <w:rFonts w:ascii="微軟正黑體" w:eastAsia="微軟正黑體" w:hAnsi="微軟正黑體" w:hint="eastAsia"/>
                <w:color w:val="000000" w:themeColor="text1"/>
                <w:kern w:val="0"/>
                <w:sz w:val="22"/>
                <w:szCs w:val="22"/>
              </w:rPr>
              <w:t>1</w:t>
            </w:r>
            <w:r w:rsidRPr="007B78CF">
              <w:rPr>
                <w:rFonts w:ascii="微軟正黑體" w:eastAsia="微軟正黑體" w:hAnsi="微軟正黑體"/>
                <w:color w:val="000000" w:themeColor="text1"/>
                <w:kern w:val="0"/>
                <w:sz w:val="22"/>
                <w:szCs w:val="22"/>
              </w:rPr>
              <w:t xml:space="preserve"> </w:t>
            </w:r>
          </w:p>
        </w:tc>
        <w:tc>
          <w:tcPr>
            <w:tcW w:w="993"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49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26,327 </w:t>
            </w:r>
          </w:p>
        </w:tc>
        <w:tc>
          <w:tcPr>
            <w:tcW w:w="99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1,541 </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347,877 </w:t>
            </w:r>
          </w:p>
        </w:tc>
      </w:tr>
      <w:tr w:rsidR="00BD50E5" w:rsidRPr="007B78CF" w:rsidTr="008F1977">
        <w:trPr>
          <w:trHeight w:val="35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0E5" w:rsidRPr="007B78CF" w:rsidRDefault="00BD50E5" w:rsidP="008F1977">
            <w:pPr>
              <w:widowControl/>
              <w:spacing w:line="400" w:lineRule="exact"/>
              <w:jc w:val="center"/>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105</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1,761 </w:t>
            </w:r>
          </w:p>
        </w:tc>
        <w:tc>
          <w:tcPr>
            <w:tcW w:w="1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1,456,743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194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107,538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59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44,356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1,210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0E5" w:rsidRPr="007B78CF" w:rsidRDefault="00BD50E5" w:rsidP="008F1977">
            <w:pPr>
              <w:widowControl/>
              <w:spacing w:line="400" w:lineRule="exact"/>
              <w:jc w:val="right"/>
              <w:rPr>
                <w:rFonts w:ascii="微軟正黑體" w:eastAsia="微軟正黑體" w:hAnsi="微軟正黑體"/>
                <w:color w:val="000000" w:themeColor="text1"/>
                <w:kern w:val="0"/>
                <w:sz w:val="22"/>
                <w:szCs w:val="22"/>
              </w:rPr>
            </w:pPr>
            <w:r w:rsidRPr="007B78CF">
              <w:rPr>
                <w:rFonts w:ascii="微軟正黑體" w:eastAsia="微軟正黑體" w:hAnsi="微軟正黑體"/>
                <w:color w:val="000000" w:themeColor="text1"/>
                <w:kern w:val="0"/>
                <w:sz w:val="22"/>
                <w:szCs w:val="22"/>
              </w:rPr>
              <w:t xml:space="preserve">344,252 </w:t>
            </w:r>
          </w:p>
        </w:tc>
      </w:tr>
      <w:tr w:rsidR="00BD50E5" w:rsidRPr="007B78CF" w:rsidTr="008F1977">
        <w:trPr>
          <w:trHeight w:val="35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106</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1,858 </w:t>
            </w:r>
          </w:p>
        </w:tc>
        <w:tc>
          <w:tcPr>
            <w:tcW w:w="121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1,754,206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132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90,073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62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49,174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1,207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360,034 </w:t>
            </w:r>
          </w:p>
        </w:tc>
      </w:tr>
      <w:tr w:rsidR="00BD50E5" w:rsidRPr="007B78CF" w:rsidTr="008F1977">
        <w:trPr>
          <w:trHeight w:val="35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center"/>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107</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2,028 </w:t>
            </w:r>
          </w:p>
        </w:tc>
        <w:tc>
          <w:tcPr>
            <w:tcW w:w="121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2,248,006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220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158,623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57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57,087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1,291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s="新細明體"/>
                <w:color w:val="000000" w:themeColor="text1"/>
                <w:sz w:val="22"/>
                <w:szCs w:val="22"/>
              </w:rPr>
            </w:pPr>
            <w:r w:rsidRPr="007B78CF">
              <w:rPr>
                <w:rFonts w:ascii="微軟正黑體" w:eastAsia="微軟正黑體" w:hAnsi="微軟正黑體" w:hint="eastAsia"/>
                <w:color w:val="000000" w:themeColor="text1"/>
                <w:sz w:val="22"/>
                <w:szCs w:val="22"/>
              </w:rPr>
              <w:t xml:space="preserve">441,938 </w:t>
            </w:r>
          </w:p>
        </w:tc>
      </w:tr>
      <w:tr w:rsidR="00BD50E5" w:rsidRPr="007B78CF" w:rsidTr="008F1977">
        <w:trPr>
          <w:trHeight w:val="35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108</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1,933 </w:t>
            </w:r>
          </w:p>
        </w:tc>
        <w:tc>
          <w:tcPr>
            <w:tcW w:w="121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2,459,425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164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143,110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50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50,167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1,156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454,730 </w:t>
            </w:r>
          </w:p>
        </w:tc>
      </w:tr>
      <w:tr w:rsidR="00BD50E5" w:rsidRPr="007B78CF" w:rsidTr="008F1977">
        <w:trPr>
          <w:trHeight w:val="350"/>
        </w:trPr>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109</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2,148 </w:t>
            </w:r>
          </w:p>
        </w:tc>
        <w:tc>
          <w:tcPr>
            <w:tcW w:w="121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3,110,543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126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119,507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39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42,514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1,043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BD50E5" w:rsidRPr="007B78CF" w:rsidRDefault="00BD50E5" w:rsidP="008F1977">
            <w:pPr>
              <w:spacing w:line="400" w:lineRule="exact"/>
              <w:jc w:val="righ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 xml:space="preserve">438,013 </w:t>
            </w:r>
          </w:p>
        </w:tc>
      </w:tr>
    </w:tbl>
    <w:p w:rsidR="00BD50E5" w:rsidRPr="007B78CF" w:rsidRDefault="00BD50E5" w:rsidP="00BD50E5">
      <w:pPr>
        <w:spacing w:beforeLines="100" w:before="360"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(三) </w:t>
      </w:r>
      <w:r w:rsidRPr="007B78CF">
        <w:rPr>
          <w:rFonts w:ascii="微軟正黑體" w:eastAsia="微軟正黑體" w:hAnsi="微軟正黑體"/>
          <w:color w:val="000000" w:themeColor="text1"/>
        </w:rPr>
        <w:t>財務概況</w:t>
      </w:r>
    </w:p>
    <w:p w:rsidR="00BD50E5" w:rsidRPr="007B78CF" w:rsidRDefault="00BD50E5" w:rsidP="00BD50E5">
      <w:pPr>
        <w:spacing w:beforeLines="50" w:before="180" w:line="400" w:lineRule="exact"/>
        <w:ind w:leftChars="236" w:left="566"/>
        <w:jc w:val="both"/>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 xml:space="preserve">    </w:t>
      </w:r>
      <w:r w:rsidRPr="007B78CF">
        <w:rPr>
          <w:rFonts w:ascii="微軟正黑體" w:eastAsia="微軟正黑體" w:hAnsi="微軟正黑體"/>
          <w:color w:val="000000" w:themeColor="text1"/>
        </w:rPr>
        <w:t>102年1月1日</w:t>
      </w:r>
      <w:r w:rsidRPr="007B78CF">
        <w:rPr>
          <w:rFonts w:ascii="微軟正黑體" w:eastAsia="微軟正黑體" w:hAnsi="微軟正黑體" w:hint="eastAsia"/>
          <w:color w:val="000000" w:themeColor="text1"/>
        </w:rPr>
        <w:t>退撫新制</w:t>
      </w:r>
      <w:r w:rsidRPr="007B78CF">
        <w:rPr>
          <w:rFonts w:ascii="微軟正黑體" w:eastAsia="微軟正黑體" w:hAnsi="微軟正黑體"/>
          <w:color w:val="000000" w:themeColor="text1"/>
        </w:rPr>
        <w:t>開始實施個人專戶自主投資運用</w:t>
      </w:r>
      <w:r w:rsidRPr="007B78CF">
        <w:rPr>
          <w:rFonts w:ascii="微軟正黑體" w:eastAsia="微軟正黑體" w:hAnsi="微軟正黑體" w:hint="eastAsia"/>
          <w:color w:val="000000" w:themeColor="text1"/>
        </w:rPr>
        <w:t>，並自3月1日起推出</w:t>
      </w:r>
      <w:r w:rsidRPr="007B78CF">
        <w:rPr>
          <w:rFonts w:ascii="微軟正黑體" w:eastAsia="微軟正黑體" w:hAnsi="微軟正黑體"/>
          <w:color w:val="000000" w:themeColor="text1"/>
        </w:rPr>
        <w:t>「保守型」、「穩健型」及「積極型」</w:t>
      </w:r>
      <w:r w:rsidRPr="007B78CF">
        <w:rPr>
          <w:rFonts w:ascii="微軟正黑體" w:eastAsia="微軟正黑體" w:hAnsi="微軟正黑體" w:hint="eastAsia"/>
          <w:color w:val="000000" w:themeColor="text1"/>
        </w:rPr>
        <w:t>3</w:t>
      </w:r>
      <w:r w:rsidRPr="007B78CF">
        <w:rPr>
          <w:rFonts w:ascii="微軟正黑體" w:eastAsia="微軟正黑體" w:hAnsi="微軟正黑體"/>
          <w:color w:val="000000" w:themeColor="text1"/>
        </w:rPr>
        <w:t>種投資組合</w:t>
      </w:r>
      <w:r w:rsidRPr="007B78CF">
        <w:rPr>
          <w:rFonts w:ascii="微軟正黑體" w:eastAsia="微軟正黑體" w:hAnsi="微軟正黑體" w:hint="eastAsia"/>
          <w:color w:val="000000" w:themeColor="text1"/>
        </w:rPr>
        <w:t>供參加者選擇。</w:t>
      </w:r>
      <w:r w:rsidRPr="007B78CF">
        <w:rPr>
          <w:rFonts w:ascii="微軟正黑體" w:eastAsia="微軟正黑體" w:hAnsi="微軟正黑體"/>
          <w:color w:val="000000" w:themeColor="text1"/>
        </w:rPr>
        <w:t>此外，參加者亦可選擇</w:t>
      </w:r>
      <w:r w:rsidRPr="007B78CF">
        <w:rPr>
          <w:rFonts w:ascii="微軟正黑體" w:eastAsia="微軟正黑體" w:hAnsi="微軟正黑體" w:hint="eastAsia"/>
          <w:color w:val="000000" w:themeColor="text1"/>
        </w:rPr>
        <w:t>「人生週期型」投資組合，即依照年齡，在前述3種投資組合中配置不同的比重</w:t>
      </w:r>
      <w:r w:rsidRPr="007B78CF">
        <w:rPr>
          <w:rFonts w:ascii="微軟正黑體" w:eastAsia="微軟正黑體" w:hAnsi="微軟正黑體" w:hint="eastAsia"/>
          <w:color w:val="000000" w:themeColor="text1"/>
          <w:shd w:val="clear" w:color="auto" w:fill="FFFFFF"/>
        </w:rPr>
        <w:t>。</w:t>
      </w:r>
      <w:r w:rsidRPr="007B78CF">
        <w:rPr>
          <w:rFonts w:ascii="微軟正黑體" w:eastAsia="微軟正黑體" w:hAnsi="微軟正黑體" w:hint="eastAsia"/>
          <w:color w:val="000000" w:themeColor="text1"/>
        </w:rPr>
        <w:t>109年3種投資組合報酬率分別為3.0%、8.7%及10.0%。</w:t>
      </w:r>
    </w:p>
    <w:p w:rsidR="00BD50E5" w:rsidRPr="007B78CF" w:rsidRDefault="00BD50E5" w:rsidP="00BD50E5">
      <w:pPr>
        <w:spacing w:before="50" w:line="400" w:lineRule="exact"/>
        <w:ind w:leftChars="177" w:left="425"/>
        <w:jc w:val="both"/>
        <w:rPr>
          <w:rFonts w:ascii="微軟正黑體" w:eastAsia="微軟正黑體" w:hAnsi="微軟正黑體"/>
          <w:color w:val="000000" w:themeColor="text1"/>
        </w:rPr>
      </w:pPr>
      <w:r w:rsidRPr="007B78CF">
        <w:rPr>
          <w:noProof/>
          <w:color w:val="000000" w:themeColor="text1"/>
        </w:rPr>
        <w:drawing>
          <wp:anchor distT="0" distB="0" distL="114300" distR="114300" simplePos="0" relativeHeight="252624896" behindDoc="0" locked="0" layoutInCell="1" allowOverlap="1" wp14:anchorId="0CFE3DCF" wp14:editId="1095D6F7">
            <wp:simplePos x="0" y="0"/>
            <wp:positionH relativeFrom="column">
              <wp:posOffset>208280</wp:posOffset>
            </wp:positionH>
            <wp:positionV relativeFrom="paragraph">
              <wp:posOffset>92075</wp:posOffset>
            </wp:positionV>
            <wp:extent cx="5629910" cy="2962910"/>
            <wp:effectExtent l="0" t="0" r="27940" b="27940"/>
            <wp:wrapNone/>
            <wp:docPr id="306" name="圖表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page">
              <wp14:pctWidth>0</wp14:pctWidth>
            </wp14:sizeRelH>
            <wp14:sizeRelV relativeFrom="page">
              <wp14:pctHeight>0</wp14:pctHeight>
            </wp14:sizeRelV>
          </wp:anchor>
        </w:drawing>
      </w:r>
    </w:p>
    <w:p w:rsidR="00BD50E5" w:rsidRPr="007B78CF" w:rsidRDefault="00BD50E5" w:rsidP="00BD50E5">
      <w:pPr>
        <w:spacing w:before="5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5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5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5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5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5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5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50" w:line="400" w:lineRule="exact"/>
        <w:ind w:leftChars="177" w:left="425"/>
        <w:jc w:val="both"/>
        <w:rPr>
          <w:rFonts w:ascii="微軟正黑體" w:eastAsia="微軟正黑體" w:hAnsi="微軟正黑體"/>
          <w:color w:val="000000" w:themeColor="text1"/>
        </w:rPr>
      </w:pPr>
    </w:p>
    <w:p w:rsidR="00BD50E5" w:rsidRPr="007B78CF" w:rsidRDefault="00BD50E5" w:rsidP="00BD50E5">
      <w:pPr>
        <w:spacing w:beforeLines="50" w:before="180"/>
        <w:jc w:val="center"/>
        <w:rPr>
          <w:rFonts w:ascii="微軟正黑體" w:eastAsia="微軟正黑體" w:hAnsi="微軟正黑體"/>
          <w:color w:val="000000" w:themeColor="text1"/>
        </w:rPr>
      </w:pPr>
    </w:p>
    <w:p w:rsidR="00BD50E5" w:rsidRPr="007B78CF" w:rsidRDefault="00BD50E5" w:rsidP="00BD50E5">
      <w:pPr>
        <w:spacing w:afterLines="30" w:after="108"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圖3.24  106-109年私校教職員退撫新制自主投資運用概況</w:t>
      </w:r>
    </w:p>
    <w:p w:rsidR="00BD50E5" w:rsidRPr="007B78CF" w:rsidRDefault="00BD50E5" w:rsidP="00BD50E5">
      <w:pPr>
        <w:spacing w:afterLines="30" w:after="108"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lastRenderedPageBreak/>
        <w:t>表3.13  109年私校教職員退撫新制</w:t>
      </w:r>
      <w:r w:rsidRPr="007B78CF">
        <w:rPr>
          <w:rFonts w:ascii="微軟正黑體" w:eastAsia="微軟正黑體" w:hAnsi="微軟正黑體"/>
          <w:color w:val="000000" w:themeColor="text1"/>
        </w:rPr>
        <w:t>自主投資</w:t>
      </w:r>
      <w:r w:rsidRPr="007B78CF">
        <w:rPr>
          <w:rFonts w:ascii="微軟正黑體" w:eastAsia="微軟正黑體" w:hAnsi="微軟正黑體" w:hint="eastAsia"/>
          <w:color w:val="000000" w:themeColor="text1"/>
        </w:rPr>
        <w:t>運用概況</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16"/>
        <w:gridCol w:w="2553"/>
        <w:gridCol w:w="2551"/>
        <w:gridCol w:w="1418"/>
      </w:tblGrid>
      <w:tr w:rsidR="00BD50E5" w:rsidRPr="007B78CF" w:rsidTr="008F1977">
        <w:trPr>
          <w:trHeight w:val="731"/>
          <w:tblHeader/>
        </w:trPr>
        <w:tc>
          <w:tcPr>
            <w:tcW w:w="993"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投資</w:t>
            </w:r>
          </w:p>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組合</w:t>
            </w:r>
          </w:p>
        </w:tc>
        <w:tc>
          <w:tcPr>
            <w:tcW w:w="1416" w:type="dxa"/>
            <w:shd w:val="clear" w:color="auto" w:fill="auto"/>
            <w:vAlign w:val="center"/>
          </w:tcPr>
          <w:p w:rsidR="00BD50E5" w:rsidRPr="007B78CF" w:rsidRDefault="00BD50E5" w:rsidP="008F1977">
            <w:pPr>
              <w:spacing w:line="300" w:lineRule="exact"/>
              <w:ind w:leftChars="-45" w:left="-108" w:rightChars="-45" w:right="-108"/>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基金投資運用規模(占比)</w:t>
            </w:r>
          </w:p>
        </w:tc>
        <w:tc>
          <w:tcPr>
            <w:tcW w:w="2553"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投資目標</w:t>
            </w:r>
          </w:p>
        </w:tc>
        <w:tc>
          <w:tcPr>
            <w:tcW w:w="2551"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資產配置</w:t>
            </w:r>
          </w:p>
        </w:tc>
        <w:tc>
          <w:tcPr>
            <w:tcW w:w="1418"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報酬率</w:t>
            </w:r>
          </w:p>
        </w:tc>
      </w:tr>
      <w:tr w:rsidR="00BD50E5" w:rsidRPr="007B78CF" w:rsidTr="008F1977">
        <w:trPr>
          <w:trHeight w:val="1424"/>
        </w:trPr>
        <w:tc>
          <w:tcPr>
            <w:tcW w:w="993"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保守型</w:t>
            </w:r>
          </w:p>
        </w:tc>
        <w:tc>
          <w:tcPr>
            <w:tcW w:w="1416"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251.5億元</w:t>
            </w:r>
          </w:p>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(41.2%)</w:t>
            </w:r>
          </w:p>
        </w:tc>
        <w:tc>
          <w:tcPr>
            <w:tcW w:w="2553" w:type="dxa"/>
            <w:shd w:val="clear" w:color="auto" w:fill="auto"/>
            <w:vAlign w:val="center"/>
          </w:tcPr>
          <w:p w:rsidR="00BD50E5" w:rsidRPr="007B78CF" w:rsidRDefault="00BD50E5" w:rsidP="008F1977">
            <w:pPr>
              <w:spacing w:line="300" w:lineRule="exact"/>
              <w:jc w:val="both"/>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在確保安全為首要目標的前提下，追求長期固定收益並分散風險</w:t>
            </w:r>
          </w:p>
        </w:tc>
        <w:tc>
          <w:tcPr>
            <w:tcW w:w="2551" w:type="dxa"/>
            <w:shd w:val="clear" w:color="auto" w:fill="auto"/>
            <w:vAlign w:val="center"/>
          </w:tcPr>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貨幣市場型基金42.0%</w:t>
            </w:r>
          </w:p>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債券型基金38.0%</w:t>
            </w:r>
          </w:p>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股票型基金19.3%</w:t>
            </w:r>
          </w:p>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現金0.7%</w:t>
            </w:r>
          </w:p>
        </w:tc>
        <w:tc>
          <w:tcPr>
            <w:tcW w:w="1418"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3.0%</w:t>
            </w:r>
          </w:p>
        </w:tc>
      </w:tr>
      <w:tr w:rsidR="00BD50E5" w:rsidRPr="007B78CF" w:rsidTr="008F1977">
        <w:trPr>
          <w:trHeight w:val="1415"/>
        </w:trPr>
        <w:tc>
          <w:tcPr>
            <w:tcW w:w="993"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穩健型</w:t>
            </w:r>
          </w:p>
        </w:tc>
        <w:tc>
          <w:tcPr>
            <w:tcW w:w="1416"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230.8億元</w:t>
            </w:r>
          </w:p>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(37.9%)</w:t>
            </w:r>
          </w:p>
        </w:tc>
        <w:tc>
          <w:tcPr>
            <w:tcW w:w="2553" w:type="dxa"/>
            <w:shd w:val="clear" w:color="auto" w:fill="auto"/>
            <w:vAlign w:val="center"/>
          </w:tcPr>
          <w:p w:rsidR="00BD50E5" w:rsidRPr="007B78CF" w:rsidRDefault="00BD50E5" w:rsidP="008F1977">
            <w:pPr>
              <w:spacing w:line="300" w:lineRule="exact"/>
              <w:jc w:val="both"/>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同時考量追求長期穩定的收益與控制風險水準為目標，惟風險無法因分散投資而完全消除</w:t>
            </w:r>
          </w:p>
        </w:tc>
        <w:tc>
          <w:tcPr>
            <w:tcW w:w="2551" w:type="dxa"/>
            <w:shd w:val="clear" w:color="auto" w:fill="auto"/>
            <w:vAlign w:val="center"/>
          </w:tcPr>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股票型基金48.8%</w:t>
            </w:r>
          </w:p>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債券型基金42.9%</w:t>
            </w:r>
          </w:p>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貨幣市場共用基金7.0%</w:t>
            </w:r>
          </w:p>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現金1.3%</w:t>
            </w:r>
          </w:p>
        </w:tc>
        <w:tc>
          <w:tcPr>
            <w:tcW w:w="1418"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8.7%</w:t>
            </w:r>
          </w:p>
        </w:tc>
      </w:tr>
      <w:tr w:rsidR="00BD50E5" w:rsidRPr="007B78CF" w:rsidTr="008F1977">
        <w:trPr>
          <w:trHeight w:val="1975"/>
        </w:trPr>
        <w:tc>
          <w:tcPr>
            <w:tcW w:w="993"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積極型</w:t>
            </w:r>
          </w:p>
        </w:tc>
        <w:tc>
          <w:tcPr>
            <w:tcW w:w="1416"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127.7億元</w:t>
            </w:r>
          </w:p>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(20.9%)</w:t>
            </w:r>
          </w:p>
        </w:tc>
        <w:tc>
          <w:tcPr>
            <w:tcW w:w="2553" w:type="dxa"/>
            <w:shd w:val="clear" w:color="auto" w:fill="auto"/>
            <w:vAlign w:val="center"/>
          </w:tcPr>
          <w:p w:rsidR="00BD50E5" w:rsidRPr="007B78CF" w:rsidRDefault="00BD50E5" w:rsidP="008F1977">
            <w:pPr>
              <w:spacing w:line="300" w:lineRule="exact"/>
              <w:jc w:val="both"/>
              <w:rPr>
                <w:rFonts w:ascii="微軟正黑體" w:eastAsia="微軟正黑體" w:hAnsi="微軟正黑體"/>
                <w:color w:val="000000" w:themeColor="text1"/>
                <w:sz w:val="22"/>
                <w:szCs w:val="22"/>
              </w:rPr>
            </w:pPr>
            <w:r w:rsidRPr="007B78CF">
              <w:rPr>
                <w:rFonts w:ascii="微軟正黑體" w:eastAsia="微軟正黑體" w:hAnsi="微軟正黑體" w:cs="標楷體" w:hint="eastAsia"/>
                <w:color w:val="000000" w:themeColor="text1"/>
                <w:kern w:val="0"/>
                <w:sz w:val="22"/>
                <w:szCs w:val="22"/>
              </w:rPr>
              <w:t>以追求長期資本利得為首要目標，可能將大部分資產投資於積極成長型類股或波動較大之股市，短期內可能面對較大之價格下跌風險</w:t>
            </w:r>
          </w:p>
        </w:tc>
        <w:tc>
          <w:tcPr>
            <w:tcW w:w="2551" w:type="dxa"/>
            <w:shd w:val="clear" w:color="auto" w:fill="auto"/>
            <w:vAlign w:val="center"/>
          </w:tcPr>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股票型基金67.0%</w:t>
            </w:r>
          </w:p>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債券型基金25.3%</w:t>
            </w:r>
          </w:p>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貨幣市場共用基金4.3%</w:t>
            </w:r>
          </w:p>
          <w:p w:rsidR="00BD50E5" w:rsidRPr="007B78CF" w:rsidRDefault="00BD50E5" w:rsidP="008F1977">
            <w:pPr>
              <w:spacing w:line="300" w:lineRule="exact"/>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現金3.4%</w:t>
            </w:r>
          </w:p>
        </w:tc>
        <w:tc>
          <w:tcPr>
            <w:tcW w:w="1418" w:type="dxa"/>
            <w:shd w:val="clear" w:color="auto" w:fill="auto"/>
            <w:vAlign w:val="center"/>
          </w:tcPr>
          <w:p w:rsidR="00BD50E5" w:rsidRPr="007B78CF" w:rsidRDefault="00BD50E5" w:rsidP="008F1977">
            <w:pPr>
              <w:spacing w:line="300" w:lineRule="exact"/>
              <w:jc w:val="center"/>
              <w:rPr>
                <w:rFonts w:ascii="微軟正黑體" w:eastAsia="微軟正黑體" w:hAnsi="微軟正黑體"/>
                <w:color w:val="000000" w:themeColor="text1"/>
                <w:sz w:val="22"/>
                <w:szCs w:val="22"/>
              </w:rPr>
            </w:pPr>
            <w:r w:rsidRPr="007B78CF">
              <w:rPr>
                <w:rFonts w:ascii="微軟正黑體" w:eastAsia="微軟正黑體" w:hAnsi="微軟正黑體" w:hint="eastAsia"/>
                <w:color w:val="000000" w:themeColor="text1"/>
                <w:sz w:val="22"/>
                <w:szCs w:val="22"/>
              </w:rPr>
              <w:t>10.0%</w:t>
            </w:r>
          </w:p>
        </w:tc>
      </w:tr>
    </w:tbl>
    <w:p w:rsidR="00BD50E5" w:rsidRDefault="00BD50E5" w:rsidP="00BD50E5">
      <w:pPr>
        <w:spacing w:beforeLines="100" w:before="360" w:line="400" w:lineRule="exact"/>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102年以來的基金投資運用規模，</w:t>
      </w:r>
      <w:r w:rsidRPr="007B78CF">
        <w:rPr>
          <w:rFonts w:ascii="微軟正黑體" w:eastAsia="微軟正黑體" w:hAnsi="微軟正黑體"/>
          <w:color w:val="000000" w:themeColor="text1"/>
        </w:rPr>
        <w:t>「保守型」</w:t>
      </w:r>
      <w:r>
        <w:rPr>
          <w:rFonts w:ascii="微軟正黑體" w:eastAsia="微軟正黑體" w:hAnsi="微軟正黑體"/>
          <w:color w:val="000000" w:themeColor="text1"/>
        </w:rPr>
        <w:t>投資組合占比持續下降，</w:t>
      </w:r>
      <w:r w:rsidRPr="007B78CF">
        <w:rPr>
          <w:rFonts w:ascii="微軟正黑體" w:eastAsia="微軟正黑體" w:hAnsi="微軟正黑體"/>
          <w:color w:val="000000" w:themeColor="text1"/>
        </w:rPr>
        <w:t>「穩健型」及「積極型」</w:t>
      </w:r>
      <w:r>
        <w:rPr>
          <w:rFonts w:ascii="微軟正黑體" w:eastAsia="微軟正黑體" w:hAnsi="微軟正黑體"/>
          <w:color w:val="000000" w:themeColor="text1"/>
        </w:rPr>
        <w:t>投資組合占比則持續上升，至</w:t>
      </w:r>
      <w:r>
        <w:rPr>
          <w:rFonts w:ascii="微軟正黑體" w:eastAsia="微軟正黑體" w:hAnsi="微軟正黑體" w:hint="eastAsia"/>
          <w:color w:val="000000" w:themeColor="text1"/>
        </w:rPr>
        <w:t>109年</w:t>
      </w:r>
      <w:r w:rsidRPr="007B78CF">
        <w:rPr>
          <w:rFonts w:ascii="微軟正黑體" w:eastAsia="微軟正黑體" w:hAnsi="微軟正黑體"/>
          <w:color w:val="000000" w:themeColor="text1"/>
        </w:rPr>
        <w:t>「保守型」</w:t>
      </w:r>
      <w:r>
        <w:rPr>
          <w:rFonts w:ascii="微軟正黑體" w:eastAsia="微軟正黑體" w:hAnsi="微軟正黑體"/>
          <w:color w:val="000000" w:themeColor="text1"/>
        </w:rPr>
        <w:t>雖仍占最大比率，惟其占比為</w:t>
      </w:r>
      <w:r>
        <w:rPr>
          <w:rFonts w:ascii="微軟正黑體" w:eastAsia="微軟正黑體" w:hAnsi="微軟正黑體" w:hint="eastAsia"/>
          <w:color w:val="000000" w:themeColor="text1"/>
        </w:rPr>
        <w:t>41.2%，已較108年的73.8%大幅下降；另109年</w:t>
      </w:r>
      <w:r w:rsidRPr="007B78CF">
        <w:rPr>
          <w:rFonts w:ascii="微軟正黑體" w:eastAsia="微軟正黑體" w:hAnsi="微軟正黑體"/>
          <w:color w:val="000000" w:themeColor="text1"/>
        </w:rPr>
        <w:t>「穩健型」及「積極型」</w:t>
      </w:r>
      <w:r>
        <w:rPr>
          <w:rFonts w:ascii="微軟正黑體" w:eastAsia="微軟正黑體" w:hAnsi="微軟正黑體"/>
          <w:color w:val="000000" w:themeColor="text1"/>
        </w:rPr>
        <w:t>分別占</w:t>
      </w:r>
      <w:r>
        <w:rPr>
          <w:rFonts w:ascii="微軟正黑體" w:eastAsia="微軟正黑體" w:hAnsi="微軟正黑體" w:hint="eastAsia"/>
          <w:color w:val="000000" w:themeColor="text1"/>
        </w:rPr>
        <w:t>37.9%及20.9%，亦較108年的15.9%及10.3%明顯上升。</w:t>
      </w:r>
    </w:p>
    <w:p w:rsidR="00BD50E5" w:rsidRPr="00E272AD" w:rsidRDefault="00BD50E5" w:rsidP="00BD50E5">
      <w:pPr>
        <w:spacing w:beforeLines="50" w:before="180" w:line="400" w:lineRule="exact"/>
        <w:rPr>
          <w:rFonts w:ascii="微軟正黑體" w:eastAsia="微軟正黑體" w:hAnsi="微軟正黑體"/>
          <w:color w:val="000000" w:themeColor="text1"/>
        </w:rPr>
      </w:pPr>
      <w:r>
        <w:rPr>
          <w:noProof/>
        </w:rPr>
        <w:drawing>
          <wp:anchor distT="0" distB="0" distL="114300" distR="114300" simplePos="0" relativeHeight="252601344" behindDoc="0" locked="0" layoutInCell="1" allowOverlap="1" wp14:anchorId="5F646E03" wp14:editId="2ADD5058">
            <wp:simplePos x="0" y="0"/>
            <wp:positionH relativeFrom="column">
              <wp:posOffset>61595</wp:posOffset>
            </wp:positionH>
            <wp:positionV relativeFrom="paragraph">
              <wp:posOffset>93980</wp:posOffset>
            </wp:positionV>
            <wp:extent cx="5743575" cy="2914650"/>
            <wp:effectExtent l="0" t="0" r="9525" b="19050"/>
            <wp:wrapNone/>
            <wp:docPr id="307" name="圖表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page">
              <wp14:pctWidth>0</wp14:pctWidth>
            </wp14:sizeRelH>
            <wp14:sizeRelV relativeFrom="page">
              <wp14:pctHeight>0</wp14:pctHeight>
            </wp14:sizeRelV>
          </wp:anchor>
        </w:drawing>
      </w:r>
    </w:p>
    <w:p w:rsidR="00BD50E5" w:rsidRDefault="00BD50E5" w:rsidP="00BD50E5">
      <w:pPr>
        <w:spacing w:beforeLines="50" w:before="180" w:line="400" w:lineRule="exact"/>
        <w:rPr>
          <w:rFonts w:ascii="微軟正黑體" w:eastAsia="微軟正黑體" w:hAnsi="微軟正黑體"/>
          <w:color w:val="000000" w:themeColor="text1"/>
        </w:rPr>
      </w:pPr>
    </w:p>
    <w:p w:rsidR="00BD50E5" w:rsidRDefault="00BD50E5" w:rsidP="00BD50E5">
      <w:pPr>
        <w:spacing w:beforeLines="50" w:before="180" w:line="400" w:lineRule="exact"/>
        <w:rPr>
          <w:rFonts w:ascii="微軟正黑體" w:eastAsia="微軟正黑體" w:hAnsi="微軟正黑體"/>
          <w:color w:val="000000" w:themeColor="text1"/>
        </w:rPr>
      </w:pPr>
    </w:p>
    <w:p w:rsidR="00BD50E5" w:rsidRDefault="00BD50E5" w:rsidP="00BD50E5">
      <w:pPr>
        <w:spacing w:beforeLines="50" w:before="180" w:line="400" w:lineRule="exact"/>
        <w:rPr>
          <w:rFonts w:ascii="微軟正黑體" w:eastAsia="微軟正黑體" w:hAnsi="微軟正黑體"/>
          <w:color w:val="000000" w:themeColor="text1"/>
        </w:rPr>
      </w:pPr>
    </w:p>
    <w:p w:rsidR="00BD50E5" w:rsidRDefault="00BD50E5" w:rsidP="00BD50E5">
      <w:pPr>
        <w:spacing w:beforeLines="50" w:before="180" w:line="400" w:lineRule="exact"/>
        <w:rPr>
          <w:rFonts w:ascii="微軟正黑體" w:eastAsia="微軟正黑體" w:hAnsi="微軟正黑體"/>
          <w:color w:val="000000" w:themeColor="text1"/>
        </w:rPr>
      </w:pPr>
    </w:p>
    <w:p w:rsidR="00BD50E5" w:rsidRDefault="00BD50E5" w:rsidP="00BD50E5">
      <w:pPr>
        <w:spacing w:beforeLines="50" w:before="180" w:line="400" w:lineRule="exact"/>
        <w:rPr>
          <w:rFonts w:ascii="微軟正黑體" w:eastAsia="微軟正黑體" w:hAnsi="微軟正黑體"/>
          <w:color w:val="000000" w:themeColor="text1"/>
        </w:rPr>
      </w:pPr>
    </w:p>
    <w:p w:rsidR="00BD50E5" w:rsidRDefault="00BD50E5" w:rsidP="00BD50E5">
      <w:pPr>
        <w:spacing w:beforeLines="50" w:before="180" w:line="400" w:lineRule="exact"/>
        <w:rPr>
          <w:rFonts w:ascii="微軟正黑體" w:eastAsia="微軟正黑體" w:hAnsi="微軟正黑體"/>
          <w:color w:val="000000" w:themeColor="text1"/>
        </w:rPr>
      </w:pPr>
    </w:p>
    <w:p w:rsidR="00BD50E5" w:rsidRDefault="00BD50E5" w:rsidP="00BD50E5">
      <w:pPr>
        <w:spacing w:beforeLines="50" w:before="180" w:line="400" w:lineRule="exact"/>
        <w:rPr>
          <w:rFonts w:ascii="微軟正黑體" w:eastAsia="微軟正黑體" w:hAnsi="微軟正黑體"/>
          <w:color w:val="000000" w:themeColor="text1"/>
        </w:rPr>
      </w:pPr>
    </w:p>
    <w:p w:rsidR="00BD50E5" w:rsidRDefault="00BD50E5" w:rsidP="00BD50E5">
      <w:pPr>
        <w:spacing w:beforeLines="50" w:before="180" w:line="400" w:lineRule="exact"/>
        <w:jc w:val="center"/>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圖</w:t>
      </w:r>
      <w:r>
        <w:rPr>
          <w:rFonts w:ascii="微軟正黑體" w:eastAsia="微軟正黑體" w:hAnsi="微軟正黑體" w:hint="eastAsia"/>
          <w:color w:val="000000" w:themeColor="text1"/>
        </w:rPr>
        <w:t>3.25</w:t>
      </w:r>
      <w:r w:rsidRPr="007B78CF">
        <w:rPr>
          <w:rFonts w:ascii="微軟正黑體" w:eastAsia="微軟正黑體" w:hAnsi="微軟正黑體" w:hint="eastAsia"/>
          <w:color w:val="000000" w:themeColor="text1"/>
        </w:rPr>
        <w:t xml:space="preserve">  </w:t>
      </w:r>
      <w:r>
        <w:rPr>
          <w:rFonts w:ascii="微軟正黑體" w:eastAsia="微軟正黑體" w:hAnsi="微軟正黑體" w:hint="eastAsia"/>
          <w:color w:val="000000" w:themeColor="text1"/>
        </w:rPr>
        <w:t>102-109年私校教職員退撫新制基金投資組合金額占比</w:t>
      </w:r>
    </w:p>
    <w:p w:rsidR="00BD50E5" w:rsidRDefault="00BD50E5" w:rsidP="00BD50E5">
      <w:pPr>
        <w:spacing w:beforeLines="50" w:before="180" w:line="400" w:lineRule="exact"/>
        <w:jc w:val="center"/>
        <w:rPr>
          <w:rFonts w:ascii="微軟正黑體" w:eastAsia="微軟正黑體" w:hAnsi="微軟正黑體"/>
          <w:color w:val="000000" w:themeColor="text1"/>
        </w:rPr>
      </w:pPr>
    </w:p>
    <w:p w:rsidR="00BD50E5" w:rsidRDefault="00BD50E5" w:rsidP="00BD50E5">
      <w:pPr>
        <w:spacing w:beforeLines="50" w:before="180" w:line="400" w:lineRule="exact"/>
        <w:jc w:val="center"/>
        <w:rPr>
          <w:rFonts w:ascii="微軟正黑體" w:eastAsia="微軟正黑體" w:hAnsi="微軟正黑體"/>
          <w:color w:val="000000" w:themeColor="text1"/>
        </w:rPr>
      </w:pPr>
    </w:p>
    <w:p w:rsidR="00BD50E5" w:rsidRPr="007B78CF" w:rsidRDefault="00BD50E5" w:rsidP="00BD50E5">
      <w:pPr>
        <w:spacing w:line="400" w:lineRule="exact"/>
        <w:rPr>
          <w:rFonts w:ascii="微軟正黑體" w:eastAsia="微軟正黑體" w:hAnsi="微軟正黑體"/>
          <w:color w:val="000000" w:themeColor="text1"/>
        </w:rPr>
      </w:pPr>
      <w:r w:rsidRPr="007B78CF">
        <w:rPr>
          <w:rFonts w:ascii="微軟正黑體" w:eastAsia="微軟正黑體" w:hAnsi="微軟正黑體"/>
          <w:color w:val="000000" w:themeColor="text1"/>
        </w:rPr>
        <w:lastRenderedPageBreak/>
        <w:t xml:space="preserve"> (</w:t>
      </w:r>
      <w:r w:rsidRPr="007B78CF">
        <w:rPr>
          <w:rFonts w:ascii="微軟正黑體" w:eastAsia="微軟正黑體" w:hAnsi="微軟正黑體" w:hint="eastAsia"/>
          <w:color w:val="000000" w:themeColor="text1"/>
        </w:rPr>
        <w:t>四</w:t>
      </w:r>
      <w:r w:rsidRPr="007B78CF">
        <w:rPr>
          <w:rFonts w:ascii="微軟正黑體" w:eastAsia="微軟正黑體" w:hAnsi="微軟正黑體"/>
          <w:color w:val="000000" w:themeColor="text1"/>
        </w:rPr>
        <w:t>) 制度動態</w:t>
      </w:r>
    </w:p>
    <w:p w:rsidR="00BD50E5" w:rsidRDefault="00BD50E5" w:rsidP="00934CA2">
      <w:pPr>
        <w:pStyle w:val="af0"/>
        <w:numPr>
          <w:ilvl w:val="0"/>
          <w:numId w:val="65"/>
        </w:numPr>
        <w:spacing w:beforeLines="30" w:before="108" w:line="400" w:lineRule="exact"/>
        <w:ind w:leftChars="0" w:left="714" w:hanging="357"/>
        <w:rPr>
          <w:rFonts w:ascii="微軟正黑體" w:eastAsia="微軟正黑體" w:hAnsi="微軟正黑體"/>
          <w:bCs/>
          <w:color w:val="000000" w:themeColor="text1"/>
          <w:kern w:val="0"/>
        </w:rPr>
      </w:pPr>
      <w:r w:rsidRPr="009D0742">
        <w:rPr>
          <w:rFonts w:ascii="微軟正黑體" w:eastAsia="微軟正黑體" w:hAnsi="微軟正黑體" w:hint="eastAsia"/>
          <w:bCs/>
          <w:color w:val="000000" w:themeColor="text1"/>
          <w:kern w:val="0"/>
        </w:rPr>
        <w:t>109年1月1日起，私校教職員退撫制度陸續啟動「人生週期預設選項」，讓未選擇投資標的之教職員，可藉由人生週期基金動態的資產配置及長期複利效果，提升退職所得；並開放新制施行後退休、資遣教職員可選擇留存或繳回退休金、資遣給與辦理分期請領及自主投資，以完善未來退休生活。</w:t>
      </w:r>
    </w:p>
    <w:p w:rsidR="00BD50E5" w:rsidRPr="009D0742" w:rsidRDefault="00BD50E5" w:rsidP="009D0742">
      <w:pPr>
        <w:pStyle w:val="af0"/>
        <w:numPr>
          <w:ilvl w:val="0"/>
          <w:numId w:val="65"/>
        </w:numPr>
        <w:spacing w:beforeLines="30" w:before="108" w:line="400" w:lineRule="exact"/>
        <w:ind w:leftChars="0" w:left="714" w:hanging="357"/>
        <w:rPr>
          <w:rFonts w:ascii="微軟正黑體" w:eastAsia="微軟正黑體" w:hAnsi="微軟正黑體"/>
          <w:bCs/>
          <w:color w:val="000000" w:themeColor="text1"/>
          <w:kern w:val="0"/>
        </w:rPr>
      </w:pPr>
      <w:r w:rsidRPr="009D0742">
        <w:rPr>
          <w:rFonts w:ascii="微軟正黑體" w:eastAsia="微軟正黑體" w:hAnsi="微軟正黑體" w:hint="eastAsia"/>
          <w:color w:val="000000" w:themeColor="text1"/>
        </w:rPr>
        <w:t>109年3月16日起，私校教職員退撫制度尚未選擇投資組合之教職員，其每月新增提撥儲金將自動配置於人生週期基金，</w:t>
      </w:r>
      <w:r w:rsidRPr="009D0742">
        <w:rPr>
          <w:rFonts w:ascii="微軟正黑體" w:eastAsia="微軟正黑體" w:hAnsi="微軟正黑體" w:cs="新細明體" w:hint="eastAsia"/>
          <w:color w:val="000000" w:themeColor="text1"/>
          <w:kern w:val="0"/>
        </w:rPr>
        <w:t>7月16日起</w:t>
      </w:r>
      <w:r w:rsidRPr="009D0742">
        <w:rPr>
          <w:rFonts w:ascii="微軟正黑體" w:eastAsia="微軟正黑體" w:hAnsi="微軟正黑體" w:hint="eastAsia"/>
          <w:bCs/>
          <w:color w:val="000000" w:themeColor="text1"/>
          <w:kern w:val="0"/>
        </w:rPr>
        <w:t>，其既有庫存部位(歷年累積提撥儲金)將採2年4次分批自動調整至「人生週期基金」，產生之損益將由教職員自行承擔。</w:t>
      </w:r>
    </w:p>
    <w:p w:rsidR="00BD50E5" w:rsidRPr="007B78CF" w:rsidRDefault="00BD50E5" w:rsidP="00BD50E5">
      <w:pPr>
        <w:spacing w:beforeLines="50" w:before="180" w:line="400" w:lineRule="exact"/>
        <w:rPr>
          <w:rFonts w:ascii="微軟正黑體" w:eastAsia="微軟正黑體" w:hAnsi="微軟正黑體"/>
          <w:color w:val="000000" w:themeColor="text1"/>
        </w:rPr>
      </w:pPr>
      <w:r w:rsidRPr="007B78CF">
        <w:rPr>
          <w:rFonts w:ascii="微軟正黑體" w:eastAsia="微軟正黑體" w:hAnsi="微軟正黑體" w:hint="eastAsia"/>
          <w:color w:val="000000" w:themeColor="text1"/>
        </w:rPr>
        <w:t>＜資料來源＞</w:t>
      </w:r>
    </w:p>
    <w:p w:rsidR="00BD50E5" w:rsidRPr="00380E55" w:rsidRDefault="00BD50E5" w:rsidP="008A6766">
      <w:pPr>
        <w:spacing w:beforeLines="30" w:before="108" w:line="400" w:lineRule="exact"/>
        <w:ind w:left="283" w:hangingChars="118" w:hanging="283"/>
        <w:rPr>
          <w:rFonts w:ascii="微軟正黑體" w:eastAsia="微軟正黑體" w:hAnsi="微軟正黑體"/>
          <w:color w:val="000000" w:themeColor="text1"/>
        </w:rPr>
      </w:pPr>
      <w:r w:rsidRPr="00380E55">
        <w:rPr>
          <w:rFonts w:ascii="微軟正黑體" w:eastAsia="微軟正黑體" w:hAnsi="微軟正黑體" w:hint="eastAsia"/>
          <w:color w:val="000000" w:themeColor="text1"/>
        </w:rPr>
        <w:t>1.「</w:t>
      </w:r>
      <w:r w:rsidRPr="00380E55">
        <w:rPr>
          <w:rFonts w:ascii="微軟正黑體" w:eastAsia="微軟正黑體" w:hAnsi="微軟正黑體"/>
          <w:color w:val="000000" w:themeColor="text1"/>
        </w:rPr>
        <w:t>財團法人中華民國私立學校教職員退休撫卹離職資遣儲金管理委員會</w:t>
      </w:r>
      <w:r w:rsidRPr="00380E55">
        <w:rPr>
          <w:rFonts w:ascii="微軟正黑體" w:eastAsia="微軟正黑體" w:hAnsi="微軟正黑體" w:hint="eastAsia"/>
          <w:color w:val="000000" w:themeColor="text1"/>
        </w:rPr>
        <w:t>」</w:t>
      </w:r>
      <w:r w:rsidRPr="00380E55">
        <w:rPr>
          <w:rFonts w:ascii="微軟正黑體" w:eastAsia="微軟正黑體" w:hAnsi="微軟正黑體"/>
          <w:color w:val="000000" w:themeColor="text1"/>
        </w:rPr>
        <w:t>網站</w:t>
      </w:r>
      <w:r w:rsidRPr="00380E55">
        <w:rPr>
          <w:rFonts w:ascii="微軟正黑體" w:eastAsia="微軟正黑體" w:hAnsi="微軟正黑體" w:hint="eastAsia"/>
          <w:color w:val="000000" w:themeColor="text1"/>
        </w:rPr>
        <w:t>統計資料。</w:t>
      </w:r>
    </w:p>
    <w:p w:rsidR="00BD50E5" w:rsidRDefault="00BD50E5" w:rsidP="00BD50E5">
      <w:pPr>
        <w:spacing w:line="400" w:lineRule="exact"/>
        <w:ind w:left="283" w:hangingChars="118" w:hanging="283"/>
        <w:rPr>
          <w:rFonts w:ascii="微軟正黑體" w:eastAsia="微軟正黑體" w:hAnsi="微軟正黑體"/>
        </w:rPr>
      </w:pPr>
      <w:r w:rsidRPr="001616C8">
        <w:rPr>
          <w:rFonts w:ascii="微軟正黑體" w:eastAsia="微軟正黑體" w:hAnsi="微軟正黑體" w:hint="eastAsia"/>
        </w:rPr>
        <w:t>2. 教育部提供資料。</w:t>
      </w:r>
    </w:p>
    <w:p w:rsidR="008B0BA9" w:rsidRPr="00F0717A" w:rsidRDefault="00BD50E5" w:rsidP="00BD50E5">
      <w:pPr>
        <w:spacing w:beforeLines="50" w:before="180" w:line="400" w:lineRule="exact"/>
        <w:rPr>
          <w:rFonts w:ascii="微軟正黑體" w:eastAsia="微軟正黑體" w:hAnsi="微軟正黑體"/>
        </w:rPr>
      </w:pPr>
      <w:r w:rsidRPr="007B78CF">
        <w:rPr>
          <w:rFonts w:ascii="微軟正黑體" w:eastAsia="微軟正黑體" w:hAnsi="微軟正黑體" w:hint="eastAsia"/>
          <w:color w:val="000000" w:themeColor="text1"/>
        </w:rPr>
        <w:t>(圖表均由本文自行繪製</w:t>
      </w:r>
      <w:r w:rsidR="008B0BA9" w:rsidRPr="00F0717A">
        <w:rPr>
          <w:rFonts w:ascii="微軟正黑體" w:eastAsia="微軟正黑體" w:hAnsi="微軟正黑體" w:hint="eastAsia"/>
        </w:rPr>
        <w:t>)</w:t>
      </w:r>
    </w:p>
    <w:p w:rsidR="00D14C96" w:rsidRPr="008B0BA9" w:rsidRDefault="00D14C96" w:rsidP="005A615C">
      <w:pPr>
        <w:snapToGrid w:val="0"/>
        <w:spacing w:line="400" w:lineRule="exact"/>
        <w:rPr>
          <w:rFonts w:ascii="微軟正黑體" w:eastAsia="微軟正黑體" w:hAnsi="微軟正黑體"/>
          <w:b/>
          <w:bCs/>
          <w:sz w:val="32"/>
          <w:szCs w:val="32"/>
        </w:rPr>
      </w:pPr>
    </w:p>
    <w:p w:rsidR="00383945" w:rsidRDefault="00D14C96" w:rsidP="00383945">
      <w:pPr>
        <w:snapToGrid w:val="0"/>
        <w:jc w:val="center"/>
        <w:rPr>
          <w:rFonts w:ascii="微軟正黑體" w:eastAsia="微軟正黑體" w:hAnsi="微軟正黑體"/>
          <w:b/>
          <w:sz w:val="32"/>
          <w:szCs w:val="32"/>
        </w:rPr>
      </w:pPr>
      <w:r>
        <w:rPr>
          <w:rFonts w:ascii="微軟正黑體" w:eastAsia="微軟正黑體" w:hAnsi="微軟正黑體"/>
          <w:b/>
          <w:bCs/>
          <w:color w:val="FF0000"/>
          <w:sz w:val="32"/>
          <w:szCs w:val="32"/>
        </w:rPr>
        <w:br w:type="page"/>
      </w:r>
      <w:bookmarkEnd w:id="2"/>
      <w:r w:rsidR="00383945">
        <w:rPr>
          <w:rFonts w:ascii="微軟正黑體" w:eastAsia="微軟正黑體" w:hAnsi="微軟正黑體" w:hint="eastAsia"/>
          <w:b/>
          <w:sz w:val="32"/>
          <w:szCs w:val="32"/>
        </w:rPr>
        <w:lastRenderedPageBreak/>
        <w:t>肆、高齡化商業保險</w:t>
      </w:r>
    </w:p>
    <w:p w:rsidR="00383945" w:rsidRDefault="00383945" w:rsidP="00383945">
      <w:pPr>
        <w:spacing w:beforeLines="50" w:before="180" w:line="400" w:lineRule="exact"/>
        <w:ind w:firstLineChars="200" w:firstLine="480"/>
        <w:rPr>
          <w:rFonts w:ascii="微軟正黑體" w:eastAsia="微軟正黑體" w:hAnsi="微軟正黑體"/>
        </w:rPr>
      </w:pPr>
      <w:r>
        <w:rPr>
          <w:rFonts w:ascii="微軟正黑體" w:eastAsia="微軟正黑體" w:hAnsi="微軟正黑體" w:hint="eastAsia"/>
        </w:rPr>
        <w:t>因應人口高齡化，我國持續進行年金制度改革，為補充國人老年經濟安全所得，政府亦鼓勵相關商業保險發展。以下茲就高齡化下我國現行各種商業保險之發展情形分別加以說明。</w:t>
      </w:r>
    </w:p>
    <w:p w:rsidR="00383945" w:rsidRDefault="00383945" w:rsidP="00383945">
      <w:pPr>
        <w:spacing w:beforeLines="50" w:before="180" w:afterLines="50" w:after="180" w:line="400" w:lineRule="exact"/>
        <w:rPr>
          <w:rFonts w:ascii="微軟正黑體" w:eastAsia="微軟正黑體" w:hAnsi="微軟正黑體"/>
          <w:b/>
          <w:sz w:val="28"/>
          <w:szCs w:val="28"/>
        </w:rPr>
      </w:pPr>
      <w:r>
        <w:rPr>
          <w:rFonts w:ascii="微軟正黑體" w:eastAsia="微軟正黑體" w:hAnsi="微軟正黑體" w:hint="eastAsia"/>
          <w:b/>
          <w:sz w:val="28"/>
          <w:szCs w:val="28"/>
        </w:rPr>
        <w:t>一、商業年金保險</w:t>
      </w:r>
    </w:p>
    <w:p w:rsidR="00383945" w:rsidRDefault="00383945" w:rsidP="00383945">
      <w:pPr>
        <w:spacing w:line="400" w:lineRule="exact"/>
        <w:ind w:firstLineChars="200" w:firstLine="480"/>
        <w:jc w:val="both"/>
        <w:rPr>
          <w:rFonts w:ascii="微軟正黑體" w:eastAsia="微軟正黑體" w:hAnsi="微軟正黑體"/>
        </w:rPr>
      </w:pPr>
      <w:r>
        <w:rPr>
          <w:rFonts w:ascii="微軟正黑體" w:eastAsia="微軟正黑體" w:hAnsi="微軟正黑體" w:hint="eastAsia"/>
        </w:rPr>
        <w:t>我國保險法於81年修正，於人身保險章增列年金保險，確立年金保險法制。截至109年底，我國商業年金保險有效契約件數約178萬件，總保費收入約3,001億元。近10年以來，契約件數整體呈現增加趨勢，保費收入則呈現數次波動現象。</w:t>
      </w:r>
    </w:p>
    <w:p w:rsidR="00383945" w:rsidRDefault="00383945" w:rsidP="00383945">
      <w:pPr>
        <w:spacing w:line="400" w:lineRule="exact"/>
        <w:ind w:firstLineChars="200" w:firstLine="480"/>
        <w:jc w:val="both"/>
        <w:rPr>
          <w:rFonts w:ascii="微軟正黑體" w:eastAsia="微軟正黑體" w:hAnsi="微軟正黑體"/>
        </w:rPr>
      </w:pPr>
      <w:r>
        <w:rPr>
          <w:noProof/>
        </w:rPr>
        <w:drawing>
          <wp:anchor distT="0" distB="0" distL="114300" distR="114300" simplePos="0" relativeHeight="252678144" behindDoc="0" locked="0" layoutInCell="1" allowOverlap="1" wp14:anchorId="19630954" wp14:editId="0769A639">
            <wp:simplePos x="0" y="0"/>
            <wp:positionH relativeFrom="column">
              <wp:posOffset>-28363</wp:posOffset>
            </wp:positionH>
            <wp:positionV relativeFrom="paragraph">
              <wp:posOffset>143722</wp:posOffset>
            </wp:positionV>
            <wp:extent cx="5943600" cy="3175000"/>
            <wp:effectExtent l="0" t="0" r="19050" b="25400"/>
            <wp:wrapNone/>
            <wp:docPr id="48" name="圖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page">
              <wp14:pctWidth>0</wp14:pctWidth>
            </wp14:sizeRelH>
            <wp14:sizeRelV relativeFrom="page">
              <wp14:pctHeight>0</wp14:pctHeight>
            </wp14:sizeRelV>
          </wp:anchor>
        </w:drawing>
      </w:r>
    </w:p>
    <w:p w:rsidR="00383945" w:rsidRDefault="00383945" w:rsidP="00383945">
      <w:pPr>
        <w:spacing w:line="400" w:lineRule="exact"/>
        <w:ind w:firstLineChars="200" w:firstLine="480"/>
        <w:jc w:val="both"/>
        <w:rPr>
          <w:rFonts w:ascii="微軟正黑體" w:eastAsia="微軟正黑體" w:hAnsi="微軟正黑體"/>
        </w:rPr>
      </w:pPr>
      <w:r w:rsidRPr="00570E0E">
        <w:rPr>
          <w:noProof/>
        </w:rPr>
        <mc:AlternateContent>
          <mc:Choice Requires="wps">
            <w:drawing>
              <wp:anchor distT="0" distB="0" distL="114300" distR="114300" simplePos="0" relativeHeight="252680192" behindDoc="0" locked="0" layoutInCell="1" allowOverlap="1" wp14:anchorId="7B1A8FDA" wp14:editId="450D9269">
                <wp:simplePos x="0" y="0"/>
                <wp:positionH relativeFrom="column">
                  <wp:posOffset>5542280</wp:posOffset>
                </wp:positionH>
                <wp:positionV relativeFrom="paragraph">
                  <wp:posOffset>5715</wp:posOffset>
                </wp:positionV>
                <wp:extent cx="372110" cy="1588135"/>
                <wp:effectExtent l="0" t="0" r="0" b="0"/>
                <wp:wrapNone/>
                <wp:docPr id="46" name="文字方塊 46"/>
                <wp:cNvGraphicFramePr/>
                <a:graphic xmlns:a="http://schemas.openxmlformats.org/drawingml/2006/main">
                  <a:graphicData uri="http://schemas.microsoft.com/office/word/2010/wordprocessingShape">
                    <wps:wsp>
                      <wps:cNvSpPr txBox="1"/>
                      <wps:spPr>
                        <a:xfrm>
                          <a:off x="0" y="0"/>
                          <a:ext cx="372110" cy="1588135"/>
                        </a:xfrm>
                        <a:prstGeom prst="rect">
                          <a:avLst/>
                        </a:prstGeom>
                      </wps:spPr>
                      <wps:txbx>
                        <w:txbxContent>
                          <w:p w:rsidR="00745375" w:rsidRDefault="00745375" w:rsidP="00383945">
                            <w:pPr>
                              <w:pStyle w:val="Web"/>
                              <w:spacing w:before="0" w:beforeAutospacing="0" w:after="0" w:afterAutospacing="0"/>
                            </w:pPr>
                            <w:r>
                              <w:rPr>
                                <w:rFonts w:eastAsiaTheme="minorEastAsia" w:cstheme="minorBidi" w:hint="eastAsia"/>
                                <w:b/>
                                <w:bCs/>
                                <w:sz w:val="22"/>
                                <w:szCs w:val="22"/>
                              </w:rPr>
                              <w:t>有效契約件數(萬件)</w:t>
                            </w:r>
                          </w:p>
                        </w:txbxContent>
                      </wps:txbx>
                      <wps:bodyPr vertOverflow="clip" vert="eaVert" wrap="square" rtlCol="0">
                        <a:noAutofit/>
                      </wps:bodyPr>
                    </wps:wsp>
                  </a:graphicData>
                </a:graphic>
                <wp14:sizeRelH relativeFrom="margin">
                  <wp14:pctWidth>0</wp14:pctWidth>
                </wp14:sizeRelH>
              </wp:anchor>
            </w:drawing>
          </mc:Choice>
          <mc:Fallback>
            <w:pict>
              <v:shape id="文字方塊 46" o:spid="_x0000_s1048" type="#_x0000_t202" style="position:absolute;left:0;text-align:left;margin-left:436.4pt;margin-top:.45pt;width:29.3pt;height:125.05pt;z-index:25268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" filled="f" stroked="f">
                <v:textbox style="layout-flow:vertical-ideographic">
                  <w:txbxContent>
                    <w:p w:rsidR="00745375" w:rsidRDefault="00745375" w:rsidP="00383945">
                      <w:pPr>
                        <w:pStyle w:val="Web"/>
                        <w:spacing w:before="0" w:beforeAutospacing="0" w:after="0" w:afterAutospacing="0"/>
                      </w:pPr>
                      <w:r>
                        <w:rPr>
                          <w:rFonts w:eastAsiaTheme="minorEastAsia" w:cstheme="minorBidi" w:hint="eastAsia"/>
                          <w:b/>
                          <w:bCs/>
                          <w:sz w:val="22"/>
                          <w:szCs w:val="22"/>
                        </w:rPr>
                        <w:t>有效契約件數(萬件)</w:t>
                      </w:r>
                    </w:p>
                  </w:txbxContent>
                </v:textbox>
              </v:shape>
            </w:pict>
          </mc:Fallback>
        </mc:AlternateContent>
      </w:r>
      <w:r w:rsidRPr="00570E0E">
        <w:rPr>
          <w:noProof/>
        </w:rPr>
        <mc:AlternateContent>
          <mc:Choice Requires="wps">
            <w:drawing>
              <wp:anchor distT="0" distB="0" distL="114300" distR="114300" simplePos="0" relativeHeight="252679168" behindDoc="0" locked="0" layoutInCell="1" allowOverlap="1" wp14:anchorId="34B6957F" wp14:editId="5B91EA53">
                <wp:simplePos x="0" y="0"/>
                <wp:positionH relativeFrom="column">
                  <wp:posOffset>326390</wp:posOffset>
                </wp:positionH>
                <wp:positionV relativeFrom="paragraph">
                  <wp:posOffset>56515</wp:posOffset>
                </wp:positionV>
                <wp:extent cx="376555" cy="1295400"/>
                <wp:effectExtent l="0" t="0" r="0" b="0"/>
                <wp:wrapNone/>
                <wp:docPr id="47" name="文字方塊 1"/>
                <wp:cNvGraphicFramePr/>
                <a:graphic xmlns:a="http://schemas.openxmlformats.org/drawingml/2006/main">
                  <a:graphicData uri="http://schemas.microsoft.com/office/word/2010/wordprocessingShape">
                    <wps:wsp>
                      <wps:cNvSpPr txBox="1"/>
                      <wps:spPr>
                        <a:xfrm>
                          <a:off x="0" y="0"/>
                          <a:ext cx="376555" cy="1295400"/>
                        </a:xfrm>
                        <a:prstGeom prst="rect">
                          <a:avLst/>
                        </a:prstGeom>
                      </wps:spPr>
                      <wps:txbx>
                        <w:txbxContent>
                          <w:p w:rsidR="00745375" w:rsidRDefault="00745375" w:rsidP="00383945">
                            <w:pPr>
                              <w:pStyle w:val="Web"/>
                              <w:spacing w:before="0" w:beforeAutospacing="0" w:after="0" w:afterAutospacing="0"/>
                            </w:pPr>
                            <w:r>
                              <w:rPr>
                                <w:rFonts w:eastAsiaTheme="minorEastAsia" w:cstheme="minorBidi" w:hint="eastAsia"/>
                                <w:b/>
                                <w:bCs/>
                                <w:sz w:val="22"/>
                                <w:szCs w:val="22"/>
                              </w:rPr>
                              <w:t>總保費收入(億元)</w:t>
                            </w:r>
                          </w:p>
                        </w:txbxContent>
                      </wps:txbx>
                      <wps:bodyPr vert="eaVert" wrap="square" rtlCol="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5.7pt;margin-top:4.45pt;width:29.65pt;height:10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" filled="f" stroked="f">
                <v:textbox style="layout-flow:vertical-ideographic">
                  <w:txbxContent>
                    <w:p w:rsidR="00745375" w:rsidRDefault="00745375" w:rsidP="00383945">
                      <w:pPr>
                        <w:pStyle w:val="Web"/>
                        <w:spacing w:before="0" w:beforeAutospacing="0" w:after="0" w:afterAutospacing="0"/>
                      </w:pPr>
                      <w:r>
                        <w:rPr>
                          <w:rFonts w:eastAsiaTheme="minorEastAsia" w:cstheme="minorBidi" w:hint="eastAsia"/>
                          <w:b/>
                          <w:bCs/>
                          <w:sz w:val="22"/>
                          <w:szCs w:val="22"/>
                        </w:rPr>
                        <w:t>總保費收入(億元)</w:t>
                      </w:r>
                    </w:p>
                  </w:txbxContent>
                </v:textbox>
              </v:shape>
            </w:pict>
          </mc:Fallback>
        </mc:AlternateContent>
      </w: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tabs>
          <w:tab w:val="center" w:pos="4535"/>
        </w:tabs>
        <w:spacing w:beforeLines="30" w:before="108" w:line="400" w:lineRule="exact"/>
        <w:rPr>
          <w:rFonts w:ascii="微軟正黑體" w:eastAsia="微軟正黑體" w:hAnsi="微軟正黑體"/>
        </w:rPr>
      </w:pPr>
      <w:r>
        <w:rPr>
          <w:rFonts w:ascii="微軟正黑體" w:eastAsia="微軟正黑體" w:hAnsi="微軟正黑體"/>
        </w:rPr>
        <w:tab/>
      </w:r>
    </w:p>
    <w:p w:rsidR="00383945" w:rsidRDefault="00383945" w:rsidP="00383945">
      <w:pPr>
        <w:spacing w:beforeLines="70" w:before="252" w:afterLines="50" w:after="180" w:line="400" w:lineRule="exact"/>
        <w:jc w:val="center"/>
        <w:rPr>
          <w:rFonts w:ascii="微軟正黑體" w:eastAsia="微軟正黑體" w:hAnsi="微軟正黑體"/>
        </w:rPr>
      </w:pPr>
    </w:p>
    <w:p w:rsidR="00383945" w:rsidRDefault="00383945" w:rsidP="00383945">
      <w:pPr>
        <w:spacing w:beforeLines="70" w:before="252" w:afterLines="50" w:after="180" w:line="400" w:lineRule="exact"/>
        <w:jc w:val="center"/>
        <w:rPr>
          <w:rFonts w:ascii="微軟正黑體" w:eastAsia="微軟正黑體" w:hAnsi="微軟正黑體"/>
        </w:rPr>
      </w:pPr>
    </w:p>
    <w:p w:rsidR="00383945" w:rsidRDefault="00383945" w:rsidP="00383945">
      <w:pPr>
        <w:spacing w:beforeLines="70" w:before="252" w:afterLines="100" w:after="360" w:line="400" w:lineRule="exact"/>
        <w:jc w:val="center"/>
        <w:rPr>
          <w:rFonts w:ascii="微軟正黑體" w:eastAsia="微軟正黑體" w:hAnsi="微軟正黑體"/>
        </w:rPr>
      </w:pPr>
      <w:r>
        <w:rPr>
          <w:rFonts w:ascii="微軟正黑體" w:eastAsia="微軟正黑體" w:hAnsi="微軟正黑體" w:hint="eastAsia"/>
        </w:rPr>
        <w:t>圖4.1  近10年商業年金保險總保費收入及有效契約件數</w:t>
      </w:r>
    </w:p>
    <w:p w:rsidR="00383945" w:rsidRPr="00361915" w:rsidRDefault="00383945" w:rsidP="00383945">
      <w:pPr>
        <w:spacing w:beforeLines="50" w:before="180" w:afterLines="30" w:after="108" w:line="400" w:lineRule="exact"/>
        <w:rPr>
          <w:rFonts w:ascii="微軟正黑體" w:eastAsia="微軟正黑體" w:hAnsi="微軟正黑體"/>
          <w:b/>
          <w:sz w:val="28"/>
          <w:szCs w:val="28"/>
        </w:rPr>
      </w:pPr>
      <w:r>
        <w:rPr>
          <w:rFonts w:ascii="微軟正黑體" w:eastAsia="微軟正黑體" w:hAnsi="微軟正黑體" w:hint="eastAsia"/>
          <w:b/>
          <w:sz w:val="28"/>
          <w:szCs w:val="28"/>
        </w:rPr>
        <w:t>二、商業長期照</w:t>
      </w:r>
      <w:r w:rsidRPr="00361915">
        <w:rPr>
          <w:rFonts w:ascii="微軟正黑體" w:eastAsia="微軟正黑體" w:hAnsi="微軟正黑體" w:hint="eastAsia"/>
          <w:b/>
          <w:sz w:val="28"/>
          <w:szCs w:val="28"/>
        </w:rPr>
        <w:t>顧保險</w:t>
      </w:r>
    </w:p>
    <w:p w:rsidR="00383945" w:rsidRDefault="00383945" w:rsidP="00383945">
      <w:pPr>
        <w:spacing w:line="400" w:lineRule="exact"/>
        <w:ind w:firstLineChars="200" w:firstLine="480"/>
        <w:jc w:val="both"/>
        <w:rPr>
          <w:rFonts w:ascii="微軟正黑體" w:eastAsia="微軟正黑體" w:hAnsi="微軟正黑體"/>
        </w:rPr>
      </w:pPr>
      <w:r w:rsidRPr="00361915">
        <w:rPr>
          <w:rFonts w:ascii="微軟正黑體" w:eastAsia="微軟正黑體" w:hAnsi="微軟正黑體" w:hint="eastAsia"/>
        </w:rPr>
        <w:t>我國自84年起發展商業性長期照顧保險商品，截至109年底保險市場計有13家保險公司(35張保險商品)進行銷售，有效契約件數約80萬件，保費收入約218億元。自98年至109年，商業長期照顧保險</w:t>
      </w:r>
      <w:r>
        <w:rPr>
          <w:rFonts w:ascii="微軟正黑體" w:eastAsia="微軟正黑體" w:hAnsi="微軟正黑體" w:hint="eastAsia"/>
        </w:rPr>
        <w:t>保費收入及有效契約件數呈現大幅上升趨勢，顯示國人逐漸重視長照保險相關需求之規劃。另109年女性被保險人占54.7%，男性被保險人占45.3%，女性高於男性。</w:t>
      </w: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r>
        <w:rPr>
          <w:noProof/>
        </w:rPr>
        <w:lastRenderedPageBreak/>
        <w:drawing>
          <wp:anchor distT="0" distB="0" distL="114300" distR="114300" simplePos="0" relativeHeight="252681216" behindDoc="0" locked="0" layoutInCell="1" allowOverlap="1" wp14:anchorId="07D74D0B" wp14:editId="69B35F22">
            <wp:simplePos x="0" y="0"/>
            <wp:positionH relativeFrom="column">
              <wp:posOffset>-28363</wp:posOffset>
            </wp:positionH>
            <wp:positionV relativeFrom="paragraph">
              <wp:posOffset>211243</wp:posOffset>
            </wp:positionV>
            <wp:extent cx="5740400" cy="3048000"/>
            <wp:effectExtent l="0" t="0" r="12700" b="19050"/>
            <wp:wrapNone/>
            <wp:docPr id="316" name="圖表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14:sizeRelH relativeFrom="page">
              <wp14:pctWidth>0</wp14:pctWidth>
            </wp14:sizeRelH>
            <wp14:sizeRelV relativeFrom="page">
              <wp14:pctHeight>0</wp14:pctHeight>
            </wp14:sizeRelV>
          </wp:anchor>
        </w:drawing>
      </w: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beforeLines="50" w:before="180" w:afterLines="50" w:after="180" w:line="400" w:lineRule="exact"/>
        <w:jc w:val="center"/>
        <w:rPr>
          <w:rFonts w:ascii="微軟正黑體" w:eastAsia="微軟正黑體" w:hAnsi="微軟正黑體"/>
        </w:rPr>
      </w:pPr>
    </w:p>
    <w:p w:rsidR="00383945" w:rsidRDefault="00383945" w:rsidP="00383945">
      <w:pPr>
        <w:spacing w:beforeLines="30" w:before="108" w:afterLines="50" w:after="180" w:line="400" w:lineRule="exact"/>
        <w:jc w:val="center"/>
        <w:rPr>
          <w:rFonts w:ascii="微軟正黑體" w:eastAsia="微軟正黑體" w:hAnsi="微軟正黑體"/>
        </w:rPr>
      </w:pPr>
      <w:r>
        <w:rPr>
          <w:rFonts w:ascii="微軟正黑體" w:eastAsia="微軟正黑體" w:hAnsi="微軟正黑體" w:hint="eastAsia"/>
        </w:rPr>
        <w:t>圖4.2  近10年商業長期照</w:t>
      </w:r>
      <w:r w:rsidRPr="00361915">
        <w:rPr>
          <w:rFonts w:ascii="微軟正黑體" w:eastAsia="微軟正黑體" w:hAnsi="微軟正黑體" w:hint="eastAsia"/>
        </w:rPr>
        <w:t>顧</w:t>
      </w:r>
      <w:r>
        <w:rPr>
          <w:rFonts w:ascii="微軟正黑體" w:eastAsia="微軟正黑體" w:hAnsi="微軟正黑體" w:hint="eastAsia"/>
        </w:rPr>
        <w:t>保險總保費收入及有效契約件數</w:t>
      </w:r>
    </w:p>
    <w:p w:rsidR="00383945" w:rsidRDefault="00383945" w:rsidP="00383945">
      <w:pPr>
        <w:spacing w:beforeLines="100" w:before="360" w:afterLines="50" w:after="180" w:line="400" w:lineRule="exact"/>
        <w:rPr>
          <w:rFonts w:ascii="微軟正黑體" w:eastAsia="微軟正黑體" w:hAnsi="微軟正黑體"/>
          <w:b/>
          <w:sz w:val="28"/>
          <w:szCs w:val="28"/>
        </w:rPr>
      </w:pPr>
      <w:r>
        <w:rPr>
          <w:rFonts w:ascii="微軟正黑體" w:eastAsia="微軟正黑體" w:hAnsi="微軟正黑體" w:hint="eastAsia"/>
          <w:b/>
          <w:sz w:val="28"/>
          <w:szCs w:val="28"/>
        </w:rPr>
        <w:t>三、</w:t>
      </w:r>
      <w:r w:rsidRPr="005B73D6">
        <w:rPr>
          <w:rFonts w:ascii="微軟正黑體" w:eastAsia="微軟正黑體" w:hAnsi="微軟正黑體" w:hint="eastAsia"/>
          <w:b/>
          <w:sz w:val="28"/>
          <w:szCs w:val="28"/>
        </w:rPr>
        <w:t>日額型</w:t>
      </w:r>
      <w:r>
        <w:rPr>
          <w:rFonts w:ascii="微軟正黑體" w:eastAsia="微軟正黑體" w:hAnsi="微軟正黑體" w:hint="eastAsia"/>
          <w:b/>
          <w:sz w:val="28"/>
          <w:szCs w:val="28"/>
        </w:rPr>
        <w:t>醫療保險</w:t>
      </w:r>
    </w:p>
    <w:p w:rsidR="00383945" w:rsidRDefault="00383945" w:rsidP="00383945">
      <w:pPr>
        <w:spacing w:line="400" w:lineRule="exact"/>
        <w:ind w:firstLineChars="200" w:firstLine="480"/>
        <w:jc w:val="both"/>
        <w:rPr>
          <w:rFonts w:ascii="微軟正黑體" w:eastAsia="微軟正黑體" w:hAnsi="微軟正黑體"/>
        </w:rPr>
      </w:pPr>
      <w:r>
        <w:rPr>
          <w:rFonts w:ascii="微軟正黑體" w:eastAsia="微軟正黑體" w:hAnsi="微軟正黑體" w:hint="eastAsia"/>
        </w:rPr>
        <w:t>截至109年12月底止，日額型醫療保險投保率為52.9%，其中女性投保率為54.1%，略高於男性之51.7%。另各年齡層投保率以「40-59歲」最高，達61.4%，其次為「20-39歲」，投保率為59.6%；「65歲以上」之投保率最低，僅28.1%。</w:t>
      </w:r>
    </w:p>
    <w:p w:rsidR="00383945" w:rsidRDefault="00383945" w:rsidP="00383945">
      <w:pPr>
        <w:spacing w:line="400" w:lineRule="exact"/>
        <w:ind w:firstLineChars="200" w:firstLine="480"/>
        <w:jc w:val="both"/>
        <w:rPr>
          <w:rFonts w:ascii="微軟正黑體" w:eastAsia="微軟正黑體" w:hAnsi="微軟正黑體"/>
        </w:rPr>
      </w:pPr>
      <w:r>
        <w:rPr>
          <w:noProof/>
        </w:rPr>
        <w:drawing>
          <wp:anchor distT="0" distB="0" distL="114300" distR="114300" simplePos="0" relativeHeight="252682240" behindDoc="0" locked="0" layoutInCell="1" allowOverlap="1" wp14:anchorId="215587C6" wp14:editId="69468A66">
            <wp:simplePos x="0" y="0"/>
            <wp:positionH relativeFrom="column">
              <wp:posOffset>-2963</wp:posOffset>
            </wp:positionH>
            <wp:positionV relativeFrom="paragraph">
              <wp:posOffset>67310</wp:posOffset>
            </wp:positionV>
            <wp:extent cx="5833533" cy="2954867"/>
            <wp:effectExtent l="0" t="0" r="15240" b="17145"/>
            <wp:wrapNone/>
            <wp:docPr id="315" name="圖表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14:sizeRelH relativeFrom="page">
              <wp14:pctWidth>0</wp14:pctWidth>
            </wp14:sizeRelH>
            <wp14:sizeRelV relativeFrom="page">
              <wp14:pctHeight>0</wp14:pctHeight>
            </wp14:sizeRelV>
          </wp:anchor>
        </w:drawing>
      </w: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jc w:val="both"/>
        <w:rPr>
          <w:rFonts w:ascii="微軟正黑體" w:eastAsia="微軟正黑體" w:hAnsi="微軟正黑體"/>
        </w:rPr>
      </w:pPr>
    </w:p>
    <w:p w:rsidR="00383945" w:rsidRDefault="00383945" w:rsidP="00383945">
      <w:pPr>
        <w:spacing w:line="400" w:lineRule="exact"/>
        <w:ind w:left="284"/>
        <w:jc w:val="center"/>
        <w:rPr>
          <w:rFonts w:ascii="微軟正黑體" w:eastAsia="微軟正黑體" w:hAnsi="微軟正黑體"/>
        </w:rPr>
      </w:pPr>
      <w:r>
        <w:rPr>
          <w:rFonts w:ascii="微軟正黑體" w:eastAsia="微軟正黑體" w:hAnsi="微軟正黑體" w:hint="eastAsia"/>
        </w:rPr>
        <w:t>圖4.3  109年12月日額型醫療保險投保率(按性別及年齡別分)</w:t>
      </w:r>
    </w:p>
    <w:p w:rsidR="00383945" w:rsidRDefault="00383945" w:rsidP="00383945">
      <w:pPr>
        <w:ind w:leftChars="296" w:left="1384" w:hangingChars="281" w:hanging="674"/>
        <w:jc w:val="center"/>
        <w:rPr>
          <w:rFonts w:ascii="微軟正黑體" w:eastAsia="微軟正黑體" w:hAnsi="微軟正黑體"/>
        </w:rPr>
      </w:pPr>
    </w:p>
    <w:p w:rsidR="00383945" w:rsidRDefault="00383945" w:rsidP="00383945">
      <w:pPr>
        <w:ind w:leftChars="296" w:left="1384" w:hangingChars="281" w:hanging="674"/>
        <w:jc w:val="center"/>
        <w:rPr>
          <w:rFonts w:ascii="微軟正黑體" w:eastAsia="微軟正黑體" w:hAnsi="微軟正黑體"/>
        </w:rPr>
      </w:pPr>
    </w:p>
    <w:p w:rsidR="00383945" w:rsidRDefault="00383945" w:rsidP="00383945">
      <w:pPr>
        <w:spacing w:line="400" w:lineRule="exact"/>
        <w:rPr>
          <w:rFonts w:ascii="微軟正黑體" w:eastAsia="微軟正黑體" w:hAnsi="微軟正黑體"/>
          <w:b/>
          <w:sz w:val="28"/>
          <w:szCs w:val="28"/>
        </w:rPr>
      </w:pPr>
      <w:r>
        <w:rPr>
          <w:rFonts w:ascii="微軟正黑體" w:eastAsia="微軟正黑體" w:hAnsi="微軟正黑體" w:hint="eastAsia"/>
          <w:b/>
          <w:sz w:val="28"/>
          <w:szCs w:val="28"/>
        </w:rPr>
        <w:lastRenderedPageBreak/>
        <w:t>四、傷害保險</w:t>
      </w:r>
    </w:p>
    <w:p w:rsidR="00383945" w:rsidRDefault="00383945" w:rsidP="00383945">
      <w:pPr>
        <w:spacing w:beforeLines="50" w:before="180" w:line="400" w:lineRule="exact"/>
        <w:ind w:firstLineChars="200" w:firstLine="480"/>
        <w:jc w:val="both"/>
        <w:rPr>
          <w:rFonts w:ascii="微軟正黑體" w:eastAsia="微軟正黑體" w:hAnsi="微軟正黑體"/>
        </w:rPr>
      </w:pPr>
      <w:r>
        <w:rPr>
          <w:rFonts w:ascii="微軟正黑體" w:eastAsia="微軟正黑體" w:hAnsi="微軟正黑體" w:hint="eastAsia"/>
        </w:rPr>
        <w:t>截至109年12月底止，傷害保險之投保率為57.4%，其中女性投保率為58.2%，略高於男性之56.6%。另各年齡層投保率以「20-39歲」及「40-59歲」最高，均超過60%，此或與該年齡層較具有穩定收入及投保觀念有關；「65歲以上」之投保率最低，僅29.9%。</w:t>
      </w:r>
    </w:p>
    <w:p w:rsidR="00383945" w:rsidRDefault="00383945" w:rsidP="00383945">
      <w:pPr>
        <w:rPr>
          <w:rFonts w:ascii="微軟正黑體" w:eastAsia="微軟正黑體" w:hAnsi="微軟正黑體"/>
        </w:rPr>
      </w:pPr>
      <w:r>
        <w:rPr>
          <w:noProof/>
        </w:rPr>
        <w:drawing>
          <wp:anchor distT="0" distB="0" distL="114300" distR="114300" simplePos="0" relativeHeight="252683264" behindDoc="0" locked="0" layoutInCell="1" allowOverlap="1" wp14:anchorId="5238523B" wp14:editId="55B77FD8">
            <wp:simplePos x="0" y="0"/>
            <wp:positionH relativeFrom="column">
              <wp:posOffset>-2963</wp:posOffset>
            </wp:positionH>
            <wp:positionV relativeFrom="paragraph">
              <wp:posOffset>20743</wp:posOffset>
            </wp:positionV>
            <wp:extent cx="5757333" cy="2523067"/>
            <wp:effectExtent l="0" t="0" r="15240" b="10795"/>
            <wp:wrapNone/>
            <wp:docPr id="314" name="圖表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rPr>
        <w:t xml:space="preserve">    </w:t>
      </w:r>
      <w:r w:rsidRPr="008D58BC">
        <w:rPr>
          <w:noProof/>
        </w:rPr>
        <mc:AlternateContent>
          <mc:Choice Requires="wps">
            <w:drawing>
              <wp:anchor distT="0" distB="0" distL="114300" distR="114300" simplePos="0" relativeHeight="252684288" behindDoc="0" locked="0" layoutInCell="1" allowOverlap="1" wp14:anchorId="7BB05636" wp14:editId="36E8402B">
                <wp:simplePos x="0" y="0"/>
                <wp:positionH relativeFrom="column">
                  <wp:posOffset>55880</wp:posOffset>
                </wp:positionH>
                <wp:positionV relativeFrom="paragraph">
                  <wp:posOffset>295486</wp:posOffset>
                </wp:positionV>
                <wp:extent cx="344170" cy="866140"/>
                <wp:effectExtent l="0" t="0" r="0" b="0"/>
                <wp:wrapNone/>
                <wp:docPr id="310" name="文字方塊 1"/>
                <wp:cNvGraphicFramePr/>
                <a:graphic xmlns:a="http://schemas.openxmlformats.org/drawingml/2006/main">
                  <a:graphicData uri="http://schemas.microsoft.com/office/word/2010/wordprocessingShape">
                    <wps:wsp>
                      <wps:cNvSpPr txBox="1"/>
                      <wps:spPr>
                        <a:xfrm>
                          <a:off x="0" y="0"/>
                          <a:ext cx="344170" cy="866140"/>
                        </a:xfrm>
                        <a:prstGeom prst="rect">
                          <a:avLst/>
                        </a:prstGeom>
                      </wps:spPr>
                      <wps:txbx>
                        <w:txbxContent>
                          <w:p w:rsidR="00745375" w:rsidRDefault="00745375" w:rsidP="00383945">
                            <w:pPr>
                              <w:pStyle w:val="Web"/>
                              <w:spacing w:before="0" w:beforeAutospacing="0" w:after="0" w:afterAutospacing="0"/>
                            </w:pPr>
                            <w:r>
                              <w:rPr>
                                <w:rFonts w:asciiTheme="minorHAnsi" w:eastAsiaTheme="minorEastAsia" w:cstheme="minorBidi" w:hint="eastAsia"/>
                                <w:b/>
                                <w:bCs/>
                                <w:sz w:val="22"/>
                                <w:szCs w:val="22"/>
                              </w:rPr>
                              <w:t>投保率</w:t>
                            </w:r>
                            <w:r>
                              <w:rPr>
                                <w:rFonts w:asciiTheme="minorHAnsi" w:eastAsiaTheme="minorEastAsia" w:hAnsi="Calibri" w:cstheme="minorBidi"/>
                                <w:b/>
                                <w:bCs/>
                                <w:sz w:val="22"/>
                                <w:szCs w:val="22"/>
                              </w:rPr>
                              <w:t>(</w:t>
                            </w:r>
                            <w:r>
                              <w:rPr>
                                <w:rFonts w:asciiTheme="minorHAnsi" w:eastAsiaTheme="minorEastAsia" w:cstheme="minorBidi" w:hint="eastAsia"/>
                                <w:b/>
                                <w:bCs/>
                                <w:sz w:val="22"/>
                                <w:szCs w:val="22"/>
                              </w:rPr>
                              <w:t>％</w:t>
                            </w:r>
                            <w:r>
                              <w:rPr>
                                <w:rFonts w:asciiTheme="minorHAnsi" w:eastAsiaTheme="minorEastAsia" w:hAnsi="Calibri" w:cstheme="minorBidi"/>
                                <w:b/>
                                <w:bCs/>
                                <w:sz w:val="22"/>
                                <w:szCs w:val="22"/>
                              </w:rPr>
                              <w:t>)</w:t>
                            </w:r>
                          </w:p>
                        </w:txbxContent>
                      </wps:txbx>
                      <wps:bodyPr vertOverflow="clip" vert="eaVert" wrap="square" rtlCol="0" anchor="ctr"/>
                    </wps:wsp>
                  </a:graphicData>
                </a:graphic>
              </wp:anchor>
            </w:drawing>
          </mc:Choice>
          <mc:Fallback>
            <w:pict>
              <v:shape id="_x0000_s1050" type="#_x0000_t202" style="position:absolute;margin-left:4.4pt;margin-top:23.25pt;width:27.1pt;height:68.2pt;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" filled="f" stroked="f">
                <v:textbox style="layout-flow:vertical-ideographic">
                  <w:txbxContent>
                    <w:p w:rsidR="00745375" w:rsidRDefault="00745375" w:rsidP="00383945">
                      <w:pPr>
                        <w:pStyle w:val="Web"/>
                        <w:spacing w:before="0" w:beforeAutospacing="0" w:after="0" w:afterAutospacing="0"/>
                      </w:pPr>
                      <w:r>
                        <w:rPr>
                          <w:rFonts w:asciiTheme="minorHAnsi" w:eastAsiaTheme="minorEastAsia" w:cstheme="minorBidi" w:hint="eastAsia"/>
                          <w:b/>
                          <w:bCs/>
                          <w:sz w:val="22"/>
                          <w:szCs w:val="22"/>
                        </w:rPr>
                        <w:t>投保率</w:t>
                      </w:r>
                      <w:r>
                        <w:rPr>
                          <w:rFonts w:asciiTheme="minorHAnsi" w:eastAsiaTheme="minorEastAsia" w:hAnsi="Calibri" w:cstheme="minorBidi"/>
                          <w:b/>
                          <w:bCs/>
                          <w:sz w:val="22"/>
                          <w:szCs w:val="22"/>
                        </w:rPr>
                        <w:t>(</w:t>
                      </w:r>
                      <w:r>
                        <w:rPr>
                          <w:rFonts w:asciiTheme="minorHAnsi" w:eastAsiaTheme="minorEastAsia" w:cstheme="minorBidi" w:hint="eastAsia"/>
                          <w:b/>
                          <w:bCs/>
                          <w:sz w:val="22"/>
                          <w:szCs w:val="22"/>
                        </w:rPr>
                        <w:t>％</w:t>
                      </w:r>
                      <w:r>
                        <w:rPr>
                          <w:rFonts w:asciiTheme="minorHAnsi" w:eastAsiaTheme="minorEastAsia" w:hAnsi="Calibri" w:cstheme="minorBidi"/>
                          <w:b/>
                          <w:bCs/>
                          <w:sz w:val="22"/>
                          <w:szCs w:val="22"/>
                        </w:rPr>
                        <w:t>)</w:t>
                      </w:r>
                    </w:p>
                  </w:txbxContent>
                </v:textbox>
              </v:shape>
            </w:pict>
          </mc:Fallback>
        </mc:AlternateContent>
      </w:r>
    </w:p>
    <w:p w:rsidR="00383945" w:rsidRDefault="00383945" w:rsidP="00383945">
      <w:pPr>
        <w:rPr>
          <w:rFonts w:ascii="微軟正黑體" w:eastAsia="微軟正黑體" w:hAnsi="微軟正黑體"/>
        </w:rPr>
      </w:pPr>
    </w:p>
    <w:p w:rsidR="00383945" w:rsidRDefault="00383945" w:rsidP="00383945">
      <w:pPr>
        <w:rPr>
          <w:rFonts w:ascii="微軟正黑體" w:eastAsia="微軟正黑體" w:hAnsi="微軟正黑體"/>
        </w:rPr>
      </w:pPr>
    </w:p>
    <w:p w:rsidR="00383945" w:rsidRDefault="00383945" w:rsidP="00383945">
      <w:pPr>
        <w:rPr>
          <w:rFonts w:ascii="微軟正黑體" w:eastAsia="微軟正黑體" w:hAnsi="微軟正黑體"/>
        </w:rPr>
      </w:pPr>
    </w:p>
    <w:p w:rsidR="00383945" w:rsidRDefault="00383945" w:rsidP="00383945">
      <w:pPr>
        <w:rPr>
          <w:rFonts w:ascii="微軟正黑體" w:eastAsia="微軟正黑體" w:hAnsi="微軟正黑體"/>
        </w:rPr>
      </w:pPr>
    </w:p>
    <w:p w:rsidR="00383945" w:rsidRDefault="00383945" w:rsidP="00383945">
      <w:pPr>
        <w:spacing w:beforeLines="120" w:before="432" w:afterLines="50" w:after="180" w:line="340" w:lineRule="exact"/>
        <w:jc w:val="center"/>
        <w:rPr>
          <w:rFonts w:ascii="微軟正黑體" w:eastAsia="微軟正黑體" w:hAnsi="微軟正黑體"/>
          <w:b/>
          <w:sz w:val="28"/>
          <w:szCs w:val="28"/>
        </w:rPr>
      </w:pPr>
      <w:r>
        <w:rPr>
          <w:rFonts w:ascii="微軟正黑體" w:eastAsia="微軟正黑體" w:hAnsi="微軟正黑體" w:hint="eastAsia"/>
        </w:rPr>
        <w:t>圖4.4  109年12月傷害保險投保率(按性別及年齡別分)</w:t>
      </w:r>
    </w:p>
    <w:p w:rsidR="00383945" w:rsidRDefault="00383945" w:rsidP="00383945">
      <w:pPr>
        <w:spacing w:beforeLines="50" w:before="180" w:afterLines="50" w:after="180" w:line="400" w:lineRule="exact"/>
        <w:rPr>
          <w:rFonts w:ascii="微軟正黑體" w:eastAsia="微軟正黑體" w:hAnsi="微軟正黑體"/>
          <w:b/>
          <w:sz w:val="28"/>
          <w:szCs w:val="28"/>
        </w:rPr>
      </w:pPr>
      <w:r>
        <w:rPr>
          <w:rFonts w:ascii="微軟正黑體" w:eastAsia="微軟正黑體" w:hAnsi="微軟正黑體" w:hint="eastAsia"/>
          <w:b/>
          <w:sz w:val="28"/>
          <w:szCs w:val="28"/>
        </w:rPr>
        <w:t>五、人壽保險</w:t>
      </w:r>
    </w:p>
    <w:p w:rsidR="00383945" w:rsidRDefault="00383945" w:rsidP="00383945">
      <w:pPr>
        <w:spacing w:line="400" w:lineRule="exact"/>
        <w:ind w:firstLineChars="200" w:firstLine="480"/>
        <w:jc w:val="both"/>
        <w:rPr>
          <w:rFonts w:ascii="微軟正黑體" w:eastAsia="微軟正黑體" w:hAnsi="微軟正黑體"/>
        </w:rPr>
      </w:pPr>
      <w:r>
        <w:rPr>
          <w:rFonts w:ascii="微軟正黑體" w:eastAsia="微軟正黑體" w:hAnsi="微軟正黑體" w:hint="eastAsia"/>
        </w:rPr>
        <w:t>截至109年12月底止，國人總計約有</w:t>
      </w:r>
      <w:r w:rsidRPr="00602AA5">
        <w:rPr>
          <w:rFonts w:ascii="微軟正黑體" w:eastAsia="微軟正黑體" w:hAnsi="微軟正黑體" w:hint="eastAsia"/>
        </w:rPr>
        <w:t>1,6</w:t>
      </w:r>
      <w:r>
        <w:rPr>
          <w:rFonts w:ascii="微軟正黑體" w:eastAsia="微軟正黑體" w:hAnsi="微軟正黑體" w:hint="eastAsia"/>
        </w:rPr>
        <w:t>36萬餘人投保人壽保險，投保率</w:t>
      </w:r>
      <w:r>
        <w:rPr>
          <w:rStyle w:val="af4"/>
          <w:rFonts w:ascii="微軟正黑體" w:eastAsia="微軟正黑體" w:hAnsi="微軟正黑體"/>
        </w:rPr>
        <w:footnoteReference w:id="7"/>
      </w:r>
      <w:r>
        <w:rPr>
          <w:rFonts w:ascii="微軟正黑體" w:eastAsia="微軟正黑體" w:hAnsi="微軟正黑體" w:hint="eastAsia"/>
        </w:rPr>
        <w:t>達69.4%，其中女性投保率71.8%，高於男性投保率67.1%。各年齡層中，以「20-39歲」及「40-59歲」投保率最高，均超過75%，此或與該年齡層較具有穩定收入及投保觀念有關；「0-14歲」之投保率最低，僅47.7%。</w:t>
      </w:r>
    </w:p>
    <w:p w:rsidR="00383945" w:rsidRDefault="00383945" w:rsidP="00383945">
      <w:pPr>
        <w:spacing w:line="400" w:lineRule="exact"/>
        <w:ind w:firstLineChars="200" w:firstLine="480"/>
        <w:jc w:val="both"/>
        <w:rPr>
          <w:rFonts w:ascii="微軟正黑體" w:eastAsia="微軟正黑體" w:hAnsi="微軟正黑體"/>
        </w:rPr>
      </w:pPr>
      <w:r>
        <w:rPr>
          <w:noProof/>
        </w:rPr>
        <w:drawing>
          <wp:anchor distT="0" distB="0" distL="114300" distR="114300" simplePos="0" relativeHeight="252677120" behindDoc="0" locked="0" layoutInCell="1" allowOverlap="1" wp14:anchorId="06F2707D" wp14:editId="1DD22E19">
            <wp:simplePos x="0" y="0"/>
            <wp:positionH relativeFrom="column">
              <wp:posOffset>-36830</wp:posOffset>
            </wp:positionH>
            <wp:positionV relativeFrom="paragraph">
              <wp:posOffset>71543</wp:posOffset>
            </wp:positionV>
            <wp:extent cx="5816600" cy="2413000"/>
            <wp:effectExtent l="0" t="0" r="12700" b="25400"/>
            <wp:wrapNone/>
            <wp:docPr id="313" name="圖表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page">
              <wp14:pctWidth>0</wp14:pctWidth>
            </wp14:sizeRelH>
            <wp14:sizeRelV relativeFrom="page">
              <wp14:pctHeight>0</wp14:pctHeight>
            </wp14:sizeRelV>
          </wp:anchor>
        </w:drawing>
      </w: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line="400" w:lineRule="exact"/>
        <w:ind w:firstLineChars="200" w:firstLine="480"/>
        <w:jc w:val="both"/>
        <w:rPr>
          <w:rFonts w:ascii="微軟正黑體" w:eastAsia="微軟正黑體" w:hAnsi="微軟正黑體"/>
        </w:rPr>
      </w:pPr>
    </w:p>
    <w:p w:rsidR="00383945" w:rsidRDefault="00383945" w:rsidP="00383945">
      <w:pPr>
        <w:spacing w:beforeLines="80" w:before="288" w:line="400" w:lineRule="exact"/>
        <w:ind w:left="142"/>
        <w:jc w:val="center"/>
        <w:rPr>
          <w:rFonts w:ascii="微軟正黑體" w:eastAsia="微軟正黑體" w:hAnsi="微軟正黑體"/>
        </w:rPr>
      </w:pPr>
      <w:r>
        <w:rPr>
          <w:rFonts w:ascii="微軟正黑體" w:eastAsia="微軟正黑體" w:hAnsi="微軟正黑體" w:hint="eastAsia"/>
        </w:rPr>
        <w:t>圖4.5  109年12月人壽保險投保率(按性別及年齡別分)</w:t>
      </w:r>
    </w:p>
    <w:p w:rsidR="00515502" w:rsidRPr="00C73E28" w:rsidRDefault="00C73E28" w:rsidP="006E172E">
      <w:pPr>
        <w:snapToGrid w:val="0"/>
        <w:spacing w:beforeLines="50" w:before="180"/>
        <w:jc w:val="both"/>
        <w:rPr>
          <w:rFonts w:ascii="微軟正黑體" w:eastAsia="微軟正黑體" w:hAnsi="微軟正黑體"/>
        </w:rPr>
      </w:pPr>
      <w:r>
        <w:rPr>
          <w:rFonts w:ascii="微軟正黑體" w:eastAsia="微軟正黑體" w:hAnsi="微軟正黑體" w:hint="eastAsia"/>
        </w:rPr>
        <w:t>&lt;資料來源&gt; 金融監督管理委員會。(圖表均由本文自行繪製)</w:t>
      </w:r>
    </w:p>
    <w:p w:rsidR="00061D9C" w:rsidRDefault="00061D9C" w:rsidP="00D14C96">
      <w:pPr>
        <w:snapToGrid w:val="0"/>
        <w:spacing w:line="400" w:lineRule="exact"/>
        <w:rPr>
          <w:rFonts w:ascii="微軟正黑體" w:eastAsia="微軟正黑體" w:hAnsi="微軟正黑體"/>
        </w:rPr>
        <w:sectPr w:rsidR="00061D9C" w:rsidSect="001D5C1C">
          <w:headerReference w:type="even" r:id="rId126"/>
          <w:headerReference w:type="default" r:id="rId127"/>
          <w:footerReference w:type="even" r:id="rId128"/>
          <w:footerReference w:type="default" r:id="rId129"/>
          <w:headerReference w:type="first" r:id="rId130"/>
          <w:pgSz w:w="11906" w:h="16838"/>
          <w:pgMar w:top="1134" w:right="1418" w:bottom="1134" w:left="1418" w:header="340" w:footer="340" w:gutter="0"/>
          <w:pgNumType w:start="1"/>
          <w:cols w:space="425"/>
          <w:docGrid w:type="lines" w:linePitch="360"/>
        </w:sectPr>
      </w:pPr>
    </w:p>
    <w:p w:rsidR="00F04A38" w:rsidRDefault="00B431DA" w:rsidP="00F04A38">
      <w:pPr>
        <w:snapToGrid w:val="0"/>
        <w:spacing w:line="400" w:lineRule="exact"/>
        <w:rPr>
          <w:rFonts w:ascii="微軟正黑體" w:eastAsia="微軟正黑體" w:hAnsi="微軟正黑體"/>
        </w:rPr>
      </w:pPr>
      <w:r>
        <w:rPr>
          <w:rFonts w:ascii="微軟正黑體" w:eastAsia="微軟正黑體" w:hAnsi="微軟正黑體"/>
          <w:noProof/>
        </w:rPr>
        <w:lastRenderedPageBreak/>
        <mc:AlternateContent>
          <mc:Choice Requires="wps">
            <w:drawing>
              <wp:anchor distT="0" distB="0" distL="114300" distR="114300" simplePos="0" relativeHeight="252651520" behindDoc="0" locked="0" layoutInCell="1" allowOverlap="1">
                <wp:simplePos x="0" y="0"/>
                <wp:positionH relativeFrom="column">
                  <wp:posOffset>2985770</wp:posOffset>
                </wp:positionH>
                <wp:positionV relativeFrom="paragraph">
                  <wp:posOffset>-577215</wp:posOffset>
                </wp:positionV>
                <wp:extent cx="2943225" cy="333375"/>
                <wp:effectExtent l="0" t="0" r="28575" b="28575"/>
                <wp:wrapNone/>
                <wp:docPr id="31" name="矩形 31"/>
                <wp:cNvGraphicFramePr/>
                <a:graphic xmlns:a="http://schemas.openxmlformats.org/drawingml/2006/main">
                  <a:graphicData uri="http://schemas.microsoft.com/office/word/2010/wordprocessingShape">
                    <wps:wsp>
                      <wps:cNvSpPr/>
                      <wps:spPr>
                        <a:xfrm>
                          <a:off x="0" y="0"/>
                          <a:ext cx="294322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1" o:spid="_x0000_s1026" style="position:absolute;margin-left:235.1pt;margin-top:-45.45pt;width:231.75pt;height:26.25pt;z-index:25265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" fillcolor="white [3212]" strokecolor="white [3212]" strokeweight="2pt"/>
            </w:pict>
          </mc:Fallback>
        </mc:AlternateContent>
      </w:r>
    </w:p>
    <w:p w:rsidR="00F04A38" w:rsidRDefault="00F04A38" w:rsidP="00F04A38">
      <w:pPr>
        <w:snapToGrid w:val="0"/>
        <w:spacing w:line="700" w:lineRule="exact"/>
        <w:ind w:leftChars="590" w:left="1416"/>
        <w:jc w:val="center"/>
        <w:rPr>
          <w:rFonts w:ascii="微軟正黑體" w:eastAsia="微軟正黑體" w:hAnsi="微軟正黑體"/>
          <w:b/>
          <w:sz w:val="60"/>
          <w:szCs w:val="60"/>
        </w:rPr>
      </w:pPr>
      <w:r w:rsidRPr="00DC612B">
        <w:rPr>
          <w:rFonts w:ascii="微軟正黑體" w:eastAsia="微軟正黑體" w:hAnsi="微軟正黑體"/>
          <w:b/>
          <w:noProof/>
          <w:sz w:val="36"/>
          <w:szCs w:val="36"/>
        </w:rPr>
        <mc:AlternateContent>
          <mc:Choice Requires="wps">
            <w:drawing>
              <wp:anchor distT="0" distB="0" distL="114300" distR="114300" simplePos="0" relativeHeight="252469248" behindDoc="0" locked="0" layoutInCell="1" allowOverlap="1" wp14:anchorId="4EBCC0AF" wp14:editId="3A38EBC4">
                <wp:simplePos x="0" y="0"/>
                <wp:positionH relativeFrom="column">
                  <wp:posOffset>730250</wp:posOffset>
                </wp:positionH>
                <wp:positionV relativeFrom="paragraph">
                  <wp:posOffset>-637540</wp:posOffset>
                </wp:positionV>
                <wp:extent cx="45085" cy="11112500"/>
                <wp:effectExtent l="0" t="0" r="0" b="0"/>
                <wp:wrapNone/>
                <wp:docPr id="215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1112500"/>
                        </a:xfrm>
                        <a:prstGeom prst="rect">
                          <a:avLst/>
                        </a:prstGeom>
                        <a:solidFill>
                          <a:schemeClr val="accent5">
                            <a:lumMod val="60000"/>
                            <a:lumOff val="40000"/>
                          </a:schemeClr>
                        </a:solidFill>
                        <a:ln w="9525">
                          <a:noFill/>
                          <a:miter lim="800000"/>
                          <a:headEnd/>
                          <a:tailEnd/>
                        </a:ln>
                      </wps:spPr>
                      <wps:txbx>
                        <w:txbxContent>
                          <w:p w:rsidR="00745375" w:rsidRPr="00DC612B" w:rsidRDefault="00745375" w:rsidP="00F04A38">
                            <w:pPr>
                              <w:jc w:val="center"/>
                              <w:rPr>
                                <w:rFonts w:ascii="微軟正黑體" w:eastAsia="微軟正黑體" w:hAnsi="微軟正黑體"/>
                                <w:sz w:val="120"/>
                                <w:szCs w:val="1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57.5pt;margin-top:-50.2pt;width:3.55pt;height:8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" fillcolor="#92cddc [1944]" stroked="f">
                <v:textbox>
                  <w:txbxContent>
                    <w:p w:rsidR="00745375" w:rsidRPr="00DC612B" w:rsidRDefault="00745375" w:rsidP="00F04A38">
                      <w:pPr>
                        <w:jc w:val="center"/>
                        <w:rPr>
                          <w:rFonts w:ascii="微軟正黑體" w:eastAsia="微軟正黑體" w:hAnsi="微軟正黑體"/>
                          <w:sz w:val="120"/>
                          <w:szCs w:val="120"/>
                        </w:rPr>
                      </w:pPr>
                    </w:p>
                  </w:txbxContent>
                </v:textbox>
              </v:shape>
            </w:pict>
          </mc:Fallback>
        </mc:AlternateContent>
      </w:r>
    </w:p>
    <w:p w:rsidR="00F04A38" w:rsidRDefault="00F04A38" w:rsidP="00F04A38">
      <w:pPr>
        <w:snapToGrid w:val="0"/>
        <w:spacing w:line="700" w:lineRule="exact"/>
        <w:ind w:leftChars="590" w:left="1416"/>
        <w:jc w:val="center"/>
        <w:rPr>
          <w:rFonts w:ascii="微軟正黑體" w:eastAsia="微軟正黑體" w:hAnsi="微軟正黑體"/>
          <w:b/>
          <w:sz w:val="60"/>
          <w:szCs w:val="60"/>
        </w:rPr>
      </w:pPr>
      <w:r w:rsidRPr="00B35F6C">
        <w:rPr>
          <w:rFonts w:hint="eastAsia"/>
          <w:b/>
          <w:noProof/>
          <w:sz w:val="32"/>
          <w:szCs w:val="32"/>
        </w:rPr>
        <w:drawing>
          <wp:anchor distT="0" distB="0" distL="114300" distR="114300" simplePos="0" relativeHeight="252472320" behindDoc="0" locked="0" layoutInCell="1" allowOverlap="1" wp14:anchorId="34B99126" wp14:editId="4E023B91">
            <wp:simplePos x="0" y="0"/>
            <wp:positionH relativeFrom="column">
              <wp:posOffset>-727075</wp:posOffset>
            </wp:positionH>
            <wp:positionV relativeFrom="paragraph">
              <wp:posOffset>228600</wp:posOffset>
            </wp:positionV>
            <wp:extent cx="1451610" cy="1227455"/>
            <wp:effectExtent l="0" t="0" r="0" b="0"/>
            <wp:wrapNone/>
            <wp:docPr id="21529" name="圖片 21529" descr="C:\Users\sakula\AppData\Local\Microsoft\Windows\Temporary Internet Files\Content.IE5\EKEHZL13\globe-563239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kula\AppData\Local\Microsoft\Windows\Temporary Internet Files\Content.IE5\EKEHZL13\globe-563239_64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1610"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A38" w:rsidRPr="00DC612B" w:rsidRDefault="00F04A38" w:rsidP="00F04A38">
      <w:pPr>
        <w:snapToGrid w:val="0"/>
        <w:spacing w:line="700" w:lineRule="exact"/>
        <w:ind w:leftChars="590" w:left="1416"/>
        <w:jc w:val="center"/>
        <w:rPr>
          <w:rFonts w:ascii="微軟正黑體" w:eastAsia="微軟正黑體" w:hAnsi="微軟正黑體"/>
          <w:b/>
          <w:sz w:val="60"/>
          <w:szCs w:val="60"/>
        </w:rPr>
      </w:pPr>
    </w:p>
    <w:p w:rsidR="00F04A38" w:rsidRPr="000656C6" w:rsidRDefault="00F04A38" w:rsidP="00C71C46">
      <w:pPr>
        <w:snapToGrid w:val="0"/>
        <w:spacing w:beforeLines="100" w:before="360" w:line="400" w:lineRule="exact"/>
        <w:jc w:val="right"/>
        <w:rPr>
          <w:rFonts w:ascii="微軟正黑體" w:eastAsia="微軟正黑體" w:hAnsi="微軟正黑體"/>
        </w:rPr>
      </w:pPr>
      <w:r w:rsidRPr="000656C6">
        <w:rPr>
          <w:noProof/>
        </w:rPr>
        <mc:AlternateContent>
          <mc:Choice Requires="wps">
            <w:drawing>
              <wp:anchor distT="0" distB="0" distL="114300" distR="114300" simplePos="0" relativeHeight="252470272" behindDoc="0" locked="0" layoutInCell="1" allowOverlap="1" wp14:anchorId="46B3FE92" wp14:editId="0239F92A">
                <wp:simplePos x="0" y="0"/>
                <wp:positionH relativeFrom="column">
                  <wp:posOffset>-811530</wp:posOffset>
                </wp:positionH>
                <wp:positionV relativeFrom="paragraph">
                  <wp:posOffset>149860</wp:posOffset>
                </wp:positionV>
                <wp:extent cx="1727200" cy="6286500"/>
                <wp:effectExtent l="0" t="0" r="0" b="0"/>
                <wp:wrapNone/>
                <wp:docPr id="21527" name="文字方塊 21527"/>
                <wp:cNvGraphicFramePr/>
                <a:graphic xmlns:a="http://schemas.openxmlformats.org/drawingml/2006/main">
                  <a:graphicData uri="http://schemas.microsoft.com/office/word/2010/wordprocessingShape">
                    <wps:wsp>
                      <wps:cNvSpPr txBox="1"/>
                      <wps:spPr>
                        <a:xfrm>
                          <a:off x="0" y="0"/>
                          <a:ext cx="1727200" cy="6286500"/>
                        </a:xfrm>
                        <a:prstGeom prst="rect">
                          <a:avLst/>
                        </a:prstGeom>
                        <a:noFill/>
                        <a:ln>
                          <a:noFill/>
                        </a:ln>
                        <a:effectLst/>
                      </wps:spPr>
                      <wps:txbx>
                        <w:txbxContent>
                          <w:p w:rsidR="00745375" w:rsidRPr="00DC612B" w:rsidRDefault="00745375" w:rsidP="00F04A38">
                            <w:pPr>
                              <w:jc w:val="center"/>
                              <w:rPr>
                                <w:rFonts w:ascii="微軟正黑體" w:eastAsia="微軟正黑體" w:hAnsi="微軟正黑體"/>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微軟正黑體" w:eastAsia="微軟正黑體" w:hAnsi="微軟正黑體" w:hint="eastAsia"/>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國 際 情 勢</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1527" o:spid="_x0000_s1052" type="#_x0000_t202" style="position:absolute;left:0;text-align:left;margin-left:-63.9pt;margin-top:11.8pt;width:136pt;height:49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" filled="f" stroked="f">
                <v:textbox style="layout-flow:vertical-ideographic">
                  <w:txbxContent>
                    <w:p w:rsidR="00745375" w:rsidRPr="00DC612B" w:rsidRDefault="00745375" w:rsidP="00F04A38">
                      <w:pPr>
                        <w:jc w:val="center"/>
                        <w:rPr>
                          <w:rFonts w:ascii="微軟正黑體" w:eastAsia="微軟正黑體" w:hAnsi="微軟正黑體"/>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微軟正黑體" w:eastAsia="微軟正黑體" w:hAnsi="微軟正黑體" w:hint="eastAsia"/>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國 際 情 勢</w:t>
                      </w:r>
                    </w:p>
                  </w:txbxContent>
                </v:textbox>
              </v:shape>
            </w:pict>
          </mc:Fallback>
        </mc:AlternateContent>
      </w:r>
    </w:p>
    <w:p w:rsidR="00F04A38" w:rsidRDefault="00F04A38" w:rsidP="00F04A38">
      <w:pPr>
        <w:snapToGrid w:val="0"/>
        <w:spacing w:line="600" w:lineRule="exact"/>
        <w:jc w:val="center"/>
        <w:rPr>
          <w:rFonts w:ascii="微軟正黑體" w:eastAsia="微軟正黑體" w:hAnsi="微軟正黑體"/>
          <w:b/>
          <w:sz w:val="36"/>
          <w:szCs w:val="36"/>
        </w:rPr>
      </w:pPr>
      <w:r w:rsidRPr="00E01F34">
        <w:rPr>
          <w:rFonts w:ascii="微軟正黑體" w:eastAsia="微軟正黑體" w:hAnsi="微軟正黑體"/>
          <w:b/>
          <w:noProof/>
          <w:sz w:val="36"/>
          <w:szCs w:val="36"/>
        </w:rPr>
        <mc:AlternateContent>
          <mc:Choice Requires="wps">
            <w:drawing>
              <wp:anchor distT="0" distB="0" distL="114300" distR="114300" simplePos="0" relativeHeight="252471296" behindDoc="1" locked="0" layoutInCell="1" allowOverlap="1" wp14:anchorId="051876BC" wp14:editId="168FBFCD">
                <wp:simplePos x="0" y="0"/>
                <wp:positionH relativeFrom="column">
                  <wp:posOffset>723900</wp:posOffset>
                </wp:positionH>
                <wp:positionV relativeFrom="paragraph">
                  <wp:posOffset>260350</wp:posOffset>
                </wp:positionV>
                <wp:extent cx="5953125" cy="2343150"/>
                <wp:effectExtent l="0" t="0" r="9525" b="0"/>
                <wp:wrapNone/>
                <wp:docPr id="215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343150"/>
                        </a:xfrm>
                        <a:prstGeom prst="rect">
                          <a:avLst/>
                        </a:prstGeom>
                        <a:solidFill>
                          <a:schemeClr val="accent5">
                            <a:lumMod val="20000"/>
                            <a:lumOff val="80000"/>
                          </a:schemeClr>
                        </a:solidFill>
                        <a:ln w="9525">
                          <a:noFill/>
                          <a:miter lim="800000"/>
                          <a:headEnd/>
                          <a:tailEnd/>
                        </a:ln>
                      </wps:spPr>
                      <wps:txbx>
                        <w:txbxContent>
                          <w:p w:rsidR="00745375" w:rsidRDefault="00745375" w:rsidP="00E3502B">
                            <w:pPr>
                              <w:rPr>
                                <w:rFonts w:ascii="微軟正黑體" w:eastAsia="微軟正黑體" w:hAnsi="微軟正黑體"/>
                                <w:b/>
                                <w:sz w:val="40"/>
                                <w:szCs w:val="40"/>
                              </w:rPr>
                            </w:pPr>
                            <w:r w:rsidRPr="007A0CB7">
                              <w:rPr>
                                <w:rFonts w:ascii="微軟正黑體" w:eastAsia="微軟正黑體" w:hAnsi="微軟正黑體" w:hint="eastAsia"/>
                                <w:b/>
                                <w:sz w:val="40"/>
                                <w:szCs w:val="40"/>
                              </w:rPr>
                              <w:t>跨國工作者之老年經濟安全保障</w:t>
                            </w:r>
                          </w:p>
                          <w:p w:rsidR="00745375" w:rsidRDefault="00745375" w:rsidP="00F04A38">
                            <w:pPr>
                              <w:tabs>
                                <w:tab w:val="left" w:pos="8222"/>
                              </w:tabs>
                              <w:ind w:rightChars="231" w:right="554" w:firstLineChars="265" w:firstLine="848"/>
                              <w:jc w:val="right"/>
                              <w:rPr>
                                <w:rFonts w:ascii="微軟正黑體" w:eastAsia="微軟正黑體" w:hAnsi="微軟正黑體"/>
                                <w:b/>
                                <w:sz w:val="32"/>
                                <w:szCs w:val="40"/>
                              </w:rPr>
                            </w:pPr>
                            <w:r w:rsidRPr="007A0CB7">
                              <w:rPr>
                                <w:rFonts w:ascii="微軟正黑體" w:eastAsia="微軟正黑體" w:hAnsi="微軟正黑體" w:hint="eastAsia"/>
                                <w:b/>
                                <w:sz w:val="32"/>
                                <w:szCs w:val="40"/>
                              </w:rPr>
                              <w:t>中正大學勞工關係學系</w:t>
                            </w:r>
                            <w:r w:rsidRPr="006421C2">
                              <w:rPr>
                                <w:rFonts w:ascii="微軟正黑體" w:eastAsia="微軟正黑體" w:hAnsi="微軟正黑體" w:hint="eastAsia"/>
                                <w:b/>
                                <w:sz w:val="32"/>
                                <w:szCs w:val="40"/>
                              </w:rPr>
                              <w:t xml:space="preserve">副教授 </w:t>
                            </w:r>
                            <w:r>
                              <w:rPr>
                                <w:rFonts w:ascii="微軟正黑體" w:eastAsia="微軟正黑體" w:hAnsi="微軟正黑體" w:hint="eastAsia"/>
                                <w:b/>
                                <w:sz w:val="32"/>
                                <w:szCs w:val="40"/>
                              </w:rPr>
                              <w:t>吳啟新</w:t>
                            </w:r>
                          </w:p>
                          <w:p w:rsidR="00745375" w:rsidRPr="006421C2" w:rsidRDefault="00745375" w:rsidP="00F04A38">
                            <w:pPr>
                              <w:ind w:firstLineChars="400" w:firstLine="1280"/>
                              <w:rPr>
                                <w:rFonts w:ascii="微軟正黑體" w:eastAsia="微軟正黑體" w:hAnsi="微軟正黑體"/>
                                <w:b/>
                                <w:sz w:val="32"/>
                                <w:szCs w:val="40"/>
                              </w:rPr>
                            </w:pPr>
                          </w:p>
                          <w:p w:rsidR="00745375" w:rsidRPr="001C7181" w:rsidRDefault="00745375" w:rsidP="00F04A38">
                            <w:pPr>
                              <w:rPr>
                                <w:rFonts w:ascii="微軟正黑體" w:eastAsia="微軟正黑體" w:hAnsi="微軟正黑體"/>
                                <w:b/>
                                <w:sz w:val="40"/>
                                <w:szCs w:val="40"/>
                              </w:rPr>
                            </w:pPr>
                            <w:r>
                              <w:rPr>
                                <w:rFonts w:ascii="微軟正黑體" w:eastAsia="微軟正黑體" w:hAnsi="微軟正黑體" w:hint="eastAsia"/>
                                <w:b/>
                                <w:sz w:val="40"/>
                                <w:szCs w:val="40"/>
                              </w:rPr>
                              <w:t>數位時代下電傳工作者勞動與</w:t>
                            </w:r>
                            <w:r w:rsidRPr="007A0CB7">
                              <w:rPr>
                                <w:rFonts w:ascii="微軟正黑體" w:eastAsia="微軟正黑體" w:hAnsi="微軟正黑體" w:hint="eastAsia"/>
                                <w:b/>
                                <w:sz w:val="40"/>
                                <w:szCs w:val="40"/>
                              </w:rPr>
                              <w:t>社會保障之探討</w:t>
                            </w:r>
                          </w:p>
                          <w:p w:rsidR="00745375" w:rsidRPr="001C7181" w:rsidRDefault="00745375" w:rsidP="00F04A38">
                            <w:pPr>
                              <w:tabs>
                                <w:tab w:val="left" w:pos="8222"/>
                              </w:tabs>
                              <w:ind w:rightChars="231" w:right="554" w:firstLineChars="250" w:firstLine="800"/>
                              <w:jc w:val="right"/>
                              <w:rPr>
                                <w:rFonts w:ascii="微軟正黑體" w:eastAsia="微軟正黑體" w:hAnsi="微軟正黑體"/>
                                <w:b/>
                                <w:sz w:val="40"/>
                                <w:szCs w:val="40"/>
                              </w:rPr>
                            </w:pPr>
                            <w:r>
                              <w:rPr>
                                <w:rFonts w:ascii="微軟正黑體" w:eastAsia="微軟正黑體" w:hAnsi="微軟正黑體" w:hint="eastAsia"/>
                                <w:b/>
                                <w:sz w:val="32"/>
                                <w:szCs w:val="40"/>
                              </w:rPr>
                              <w:t>政治</w:t>
                            </w:r>
                            <w:r w:rsidRPr="006421C2">
                              <w:rPr>
                                <w:rFonts w:ascii="微軟正黑體" w:eastAsia="微軟正黑體" w:hAnsi="微軟正黑體" w:hint="eastAsia"/>
                                <w:b/>
                                <w:sz w:val="32"/>
                                <w:szCs w:val="40"/>
                              </w:rPr>
                              <w:t>大學</w:t>
                            </w:r>
                            <w:r>
                              <w:rPr>
                                <w:rFonts w:ascii="微軟正黑體" w:eastAsia="微軟正黑體" w:hAnsi="微軟正黑體" w:hint="eastAsia"/>
                                <w:b/>
                                <w:sz w:val="32"/>
                                <w:szCs w:val="40"/>
                              </w:rPr>
                              <w:t>勞工研究所</w:t>
                            </w:r>
                            <w:r w:rsidRPr="006421C2">
                              <w:rPr>
                                <w:rFonts w:ascii="微軟正黑體" w:eastAsia="微軟正黑體" w:hAnsi="微軟正黑體" w:hint="eastAsia"/>
                                <w:b/>
                                <w:sz w:val="32"/>
                                <w:szCs w:val="40"/>
                              </w:rPr>
                              <w:t xml:space="preserve">教授 </w:t>
                            </w:r>
                            <w:r>
                              <w:rPr>
                                <w:rFonts w:ascii="微軟正黑體" w:eastAsia="微軟正黑體" w:hAnsi="微軟正黑體" w:hint="eastAsia"/>
                                <w:b/>
                                <w:sz w:val="32"/>
                                <w:szCs w:val="40"/>
                              </w:rPr>
                              <w:t>成之約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7pt;margin-top:20.5pt;width:468.75pt;height:184.5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" fillcolor="#daeef3 [664]" stroked="f">
                <v:textbox>
                  <w:txbxContent>
                    <w:p w:rsidR="00745375" w:rsidRDefault="00745375" w:rsidP="00E3502B">
                      <w:pPr>
                        <w:rPr>
                          <w:rFonts w:ascii="微軟正黑體" w:eastAsia="微軟正黑體" w:hAnsi="微軟正黑體"/>
                          <w:b/>
                          <w:sz w:val="40"/>
                          <w:szCs w:val="40"/>
                        </w:rPr>
                      </w:pPr>
                      <w:r w:rsidRPr="007A0CB7">
                        <w:rPr>
                          <w:rFonts w:ascii="微軟正黑體" w:eastAsia="微軟正黑體" w:hAnsi="微軟正黑體" w:hint="eastAsia"/>
                          <w:b/>
                          <w:sz w:val="40"/>
                          <w:szCs w:val="40"/>
                        </w:rPr>
                        <w:t>跨國工作者之老年經濟安全保障</w:t>
                      </w:r>
                    </w:p>
                    <w:p w:rsidR="00745375" w:rsidRDefault="00745375" w:rsidP="00F04A38">
                      <w:pPr>
                        <w:tabs>
                          <w:tab w:val="left" w:pos="8222"/>
                        </w:tabs>
                        <w:ind w:rightChars="231" w:right="554" w:firstLineChars="265" w:firstLine="848"/>
                        <w:jc w:val="right"/>
                        <w:rPr>
                          <w:rFonts w:ascii="微軟正黑體" w:eastAsia="微軟正黑體" w:hAnsi="微軟正黑體"/>
                          <w:b/>
                          <w:sz w:val="32"/>
                          <w:szCs w:val="40"/>
                        </w:rPr>
                      </w:pPr>
                      <w:r w:rsidRPr="007A0CB7">
                        <w:rPr>
                          <w:rFonts w:ascii="微軟正黑體" w:eastAsia="微軟正黑體" w:hAnsi="微軟正黑體" w:hint="eastAsia"/>
                          <w:b/>
                          <w:sz w:val="32"/>
                          <w:szCs w:val="40"/>
                        </w:rPr>
                        <w:t>中正大學勞工關係學系</w:t>
                      </w:r>
                      <w:r w:rsidRPr="006421C2">
                        <w:rPr>
                          <w:rFonts w:ascii="微軟正黑體" w:eastAsia="微軟正黑體" w:hAnsi="微軟正黑體" w:hint="eastAsia"/>
                          <w:b/>
                          <w:sz w:val="32"/>
                          <w:szCs w:val="40"/>
                        </w:rPr>
                        <w:t xml:space="preserve">副教授 </w:t>
                      </w:r>
                      <w:r>
                        <w:rPr>
                          <w:rFonts w:ascii="微軟正黑體" w:eastAsia="微軟正黑體" w:hAnsi="微軟正黑體" w:hint="eastAsia"/>
                          <w:b/>
                          <w:sz w:val="32"/>
                          <w:szCs w:val="40"/>
                        </w:rPr>
                        <w:t>吳啟新</w:t>
                      </w:r>
                    </w:p>
                    <w:p w:rsidR="00745375" w:rsidRPr="006421C2" w:rsidRDefault="00745375" w:rsidP="00F04A38">
                      <w:pPr>
                        <w:ind w:firstLineChars="400" w:firstLine="1280"/>
                        <w:rPr>
                          <w:rFonts w:ascii="微軟正黑體" w:eastAsia="微軟正黑體" w:hAnsi="微軟正黑體"/>
                          <w:b/>
                          <w:sz w:val="32"/>
                          <w:szCs w:val="40"/>
                        </w:rPr>
                      </w:pPr>
                    </w:p>
                    <w:p w:rsidR="00745375" w:rsidRPr="001C7181" w:rsidRDefault="00745375" w:rsidP="00F04A38">
                      <w:pPr>
                        <w:rPr>
                          <w:rFonts w:ascii="微軟正黑體" w:eastAsia="微軟正黑體" w:hAnsi="微軟正黑體"/>
                          <w:b/>
                          <w:sz w:val="40"/>
                          <w:szCs w:val="40"/>
                        </w:rPr>
                      </w:pPr>
                      <w:r>
                        <w:rPr>
                          <w:rFonts w:ascii="微軟正黑體" w:eastAsia="微軟正黑體" w:hAnsi="微軟正黑體" w:hint="eastAsia"/>
                          <w:b/>
                          <w:sz w:val="40"/>
                          <w:szCs w:val="40"/>
                        </w:rPr>
                        <w:t>數位時代下電傳工作者勞動與</w:t>
                      </w:r>
                      <w:r w:rsidRPr="007A0CB7">
                        <w:rPr>
                          <w:rFonts w:ascii="微軟正黑體" w:eastAsia="微軟正黑體" w:hAnsi="微軟正黑體" w:hint="eastAsia"/>
                          <w:b/>
                          <w:sz w:val="40"/>
                          <w:szCs w:val="40"/>
                        </w:rPr>
                        <w:t>社會保障之探討</w:t>
                      </w:r>
                    </w:p>
                    <w:p w:rsidR="00745375" w:rsidRPr="001C7181" w:rsidRDefault="00745375" w:rsidP="00F04A38">
                      <w:pPr>
                        <w:tabs>
                          <w:tab w:val="left" w:pos="8222"/>
                        </w:tabs>
                        <w:ind w:rightChars="231" w:right="554" w:firstLineChars="250" w:firstLine="800"/>
                        <w:jc w:val="right"/>
                        <w:rPr>
                          <w:rFonts w:ascii="微軟正黑體" w:eastAsia="微軟正黑體" w:hAnsi="微軟正黑體"/>
                          <w:b/>
                          <w:sz w:val="40"/>
                          <w:szCs w:val="40"/>
                        </w:rPr>
                      </w:pPr>
                      <w:r>
                        <w:rPr>
                          <w:rFonts w:ascii="微軟正黑體" w:eastAsia="微軟正黑體" w:hAnsi="微軟正黑體" w:hint="eastAsia"/>
                          <w:b/>
                          <w:sz w:val="32"/>
                          <w:szCs w:val="40"/>
                        </w:rPr>
                        <w:t>政治</w:t>
                      </w:r>
                      <w:r w:rsidRPr="006421C2">
                        <w:rPr>
                          <w:rFonts w:ascii="微軟正黑體" w:eastAsia="微軟正黑體" w:hAnsi="微軟正黑體" w:hint="eastAsia"/>
                          <w:b/>
                          <w:sz w:val="32"/>
                          <w:szCs w:val="40"/>
                        </w:rPr>
                        <w:t>大學</w:t>
                      </w:r>
                      <w:r>
                        <w:rPr>
                          <w:rFonts w:ascii="微軟正黑體" w:eastAsia="微軟正黑體" w:hAnsi="微軟正黑體" w:hint="eastAsia"/>
                          <w:b/>
                          <w:sz w:val="32"/>
                          <w:szCs w:val="40"/>
                        </w:rPr>
                        <w:t>勞工研究所</w:t>
                      </w:r>
                      <w:r w:rsidRPr="006421C2">
                        <w:rPr>
                          <w:rFonts w:ascii="微軟正黑體" w:eastAsia="微軟正黑體" w:hAnsi="微軟正黑體" w:hint="eastAsia"/>
                          <w:b/>
                          <w:sz w:val="32"/>
                          <w:szCs w:val="40"/>
                        </w:rPr>
                        <w:t xml:space="preserve">教授 </w:t>
                      </w:r>
                      <w:r>
                        <w:rPr>
                          <w:rFonts w:ascii="微軟正黑體" w:eastAsia="微軟正黑體" w:hAnsi="微軟正黑體" w:hint="eastAsia"/>
                          <w:b/>
                          <w:sz w:val="32"/>
                          <w:szCs w:val="40"/>
                        </w:rPr>
                        <w:t>成之約</w:t>
                      </w:r>
                    </w:p>
                  </w:txbxContent>
                </v:textbox>
              </v:shape>
            </w:pict>
          </mc:Fallback>
        </mc:AlternateContent>
      </w: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b/>
        </w:rPr>
      </w:pPr>
    </w:p>
    <w:p w:rsidR="00F04A38" w:rsidRDefault="00F04A38" w:rsidP="00F04A38">
      <w:pPr>
        <w:snapToGrid w:val="0"/>
        <w:spacing w:line="400" w:lineRule="exact"/>
        <w:rPr>
          <w:rFonts w:ascii="微軟正黑體" w:eastAsia="微軟正黑體" w:hAnsi="微軟正黑體"/>
        </w:rPr>
      </w:pPr>
      <w:r>
        <w:rPr>
          <w:rFonts w:ascii="微軟正黑體" w:eastAsia="微軟正黑體" w:hAnsi="微軟正黑體"/>
        </w:rPr>
        <w:br w:type="page"/>
      </w:r>
      <w:r w:rsidR="000D05BC">
        <w:rPr>
          <w:rFonts w:ascii="微軟正黑體" w:eastAsia="微軟正黑體" w:hAnsi="微軟正黑體"/>
          <w:b/>
          <w:noProof/>
          <w:sz w:val="36"/>
          <w:szCs w:val="36"/>
        </w:rPr>
        <w:lastRenderedPageBreak/>
        <mc:AlternateContent>
          <mc:Choice Requires="wps">
            <w:drawing>
              <wp:anchor distT="0" distB="0" distL="114300" distR="114300" simplePos="0" relativeHeight="252654592" behindDoc="0" locked="0" layoutInCell="1" allowOverlap="1" wp14:anchorId="75A30905" wp14:editId="0A9E0180">
                <wp:simplePos x="0" y="0"/>
                <wp:positionH relativeFrom="column">
                  <wp:posOffset>-33655</wp:posOffset>
                </wp:positionH>
                <wp:positionV relativeFrom="paragraph">
                  <wp:posOffset>9490710</wp:posOffset>
                </wp:positionV>
                <wp:extent cx="352425" cy="219075"/>
                <wp:effectExtent l="0" t="0" r="9525" b="9525"/>
                <wp:wrapNone/>
                <wp:docPr id="8" name="矩形 8"/>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8" o:spid="_x0000_s1026" style="position:absolute;margin-left:-2.65pt;margin-top:747.3pt;width:27.75pt;height:17.25pt;z-index:25265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" fillcolor="white [3212]" stroked="f" strokeweight="2pt"/>
            </w:pict>
          </mc:Fallback>
        </mc:AlternateContent>
      </w:r>
      <w:r>
        <w:rPr>
          <w:rFonts w:ascii="微軟正黑體" w:eastAsia="微軟正黑體" w:hAnsi="微軟正黑體"/>
        </w:rPr>
        <w:br w:type="page"/>
      </w:r>
    </w:p>
    <w:p w:rsidR="00F04A38" w:rsidRDefault="00F04A38" w:rsidP="00F04A38">
      <w:pPr>
        <w:tabs>
          <w:tab w:val="left" w:pos="0"/>
        </w:tabs>
        <w:snapToGrid w:val="0"/>
        <w:spacing w:line="700" w:lineRule="exact"/>
        <w:rPr>
          <w:rFonts w:ascii="微軟正黑體" w:eastAsia="微軟正黑體" w:hAnsi="微軟正黑體"/>
          <w:b/>
          <w:sz w:val="60"/>
          <w:szCs w:val="60"/>
        </w:rPr>
      </w:pPr>
    </w:p>
    <w:p w:rsidR="00603C74" w:rsidRPr="00DC612B" w:rsidRDefault="00E705DE" w:rsidP="001B22E4">
      <w:pPr>
        <w:tabs>
          <w:tab w:val="left" w:pos="0"/>
        </w:tabs>
        <w:snapToGrid w:val="0"/>
        <w:spacing w:line="700" w:lineRule="exact"/>
        <w:jc w:val="center"/>
        <w:rPr>
          <w:rFonts w:ascii="微軟正黑體" w:eastAsia="微軟正黑體" w:hAnsi="微軟正黑體"/>
          <w:b/>
          <w:sz w:val="60"/>
          <w:szCs w:val="60"/>
        </w:rPr>
      </w:pPr>
      <w:r w:rsidRPr="00E705DE">
        <w:rPr>
          <w:rFonts w:ascii="微軟正黑體" w:eastAsia="微軟正黑體" w:hAnsi="微軟正黑體" w:hint="eastAsia"/>
          <w:b/>
          <w:sz w:val="60"/>
          <w:szCs w:val="60"/>
        </w:rPr>
        <w:t>跨國工作者之老年經濟安全保障</w:t>
      </w:r>
    </w:p>
    <w:p w:rsidR="00762D16" w:rsidRPr="000656C6" w:rsidRDefault="00E705DE" w:rsidP="00C71C46">
      <w:pPr>
        <w:snapToGrid w:val="0"/>
        <w:spacing w:beforeLines="100" w:before="360" w:line="400" w:lineRule="exact"/>
        <w:jc w:val="right"/>
        <w:rPr>
          <w:rFonts w:ascii="微軟正黑體" w:eastAsia="微軟正黑體" w:hAnsi="微軟正黑體"/>
        </w:rPr>
      </w:pPr>
      <w:r w:rsidRPr="00E705DE">
        <w:rPr>
          <w:rFonts w:ascii="微軟正黑體" w:eastAsia="微軟正黑體" w:hAnsi="微軟正黑體" w:hint="eastAsia"/>
        </w:rPr>
        <w:t>中正大學勞工關係學系副教授 吳啟新</w:t>
      </w:r>
    </w:p>
    <w:p w:rsidR="00603C74" w:rsidRDefault="00641E61" w:rsidP="000656C6">
      <w:pPr>
        <w:snapToGrid w:val="0"/>
        <w:spacing w:line="600" w:lineRule="exact"/>
        <w:jc w:val="center"/>
        <w:rPr>
          <w:rFonts w:ascii="微軟正黑體" w:eastAsia="微軟正黑體" w:hAnsi="微軟正黑體"/>
          <w:b/>
          <w:sz w:val="36"/>
          <w:szCs w:val="36"/>
        </w:rPr>
      </w:pPr>
      <w:r>
        <w:rPr>
          <w:rFonts w:ascii="微軟正黑體" w:eastAsia="微軟正黑體" w:hAnsi="微軟正黑體"/>
          <w:b/>
          <w:noProof/>
          <w:sz w:val="36"/>
          <w:szCs w:val="36"/>
        </w:rPr>
        <mc:AlternateContent>
          <mc:Choice Requires="wps">
            <w:drawing>
              <wp:anchor distT="0" distB="0" distL="114300" distR="114300" simplePos="0" relativeHeight="251657214" behindDoc="1" locked="0" layoutInCell="1" allowOverlap="1" wp14:anchorId="542A60C6" wp14:editId="78CF6491">
                <wp:simplePos x="0" y="0"/>
                <wp:positionH relativeFrom="column">
                  <wp:posOffset>-890905</wp:posOffset>
                </wp:positionH>
                <wp:positionV relativeFrom="paragraph">
                  <wp:posOffset>346710</wp:posOffset>
                </wp:positionV>
                <wp:extent cx="7534275" cy="1304925"/>
                <wp:effectExtent l="0" t="0" r="9525" b="9525"/>
                <wp:wrapNone/>
                <wp:docPr id="21507" name="矩形 21507"/>
                <wp:cNvGraphicFramePr/>
                <a:graphic xmlns:a="http://schemas.openxmlformats.org/drawingml/2006/main">
                  <a:graphicData uri="http://schemas.microsoft.com/office/word/2010/wordprocessingShape">
                    <wps:wsp>
                      <wps:cNvSpPr/>
                      <wps:spPr>
                        <a:xfrm>
                          <a:off x="0" y="0"/>
                          <a:ext cx="7534275" cy="1304925"/>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1507" o:spid="_x0000_s1026" style="position:absolute;margin-left:-70.15pt;margin-top:27.3pt;width:593.25pt;height:102.75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" fillcolor="#daeef3 [664]" stroked="f" strokeweight="2pt"/>
            </w:pict>
          </mc:Fallback>
        </mc:AlternateContent>
      </w:r>
    </w:p>
    <w:p w:rsidR="00641E61" w:rsidRPr="00AB0435" w:rsidRDefault="00641E61" w:rsidP="00641E61">
      <w:pPr>
        <w:spacing w:line="600" w:lineRule="exact"/>
        <w:jc w:val="both"/>
        <w:rPr>
          <w:rFonts w:ascii="微軟正黑體" w:eastAsia="微軟正黑體" w:hAnsi="微軟正黑體" w:cstheme="minorHAnsi"/>
          <w:sz w:val="40"/>
          <w:szCs w:val="40"/>
        </w:rPr>
      </w:pPr>
      <w:r w:rsidRPr="00AB0435">
        <w:rPr>
          <w:rFonts w:ascii="微軟正黑體" w:eastAsia="微軟正黑體" w:hAnsi="微軟正黑體" w:cstheme="minorHAnsi" w:hint="eastAsia"/>
          <w:sz w:val="40"/>
          <w:szCs w:val="40"/>
        </w:rPr>
        <w:t>壹、前言</w:t>
      </w:r>
    </w:p>
    <w:p w:rsidR="00641E61" w:rsidRPr="00AB0435" w:rsidRDefault="00641E61" w:rsidP="00641E61">
      <w:pPr>
        <w:spacing w:line="600" w:lineRule="exact"/>
        <w:rPr>
          <w:rFonts w:ascii="微軟正黑體" w:eastAsia="微軟正黑體" w:hAnsi="微軟正黑體" w:cstheme="minorHAnsi"/>
          <w:sz w:val="40"/>
          <w:szCs w:val="40"/>
        </w:rPr>
      </w:pPr>
      <w:r w:rsidRPr="00AB0435">
        <w:rPr>
          <w:rFonts w:ascii="微軟正黑體" w:eastAsia="微軟正黑體" w:hAnsi="微軟正黑體" w:cstheme="minorHAnsi" w:hint="eastAsia"/>
          <w:sz w:val="40"/>
          <w:szCs w:val="40"/>
        </w:rPr>
        <w:t>貳、各國制度整理</w:t>
      </w:r>
    </w:p>
    <w:p w:rsidR="00641E61" w:rsidRPr="00AB0435" w:rsidRDefault="00641E61" w:rsidP="00641E61">
      <w:pPr>
        <w:spacing w:line="600" w:lineRule="exact"/>
        <w:jc w:val="both"/>
        <w:rPr>
          <w:rFonts w:ascii="微軟正黑體" w:eastAsia="微軟正黑體" w:hAnsi="微軟正黑體" w:cstheme="minorHAnsi"/>
          <w:sz w:val="40"/>
          <w:szCs w:val="40"/>
        </w:rPr>
      </w:pPr>
      <w:r w:rsidRPr="00AB0435">
        <w:rPr>
          <w:rFonts w:ascii="微軟正黑體" w:eastAsia="微軟正黑體" w:hAnsi="微軟正黑體" w:cstheme="minorHAnsi" w:hint="eastAsia"/>
          <w:sz w:val="40"/>
          <w:szCs w:val="40"/>
        </w:rPr>
        <w:t>參、結論</w:t>
      </w:r>
    </w:p>
    <w:p w:rsidR="00603C74" w:rsidRDefault="00603C74" w:rsidP="000656C6">
      <w:pPr>
        <w:snapToGrid w:val="0"/>
        <w:spacing w:line="600" w:lineRule="exact"/>
        <w:jc w:val="center"/>
        <w:rPr>
          <w:rFonts w:ascii="微軟正黑體" w:eastAsia="微軟正黑體" w:hAnsi="微軟正黑體"/>
          <w:b/>
        </w:rPr>
      </w:pPr>
    </w:p>
    <w:p w:rsidR="00E705DE" w:rsidRPr="000656C6" w:rsidRDefault="00E705DE" w:rsidP="000656C6">
      <w:pPr>
        <w:snapToGrid w:val="0"/>
        <w:spacing w:line="600" w:lineRule="exact"/>
        <w:jc w:val="center"/>
        <w:rPr>
          <w:rFonts w:ascii="微軟正黑體" w:eastAsia="微軟正黑體" w:hAnsi="微軟正黑體"/>
          <w:b/>
        </w:rPr>
      </w:pPr>
    </w:p>
    <w:p w:rsidR="00603C74" w:rsidRDefault="005D4F5E" w:rsidP="00AB35C0">
      <w:pPr>
        <w:snapToGrid w:val="0"/>
        <w:spacing w:line="400" w:lineRule="exact"/>
        <w:jc w:val="center"/>
        <w:rPr>
          <w:rFonts w:ascii="微軟正黑體" w:eastAsia="微軟正黑體" w:hAnsi="微軟正黑體"/>
          <w:b/>
          <w:sz w:val="36"/>
          <w:szCs w:val="36"/>
        </w:rPr>
      </w:pPr>
      <w:r>
        <w:rPr>
          <w:rFonts w:ascii="微軟正黑體" w:eastAsia="微軟正黑體" w:hAnsi="微軟正黑體" w:hint="eastAsia"/>
          <w:b/>
          <w:sz w:val="36"/>
          <w:szCs w:val="36"/>
        </w:rPr>
        <w:t>摘  要</w:t>
      </w:r>
    </w:p>
    <w:p w:rsidR="005741AE" w:rsidRPr="008B122E" w:rsidRDefault="005741AE" w:rsidP="00C71C46">
      <w:pPr>
        <w:spacing w:beforeLines="150" w:before="540" w:line="400" w:lineRule="exact"/>
        <w:ind w:firstLineChars="200" w:firstLine="480"/>
        <w:jc w:val="both"/>
        <w:rPr>
          <w:rFonts w:ascii="微軟正黑體" w:eastAsia="微軟正黑體" w:hAnsi="微軟正黑體"/>
        </w:rPr>
      </w:pPr>
      <w:r w:rsidRPr="008B122E">
        <w:rPr>
          <w:rFonts w:ascii="微軟正黑體" w:eastAsia="微軟正黑體" w:hAnsi="微軟正黑體" w:hint="eastAsia"/>
        </w:rPr>
        <w:t>當跨國移動頻繁下，每一個經濟體都需要面對移工的社會安全保障議題，特別是跨國移工的老年保障更是值得思考。國際勞工組織認為，未來的勞動世界需要強而有力、及時因應的社會保護制度，因此，應以集體和風險共同承擔為原則，以滿足人們整體生命週期需要支持的需求─從出生到老年全面涵蓋的社會保護(加強社會保障)。此目的有賴建立社會保護基本網，為每一位有需要的人提供基本水平的保護，並輔以繳費型社會保險計畫或方案，以提供更具品質之保護。</w:t>
      </w:r>
    </w:p>
    <w:p w:rsidR="005741AE" w:rsidRPr="008B122E" w:rsidRDefault="005741AE" w:rsidP="00C71C46">
      <w:pPr>
        <w:spacing w:beforeLines="30" w:before="108" w:line="400" w:lineRule="exact"/>
        <w:ind w:firstLineChars="200" w:firstLine="480"/>
        <w:jc w:val="both"/>
        <w:rPr>
          <w:rFonts w:ascii="微軟正黑體" w:eastAsia="微軟正黑體" w:hAnsi="微軟正黑體"/>
        </w:rPr>
      </w:pPr>
      <w:r w:rsidRPr="008B122E">
        <w:rPr>
          <w:rFonts w:ascii="微軟正黑體" w:eastAsia="微軟正黑體" w:hAnsi="微軟正黑體" w:hint="eastAsia"/>
        </w:rPr>
        <w:t>目前跨國工作者的老年經濟安全，很可能受限於各國的社會保險制度缺乏通算機制，亦即在個別國家中無法達成或部分達成社會保險的老年給付。因此，跨國勞工雖然都有繳納社會保險費，但是有可能在單一國家中老年給付的額度不足，甚至沒有老年給付。所以我國若希望與他國建立通算機制(或稱為社會安全協定)</w:t>
      </w:r>
      <w:r w:rsidR="0054634E">
        <w:rPr>
          <w:rFonts w:ascii="微軟正黑體" w:eastAsia="微軟正黑體" w:hAnsi="微軟正黑體" w:hint="eastAsia"/>
        </w:rPr>
        <w:t>，</w:t>
      </w:r>
      <w:r w:rsidRPr="008B122E">
        <w:rPr>
          <w:rFonts w:ascii="微軟正黑體" w:eastAsia="微軟正黑體" w:hAnsi="微軟正黑體" w:hint="eastAsia"/>
        </w:rPr>
        <w:t>充分的資訊是協商洽簽社會安全協議的基礎，故相關資訊的交換最可優先協商，如相關法規與執行與往來人數統計等。</w:t>
      </w:r>
    </w:p>
    <w:p w:rsidR="00603C74" w:rsidRPr="008B122E" w:rsidRDefault="005741AE" w:rsidP="000827B0">
      <w:pPr>
        <w:spacing w:beforeLines="30" w:before="108" w:line="400" w:lineRule="exact"/>
        <w:rPr>
          <w:rFonts w:ascii="微軟正黑體" w:eastAsia="微軟正黑體" w:hAnsi="微軟正黑體"/>
        </w:rPr>
      </w:pPr>
      <w:r w:rsidRPr="008B122E">
        <w:rPr>
          <w:rFonts w:ascii="微軟正黑體" w:eastAsia="微軟正黑體" w:hAnsi="微軟正黑體" w:hint="eastAsia"/>
        </w:rPr>
        <w:t xml:space="preserve">    這幾年雖然受陷於COVID-19疫情，許多勞工無法跨國工作，但可以思考疫情之後，若隨著跨國移工人數增加，他們的社會安全給付如何獲得，此議題廣受各國重視；因為移工會跨國移動，但社會安全的請領資格不會跨國移動；假使社會安全給付的跨國可攜帶程度不足，則會影響移工的社會安全權利和人權。因此未來社會安全協定的簽訂，將會影響跨國勞工的老年經濟安全。</w:t>
      </w:r>
    </w:p>
    <w:p w:rsidR="00603C74" w:rsidRPr="005713A9" w:rsidRDefault="00603C74" w:rsidP="005713A9">
      <w:pPr>
        <w:snapToGrid w:val="0"/>
        <w:spacing w:line="400" w:lineRule="exact"/>
        <w:ind w:leftChars="650" w:left="1560"/>
        <w:rPr>
          <w:rFonts w:ascii="微軟正黑體" w:eastAsia="微軟正黑體" w:hAnsi="微軟正黑體"/>
          <w:b/>
        </w:rPr>
      </w:pPr>
    </w:p>
    <w:p w:rsidR="0012316D" w:rsidRPr="00F0717A" w:rsidRDefault="0012316D" w:rsidP="00B7080F">
      <w:pPr>
        <w:spacing w:line="400" w:lineRule="exact"/>
        <w:rPr>
          <w:rFonts w:ascii="微軟正黑體" w:eastAsia="微軟正黑體" w:hAnsi="微軟正黑體"/>
        </w:rPr>
        <w:sectPr w:rsidR="0012316D" w:rsidRPr="00F0717A" w:rsidSect="003F5FBF">
          <w:headerReference w:type="default" r:id="rId131"/>
          <w:pgSz w:w="11906" w:h="16838"/>
          <w:pgMar w:top="1134" w:right="1418" w:bottom="1134" w:left="1418" w:header="340" w:footer="340" w:gutter="0"/>
          <w:cols w:space="425"/>
          <w:docGrid w:type="lines" w:linePitch="360"/>
        </w:sectPr>
      </w:pPr>
    </w:p>
    <w:p w:rsidR="00821A46" w:rsidRPr="003A7AE4" w:rsidRDefault="00821A46" w:rsidP="00821A46">
      <w:pPr>
        <w:spacing w:line="400" w:lineRule="exact"/>
        <w:jc w:val="center"/>
        <w:rPr>
          <w:rFonts w:ascii="微軟正黑體" w:eastAsia="微軟正黑體" w:hAnsi="微軟正黑體" w:cstheme="minorHAnsi"/>
          <w:b/>
          <w:sz w:val="32"/>
          <w:szCs w:val="32"/>
        </w:rPr>
      </w:pPr>
      <w:bookmarkStart w:id="10" w:name="_Toc328419515"/>
      <w:bookmarkStart w:id="11" w:name="_Toc339632670"/>
      <w:bookmarkStart w:id="12" w:name="_Toc339633542"/>
      <w:bookmarkStart w:id="13" w:name="_Toc344151677"/>
      <w:bookmarkStart w:id="14" w:name="_Toc344169627"/>
      <w:bookmarkStart w:id="15" w:name="_Toc12403314"/>
      <w:bookmarkStart w:id="16" w:name="_Toc12406078"/>
      <w:bookmarkStart w:id="17" w:name="_Toc20921266"/>
      <w:bookmarkStart w:id="18" w:name="_Toc21116552"/>
      <w:bookmarkStart w:id="19" w:name="_Toc21118926"/>
      <w:bookmarkStart w:id="20" w:name="_Toc21165006"/>
      <w:r w:rsidRPr="003A7AE4">
        <w:rPr>
          <w:rFonts w:ascii="微軟正黑體" w:eastAsia="微軟正黑體" w:hAnsi="微軟正黑體" w:cstheme="minorHAnsi" w:hint="eastAsia"/>
          <w:b/>
          <w:sz w:val="32"/>
          <w:szCs w:val="32"/>
        </w:rPr>
        <w:lastRenderedPageBreak/>
        <w:t>壹、前言</w:t>
      </w:r>
    </w:p>
    <w:p w:rsidR="00821A46" w:rsidRDefault="00821A46" w:rsidP="00821A46">
      <w:pPr>
        <w:spacing w:beforeLines="150" w:before="360"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根據世界衛生組織</w:t>
      </w:r>
      <w:r w:rsidRPr="003A7AE4">
        <w:rPr>
          <w:rFonts w:ascii="微軟正黑體" w:eastAsia="微軟正黑體" w:hAnsi="微軟正黑體"/>
        </w:rPr>
        <w:t>(World Health Organization, WHO)</w:t>
      </w:r>
      <w:r w:rsidRPr="003A7AE4">
        <w:rPr>
          <w:rFonts w:ascii="微軟正黑體" w:eastAsia="微軟正黑體" w:hAnsi="微軟正黑體" w:hint="eastAsia"/>
        </w:rPr>
        <w:t>定義，一個國家</w:t>
      </w:r>
      <w:r w:rsidRPr="003A7AE4">
        <w:rPr>
          <w:rFonts w:ascii="微軟正黑體" w:eastAsia="微軟正黑體" w:hAnsi="微軟正黑體"/>
        </w:rPr>
        <w:t>65</w:t>
      </w:r>
      <w:r w:rsidRPr="003A7AE4">
        <w:rPr>
          <w:rFonts w:ascii="微軟正黑體" w:eastAsia="微軟正黑體" w:hAnsi="微軟正黑體" w:hint="eastAsia"/>
        </w:rPr>
        <w:t>歲以上人口占總人口比率達</w:t>
      </w:r>
      <w:r w:rsidRPr="003A7AE4">
        <w:rPr>
          <w:rFonts w:ascii="微軟正黑體" w:eastAsia="微軟正黑體" w:hAnsi="微軟正黑體"/>
        </w:rPr>
        <w:t>7%</w:t>
      </w:r>
      <w:r w:rsidRPr="003A7AE4">
        <w:rPr>
          <w:rFonts w:ascii="微軟正黑體" w:eastAsia="微軟正黑體" w:hAnsi="微軟正黑體" w:hint="eastAsia"/>
        </w:rPr>
        <w:t>、</w:t>
      </w:r>
      <w:r w:rsidRPr="003A7AE4">
        <w:rPr>
          <w:rFonts w:ascii="微軟正黑體" w:eastAsia="微軟正黑體" w:hAnsi="微軟正黑體"/>
        </w:rPr>
        <w:t>14%</w:t>
      </w:r>
      <w:r w:rsidRPr="003A7AE4">
        <w:rPr>
          <w:rFonts w:ascii="微軟正黑體" w:eastAsia="微軟正黑體" w:hAnsi="微軟正黑體" w:hint="eastAsia"/>
        </w:rPr>
        <w:t>及</w:t>
      </w:r>
      <w:r w:rsidRPr="003A7AE4">
        <w:rPr>
          <w:rFonts w:ascii="微軟正黑體" w:eastAsia="微軟正黑體" w:hAnsi="微軟正黑體"/>
        </w:rPr>
        <w:t>20%</w:t>
      </w:r>
      <w:r w:rsidRPr="003A7AE4">
        <w:rPr>
          <w:rFonts w:ascii="微軟正黑體" w:eastAsia="微軟正黑體" w:hAnsi="微軟正黑體" w:hint="eastAsia"/>
        </w:rPr>
        <w:t>，分別稱為高齡化社會</w:t>
      </w:r>
      <w:r w:rsidRPr="003A7AE4">
        <w:rPr>
          <w:rFonts w:ascii="微軟正黑體" w:eastAsia="微軟正黑體" w:hAnsi="微軟正黑體"/>
        </w:rPr>
        <w:t>(aging society)</w:t>
      </w:r>
      <w:r w:rsidRPr="003A7AE4">
        <w:rPr>
          <w:rFonts w:ascii="微軟正黑體" w:eastAsia="微軟正黑體" w:hAnsi="微軟正黑體" w:hint="eastAsia"/>
        </w:rPr>
        <w:t>、高齡社會</w:t>
      </w:r>
      <w:r w:rsidRPr="003A7AE4">
        <w:rPr>
          <w:rFonts w:ascii="微軟正黑體" w:eastAsia="微軟正黑體" w:hAnsi="微軟正黑體"/>
        </w:rPr>
        <w:t>(aged society)</w:t>
      </w:r>
      <w:r w:rsidRPr="003A7AE4">
        <w:rPr>
          <w:rFonts w:ascii="微軟正黑體" w:eastAsia="微軟正黑體" w:hAnsi="微軟正黑體" w:hint="eastAsia"/>
        </w:rPr>
        <w:t>及超高齡社會</w:t>
      </w:r>
      <w:r w:rsidRPr="003A7AE4">
        <w:rPr>
          <w:rFonts w:ascii="微軟正黑體" w:eastAsia="微軟正黑體" w:hAnsi="微軟正黑體"/>
        </w:rPr>
        <w:t>(Super-aged society)</w:t>
      </w:r>
      <w:r w:rsidRPr="003A7AE4">
        <w:rPr>
          <w:rFonts w:ascii="微軟正黑體" w:eastAsia="微軟正黑體" w:hAnsi="微軟正黑體" w:hint="eastAsia"/>
        </w:rPr>
        <w:t>。</w:t>
      </w:r>
      <w:r w:rsidRPr="003A7AE4">
        <w:rPr>
          <w:rFonts w:ascii="微軟正黑體" w:eastAsia="微軟正黑體" w:hAnsi="微軟正黑體"/>
        </w:rPr>
        <w:t>2018</w:t>
      </w:r>
      <w:r w:rsidRPr="003A7AE4">
        <w:rPr>
          <w:rFonts w:ascii="微軟正黑體" w:eastAsia="微軟正黑體" w:hAnsi="微軟正黑體" w:hint="eastAsia"/>
        </w:rPr>
        <w:t>年我國</w:t>
      </w:r>
      <w:r w:rsidRPr="003A7AE4">
        <w:rPr>
          <w:rFonts w:ascii="微軟正黑體" w:eastAsia="微軟正黑體" w:hAnsi="微軟正黑體"/>
        </w:rPr>
        <w:t>65</w:t>
      </w:r>
      <w:r w:rsidRPr="003A7AE4">
        <w:rPr>
          <w:rFonts w:ascii="微軟正黑體" w:eastAsia="微軟正黑體" w:hAnsi="微軟正黑體" w:hint="eastAsia"/>
        </w:rPr>
        <w:t>歲以上人口占總人口比率達到</w:t>
      </w:r>
      <w:r w:rsidRPr="003A7AE4">
        <w:rPr>
          <w:rFonts w:ascii="微軟正黑體" w:eastAsia="微軟正黑體" w:hAnsi="微軟正黑體"/>
        </w:rPr>
        <w:t>14.6%(343</w:t>
      </w:r>
      <w:r w:rsidRPr="003A7AE4">
        <w:rPr>
          <w:rFonts w:ascii="微軟正黑體" w:eastAsia="微軟正黑體" w:hAnsi="微軟正黑體" w:hint="eastAsia"/>
        </w:rPr>
        <w:t>萬人</w:t>
      </w:r>
      <w:r w:rsidRPr="003A7AE4">
        <w:rPr>
          <w:rFonts w:ascii="微軟正黑體" w:eastAsia="微軟正黑體" w:hAnsi="微軟正黑體"/>
        </w:rPr>
        <w:t>)</w:t>
      </w:r>
      <w:r w:rsidRPr="003A7AE4">
        <w:rPr>
          <w:rFonts w:ascii="微軟正黑體" w:eastAsia="微軟正黑體" w:hAnsi="微軟正黑體" w:hint="eastAsia"/>
        </w:rPr>
        <w:t>，正式成為高齡社會，預估歷時</w:t>
      </w:r>
      <w:r w:rsidRPr="003A7AE4">
        <w:rPr>
          <w:rFonts w:ascii="微軟正黑體" w:eastAsia="微軟正黑體" w:hAnsi="微軟正黑體"/>
        </w:rPr>
        <w:t>7</w:t>
      </w:r>
      <w:r w:rsidRPr="003A7AE4">
        <w:rPr>
          <w:rFonts w:ascii="微軟正黑體" w:eastAsia="微軟正黑體" w:hAnsi="微軟正黑體" w:hint="eastAsia"/>
        </w:rPr>
        <w:t>年，於</w:t>
      </w:r>
      <w:r w:rsidRPr="003A7AE4">
        <w:rPr>
          <w:rFonts w:ascii="微軟正黑體" w:eastAsia="微軟正黑體" w:hAnsi="微軟正黑體"/>
        </w:rPr>
        <w:t>2025</w:t>
      </w:r>
      <w:r w:rsidRPr="003A7AE4">
        <w:rPr>
          <w:rFonts w:ascii="微軟正黑體" w:eastAsia="微軟正黑體" w:hAnsi="微軟正黑體" w:hint="eastAsia"/>
        </w:rPr>
        <w:t>年再增加為</w:t>
      </w:r>
      <w:r w:rsidRPr="003A7AE4">
        <w:rPr>
          <w:rFonts w:ascii="微軟正黑體" w:eastAsia="微軟正黑體" w:hAnsi="微軟正黑體"/>
        </w:rPr>
        <w:t>20.1%(470</w:t>
      </w:r>
      <w:r w:rsidRPr="003A7AE4">
        <w:rPr>
          <w:rFonts w:ascii="微軟正黑體" w:eastAsia="微軟正黑體" w:hAnsi="微軟正黑體" w:hint="eastAsia"/>
        </w:rPr>
        <w:t>萬人</w:t>
      </w:r>
      <w:r w:rsidRPr="003A7AE4">
        <w:rPr>
          <w:rFonts w:ascii="微軟正黑體" w:eastAsia="微軟正黑體" w:hAnsi="微軟正黑體"/>
        </w:rPr>
        <w:t>)</w:t>
      </w:r>
      <w:r w:rsidRPr="003A7AE4">
        <w:rPr>
          <w:rFonts w:ascii="微軟正黑體" w:eastAsia="微軟正黑體" w:hAnsi="微軟正黑體" w:hint="eastAsia"/>
        </w:rPr>
        <w:t>，邁入超高齡社會，快於美國的</w:t>
      </w:r>
      <w:r w:rsidRPr="003A7AE4">
        <w:rPr>
          <w:rFonts w:ascii="微軟正黑體" w:eastAsia="微軟正黑體" w:hAnsi="微軟正黑體"/>
        </w:rPr>
        <w:t>15</w:t>
      </w:r>
      <w:r w:rsidRPr="003A7AE4">
        <w:rPr>
          <w:rFonts w:ascii="微軟正黑體" w:eastAsia="微軟正黑體" w:hAnsi="微軟正黑體" w:hint="eastAsia"/>
        </w:rPr>
        <w:t>年與日本的</w:t>
      </w:r>
      <w:r w:rsidRPr="003A7AE4">
        <w:rPr>
          <w:rFonts w:ascii="微軟正黑體" w:eastAsia="微軟正黑體" w:hAnsi="微軟正黑體"/>
        </w:rPr>
        <w:t>11</w:t>
      </w:r>
      <w:r>
        <w:rPr>
          <w:rFonts w:ascii="微軟正黑體" w:eastAsia="微軟正黑體" w:hAnsi="微軟正黑體" w:hint="eastAsia"/>
        </w:rPr>
        <w:t>年，並與韓國、新加坡相似(</w:t>
      </w:r>
      <w:r w:rsidRPr="003A7AE4">
        <w:rPr>
          <w:rFonts w:ascii="微軟正黑體" w:eastAsia="微軟正黑體" w:hAnsi="微軟正黑體" w:hint="eastAsia"/>
        </w:rPr>
        <w:t>參下</w:t>
      </w:r>
      <w:r w:rsidR="000D05BC">
        <w:rPr>
          <w:rFonts w:ascii="微軟正黑體" w:eastAsia="微軟正黑體" w:hAnsi="微軟正黑體" w:hint="eastAsia"/>
        </w:rPr>
        <w:t>表1</w:t>
      </w:r>
      <w:r>
        <w:rPr>
          <w:rFonts w:ascii="微軟正黑體" w:eastAsia="微軟正黑體" w:hAnsi="微軟正黑體" w:hint="eastAsia"/>
        </w:rPr>
        <w:t>)</w:t>
      </w:r>
      <w:r w:rsidRPr="003A7AE4">
        <w:rPr>
          <w:rFonts w:ascii="微軟正黑體" w:eastAsia="微軟正黑體" w:hAnsi="微軟正黑體" w:hint="eastAsia"/>
        </w:rPr>
        <w:t>，足見臺灣人口高齡化歷程之快速</w:t>
      </w:r>
      <w:r w:rsidRPr="003A7AE4">
        <w:rPr>
          <w:rFonts w:ascii="微軟正黑體" w:eastAsia="微軟正黑體" w:hAnsi="微軟正黑體"/>
        </w:rPr>
        <w:t>(</w:t>
      </w:r>
      <w:r w:rsidRPr="003A7AE4">
        <w:rPr>
          <w:rFonts w:ascii="微軟正黑體" w:eastAsia="微軟正黑體" w:hAnsi="微軟正黑體" w:hint="eastAsia"/>
        </w:rPr>
        <w:t>國家發展委員會</w:t>
      </w:r>
      <w:r>
        <w:rPr>
          <w:rFonts w:ascii="微軟正黑體" w:eastAsia="微軟正黑體" w:hAnsi="微軟正黑體" w:hint="eastAsia"/>
        </w:rPr>
        <w:t xml:space="preserve">, </w:t>
      </w:r>
      <w:r w:rsidRPr="003A7AE4">
        <w:rPr>
          <w:rFonts w:ascii="微軟正黑體" w:eastAsia="微軟正黑體" w:hAnsi="微軟正黑體"/>
        </w:rPr>
        <w:t>2020)</w:t>
      </w:r>
      <w:r w:rsidRPr="003A7AE4">
        <w:rPr>
          <w:rFonts w:ascii="微軟正黑體" w:eastAsia="微軟正黑體" w:hAnsi="微軟正黑體" w:hint="eastAsia"/>
        </w:rPr>
        <w:t>。</w:t>
      </w:r>
    </w:p>
    <w:p w:rsidR="00821A46" w:rsidRDefault="00821A46" w:rsidP="00821A46">
      <w:pPr>
        <w:spacing w:beforeLines="30" w:before="72" w:line="400" w:lineRule="exact"/>
        <w:ind w:firstLineChars="200" w:firstLine="480"/>
        <w:jc w:val="both"/>
        <w:rPr>
          <w:rFonts w:ascii="微軟正黑體" w:eastAsia="微軟正黑體" w:hAnsi="微軟正黑體" w:cs="Times New Roman"/>
        </w:rPr>
      </w:pPr>
    </w:p>
    <w:p w:rsidR="00821A46" w:rsidRPr="003A7AE4" w:rsidRDefault="00821A46" w:rsidP="00821A46">
      <w:pPr>
        <w:spacing w:afterLines="30" w:after="72" w:line="400" w:lineRule="exact"/>
        <w:ind w:firstLineChars="200" w:firstLine="480"/>
        <w:jc w:val="center"/>
        <w:rPr>
          <w:rFonts w:ascii="微軟正黑體" w:eastAsia="微軟正黑體" w:hAnsi="微軟正黑體" w:cs="Times New Roman"/>
        </w:rPr>
      </w:pPr>
      <w:r w:rsidRPr="003A7AE4">
        <w:rPr>
          <w:rFonts w:ascii="微軟正黑體" w:eastAsia="微軟正黑體" w:hAnsi="微軟正黑體" w:cs="Times New Roman" w:hint="eastAsia"/>
        </w:rPr>
        <w:t>表</w:t>
      </w:r>
      <w:r w:rsidRPr="003A7AE4">
        <w:rPr>
          <w:rFonts w:ascii="微軟正黑體" w:eastAsia="微軟正黑體" w:hAnsi="微軟正黑體" w:cs="Times New Roman"/>
        </w:rPr>
        <w:t>1</w:t>
      </w:r>
      <w:r>
        <w:rPr>
          <w:rFonts w:ascii="微軟正黑體" w:eastAsia="微軟正黑體" w:hAnsi="微軟正黑體" w:cs="Times New Roman" w:hint="eastAsia"/>
        </w:rPr>
        <w:t xml:space="preserve">  </w:t>
      </w:r>
      <w:r w:rsidRPr="003A7AE4">
        <w:rPr>
          <w:rFonts w:ascii="微軟正黑體" w:eastAsia="微軟正黑體" w:hAnsi="微軟正黑體" w:cs="Times New Roman" w:hint="eastAsia"/>
        </w:rPr>
        <w:t>主要國家高齡化轉變速度</w:t>
      </w:r>
    </w:p>
    <w:tbl>
      <w:tblPr>
        <w:tblStyle w:val="a5"/>
        <w:tblW w:w="0" w:type="auto"/>
        <w:jc w:val="center"/>
        <w:tblLook w:val="04A0" w:firstRow="1" w:lastRow="0" w:firstColumn="1" w:lastColumn="0" w:noHBand="0" w:noVBand="1"/>
      </w:tblPr>
      <w:tblGrid>
        <w:gridCol w:w="1701"/>
        <w:gridCol w:w="2693"/>
        <w:gridCol w:w="2410"/>
        <w:gridCol w:w="2268"/>
      </w:tblGrid>
      <w:tr w:rsidR="00821A46" w:rsidRPr="003A7AE4" w:rsidTr="008F1977">
        <w:trPr>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8F1977" w:rsidRDefault="00821A46" w:rsidP="00C71C46">
            <w:pPr>
              <w:pStyle w:val="ae"/>
              <w:spacing w:line="400" w:lineRule="exact"/>
              <w:jc w:val="center"/>
              <w:rPr>
                <w:rFonts w:ascii="微軟正黑體" w:eastAsia="微軟正黑體" w:hAnsi="微軟正黑體" w:cs="Times New Roman"/>
                <w:b/>
              </w:rPr>
            </w:pPr>
            <w:r w:rsidRPr="008F1977">
              <w:rPr>
                <w:rFonts w:ascii="微軟正黑體" w:eastAsia="微軟正黑體" w:hAnsi="微軟正黑體" w:cs="Times New Roman" w:hint="eastAsia"/>
                <w:b/>
                <w:color w:val="FFFFFF" w:themeColor="background1"/>
              </w:rPr>
              <w:t>國別</w:t>
            </w:r>
          </w:p>
        </w:tc>
        <w:tc>
          <w:tcPr>
            <w:tcW w:w="5103" w:type="dxa"/>
            <w:gridSpan w:val="2"/>
            <w:tcBorders>
              <w:top w:val="single" w:sz="4" w:space="0" w:color="auto"/>
              <w:left w:val="single" w:sz="4" w:space="0" w:color="auto"/>
              <w:bottom w:val="single" w:sz="4" w:space="0" w:color="auto"/>
              <w:right w:val="single" w:sz="4" w:space="0" w:color="auto"/>
            </w:tcBorders>
            <w:shd w:val="clear" w:color="auto" w:fill="4BACC6" w:themeFill="accent5"/>
            <w:hideMark/>
          </w:tcPr>
          <w:p w:rsidR="00821A46" w:rsidRPr="008F1977" w:rsidRDefault="00821A46" w:rsidP="00C71C46">
            <w:pPr>
              <w:pStyle w:val="ae"/>
              <w:spacing w:line="400" w:lineRule="exact"/>
              <w:jc w:val="center"/>
              <w:rPr>
                <w:rFonts w:ascii="微軟正黑體" w:eastAsia="微軟正黑體" w:hAnsi="微軟正黑體" w:cs="Times New Roman"/>
                <w:b/>
              </w:rPr>
            </w:pPr>
            <w:r w:rsidRPr="008F1977">
              <w:rPr>
                <w:rFonts w:ascii="微軟正黑體" w:eastAsia="微軟正黑體" w:hAnsi="微軟正黑體" w:cs="Times New Roman"/>
                <w:b/>
                <w:color w:val="FFFFFF" w:themeColor="background1"/>
              </w:rPr>
              <w:t>65</w:t>
            </w:r>
            <w:r w:rsidRPr="008F1977">
              <w:rPr>
                <w:rFonts w:ascii="微軟正黑體" w:eastAsia="微軟正黑體" w:hAnsi="微軟正黑體" w:cs="Times New Roman" w:hint="eastAsia"/>
                <w:b/>
                <w:color w:val="FFFFFF" w:themeColor="background1"/>
              </w:rPr>
              <w:t>歲以上人口所占比率達到年度</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8F1977" w:rsidRDefault="00821A46" w:rsidP="00C71C46">
            <w:pPr>
              <w:pStyle w:val="ae"/>
              <w:spacing w:line="400" w:lineRule="exact"/>
              <w:jc w:val="center"/>
              <w:rPr>
                <w:rFonts w:ascii="微軟正黑體" w:eastAsia="微軟正黑體" w:hAnsi="微軟正黑體" w:cs="Times New Roman"/>
                <w:b/>
              </w:rPr>
            </w:pPr>
            <w:r w:rsidRPr="008F1977">
              <w:rPr>
                <w:rFonts w:ascii="微軟正黑體" w:eastAsia="微軟正黑體" w:hAnsi="微軟正黑體" w:cs="Times New Roman" w:hint="eastAsia"/>
                <w:b/>
                <w:color w:val="FFFFFF" w:themeColor="background1"/>
              </w:rPr>
              <w:t>轉變所需時間(年)</w:t>
            </w:r>
          </w:p>
        </w:tc>
      </w:tr>
      <w:tr w:rsidR="00821A46" w:rsidRPr="003A7AE4" w:rsidTr="00644B21">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C71C46">
            <w:pPr>
              <w:widowControl/>
              <w:spacing w:line="400" w:lineRule="exact"/>
              <w:jc w:val="center"/>
              <w:rPr>
                <w:rFonts w:ascii="微軟正黑體" w:eastAsia="微軟正黑體" w:hAnsi="微軟正黑體" w:cs="Times New Roman"/>
                <w:sz w:val="22"/>
              </w:rPr>
            </w:pPr>
          </w:p>
        </w:tc>
        <w:tc>
          <w:tcPr>
            <w:tcW w:w="269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821A46" w:rsidRPr="00CA1CAA" w:rsidRDefault="00821A46" w:rsidP="00C71C46">
            <w:pPr>
              <w:pStyle w:val="ae"/>
              <w:spacing w:line="400" w:lineRule="exact"/>
              <w:jc w:val="center"/>
              <w:rPr>
                <w:rFonts w:ascii="微軟正黑體" w:eastAsia="微軟正黑體" w:hAnsi="微軟正黑體" w:cs="Times New Roman"/>
              </w:rPr>
            </w:pPr>
            <w:r w:rsidRPr="00CA1CAA">
              <w:rPr>
                <w:rFonts w:ascii="微軟正黑體" w:eastAsia="微軟正黑體" w:hAnsi="微軟正黑體" w:cs="Times New Roman" w:hint="eastAsia"/>
              </w:rPr>
              <w:t>高齡社會</w:t>
            </w:r>
            <w:r w:rsidRPr="00CA1CAA">
              <w:rPr>
                <w:rFonts w:ascii="微軟正黑體" w:eastAsia="微軟正黑體" w:hAnsi="微軟正黑體" w:cs="Times New Roman"/>
              </w:rPr>
              <w:t>(14%)</w:t>
            </w:r>
          </w:p>
        </w:tc>
        <w:tc>
          <w:tcPr>
            <w:tcW w:w="241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821A46" w:rsidRPr="00CA1CAA" w:rsidRDefault="00821A46" w:rsidP="00C71C46">
            <w:pPr>
              <w:pStyle w:val="ae"/>
              <w:spacing w:line="400" w:lineRule="exact"/>
              <w:jc w:val="center"/>
              <w:rPr>
                <w:rFonts w:ascii="微軟正黑體" w:eastAsia="微軟正黑體" w:hAnsi="微軟正黑體" w:cs="Times New Roman"/>
              </w:rPr>
            </w:pPr>
            <w:r w:rsidRPr="00CA1CAA">
              <w:rPr>
                <w:rFonts w:ascii="微軟正黑體" w:eastAsia="微軟正黑體" w:hAnsi="微軟正黑體" w:cs="Times New Roman" w:hint="eastAsia"/>
              </w:rPr>
              <w:t>超高齡社會</w:t>
            </w:r>
            <w:r w:rsidRPr="00CA1CAA">
              <w:rPr>
                <w:rFonts w:ascii="微軟正黑體" w:eastAsia="微軟正黑體" w:hAnsi="微軟正黑體" w:cs="Times New Roman"/>
              </w:rPr>
              <w:t>(20%)</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C71C46">
            <w:pPr>
              <w:widowControl/>
              <w:spacing w:line="400" w:lineRule="exact"/>
              <w:jc w:val="center"/>
              <w:rPr>
                <w:rFonts w:ascii="微軟正黑體" w:eastAsia="微軟正黑體" w:hAnsi="微軟正黑體" w:cs="Times New Roman"/>
                <w:sz w:val="22"/>
              </w:rPr>
            </w:pPr>
          </w:p>
        </w:tc>
      </w:tr>
      <w:tr w:rsidR="00821A46" w:rsidRPr="003A7AE4" w:rsidTr="00644B21">
        <w:trPr>
          <w:jc w:val="center"/>
        </w:trPr>
        <w:tc>
          <w:tcPr>
            <w:tcW w:w="1701"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hint="eastAsia"/>
              </w:rPr>
              <w:t>中華民國</w:t>
            </w:r>
          </w:p>
        </w:tc>
        <w:tc>
          <w:tcPr>
            <w:tcW w:w="2693"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2018</w:t>
            </w:r>
          </w:p>
        </w:tc>
        <w:tc>
          <w:tcPr>
            <w:tcW w:w="2410"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2025*</w:t>
            </w:r>
          </w:p>
        </w:tc>
        <w:tc>
          <w:tcPr>
            <w:tcW w:w="2268"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7*</w:t>
            </w:r>
          </w:p>
        </w:tc>
      </w:tr>
      <w:tr w:rsidR="00821A46" w:rsidRPr="003A7AE4" w:rsidTr="00644B21">
        <w:trPr>
          <w:jc w:val="center"/>
        </w:trPr>
        <w:tc>
          <w:tcPr>
            <w:tcW w:w="1701"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hint="eastAsia"/>
              </w:rPr>
              <w:t>日本</w:t>
            </w:r>
          </w:p>
        </w:tc>
        <w:tc>
          <w:tcPr>
            <w:tcW w:w="2693"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1994</w:t>
            </w:r>
          </w:p>
        </w:tc>
        <w:tc>
          <w:tcPr>
            <w:tcW w:w="2410"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2005</w:t>
            </w:r>
            <w:r w:rsidRPr="00480B64">
              <w:rPr>
                <w:rFonts w:ascii="微軟正黑體" w:eastAsia="微軟正黑體" w:hAnsi="微軟正黑體" w:cs="Times New Roman" w:hint="eastAsia"/>
                <w:color w:val="FFFFFF" w:themeColor="background1"/>
              </w:rPr>
              <w:t>*</w:t>
            </w:r>
          </w:p>
        </w:tc>
        <w:tc>
          <w:tcPr>
            <w:tcW w:w="2268"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11</w:t>
            </w:r>
            <w:r w:rsidRPr="00480B64">
              <w:rPr>
                <w:rFonts w:ascii="微軟正黑體" w:eastAsia="微軟正黑體" w:hAnsi="微軟正黑體" w:cs="Times New Roman" w:hint="eastAsia"/>
                <w:color w:val="FFFFFF" w:themeColor="background1"/>
              </w:rPr>
              <w:t>*</w:t>
            </w:r>
          </w:p>
        </w:tc>
      </w:tr>
      <w:tr w:rsidR="00821A46" w:rsidRPr="003A7AE4" w:rsidTr="00644B21">
        <w:trPr>
          <w:jc w:val="center"/>
        </w:trPr>
        <w:tc>
          <w:tcPr>
            <w:tcW w:w="1701"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hint="eastAsia"/>
              </w:rPr>
              <w:t>韓國</w:t>
            </w:r>
          </w:p>
        </w:tc>
        <w:tc>
          <w:tcPr>
            <w:tcW w:w="2693"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2018</w:t>
            </w:r>
          </w:p>
        </w:tc>
        <w:tc>
          <w:tcPr>
            <w:tcW w:w="2410"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2025*</w:t>
            </w:r>
          </w:p>
        </w:tc>
        <w:tc>
          <w:tcPr>
            <w:tcW w:w="2268"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7*</w:t>
            </w:r>
          </w:p>
        </w:tc>
      </w:tr>
      <w:tr w:rsidR="00821A46" w:rsidRPr="003A7AE4" w:rsidTr="00644B21">
        <w:trPr>
          <w:jc w:val="center"/>
        </w:trPr>
        <w:tc>
          <w:tcPr>
            <w:tcW w:w="1701"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hint="eastAsia"/>
              </w:rPr>
              <w:t>新加坡</w:t>
            </w:r>
          </w:p>
        </w:tc>
        <w:tc>
          <w:tcPr>
            <w:tcW w:w="2693"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2019</w:t>
            </w:r>
          </w:p>
        </w:tc>
        <w:tc>
          <w:tcPr>
            <w:tcW w:w="2410"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2028*</w:t>
            </w:r>
          </w:p>
        </w:tc>
        <w:tc>
          <w:tcPr>
            <w:tcW w:w="2268"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9*</w:t>
            </w:r>
          </w:p>
        </w:tc>
      </w:tr>
      <w:tr w:rsidR="00821A46" w:rsidRPr="003A7AE4" w:rsidTr="00644B21">
        <w:trPr>
          <w:jc w:val="center"/>
        </w:trPr>
        <w:tc>
          <w:tcPr>
            <w:tcW w:w="1701"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hint="eastAsia"/>
              </w:rPr>
              <w:t>美國</w:t>
            </w:r>
          </w:p>
        </w:tc>
        <w:tc>
          <w:tcPr>
            <w:tcW w:w="2693"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2013</w:t>
            </w:r>
          </w:p>
        </w:tc>
        <w:tc>
          <w:tcPr>
            <w:tcW w:w="2410"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2028*</w:t>
            </w:r>
          </w:p>
        </w:tc>
        <w:tc>
          <w:tcPr>
            <w:tcW w:w="2268"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15*</w:t>
            </w:r>
          </w:p>
        </w:tc>
      </w:tr>
      <w:tr w:rsidR="00821A46" w:rsidRPr="003A7AE4" w:rsidTr="00644B21">
        <w:trPr>
          <w:jc w:val="center"/>
        </w:trPr>
        <w:tc>
          <w:tcPr>
            <w:tcW w:w="1701"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hint="eastAsia"/>
              </w:rPr>
              <w:t>英國</w:t>
            </w:r>
          </w:p>
        </w:tc>
        <w:tc>
          <w:tcPr>
            <w:tcW w:w="2693"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1976</w:t>
            </w:r>
          </w:p>
        </w:tc>
        <w:tc>
          <w:tcPr>
            <w:tcW w:w="2410"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2025*</w:t>
            </w:r>
          </w:p>
        </w:tc>
        <w:tc>
          <w:tcPr>
            <w:tcW w:w="2268"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49*</w:t>
            </w:r>
          </w:p>
        </w:tc>
      </w:tr>
      <w:tr w:rsidR="00821A46" w:rsidRPr="003A7AE4" w:rsidTr="00644B21">
        <w:trPr>
          <w:jc w:val="center"/>
        </w:trPr>
        <w:tc>
          <w:tcPr>
            <w:tcW w:w="1701"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hint="eastAsia"/>
              </w:rPr>
              <w:t>法國</w:t>
            </w:r>
          </w:p>
        </w:tc>
        <w:tc>
          <w:tcPr>
            <w:tcW w:w="2693"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1991</w:t>
            </w:r>
          </w:p>
        </w:tc>
        <w:tc>
          <w:tcPr>
            <w:tcW w:w="2410"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2019*</w:t>
            </w:r>
          </w:p>
        </w:tc>
        <w:tc>
          <w:tcPr>
            <w:tcW w:w="2268"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28*</w:t>
            </w:r>
          </w:p>
        </w:tc>
      </w:tr>
      <w:tr w:rsidR="00821A46" w:rsidRPr="003A7AE4" w:rsidTr="00644B21">
        <w:trPr>
          <w:jc w:val="center"/>
        </w:trPr>
        <w:tc>
          <w:tcPr>
            <w:tcW w:w="1701"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hint="eastAsia"/>
              </w:rPr>
              <w:t>德國</w:t>
            </w:r>
          </w:p>
        </w:tc>
        <w:tc>
          <w:tcPr>
            <w:tcW w:w="2693"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1972</w:t>
            </w:r>
          </w:p>
        </w:tc>
        <w:tc>
          <w:tcPr>
            <w:tcW w:w="2410"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2008</w:t>
            </w:r>
            <w:r w:rsidRPr="00480B64">
              <w:rPr>
                <w:rFonts w:ascii="微軟正黑體" w:eastAsia="微軟正黑體" w:hAnsi="微軟正黑體" w:cs="Times New Roman" w:hint="eastAsia"/>
                <w:color w:val="FFFFFF" w:themeColor="background1"/>
              </w:rPr>
              <w:t>*</w:t>
            </w:r>
          </w:p>
        </w:tc>
        <w:tc>
          <w:tcPr>
            <w:tcW w:w="2268" w:type="dxa"/>
            <w:tcBorders>
              <w:top w:val="single" w:sz="4" w:space="0" w:color="auto"/>
              <w:left w:val="single" w:sz="4" w:space="0" w:color="auto"/>
              <w:bottom w:val="single" w:sz="4" w:space="0" w:color="auto"/>
              <w:right w:val="single" w:sz="4" w:space="0" w:color="auto"/>
            </w:tcBorders>
            <w:hideMark/>
          </w:tcPr>
          <w:p w:rsidR="00821A46" w:rsidRPr="00480B64" w:rsidRDefault="00821A46" w:rsidP="00C71C46">
            <w:pPr>
              <w:pStyle w:val="ae"/>
              <w:spacing w:line="400" w:lineRule="exact"/>
              <w:jc w:val="center"/>
              <w:rPr>
                <w:rFonts w:ascii="微軟正黑體" w:eastAsia="微軟正黑體" w:hAnsi="微軟正黑體" w:cs="Times New Roman"/>
              </w:rPr>
            </w:pPr>
            <w:r w:rsidRPr="00480B64">
              <w:rPr>
                <w:rFonts w:ascii="微軟正黑體" w:eastAsia="微軟正黑體" w:hAnsi="微軟正黑體" w:cs="Times New Roman"/>
              </w:rPr>
              <w:t>36</w:t>
            </w:r>
            <w:r w:rsidRPr="00480B64">
              <w:rPr>
                <w:rFonts w:ascii="微軟正黑體" w:eastAsia="微軟正黑體" w:hAnsi="微軟正黑體" w:cs="Times New Roman" w:hint="eastAsia"/>
                <w:color w:val="FFFFFF" w:themeColor="background1"/>
              </w:rPr>
              <w:t>*</w:t>
            </w:r>
          </w:p>
        </w:tc>
      </w:tr>
      <w:tr w:rsidR="00821A46" w:rsidRPr="003A7AE4" w:rsidTr="00644B21">
        <w:trPr>
          <w:jc w:val="center"/>
        </w:trPr>
        <w:tc>
          <w:tcPr>
            <w:tcW w:w="9072" w:type="dxa"/>
            <w:gridSpan w:val="4"/>
            <w:tcBorders>
              <w:top w:val="single" w:sz="4" w:space="0" w:color="auto"/>
              <w:left w:val="nil"/>
              <w:bottom w:val="nil"/>
              <w:right w:val="nil"/>
            </w:tcBorders>
            <w:hideMark/>
          </w:tcPr>
          <w:p w:rsidR="00821A46" w:rsidRPr="003A7AE4" w:rsidRDefault="00821A46" w:rsidP="00C71C46">
            <w:pPr>
              <w:pStyle w:val="af8"/>
              <w:spacing w:beforeLines="30" w:before="72" w:after="0" w:line="240" w:lineRule="exact"/>
              <w:jc w:val="both"/>
              <w:rPr>
                <w:rFonts w:ascii="微軟正黑體" w:eastAsia="微軟正黑體" w:hAnsi="微軟正黑體"/>
              </w:rPr>
            </w:pPr>
            <w:r w:rsidRPr="003A7AE4">
              <w:rPr>
                <w:rFonts w:ascii="微軟正黑體" w:eastAsia="微軟正黑體" w:hAnsi="微軟正黑體"/>
              </w:rPr>
              <w:t>*</w:t>
            </w:r>
            <w:r w:rsidRPr="003A7AE4">
              <w:rPr>
                <w:rFonts w:ascii="微軟正黑體" w:eastAsia="微軟正黑體" w:hAnsi="微軟正黑體" w:hint="eastAsia"/>
              </w:rPr>
              <w:t>表示為各國中推估結果，其他無標記表示為實際值。</w:t>
            </w:r>
          </w:p>
          <w:p w:rsidR="00821A46" w:rsidRPr="003A7AE4" w:rsidRDefault="00821A46" w:rsidP="00C71C46">
            <w:pPr>
              <w:pStyle w:val="af8"/>
              <w:spacing w:before="30" w:after="0" w:line="240" w:lineRule="exact"/>
              <w:jc w:val="both"/>
              <w:rPr>
                <w:rFonts w:ascii="微軟正黑體" w:eastAsia="微軟正黑體" w:hAnsi="微軟正黑體"/>
              </w:rPr>
            </w:pPr>
            <w:r>
              <w:rPr>
                <w:rFonts w:ascii="微軟正黑體" w:eastAsia="微軟正黑體" w:hAnsi="微軟正黑體" w:hint="eastAsia"/>
              </w:rPr>
              <w:t>資料來源：摘錄自國家發展委員會「中華民國人口推估(</w:t>
            </w:r>
            <w:r w:rsidRPr="003A7AE4">
              <w:rPr>
                <w:rFonts w:ascii="微軟正黑體" w:eastAsia="微軟正黑體" w:hAnsi="微軟正黑體"/>
              </w:rPr>
              <w:t>2020</w:t>
            </w:r>
            <w:r w:rsidRPr="003A7AE4">
              <w:rPr>
                <w:rFonts w:ascii="微軟正黑體" w:eastAsia="微軟正黑體" w:hAnsi="微軟正黑體" w:hint="eastAsia"/>
              </w:rPr>
              <w:t>至</w:t>
            </w:r>
            <w:r w:rsidRPr="003A7AE4">
              <w:rPr>
                <w:rFonts w:ascii="微軟正黑體" w:eastAsia="微軟正黑體" w:hAnsi="微軟正黑體"/>
              </w:rPr>
              <w:t>2070</w:t>
            </w:r>
            <w:r>
              <w:rPr>
                <w:rFonts w:ascii="微軟正黑體" w:eastAsia="微軟正黑體" w:hAnsi="微軟正黑體" w:hint="eastAsia"/>
              </w:rPr>
              <w:t>年)</w:t>
            </w:r>
            <w:r w:rsidRPr="003A7AE4">
              <w:rPr>
                <w:rFonts w:ascii="微軟正黑體" w:eastAsia="微軟正黑體" w:hAnsi="微軟正黑體" w:hint="eastAsia"/>
              </w:rPr>
              <w:t>報告」，第</w:t>
            </w:r>
            <w:r w:rsidRPr="003A7AE4">
              <w:rPr>
                <w:rFonts w:ascii="微軟正黑體" w:eastAsia="微軟正黑體" w:hAnsi="微軟正黑體"/>
              </w:rPr>
              <w:t>81</w:t>
            </w:r>
            <w:r w:rsidRPr="003A7AE4">
              <w:rPr>
                <w:rFonts w:ascii="微軟正黑體" w:eastAsia="微軟正黑體" w:hAnsi="微軟正黑體" w:hint="eastAsia"/>
              </w:rPr>
              <w:t>頁。</w:t>
            </w:r>
          </w:p>
        </w:tc>
      </w:tr>
    </w:tbl>
    <w:p w:rsidR="00821A46" w:rsidRDefault="00821A46" w:rsidP="00821A46">
      <w:pPr>
        <w:spacing w:afterLines="50" w:after="120" w:line="400" w:lineRule="exact"/>
        <w:ind w:firstLineChars="200" w:firstLine="480"/>
        <w:jc w:val="both"/>
        <w:rPr>
          <w:rFonts w:ascii="微軟正黑體" w:eastAsia="微軟正黑體" w:hAnsi="微軟正黑體"/>
        </w:rPr>
      </w:pPr>
    </w:p>
    <w:p w:rsidR="00821A46" w:rsidRDefault="00821A46" w:rsidP="00821A46">
      <w:pPr>
        <w:spacing w:afterLines="50" w:after="120" w:line="400" w:lineRule="exact"/>
        <w:ind w:firstLineChars="200" w:firstLine="480"/>
        <w:jc w:val="both"/>
        <w:rPr>
          <w:rFonts w:ascii="微軟正黑體" w:eastAsia="微軟正黑體" w:hAnsi="微軟正黑體"/>
        </w:rPr>
      </w:pPr>
      <w:r>
        <w:rPr>
          <w:rFonts w:ascii="微軟正黑體" w:eastAsia="微軟正黑體" w:hAnsi="微軟正黑體" w:hint="eastAsia"/>
        </w:rPr>
        <w:t>國家發展委員會(</w:t>
      </w:r>
      <w:r w:rsidRPr="003A7AE4">
        <w:rPr>
          <w:rFonts w:ascii="微軟正黑體" w:eastAsia="微軟正黑體" w:hAnsi="微軟正黑體"/>
        </w:rPr>
        <w:t>2020</w:t>
      </w:r>
      <w:r>
        <w:rPr>
          <w:rFonts w:ascii="微軟正黑體" w:eastAsia="微軟正黑體" w:hAnsi="微軟正黑體" w:hint="eastAsia"/>
        </w:rPr>
        <w:t>)</w:t>
      </w:r>
      <w:r w:rsidRPr="003A7AE4">
        <w:rPr>
          <w:rFonts w:ascii="微軟正黑體" w:eastAsia="微軟正黑體" w:hAnsi="微軟正黑體" w:hint="eastAsia"/>
        </w:rPr>
        <w:t>官方資料顯示，我國</w:t>
      </w:r>
      <w:r w:rsidRPr="003A7AE4">
        <w:rPr>
          <w:rFonts w:ascii="微軟正黑體" w:eastAsia="微軟正黑體" w:hAnsi="微軟正黑體"/>
        </w:rPr>
        <w:t>15</w:t>
      </w:r>
      <w:r>
        <w:rPr>
          <w:rFonts w:ascii="微軟正黑體" w:eastAsia="微軟正黑體" w:hAnsi="微軟正黑體" w:hint="eastAsia"/>
        </w:rPr>
        <w:t>-</w:t>
      </w:r>
      <w:r w:rsidRPr="003A7AE4">
        <w:rPr>
          <w:rFonts w:ascii="微軟正黑體" w:eastAsia="微軟正黑體" w:hAnsi="微軟正黑體"/>
        </w:rPr>
        <w:t>64</w:t>
      </w:r>
      <w:r w:rsidRPr="003A7AE4">
        <w:rPr>
          <w:rFonts w:ascii="微軟正黑體" w:eastAsia="微軟正黑體" w:hAnsi="微軟正黑體" w:hint="eastAsia"/>
        </w:rPr>
        <w:t>歲之工作年齡人口結構亦呈現高齡化。早在</w:t>
      </w:r>
      <w:r w:rsidRPr="003A7AE4">
        <w:rPr>
          <w:rFonts w:ascii="微軟正黑體" w:eastAsia="微軟正黑體" w:hAnsi="微軟正黑體"/>
        </w:rPr>
        <w:t>2007</w:t>
      </w:r>
      <w:r w:rsidRPr="003A7AE4">
        <w:rPr>
          <w:rFonts w:ascii="微軟正黑體" w:eastAsia="微軟正黑體" w:hAnsi="微軟正黑體" w:hint="eastAsia"/>
        </w:rPr>
        <w:t>年起，</w:t>
      </w:r>
      <w:r w:rsidRPr="003A7AE4">
        <w:rPr>
          <w:rFonts w:ascii="微軟正黑體" w:eastAsia="微軟正黑體" w:hAnsi="微軟正黑體"/>
        </w:rPr>
        <w:t>45</w:t>
      </w:r>
      <w:r>
        <w:rPr>
          <w:rFonts w:ascii="微軟正黑體" w:eastAsia="微軟正黑體" w:hAnsi="微軟正黑體" w:hint="eastAsia"/>
        </w:rPr>
        <w:t>-</w:t>
      </w:r>
      <w:r w:rsidRPr="003A7AE4">
        <w:rPr>
          <w:rFonts w:ascii="微軟正黑體" w:eastAsia="微軟正黑體" w:hAnsi="微軟正黑體"/>
        </w:rPr>
        <w:t>64</w:t>
      </w:r>
      <w:r w:rsidRPr="003A7AE4">
        <w:rPr>
          <w:rFonts w:ascii="微軟正黑體" w:eastAsia="微軟正黑體" w:hAnsi="微軟正黑體" w:hint="eastAsia"/>
        </w:rPr>
        <w:t>歲人數已取代</w:t>
      </w:r>
      <w:r>
        <w:rPr>
          <w:rFonts w:ascii="微軟正黑體" w:eastAsia="微軟正黑體" w:hAnsi="微軟正黑體"/>
        </w:rPr>
        <w:t>15</w:t>
      </w:r>
      <w:r>
        <w:rPr>
          <w:rFonts w:ascii="微軟正黑體" w:eastAsia="微軟正黑體" w:hAnsi="微軟正黑體" w:hint="eastAsia"/>
        </w:rPr>
        <w:t>-</w:t>
      </w:r>
      <w:r w:rsidRPr="003A7AE4">
        <w:rPr>
          <w:rFonts w:ascii="微軟正黑體" w:eastAsia="微軟正黑體" w:hAnsi="微軟正黑體"/>
        </w:rPr>
        <w:t>29</w:t>
      </w:r>
      <w:r w:rsidRPr="003A7AE4">
        <w:rPr>
          <w:rFonts w:ascii="微軟正黑體" w:eastAsia="微軟正黑體" w:hAnsi="微軟正黑體" w:hint="eastAsia"/>
        </w:rPr>
        <w:t>歲及</w:t>
      </w:r>
      <w:r>
        <w:rPr>
          <w:rFonts w:ascii="微軟正黑體" w:eastAsia="微軟正黑體" w:hAnsi="微軟正黑體"/>
        </w:rPr>
        <w:t>30</w:t>
      </w:r>
      <w:r>
        <w:rPr>
          <w:rFonts w:ascii="微軟正黑體" w:eastAsia="微軟正黑體" w:hAnsi="微軟正黑體" w:hint="eastAsia"/>
        </w:rPr>
        <w:t>-</w:t>
      </w:r>
      <w:r w:rsidRPr="003A7AE4">
        <w:rPr>
          <w:rFonts w:ascii="微軟正黑體" w:eastAsia="微軟正黑體" w:hAnsi="微軟正黑體"/>
        </w:rPr>
        <w:t>44</w:t>
      </w:r>
      <w:r w:rsidRPr="003A7AE4">
        <w:rPr>
          <w:rFonts w:ascii="微軟正黑體" w:eastAsia="微軟正黑體" w:hAnsi="微軟正黑體" w:hint="eastAsia"/>
        </w:rPr>
        <w:t>歲，成為主要工作年齡層，而</w:t>
      </w:r>
      <w:r>
        <w:rPr>
          <w:rFonts w:ascii="微軟正黑體" w:eastAsia="微軟正黑體" w:hAnsi="微軟正黑體"/>
        </w:rPr>
        <w:t>45</w:t>
      </w:r>
      <w:r>
        <w:rPr>
          <w:rFonts w:ascii="微軟正黑體" w:eastAsia="微軟正黑體" w:hAnsi="微軟正黑體" w:hint="eastAsia"/>
        </w:rPr>
        <w:t>-</w:t>
      </w:r>
      <w:r w:rsidRPr="003A7AE4">
        <w:rPr>
          <w:rFonts w:ascii="微軟正黑體" w:eastAsia="微軟正黑體" w:hAnsi="微軟正黑體"/>
        </w:rPr>
        <w:t>64</w:t>
      </w:r>
      <w:r w:rsidRPr="003A7AE4">
        <w:rPr>
          <w:rFonts w:ascii="微軟正黑體" w:eastAsia="微軟正黑體" w:hAnsi="微軟正黑體" w:hint="eastAsia"/>
        </w:rPr>
        <w:t>歲占工作年齡人口之比率推估，將由</w:t>
      </w:r>
      <w:r w:rsidRPr="003A7AE4">
        <w:rPr>
          <w:rFonts w:ascii="微軟正黑體" w:eastAsia="微軟正黑體" w:hAnsi="微軟正黑體"/>
        </w:rPr>
        <w:t>2020</w:t>
      </w:r>
      <w:r w:rsidRPr="003A7AE4">
        <w:rPr>
          <w:rFonts w:ascii="微軟正黑體" w:eastAsia="微軟正黑體" w:hAnsi="微軟正黑體" w:hint="eastAsia"/>
        </w:rPr>
        <w:t>年的</w:t>
      </w:r>
      <w:r w:rsidRPr="003A7AE4">
        <w:rPr>
          <w:rFonts w:ascii="微軟正黑體" w:eastAsia="微軟正黑體" w:hAnsi="微軟正黑體"/>
        </w:rPr>
        <w:t>42.1%</w:t>
      </w:r>
      <w:r w:rsidRPr="003A7AE4">
        <w:rPr>
          <w:rFonts w:ascii="微軟正黑體" w:eastAsia="微軟正黑體" w:hAnsi="微軟正黑體" w:hint="eastAsia"/>
        </w:rPr>
        <w:t>上升至</w:t>
      </w:r>
      <w:r w:rsidRPr="003A7AE4">
        <w:rPr>
          <w:rFonts w:ascii="微軟正黑體" w:eastAsia="微軟正黑體" w:hAnsi="微軟正黑體"/>
        </w:rPr>
        <w:t>2070</w:t>
      </w:r>
      <w:r w:rsidRPr="003A7AE4">
        <w:rPr>
          <w:rFonts w:ascii="微軟正黑體" w:eastAsia="微軟正黑體" w:hAnsi="微軟正黑體" w:hint="eastAsia"/>
        </w:rPr>
        <w:t>年之</w:t>
      </w:r>
      <w:r w:rsidRPr="003A7AE4">
        <w:rPr>
          <w:rFonts w:ascii="微軟正黑體" w:eastAsia="微軟正黑體" w:hAnsi="微軟正黑體"/>
        </w:rPr>
        <w:t>48.1%</w:t>
      </w:r>
      <w:r>
        <w:rPr>
          <w:rFonts w:ascii="微軟正黑體" w:eastAsia="微軟正黑體" w:hAnsi="微軟正黑體" w:hint="eastAsia"/>
        </w:rPr>
        <w:t>(中推估)</w:t>
      </w:r>
      <w:r w:rsidR="00E22F9E">
        <w:rPr>
          <w:rFonts w:ascii="微軟正黑體" w:eastAsia="微軟正黑體" w:hAnsi="微軟正黑體" w:hint="eastAsia"/>
        </w:rPr>
        <w:t>，如下表2</w:t>
      </w:r>
      <w:r>
        <w:rPr>
          <w:rFonts w:ascii="微軟正黑體" w:eastAsia="微軟正黑體" w:hAnsi="微軟正黑體" w:hint="eastAsia"/>
        </w:rPr>
        <w:t>所示，未來我國年輕工作年齡層(</w:t>
      </w:r>
      <w:r w:rsidRPr="003A7AE4">
        <w:rPr>
          <w:rFonts w:ascii="微軟正黑體" w:eastAsia="微軟正黑體" w:hAnsi="微軟正黑體"/>
        </w:rPr>
        <w:t>15</w:t>
      </w:r>
      <w:r>
        <w:rPr>
          <w:rFonts w:ascii="微軟正黑體" w:eastAsia="微軟正黑體" w:hAnsi="微軟正黑體" w:hint="eastAsia"/>
        </w:rPr>
        <w:t>-</w:t>
      </w:r>
      <w:r w:rsidRPr="003A7AE4">
        <w:rPr>
          <w:rFonts w:ascii="微軟正黑體" w:eastAsia="微軟正黑體" w:hAnsi="微軟正黑體"/>
        </w:rPr>
        <w:t>44</w:t>
      </w:r>
      <w:r>
        <w:rPr>
          <w:rFonts w:ascii="微軟正黑體" w:eastAsia="微軟正黑體" w:hAnsi="微軟正黑體" w:hint="eastAsia"/>
        </w:rPr>
        <w:t>歲)占比下降，年長年齡層(</w:t>
      </w:r>
      <w:r>
        <w:rPr>
          <w:rFonts w:ascii="微軟正黑體" w:eastAsia="微軟正黑體" w:hAnsi="微軟正黑體"/>
        </w:rPr>
        <w:t>45</w:t>
      </w:r>
      <w:r>
        <w:rPr>
          <w:rFonts w:ascii="微軟正黑體" w:eastAsia="微軟正黑體" w:hAnsi="微軟正黑體" w:hint="eastAsia"/>
        </w:rPr>
        <w:t>-</w:t>
      </w:r>
      <w:r w:rsidRPr="003A7AE4">
        <w:rPr>
          <w:rFonts w:ascii="微軟正黑體" w:eastAsia="微軟正黑體" w:hAnsi="微軟正黑體"/>
        </w:rPr>
        <w:t>64</w:t>
      </w:r>
      <w:r>
        <w:rPr>
          <w:rFonts w:ascii="微軟正黑體" w:eastAsia="微軟正黑體" w:hAnsi="微軟正黑體" w:hint="eastAsia"/>
        </w:rPr>
        <w:t>歲)</w:t>
      </w:r>
      <w:r w:rsidRPr="003A7AE4">
        <w:rPr>
          <w:rFonts w:ascii="微軟正黑體" w:eastAsia="微軟正黑體" w:hAnsi="微軟正黑體" w:hint="eastAsia"/>
        </w:rPr>
        <w:t>占比上升將成為趨勢，勞動力更趨高齡化。</w:t>
      </w:r>
    </w:p>
    <w:p w:rsidR="00821A46" w:rsidRDefault="00821A46" w:rsidP="00821A46">
      <w:pPr>
        <w:spacing w:afterLines="50" w:after="120" w:line="400" w:lineRule="exact"/>
        <w:ind w:firstLineChars="200" w:firstLine="480"/>
        <w:jc w:val="both"/>
        <w:rPr>
          <w:rFonts w:ascii="微軟正黑體" w:eastAsia="微軟正黑體" w:hAnsi="微軟正黑體"/>
        </w:rPr>
      </w:pPr>
    </w:p>
    <w:p w:rsidR="00821A46" w:rsidRDefault="00821A46" w:rsidP="00821A46">
      <w:pPr>
        <w:spacing w:afterLines="50" w:after="120" w:line="400" w:lineRule="exact"/>
        <w:ind w:firstLineChars="200" w:firstLine="480"/>
        <w:jc w:val="both"/>
        <w:rPr>
          <w:rFonts w:ascii="微軟正黑體" w:eastAsia="微軟正黑體" w:hAnsi="微軟正黑體"/>
        </w:rPr>
      </w:pPr>
    </w:p>
    <w:p w:rsidR="00821A46" w:rsidRDefault="00821A46" w:rsidP="00821A46">
      <w:pPr>
        <w:spacing w:afterLines="50" w:after="120" w:line="400" w:lineRule="exact"/>
        <w:ind w:firstLineChars="200" w:firstLine="480"/>
        <w:jc w:val="both"/>
        <w:rPr>
          <w:rFonts w:ascii="微軟正黑體" w:eastAsia="微軟正黑體" w:hAnsi="微軟正黑體"/>
        </w:rPr>
      </w:pPr>
    </w:p>
    <w:p w:rsidR="00821A46" w:rsidRDefault="00821A46" w:rsidP="00821A46">
      <w:pPr>
        <w:spacing w:afterLines="50" w:after="120" w:line="400" w:lineRule="exact"/>
        <w:ind w:firstLineChars="200" w:firstLine="480"/>
        <w:jc w:val="both"/>
        <w:rPr>
          <w:rFonts w:ascii="微軟正黑體" w:eastAsia="微軟正黑體" w:hAnsi="微軟正黑體"/>
        </w:rPr>
      </w:pPr>
    </w:p>
    <w:p w:rsidR="00821A46" w:rsidRDefault="00821A46" w:rsidP="00821A46">
      <w:pPr>
        <w:spacing w:afterLines="50" w:after="120" w:line="400" w:lineRule="exact"/>
        <w:ind w:firstLineChars="200" w:firstLine="480"/>
        <w:jc w:val="both"/>
        <w:rPr>
          <w:rFonts w:ascii="微軟正黑體" w:eastAsia="微軟正黑體" w:hAnsi="微軟正黑體"/>
        </w:rPr>
      </w:pPr>
    </w:p>
    <w:p w:rsidR="00821A46" w:rsidRPr="003A7AE4" w:rsidRDefault="00821A46" w:rsidP="00821A46">
      <w:pPr>
        <w:spacing w:afterLines="50" w:after="120" w:line="400" w:lineRule="exact"/>
        <w:ind w:firstLineChars="200" w:firstLine="480"/>
        <w:jc w:val="both"/>
        <w:rPr>
          <w:rFonts w:ascii="微軟正黑體" w:eastAsia="微軟正黑體" w:hAnsi="微軟正黑體"/>
        </w:rPr>
      </w:pPr>
    </w:p>
    <w:p w:rsidR="00821A46" w:rsidRPr="003A7AE4" w:rsidRDefault="00821A46" w:rsidP="00821A46">
      <w:pPr>
        <w:spacing w:afterLines="30" w:after="72" w:line="400" w:lineRule="exact"/>
        <w:ind w:firstLineChars="200" w:firstLine="480"/>
        <w:jc w:val="center"/>
        <w:rPr>
          <w:rFonts w:ascii="微軟正黑體" w:eastAsia="微軟正黑體" w:hAnsi="微軟正黑體" w:cs="Times New Roman"/>
        </w:rPr>
      </w:pPr>
      <w:bookmarkStart w:id="21" w:name="_Ref71830606"/>
      <w:bookmarkStart w:id="22" w:name="_Toc72227971"/>
      <w:r w:rsidRPr="003A7AE4">
        <w:rPr>
          <w:rFonts w:ascii="微軟正黑體" w:eastAsia="微軟正黑體" w:hAnsi="微軟正黑體" w:cs="Times New Roman" w:hint="eastAsia"/>
        </w:rPr>
        <w:lastRenderedPageBreak/>
        <w:t>表</w:t>
      </w:r>
      <w:bookmarkEnd w:id="21"/>
      <w:r w:rsidR="00373E04">
        <w:rPr>
          <w:rFonts w:ascii="微軟正黑體" w:eastAsia="微軟正黑體" w:hAnsi="微軟正黑體" w:cs="Times New Roman" w:hint="eastAsia"/>
        </w:rPr>
        <w:t>2</w:t>
      </w:r>
      <w:r w:rsidRPr="00CF16B4">
        <w:rPr>
          <w:rFonts w:ascii="微軟正黑體" w:eastAsia="微軟正黑體" w:hAnsi="微軟正黑體" w:cs="Times New Roman" w:hint="eastAsia"/>
        </w:rPr>
        <w:t xml:space="preserve">  </w:t>
      </w:r>
      <w:r w:rsidRPr="003A7AE4">
        <w:rPr>
          <w:rFonts w:ascii="微軟正黑體" w:eastAsia="微軟正黑體" w:hAnsi="微軟正黑體" w:cs="Times New Roman" w:hint="eastAsia"/>
        </w:rPr>
        <w:t>工作年齡人口年齡結構</w:t>
      </w:r>
      <w:bookmarkEnd w:id="22"/>
    </w:p>
    <w:tbl>
      <w:tblPr>
        <w:tblStyle w:val="a5"/>
        <w:tblW w:w="9203" w:type="dxa"/>
        <w:jc w:val="center"/>
        <w:tblLook w:val="04A0" w:firstRow="1" w:lastRow="0" w:firstColumn="1" w:lastColumn="0" w:noHBand="0" w:noVBand="1"/>
      </w:tblPr>
      <w:tblGrid>
        <w:gridCol w:w="492"/>
        <w:gridCol w:w="1217"/>
        <w:gridCol w:w="828"/>
        <w:gridCol w:w="723"/>
        <w:gridCol w:w="875"/>
        <w:gridCol w:w="833"/>
        <w:gridCol w:w="771"/>
        <w:gridCol w:w="999"/>
        <w:gridCol w:w="749"/>
        <w:gridCol w:w="767"/>
        <w:gridCol w:w="949"/>
      </w:tblGrid>
      <w:tr w:rsidR="00821A46" w:rsidRPr="00480B64" w:rsidTr="00CA1CAA">
        <w:trPr>
          <w:jc w:val="center"/>
        </w:trPr>
        <w:tc>
          <w:tcPr>
            <w:tcW w:w="1709" w:type="dxa"/>
            <w:gridSpan w:val="2"/>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jc w:val="center"/>
              <w:rPr>
                <w:rFonts w:ascii="微軟正黑體" w:eastAsia="微軟正黑體" w:hAnsi="微軟正黑體" w:cs="Times New Roman"/>
                <w:b/>
                <w:color w:val="FFFFFF" w:themeColor="background1"/>
                <w:sz w:val="22"/>
              </w:rPr>
            </w:pPr>
            <w:r w:rsidRPr="00CA1CAA">
              <w:rPr>
                <w:rFonts w:ascii="微軟正黑體" w:eastAsia="微軟正黑體" w:hAnsi="微軟正黑體" w:cs="Times New Roman" w:hint="eastAsia"/>
                <w:b/>
                <w:color w:val="FFFFFF" w:themeColor="background1"/>
                <w:sz w:val="22"/>
              </w:rPr>
              <w:t>項目</w:t>
            </w:r>
          </w:p>
        </w:tc>
        <w:tc>
          <w:tcPr>
            <w:tcW w:w="2426" w:type="dxa"/>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jc w:val="center"/>
              <w:rPr>
                <w:rFonts w:ascii="微軟正黑體" w:eastAsia="微軟正黑體" w:hAnsi="微軟正黑體" w:cs="Times New Roman"/>
                <w:b/>
                <w:color w:val="FFFFFF" w:themeColor="background1"/>
                <w:sz w:val="22"/>
              </w:rPr>
            </w:pPr>
            <w:r w:rsidRPr="00CA1CAA">
              <w:rPr>
                <w:rFonts w:ascii="微軟正黑體" w:eastAsia="微軟正黑體" w:hAnsi="微軟正黑體" w:cs="Times New Roman"/>
                <w:b/>
                <w:color w:val="FFFFFF" w:themeColor="background1"/>
                <w:sz w:val="22"/>
              </w:rPr>
              <w:t>2020</w:t>
            </w:r>
            <w:r w:rsidRPr="00CA1CAA">
              <w:rPr>
                <w:rFonts w:ascii="微軟正黑體" w:eastAsia="微軟正黑體" w:hAnsi="微軟正黑體" w:cs="新細明體" w:hint="eastAsia"/>
                <w:b/>
                <w:color w:val="FFFFFF" w:themeColor="background1"/>
                <w:sz w:val="22"/>
              </w:rPr>
              <w:t>年</w:t>
            </w:r>
          </w:p>
        </w:tc>
        <w:tc>
          <w:tcPr>
            <w:tcW w:w="2603" w:type="dxa"/>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jc w:val="center"/>
              <w:rPr>
                <w:rFonts w:ascii="微軟正黑體" w:eastAsia="微軟正黑體" w:hAnsi="微軟正黑體" w:cs="Times New Roman"/>
                <w:b/>
                <w:color w:val="FFFFFF" w:themeColor="background1"/>
                <w:sz w:val="22"/>
              </w:rPr>
            </w:pPr>
            <w:r w:rsidRPr="00CA1CAA">
              <w:rPr>
                <w:rFonts w:ascii="微軟正黑體" w:eastAsia="微軟正黑體" w:hAnsi="微軟正黑體" w:cs="Times New Roman"/>
                <w:b/>
                <w:color w:val="FFFFFF" w:themeColor="background1"/>
                <w:sz w:val="22"/>
              </w:rPr>
              <w:t>2040</w:t>
            </w:r>
            <w:r w:rsidRPr="00CA1CAA">
              <w:rPr>
                <w:rFonts w:ascii="微軟正黑體" w:eastAsia="微軟正黑體" w:hAnsi="微軟正黑體" w:cs="新細明體" w:hint="eastAsia"/>
                <w:b/>
                <w:color w:val="FFFFFF" w:themeColor="background1"/>
                <w:sz w:val="22"/>
              </w:rPr>
              <w:t>年</w:t>
            </w:r>
          </w:p>
        </w:tc>
        <w:tc>
          <w:tcPr>
            <w:tcW w:w="2465" w:type="dxa"/>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jc w:val="center"/>
              <w:rPr>
                <w:rFonts w:ascii="微軟正黑體" w:eastAsia="微軟正黑體" w:hAnsi="微軟正黑體" w:cs="Times New Roman"/>
                <w:b/>
                <w:color w:val="FFFFFF" w:themeColor="background1"/>
                <w:sz w:val="22"/>
              </w:rPr>
            </w:pPr>
            <w:r w:rsidRPr="00CA1CAA">
              <w:rPr>
                <w:rFonts w:ascii="微軟正黑體" w:eastAsia="微軟正黑體" w:hAnsi="微軟正黑體" w:cs="Times New Roman"/>
                <w:b/>
                <w:color w:val="FFFFFF" w:themeColor="background1"/>
                <w:sz w:val="22"/>
              </w:rPr>
              <w:t>2070</w:t>
            </w:r>
            <w:r w:rsidRPr="00CA1CAA">
              <w:rPr>
                <w:rFonts w:ascii="微軟正黑體" w:eastAsia="微軟正黑體" w:hAnsi="微軟正黑體" w:cs="新細明體" w:hint="eastAsia"/>
                <w:b/>
                <w:color w:val="FFFFFF" w:themeColor="background1"/>
                <w:sz w:val="22"/>
              </w:rPr>
              <w:t>年</w:t>
            </w:r>
          </w:p>
        </w:tc>
      </w:tr>
      <w:tr w:rsidR="00821A46" w:rsidRPr="00480B64" w:rsidTr="00644B21">
        <w:trPr>
          <w:trHeight w:val="1286"/>
          <w:jc w:val="center"/>
        </w:trPr>
        <w:tc>
          <w:tcPr>
            <w:tcW w:w="1709" w:type="dxa"/>
            <w:gridSpan w:val="2"/>
            <w:vMerge/>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widowControl/>
              <w:rPr>
                <w:rFonts w:ascii="微軟正黑體" w:eastAsia="微軟正黑體" w:hAnsi="微軟正黑體" w:cs="Times New Roman"/>
                <w:sz w:val="22"/>
              </w:rPr>
            </w:pPr>
          </w:p>
        </w:tc>
        <w:tc>
          <w:tcPr>
            <w:tcW w:w="8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spacing w:line="280" w:lineRule="exact"/>
              <w:ind w:leftChars="-39" w:left="-94"/>
              <w:jc w:val="center"/>
              <w:rPr>
                <w:rFonts w:ascii="微軟正黑體" w:eastAsia="微軟正黑體" w:hAnsi="微軟正黑體" w:cs="新細明體"/>
                <w:sz w:val="22"/>
              </w:rPr>
            </w:pPr>
            <w:r w:rsidRPr="00CA1CAA">
              <w:rPr>
                <w:rFonts w:ascii="微軟正黑體" w:eastAsia="微軟正黑體" w:hAnsi="微軟正黑體" w:cs="新細明體" w:hint="eastAsia"/>
                <w:sz w:val="22"/>
              </w:rPr>
              <w:t>人數</w:t>
            </w:r>
          </w:p>
          <w:p w:rsidR="00821A46" w:rsidRPr="00CA1CAA" w:rsidRDefault="00821A46" w:rsidP="00644B21">
            <w:pPr>
              <w:spacing w:line="280" w:lineRule="exact"/>
              <w:ind w:leftChars="-39" w:left="-94"/>
              <w:jc w:val="right"/>
              <w:rPr>
                <w:rFonts w:ascii="微軟正黑體" w:eastAsia="微軟正黑體" w:hAnsi="微軟正黑體" w:cs="Times New Roman"/>
                <w:sz w:val="22"/>
              </w:rPr>
            </w:pPr>
            <w:r w:rsidRPr="00CA1CAA">
              <w:rPr>
                <w:rFonts w:ascii="微軟正黑體" w:eastAsia="微軟正黑體" w:hAnsi="微軟正黑體" w:cs="Times New Roman"/>
                <w:sz w:val="22"/>
              </w:rPr>
              <w:t>(</w:t>
            </w:r>
            <w:r w:rsidRPr="00CA1CAA">
              <w:rPr>
                <w:rFonts w:ascii="微軟正黑體" w:eastAsia="微軟正黑體" w:hAnsi="微軟正黑體" w:cs="新細明體" w:hint="eastAsia"/>
                <w:sz w:val="22"/>
              </w:rPr>
              <w:t>萬人</w:t>
            </w:r>
            <w:r w:rsidRPr="00CA1CAA">
              <w:rPr>
                <w:rFonts w:ascii="微軟正黑體" w:eastAsia="微軟正黑體" w:hAnsi="微軟正黑體" w:cs="Times New Roman"/>
                <w:sz w:val="22"/>
              </w:rPr>
              <w:t>)</w:t>
            </w:r>
          </w:p>
        </w:tc>
        <w:tc>
          <w:tcPr>
            <w:tcW w:w="72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spacing w:line="280" w:lineRule="exact"/>
              <w:jc w:val="center"/>
              <w:rPr>
                <w:rFonts w:ascii="微軟正黑體" w:eastAsia="微軟正黑體" w:hAnsi="微軟正黑體" w:cs="Times New Roman"/>
                <w:sz w:val="22"/>
              </w:rPr>
            </w:pPr>
            <w:r w:rsidRPr="00CA1CAA">
              <w:rPr>
                <w:rFonts w:ascii="微軟正黑體" w:eastAsia="微軟正黑體" w:hAnsi="微軟正黑體" w:cs="新細明體" w:hint="eastAsia"/>
                <w:sz w:val="22"/>
              </w:rPr>
              <w:t>占總人口比率</w:t>
            </w:r>
            <w:r w:rsidRPr="00CA1CAA">
              <w:rPr>
                <w:rFonts w:ascii="微軟正黑體" w:eastAsia="微軟正黑體" w:hAnsi="微軟正黑體" w:cs="Times New Roman"/>
                <w:sz w:val="22"/>
              </w:rPr>
              <w:t>(%)</w:t>
            </w:r>
          </w:p>
        </w:tc>
        <w:tc>
          <w:tcPr>
            <w:tcW w:w="8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spacing w:line="280" w:lineRule="exact"/>
              <w:ind w:leftChars="-16" w:left="-38"/>
              <w:jc w:val="center"/>
              <w:rPr>
                <w:rFonts w:ascii="微軟正黑體" w:eastAsia="微軟正黑體" w:hAnsi="微軟正黑體" w:cs="新細明體"/>
                <w:sz w:val="22"/>
              </w:rPr>
            </w:pPr>
            <w:r w:rsidRPr="00CA1CAA">
              <w:rPr>
                <w:rFonts w:ascii="微軟正黑體" w:eastAsia="微軟正黑體" w:hAnsi="微軟正黑體" w:cs="新細明體" w:hint="eastAsia"/>
                <w:sz w:val="22"/>
              </w:rPr>
              <w:t>占工作年齡人口比率</w:t>
            </w:r>
            <w:r w:rsidRPr="00CA1CAA">
              <w:rPr>
                <w:rFonts w:ascii="微軟正黑體" w:eastAsia="微軟正黑體" w:hAnsi="微軟正黑體" w:cs="新細明體"/>
                <w:sz w:val="22"/>
              </w:rPr>
              <w:t>(%)</w:t>
            </w:r>
          </w:p>
        </w:tc>
        <w:tc>
          <w:tcPr>
            <w:tcW w:w="8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spacing w:line="280" w:lineRule="exact"/>
              <w:ind w:leftChars="-39" w:left="-94"/>
              <w:jc w:val="center"/>
              <w:rPr>
                <w:rFonts w:ascii="微軟正黑體" w:eastAsia="微軟正黑體" w:hAnsi="微軟正黑體" w:cs="新細明體"/>
                <w:sz w:val="22"/>
              </w:rPr>
            </w:pPr>
            <w:r w:rsidRPr="00CA1CAA">
              <w:rPr>
                <w:rFonts w:ascii="微軟正黑體" w:eastAsia="微軟正黑體" w:hAnsi="微軟正黑體" w:cs="新細明體" w:hint="eastAsia"/>
                <w:sz w:val="22"/>
              </w:rPr>
              <w:t>人數</w:t>
            </w:r>
          </w:p>
          <w:p w:rsidR="00821A46" w:rsidRPr="00CA1CAA" w:rsidRDefault="00821A46" w:rsidP="00644B21">
            <w:pPr>
              <w:spacing w:line="280" w:lineRule="exact"/>
              <w:ind w:leftChars="-54" w:left="-130"/>
              <w:jc w:val="right"/>
              <w:rPr>
                <w:rFonts w:ascii="微軟正黑體" w:eastAsia="微軟正黑體" w:hAnsi="微軟正黑體" w:cs="Times New Roman"/>
                <w:sz w:val="22"/>
              </w:rPr>
            </w:pPr>
            <w:r w:rsidRPr="00CA1CAA">
              <w:rPr>
                <w:rFonts w:ascii="微軟正黑體" w:eastAsia="微軟正黑體" w:hAnsi="微軟正黑體" w:cs="Times New Roman"/>
                <w:sz w:val="22"/>
              </w:rPr>
              <w:t>(</w:t>
            </w:r>
            <w:r w:rsidRPr="00CA1CAA">
              <w:rPr>
                <w:rFonts w:ascii="微軟正黑體" w:eastAsia="微軟正黑體" w:hAnsi="微軟正黑體" w:cs="新細明體" w:hint="eastAsia"/>
                <w:sz w:val="22"/>
              </w:rPr>
              <w:t>萬人</w:t>
            </w:r>
            <w:r w:rsidRPr="00CA1CAA">
              <w:rPr>
                <w:rFonts w:ascii="微軟正黑體" w:eastAsia="微軟正黑體" w:hAnsi="微軟正黑體" w:cs="Times New Roman"/>
                <w:sz w:val="22"/>
              </w:rPr>
              <w:t>)</w:t>
            </w:r>
          </w:p>
        </w:tc>
        <w:tc>
          <w:tcPr>
            <w:tcW w:w="7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spacing w:line="280" w:lineRule="exact"/>
              <w:jc w:val="center"/>
              <w:rPr>
                <w:rFonts w:ascii="微軟正黑體" w:eastAsia="微軟正黑體" w:hAnsi="微軟正黑體" w:cs="Times New Roman"/>
                <w:sz w:val="22"/>
              </w:rPr>
            </w:pPr>
            <w:r w:rsidRPr="00CA1CAA">
              <w:rPr>
                <w:rFonts w:ascii="微軟正黑體" w:eastAsia="微軟正黑體" w:hAnsi="微軟正黑體" w:cs="新細明體" w:hint="eastAsia"/>
                <w:sz w:val="22"/>
              </w:rPr>
              <w:t>占總人口比率</w:t>
            </w:r>
            <w:r w:rsidRPr="00CA1CAA">
              <w:rPr>
                <w:rFonts w:ascii="微軟正黑體" w:eastAsia="微軟正黑體" w:hAnsi="微軟正黑體" w:cs="Times New Roman"/>
                <w:sz w:val="22"/>
              </w:rPr>
              <w:t>(%)</w:t>
            </w:r>
          </w:p>
        </w:tc>
        <w:tc>
          <w:tcPr>
            <w:tcW w:w="9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spacing w:line="280" w:lineRule="exact"/>
              <w:jc w:val="center"/>
              <w:rPr>
                <w:rFonts w:ascii="微軟正黑體" w:eastAsia="微軟正黑體" w:hAnsi="微軟正黑體" w:cs="Times New Roman"/>
                <w:sz w:val="22"/>
              </w:rPr>
            </w:pPr>
            <w:r w:rsidRPr="00CA1CAA">
              <w:rPr>
                <w:rFonts w:ascii="微軟正黑體" w:eastAsia="微軟正黑體" w:hAnsi="微軟正黑體" w:cs="新細明體" w:hint="eastAsia"/>
                <w:sz w:val="22"/>
              </w:rPr>
              <w:t>占工作年齡人口比率</w:t>
            </w:r>
            <w:r w:rsidRPr="00CA1CAA">
              <w:rPr>
                <w:rFonts w:ascii="微軟正黑體" w:eastAsia="微軟正黑體" w:hAnsi="微軟正黑體" w:cs="Times New Roman"/>
                <w:sz w:val="22"/>
              </w:rPr>
              <w:t>(%)</w:t>
            </w:r>
          </w:p>
        </w:tc>
        <w:tc>
          <w:tcPr>
            <w:tcW w:w="74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spacing w:line="280" w:lineRule="exact"/>
              <w:ind w:leftChars="-39" w:left="-94"/>
              <w:jc w:val="center"/>
              <w:rPr>
                <w:rFonts w:ascii="微軟正黑體" w:eastAsia="微軟正黑體" w:hAnsi="微軟正黑體" w:cs="新細明體"/>
                <w:sz w:val="22"/>
              </w:rPr>
            </w:pPr>
            <w:r w:rsidRPr="00CA1CAA">
              <w:rPr>
                <w:rFonts w:ascii="微軟正黑體" w:eastAsia="微軟正黑體" w:hAnsi="微軟正黑體" w:cs="新細明體" w:hint="eastAsia"/>
                <w:sz w:val="22"/>
              </w:rPr>
              <w:t>人數</w:t>
            </w:r>
          </w:p>
          <w:p w:rsidR="00821A46" w:rsidRPr="00CA1CAA" w:rsidRDefault="00821A46" w:rsidP="00644B21">
            <w:pPr>
              <w:spacing w:line="280" w:lineRule="exact"/>
              <w:ind w:leftChars="-76" w:left="-182"/>
              <w:jc w:val="right"/>
              <w:rPr>
                <w:rFonts w:ascii="微軟正黑體" w:eastAsia="微軟正黑體" w:hAnsi="微軟正黑體" w:cs="Times New Roman"/>
                <w:sz w:val="22"/>
              </w:rPr>
            </w:pPr>
            <w:r w:rsidRPr="00CA1CAA">
              <w:rPr>
                <w:rFonts w:ascii="微軟正黑體" w:eastAsia="微軟正黑體" w:hAnsi="微軟正黑體" w:cs="Times New Roman"/>
                <w:sz w:val="22"/>
              </w:rPr>
              <w:t>(</w:t>
            </w:r>
            <w:r w:rsidRPr="00CA1CAA">
              <w:rPr>
                <w:rFonts w:ascii="微軟正黑體" w:eastAsia="微軟正黑體" w:hAnsi="微軟正黑體" w:cs="新細明體" w:hint="eastAsia"/>
                <w:sz w:val="22"/>
              </w:rPr>
              <w:t>萬人</w:t>
            </w:r>
            <w:r w:rsidRPr="00CA1CAA">
              <w:rPr>
                <w:rFonts w:ascii="微軟正黑體" w:eastAsia="微軟正黑體" w:hAnsi="微軟正黑體" w:cs="Times New Roman"/>
                <w:sz w:val="22"/>
              </w:rPr>
              <w:t>)</w:t>
            </w:r>
          </w:p>
        </w:tc>
        <w:tc>
          <w:tcPr>
            <w:tcW w:w="7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spacing w:line="280" w:lineRule="exact"/>
              <w:jc w:val="center"/>
              <w:rPr>
                <w:rFonts w:ascii="微軟正黑體" w:eastAsia="微軟正黑體" w:hAnsi="微軟正黑體" w:cs="Times New Roman"/>
                <w:sz w:val="22"/>
              </w:rPr>
            </w:pPr>
            <w:r w:rsidRPr="00CA1CAA">
              <w:rPr>
                <w:rFonts w:ascii="微軟正黑體" w:eastAsia="微軟正黑體" w:hAnsi="微軟正黑體" w:cs="新細明體" w:hint="eastAsia"/>
                <w:sz w:val="22"/>
              </w:rPr>
              <w:t>占總人口比率</w:t>
            </w:r>
            <w:r w:rsidRPr="00CA1CAA">
              <w:rPr>
                <w:rFonts w:ascii="微軟正黑體" w:eastAsia="微軟正黑體" w:hAnsi="微軟正黑體" w:cs="Times New Roman"/>
                <w:sz w:val="22"/>
              </w:rPr>
              <w:t>(%)</w:t>
            </w:r>
          </w:p>
        </w:tc>
        <w:tc>
          <w:tcPr>
            <w:tcW w:w="94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spacing w:line="280" w:lineRule="exact"/>
              <w:jc w:val="center"/>
              <w:rPr>
                <w:rFonts w:ascii="微軟正黑體" w:eastAsia="微軟正黑體" w:hAnsi="微軟正黑體" w:cs="Times New Roman"/>
                <w:sz w:val="22"/>
              </w:rPr>
            </w:pPr>
            <w:r w:rsidRPr="00CA1CAA">
              <w:rPr>
                <w:rFonts w:ascii="微軟正黑體" w:eastAsia="微軟正黑體" w:hAnsi="微軟正黑體" w:cs="新細明體" w:hint="eastAsia"/>
                <w:sz w:val="22"/>
              </w:rPr>
              <w:t>占工作年齡人口比率</w:t>
            </w:r>
            <w:r w:rsidRPr="00CA1CAA">
              <w:rPr>
                <w:rFonts w:ascii="微軟正黑體" w:eastAsia="微軟正黑體" w:hAnsi="微軟正黑體" w:cs="Times New Roman"/>
                <w:sz w:val="22"/>
              </w:rPr>
              <w:t>(%)</w:t>
            </w:r>
          </w:p>
        </w:tc>
      </w:tr>
      <w:tr w:rsidR="00821A46" w:rsidRPr="00480B64" w:rsidTr="00644B21">
        <w:trPr>
          <w:jc w:val="center"/>
        </w:trPr>
        <w:tc>
          <w:tcPr>
            <w:tcW w:w="492"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新細明體" w:hint="eastAsia"/>
                <w:sz w:val="22"/>
              </w:rPr>
              <w:t>高推估</w:t>
            </w:r>
          </w:p>
        </w:tc>
        <w:tc>
          <w:tcPr>
            <w:tcW w:w="12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新細明體" w:hint="eastAsia"/>
                <w:sz w:val="22"/>
              </w:rPr>
              <w:t>合計</w:t>
            </w:r>
          </w:p>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Times New Roman"/>
                <w:sz w:val="22"/>
              </w:rPr>
              <w:t>15-29</w:t>
            </w:r>
            <w:r w:rsidRPr="00480B64">
              <w:rPr>
                <w:rFonts w:ascii="微軟正黑體" w:eastAsia="微軟正黑體" w:hAnsi="微軟正黑體" w:cs="新細明體" w:hint="eastAsia"/>
                <w:sz w:val="22"/>
              </w:rPr>
              <w:t>歲</w:t>
            </w:r>
          </w:p>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Times New Roman"/>
                <w:sz w:val="22"/>
              </w:rPr>
              <w:t>30-44</w:t>
            </w:r>
            <w:r w:rsidRPr="00480B64">
              <w:rPr>
                <w:rFonts w:ascii="微軟正黑體" w:eastAsia="微軟正黑體" w:hAnsi="微軟正黑體" w:cs="新細明體" w:hint="eastAsia"/>
                <w:sz w:val="22"/>
              </w:rPr>
              <w:t>歲</w:t>
            </w:r>
          </w:p>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Times New Roman"/>
                <w:sz w:val="22"/>
              </w:rPr>
              <w:t>45-64</w:t>
            </w:r>
            <w:r w:rsidRPr="00480B64">
              <w:rPr>
                <w:rFonts w:ascii="微軟正黑體" w:eastAsia="微軟正黑體" w:hAnsi="微軟正黑體" w:cs="新細明體" w:hint="eastAsia"/>
                <w:sz w:val="22"/>
              </w:rPr>
              <w:t>歲</w:t>
            </w:r>
          </w:p>
        </w:tc>
        <w:tc>
          <w:tcPr>
            <w:tcW w:w="2426" w:type="dxa"/>
            <w:gridSpan w:val="3"/>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新細明體" w:hint="eastAsia"/>
                <w:sz w:val="22"/>
              </w:rPr>
              <w:t>（同中推估）</w:t>
            </w:r>
          </w:p>
        </w:tc>
        <w:tc>
          <w:tcPr>
            <w:tcW w:w="833"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1,331</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283</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365</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683</w:t>
            </w:r>
          </w:p>
        </w:tc>
        <w:tc>
          <w:tcPr>
            <w:tcW w:w="771"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59.0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12.5</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16.2</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30.3</w:t>
            </w:r>
          </w:p>
        </w:tc>
        <w:tc>
          <w:tcPr>
            <w:tcW w:w="99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100.0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21.2</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27.4</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51.36</w:t>
            </w:r>
          </w:p>
        </w:tc>
        <w:tc>
          <w:tcPr>
            <w:tcW w:w="74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864</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222</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262</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379</w:t>
            </w:r>
          </w:p>
        </w:tc>
        <w:tc>
          <w:tcPr>
            <w:tcW w:w="76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50.4</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13.0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15.3</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22.1</w:t>
            </w:r>
          </w:p>
        </w:tc>
        <w:tc>
          <w:tcPr>
            <w:tcW w:w="94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100.0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25.8</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30.4</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43.9</w:t>
            </w:r>
          </w:p>
        </w:tc>
      </w:tr>
      <w:tr w:rsidR="00821A46" w:rsidRPr="00480B64" w:rsidTr="00644B21">
        <w:trPr>
          <w:jc w:val="center"/>
        </w:trPr>
        <w:tc>
          <w:tcPr>
            <w:tcW w:w="492"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新細明體" w:hint="eastAsia"/>
                <w:sz w:val="22"/>
              </w:rPr>
              <w:t>中推估</w:t>
            </w:r>
          </w:p>
        </w:tc>
        <w:tc>
          <w:tcPr>
            <w:tcW w:w="12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新細明體" w:hint="eastAsia"/>
                <w:sz w:val="22"/>
              </w:rPr>
              <w:t>合計</w:t>
            </w:r>
          </w:p>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Times New Roman"/>
                <w:sz w:val="22"/>
              </w:rPr>
              <w:t>15-29</w:t>
            </w:r>
            <w:r w:rsidRPr="00480B64">
              <w:rPr>
                <w:rFonts w:ascii="微軟正黑體" w:eastAsia="微軟正黑體" w:hAnsi="微軟正黑體" w:cs="新細明體" w:hint="eastAsia"/>
                <w:sz w:val="22"/>
              </w:rPr>
              <w:t>歲</w:t>
            </w:r>
          </w:p>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Times New Roman"/>
                <w:sz w:val="22"/>
              </w:rPr>
              <w:t>30-44</w:t>
            </w:r>
            <w:r w:rsidRPr="00480B64">
              <w:rPr>
                <w:rFonts w:ascii="微軟正黑體" w:eastAsia="微軟正黑體" w:hAnsi="微軟正黑體" w:cs="新細明體" w:hint="eastAsia"/>
                <w:sz w:val="22"/>
              </w:rPr>
              <w:t>歲</w:t>
            </w:r>
          </w:p>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Times New Roman"/>
                <w:sz w:val="22"/>
              </w:rPr>
              <w:t>45-64</w:t>
            </w:r>
            <w:r w:rsidRPr="00480B64">
              <w:rPr>
                <w:rFonts w:ascii="微軟正黑體" w:eastAsia="微軟正黑體" w:hAnsi="微軟正黑體" w:cs="新細明體" w:hint="eastAsia"/>
                <w:sz w:val="22"/>
              </w:rPr>
              <w:t>歲</w:t>
            </w:r>
          </w:p>
        </w:tc>
        <w:tc>
          <w:tcPr>
            <w:tcW w:w="82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1,683</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425</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550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709</w:t>
            </w:r>
          </w:p>
        </w:tc>
        <w:tc>
          <w:tcPr>
            <w:tcW w:w="723"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71.4</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18.0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23.3</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30.1</w:t>
            </w:r>
          </w:p>
        </w:tc>
        <w:tc>
          <w:tcPr>
            <w:tcW w:w="875"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100.0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25.2</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32.7</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shd w:val="pct15" w:color="auto" w:fill="FFFFFF"/>
              </w:rPr>
              <w:t>42.1</w:t>
            </w:r>
          </w:p>
        </w:tc>
        <w:tc>
          <w:tcPr>
            <w:tcW w:w="833"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1,328</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280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365</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683</w:t>
            </w:r>
          </w:p>
        </w:tc>
        <w:tc>
          <w:tcPr>
            <w:tcW w:w="771"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59.9</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12.6</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16.5</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30.8</w:t>
            </w:r>
          </w:p>
        </w:tc>
        <w:tc>
          <w:tcPr>
            <w:tcW w:w="99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100.0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21.1</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27.5</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51.4</w:t>
            </w:r>
          </w:p>
        </w:tc>
        <w:tc>
          <w:tcPr>
            <w:tcW w:w="74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783</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179</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228</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377</w:t>
            </w:r>
          </w:p>
        </w:tc>
        <w:tc>
          <w:tcPr>
            <w:tcW w:w="76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49.5</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11.3</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14.4</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23.8</w:t>
            </w:r>
          </w:p>
        </w:tc>
        <w:tc>
          <w:tcPr>
            <w:tcW w:w="94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100.0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22.8</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29.1</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shd w:val="pct15" w:color="auto" w:fill="FFFFFF"/>
              </w:rPr>
              <w:t>48.1</w:t>
            </w:r>
          </w:p>
        </w:tc>
      </w:tr>
      <w:tr w:rsidR="00821A46" w:rsidRPr="00480B64" w:rsidTr="00644B21">
        <w:trPr>
          <w:jc w:val="center"/>
        </w:trPr>
        <w:tc>
          <w:tcPr>
            <w:tcW w:w="492"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新細明體" w:hint="eastAsia"/>
                <w:sz w:val="22"/>
              </w:rPr>
              <w:t>低推估</w:t>
            </w:r>
          </w:p>
        </w:tc>
        <w:tc>
          <w:tcPr>
            <w:tcW w:w="12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新細明體" w:hint="eastAsia"/>
                <w:sz w:val="22"/>
              </w:rPr>
              <w:t>合計</w:t>
            </w:r>
          </w:p>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Times New Roman"/>
                <w:sz w:val="22"/>
              </w:rPr>
              <w:t>15-29</w:t>
            </w:r>
            <w:r w:rsidRPr="00480B64">
              <w:rPr>
                <w:rFonts w:ascii="微軟正黑體" w:eastAsia="微軟正黑體" w:hAnsi="微軟正黑體" w:cs="新細明體" w:hint="eastAsia"/>
                <w:sz w:val="22"/>
              </w:rPr>
              <w:t>歲</w:t>
            </w:r>
          </w:p>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Times New Roman"/>
                <w:sz w:val="22"/>
              </w:rPr>
              <w:t>30-44</w:t>
            </w:r>
            <w:r w:rsidRPr="00480B64">
              <w:rPr>
                <w:rFonts w:ascii="微軟正黑體" w:eastAsia="微軟正黑體" w:hAnsi="微軟正黑體" w:cs="新細明體" w:hint="eastAsia"/>
                <w:sz w:val="22"/>
              </w:rPr>
              <w:t>歲</w:t>
            </w:r>
          </w:p>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Times New Roman"/>
                <w:sz w:val="22"/>
              </w:rPr>
              <w:t>45-64</w:t>
            </w:r>
            <w:r w:rsidRPr="00480B64">
              <w:rPr>
                <w:rFonts w:ascii="微軟正黑體" w:eastAsia="微軟正黑體" w:hAnsi="微軟正黑體" w:cs="新細明體" w:hint="eastAsia"/>
                <w:sz w:val="22"/>
              </w:rPr>
              <w:t>歲</w:t>
            </w:r>
          </w:p>
        </w:tc>
        <w:tc>
          <w:tcPr>
            <w:tcW w:w="2426" w:type="dxa"/>
            <w:gridSpan w:val="3"/>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center"/>
              <w:rPr>
                <w:rFonts w:ascii="微軟正黑體" w:eastAsia="微軟正黑體" w:hAnsi="微軟正黑體" w:cs="Times New Roman"/>
                <w:sz w:val="22"/>
              </w:rPr>
            </w:pPr>
            <w:r w:rsidRPr="00480B64">
              <w:rPr>
                <w:rFonts w:ascii="微軟正黑體" w:eastAsia="微軟正黑體" w:hAnsi="微軟正黑體" w:cs="新細明體" w:hint="eastAsia"/>
                <w:sz w:val="22"/>
              </w:rPr>
              <w:t>（同中推估）</w:t>
            </w:r>
          </w:p>
        </w:tc>
        <w:tc>
          <w:tcPr>
            <w:tcW w:w="833"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1,324</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276</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365</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683</w:t>
            </w:r>
          </w:p>
        </w:tc>
        <w:tc>
          <w:tcPr>
            <w:tcW w:w="771"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60.9</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12.7</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16.8</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31.4</w:t>
            </w:r>
          </w:p>
        </w:tc>
        <w:tc>
          <w:tcPr>
            <w:tcW w:w="99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100.0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20.8</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27.6</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51.6</w:t>
            </w:r>
          </w:p>
        </w:tc>
        <w:tc>
          <w:tcPr>
            <w:tcW w:w="74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697</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136</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189</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372</w:t>
            </w:r>
          </w:p>
        </w:tc>
        <w:tc>
          <w:tcPr>
            <w:tcW w:w="76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48.1</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9.4</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13.0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25.7</w:t>
            </w:r>
          </w:p>
        </w:tc>
        <w:tc>
          <w:tcPr>
            <w:tcW w:w="94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100.0</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19.5</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27.1</w:t>
            </w:r>
          </w:p>
          <w:p w:rsidR="00821A46" w:rsidRPr="00480B64" w:rsidRDefault="00821A46" w:rsidP="00644B21">
            <w:pPr>
              <w:jc w:val="right"/>
              <w:rPr>
                <w:rFonts w:ascii="微軟正黑體" w:eastAsia="微軟正黑體" w:hAnsi="微軟正黑體" w:cs="Times New Roman"/>
                <w:sz w:val="22"/>
              </w:rPr>
            </w:pPr>
            <w:r w:rsidRPr="00480B64">
              <w:rPr>
                <w:rFonts w:ascii="微軟正黑體" w:eastAsia="微軟正黑體" w:hAnsi="微軟正黑體" w:cs="Times New Roman"/>
                <w:sz w:val="22"/>
              </w:rPr>
              <w:t>53.4</w:t>
            </w:r>
          </w:p>
        </w:tc>
      </w:tr>
      <w:tr w:rsidR="00821A46" w:rsidRPr="00480B64" w:rsidTr="00644B21">
        <w:trPr>
          <w:jc w:val="center"/>
        </w:trPr>
        <w:tc>
          <w:tcPr>
            <w:tcW w:w="9203" w:type="dxa"/>
            <w:gridSpan w:val="11"/>
            <w:tcBorders>
              <w:top w:val="single" w:sz="4" w:space="0" w:color="auto"/>
              <w:left w:val="nil"/>
              <w:bottom w:val="nil"/>
              <w:right w:val="nil"/>
            </w:tcBorders>
            <w:vAlign w:val="center"/>
            <w:hideMark/>
          </w:tcPr>
          <w:p w:rsidR="00821A46" w:rsidRPr="00480B64" w:rsidRDefault="00821A46" w:rsidP="000827B0">
            <w:pPr>
              <w:spacing w:line="280" w:lineRule="exact"/>
              <w:rPr>
                <w:rFonts w:ascii="微軟正黑體" w:eastAsia="微軟正黑體" w:hAnsi="微軟正黑體" w:cs="Times New Roman"/>
                <w:sz w:val="20"/>
                <w:szCs w:val="20"/>
              </w:rPr>
            </w:pPr>
            <w:r w:rsidRPr="00480B64">
              <w:rPr>
                <w:rFonts w:ascii="微軟正黑體" w:eastAsia="微軟正黑體" w:hAnsi="微軟正黑體" w:cs="Times New Roman" w:hint="eastAsia"/>
                <w:sz w:val="20"/>
                <w:szCs w:val="20"/>
              </w:rPr>
              <w:t>說明：工作年齡人口數在此係指</w:t>
            </w:r>
            <w:r w:rsidRPr="00480B64">
              <w:rPr>
                <w:rFonts w:ascii="微軟正黑體" w:eastAsia="微軟正黑體" w:hAnsi="微軟正黑體" w:cs="Times New Roman"/>
                <w:sz w:val="20"/>
                <w:szCs w:val="20"/>
              </w:rPr>
              <w:t xml:space="preserve"> 15-64 </w:t>
            </w:r>
            <w:r w:rsidRPr="00480B64">
              <w:rPr>
                <w:rFonts w:ascii="微軟正黑體" w:eastAsia="微軟正黑體" w:hAnsi="微軟正黑體" w:cs="新細明體" w:hint="eastAsia"/>
                <w:sz w:val="20"/>
                <w:szCs w:val="20"/>
              </w:rPr>
              <w:t>歲人口數，非指實際有工作(就業)之人數。</w:t>
            </w:r>
          </w:p>
          <w:p w:rsidR="00821A46" w:rsidRPr="00480B64" w:rsidRDefault="00821A46" w:rsidP="00644B21">
            <w:pPr>
              <w:spacing w:line="280" w:lineRule="exact"/>
              <w:rPr>
                <w:rFonts w:ascii="微軟正黑體" w:eastAsia="微軟正黑體" w:hAnsi="微軟正黑體" w:cs="Times New Roman"/>
                <w:sz w:val="20"/>
                <w:szCs w:val="20"/>
              </w:rPr>
            </w:pPr>
            <w:r w:rsidRPr="00480B64">
              <w:rPr>
                <w:rFonts w:ascii="微軟正黑體" w:eastAsia="微軟正黑體" w:hAnsi="微軟正黑體" w:cs="Times New Roman" w:hint="eastAsia"/>
                <w:sz w:val="20"/>
                <w:szCs w:val="20"/>
              </w:rPr>
              <w:t>資料來源：摘錄自國家發展委員會「中華民國人口推估(</w:t>
            </w:r>
            <w:r w:rsidRPr="00480B64">
              <w:rPr>
                <w:rFonts w:ascii="微軟正黑體" w:eastAsia="微軟正黑體" w:hAnsi="微軟正黑體" w:cs="Times New Roman"/>
                <w:sz w:val="20"/>
                <w:szCs w:val="20"/>
              </w:rPr>
              <w:t>2020</w:t>
            </w:r>
            <w:r w:rsidRPr="00480B64">
              <w:rPr>
                <w:rFonts w:ascii="微軟正黑體" w:eastAsia="微軟正黑體" w:hAnsi="微軟正黑體" w:cs="Times New Roman" w:hint="eastAsia"/>
                <w:sz w:val="20"/>
                <w:szCs w:val="20"/>
              </w:rPr>
              <w:t>至</w:t>
            </w:r>
            <w:r w:rsidRPr="00480B64">
              <w:rPr>
                <w:rFonts w:ascii="微軟正黑體" w:eastAsia="微軟正黑體" w:hAnsi="微軟正黑體" w:cs="Times New Roman"/>
                <w:sz w:val="20"/>
                <w:szCs w:val="20"/>
              </w:rPr>
              <w:t>2070</w:t>
            </w:r>
            <w:r w:rsidRPr="00480B64">
              <w:rPr>
                <w:rFonts w:ascii="微軟正黑體" w:eastAsia="微軟正黑體" w:hAnsi="微軟正黑體" w:cs="Times New Roman" w:hint="eastAsia"/>
                <w:sz w:val="20"/>
                <w:szCs w:val="20"/>
              </w:rPr>
              <w:t>年)報告」，第</w:t>
            </w:r>
            <w:r w:rsidRPr="00480B64">
              <w:rPr>
                <w:rFonts w:ascii="微軟正黑體" w:eastAsia="微軟正黑體" w:hAnsi="微軟正黑體" w:cs="Times New Roman"/>
                <w:sz w:val="20"/>
                <w:szCs w:val="20"/>
              </w:rPr>
              <w:t>13</w:t>
            </w:r>
            <w:r w:rsidRPr="00480B64">
              <w:rPr>
                <w:rFonts w:ascii="微軟正黑體" w:eastAsia="微軟正黑體" w:hAnsi="微軟正黑體" w:cs="Times New Roman" w:hint="eastAsia"/>
                <w:sz w:val="20"/>
                <w:szCs w:val="20"/>
              </w:rPr>
              <w:t>頁。</w:t>
            </w:r>
          </w:p>
        </w:tc>
      </w:tr>
    </w:tbl>
    <w:p w:rsidR="00821A46" w:rsidRDefault="00821A46" w:rsidP="00821A46">
      <w:pPr>
        <w:spacing w:beforeLines="30" w:before="72" w:line="400" w:lineRule="exact"/>
        <w:ind w:firstLineChars="200" w:firstLine="480"/>
        <w:jc w:val="both"/>
        <w:rPr>
          <w:rFonts w:ascii="微軟正黑體" w:eastAsia="微軟正黑體" w:hAnsi="微軟正黑體"/>
        </w:rPr>
      </w:pP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過去對於「高齡者」的研究中，「就業」成為常被忽略的面向，主要是因為「高齡者」被定義為</w:t>
      </w:r>
      <w:r w:rsidRPr="003A7AE4">
        <w:rPr>
          <w:rFonts w:ascii="微軟正黑體" w:eastAsia="微軟正黑體" w:hAnsi="微軟正黑體"/>
        </w:rPr>
        <w:t>65</w:t>
      </w:r>
      <w:r w:rsidRPr="003A7AE4">
        <w:rPr>
          <w:rFonts w:ascii="微軟正黑體" w:eastAsia="微軟正黑體" w:hAnsi="微軟正黑體" w:hint="eastAsia"/>
        </w:rPr>
        <w:t>歲以上</w:t>
      </w:r>
      <w:r w:rsidRPr="003A7AE4">
        <w:rPr>
          <w:rFonts w:ascii="微軟正黑體" w:eastAsia="微軟正黑體" w:hAnsi="微軟正黑體"/>
        </w:rPr>
        <w:t>(</w:t>
      </w:r>
      <w:r w:rsidRPr="003A7AE4">
        <w:rPr>
          <w:rFonts w:ascii="微軟正黑體" w:eastAsia="微軟正黑體" w:hAnsi="微軟正黑體" w:hint="eastAsia"/>
        </w:rPr>
        <w:t>周玟琪</w:t>
      </w:r>
      <w:r>
        <w:rPr>
          <w:rFonts w:ascii="微軟正黑體" w:eastAsia="微軟正黑體" w:hAnsi="微軟正黑體" w:hint="eastAsia"/>
        </w:rPr>
        <w:t xml:space="preserve">, </w:t>
      </w:r>
      <w:r w:rsidRPr="003A7AE4">
        <w:rPr>
          <w:rFonts w:ascii="微軟正黑體" w:eastAsia="微軟正黑體" w:hAnsi="微軟正黑體"/>
        </w:rPr>
        <w:t>2006)</w:t>
      </w:r>
      <w:r>
        <w:rPr>
          <w:rFonts w:ascii="微軟正黑體" w:eastAsia="微軟正黑體" w:hAnsi="微軟正黑體" w:hint="eastAsia"/>
        </w:rPr>
        <w:t>，我國勞動基準法(以下簡稱勞基法)</w:t>
      </w:r>
      <w:r w:rsidRPr="003A7AE4">
        <w:rPr>
          <w:rFonts w:ascii="微軟正黑體" w:eastAsia="微軟正黑體" w:hAnsi="微軟正黑體" w:hint="eastAsia"/>
        </w:rPr>
        <w:t>亦將</w:t>
      </w:r>
      <w:r w:rsidRPr="003A7AE4">
        <w:rPr>
          <w:rFonts w:ascii="微軟正黑體" w:eastAsia="微軟正黑體" w:hAnsi="微軟正黑體"/>
        </w:rPr>
        <w:t>65</w:t>
      </w:r>
      <w:r w:rsidRPr="003A7AE4">
        <w:rPr>
          <w:rFonts w:ascii="微軟正黑體" w:eastAsia="微軟正黑體" w:hAnsi="微軟正黑體" w:hint="eastAsia"/>
        </w:rPr>
        <w:t>歲設定為雇主可發動強制退休年齡，然而隨著高齡社會來臨，有學者指出「老年」一詞如同「貧窮」，是相對性的概念，並且在醫療與公共衛生持續進步的情況下，「老人」的定義有必要重新界定</w:t>
      </w:r>
      <w:r w:rsidRPr="003A7AE4">
        <w:rPr>
          <w:rFonts w:ascii="微軟正黑體" w:eastAsia="微軟正黑體" w:hAnsi="微軟正黑體"/>
        </w:rPr>
        <w:t>(</w:t>
      </w:r>
      <w:r w:rsidRPr="003A7AE4">
        <w:rPr>
          <w:rFonts w:ascii="微軟正黑體" w:eastAsia="微軟正黑體" w:hAnsi="微軟正黑體" w:hint="eastAsia"/>
        </w:rPr>
        <w:t>蘇麗瓊</w:t>
      </w:r>
      <w:r>
        <w:rPr>
          <w:rFonts w:ascii="微軟正黑體" w:eastAsia="微軟正黑體" w:hAnsi="微軟正黑體" w:hint="eastAsia"/>
        </w:rPr>
        <w:t xml:space="preserve">, </w:t>
      </w:r>
      <w:r w:rsidRPr="003A7AE4">
        <w:rPr>
          <w:rFonts w:ascii="微軟正黑體" w:eastAsia="微軟正黑體" w:hAnsi="微軟正黑體"/>
        </w:rPr>
        <w:t>2007)</w:t>
      </w:r>
      <w:r w:rsidRPr="003A7AE4">
        <w:rPr>
          <w:rFonts w:ascii="微軟正黑體" w:eastAsia="微軟正黑體" w:hAnsi="微軟正黑體" w:hint="eastAsia"/>
        </w:rPr>
        <w:t>。《經濟學人》</w:t>
      </w:r>
      <w:r w:rsidRPr="003A7AE4">
        <w:rPr>
          <w:rFonts w:ascii="微軟正黑體" w:eastAsia="微軟正黑體" w:hAnsi="微軟正黑體"/>
        </w:rPr>
        <w:t>(2017)</w:t>
      </w:r>
      <w:r w:rsidRPr="003A7AE4">
        <w:rPr>
          <w:rFonts w:ascii="微軟正黑體" w:eastAsia="微軟正黑體" w:hAnsi="微軟正黑體" w:hint="eastAsia"/>
        </w:rPr>
        <w:t>曾經報導，老而未衰且尚未離開工作崗位者需要新的名詞來定義</w:t>
      </w:r>
      <w:r w:rsidRPr="003A7AE4">
        <w:rPr>
          <w:rFonts w:ascii="微軟正黑體" w:eastAsia="微軟正黑體" w:hAnsi="微軟正黑體"/>
        </w:rPr>
        <w:t>─</w:t>
      </w:r>
      <w:r w:rsidRPr="003A7AE4">
        <w:rPr>
          <w:rFonts w:ascii="微軟正黑體" w:eastAsia="微軟正黑體" w:hAnsi="微軟正黑體" w:hint="eastAsia"/>
        </w:rPr>
        <w:t>耐皮族</w:t>
      </w:r>
      <w:r w:rsidRPr="003A7AE4">
        <w:rPr>
          <w:rFonts w:ascii="微軟正黑體" w:eastAsia="微軟正黑體" w:hAnsi="微軟正黑體"/>
        </w:rPr>
        <w:t>(Nyppies)</w:t>
      </w:r>
      <w:r w:rsidRPr="003A7AE4">
        <w:rPr>
          <w:rFonts w:ascii="微軟正黑體" w:eastAsia="微軟正黑體" w:hAnsi="微軟正黑體" w:hint="eastAsia"/>
        </w:rPr>
        <w:t>與夜梟族</w:t>
      </w:r>
      <w:r w:rsidRPr="003A7AE4">
        <w:rPr>
          <w:rFonts w:ascii="微軟正黑體" w:eastAsia="微軟正黑體" w:hAnsi="微軟正黑體"/>
        </w:rPr>
        <w:t>(Owls)</w:t>
      </w:r>
      <w:r w:rsidRPr="003A7AE4">
        <w:rPr>
          <w:rFonts w:ascii="微軟正黑體" w:eastAsia="微軟正黑體" w:hAnsi="微軟正黑體" w:hint="eastAsia"/>
        </w:rPr>
        <w:t>，前者為「還沒過氣」</w:t>
      </w:r>
      <w:r w:rsidRPr="003A7AE4">
        <w:rPr>
          <w:rFonts w:ascii="微軟正黑體" w:eastAsia="微軟正黑體" w:hAnsi="微軟正黑體"/>
        </w:rPr>
        <w:t>(Not Yet Past It)</w:t>
      </w:r>
      <w:r w:rsidRPr="003A7AE4">
        <w:rPr>
          <w:rFonts w:ascii="微軟正黑體" w:eastAsia="微軟正黑體" w:hAnsi="微軟正黑體" w:hint="eastAsia"/>
        </w:rPr>
        <w:t>的縮寫，後者則是「較老、工作較少，但持續賺錢」</w:t>
      </w:r>
      <w:r w:rsidRPr="003A7AE4">
        <w:rPr>
          <w:rFonts w:ascii="微軟正黑體" w:eastAsia="微軟正黑體" w:hAnsi="微軟正黑體"/>
        </w:rPr>
        <w:t>(Older, Working Less, Still Earning)</w:t>
      </w:r>
      <w:r w:rsidRPr="003A7AE4">
        <w:rPr>
          <w:rFonts w:ascii="微軟正黑體" w:eastAsia="微軟正黑體" w:hAnsi="微軟正黑體" w:hint="eastAsia"/>
        </w:rPr>
        <w:t>的簡稱，也就是說在平均壽命越來越長的現在，許多人希望能透過更有彈性的時間分配參與社群或經濟活動，</w:t>
      </w:r>
      <w:r w:rsidRPr="003A7AE4">
        <w:rPr>
          <w:rFonts w:ascii="微軟正黑體" w:eastAsia="微軟正黑體" w:hAnsi="微軟正黑體"/>
        </w:rPr>
        <w:t>65</w:t>
      </w:r>
      <w:r w:rsidRPr="003A7AE4">
        <w:rPr>
          <w:rFonts w:ascii="微軟正黑體" w:eastAsia="微軟正黑體" w:hAnsi="微軟正黑體" w:hint="eastAsia"/>
        </w:rPr>
        <w:t>歲不代表「衰老」或是必須「退休」。</w:t>
      </w:r>
    </w:p>
    <w:p w:rsidR="00821A46"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從各國勞動統計數據來看，截至</w:t>
      </w:r>
      <w:r w:rsidRPr="003A7AE4">
        <w:rPr>
          <w:rFonts w:ascii="微軟正黑體" w:eastAsia="微軟正黑體" w:hAnsi="微軟正黑體"/>
        </w:rPr>
        <w:t>2019</w:t>
      </w:r>
      <w:r w:rsidRPr="003A7AE4">
        <w:rPr>
          <w:rFonts w:ascii="微軟正黑體" w:eastAsia="微軟正黑體" w:hAnsi="微軟正黑體" w:hint="eastAsia"/>
        </w:rPr>
        <w:t>年底，我國</w:t>
      </w:r>
      <w:r w:rsidRPr="003A7AE4">
        <w:rPr>
          <w:rFonts w:ascii="微軟正黑體" w:eastAsia="微軟正黑體" w:hAnsi="微軟正黑體"/>
        </w:rPr>
        <w:t>65</w:t>
      </w:r>
      <w:r w:rsidRPr="003A7AE4">
        <w:rPr>
          <w:rFonts w:ascii="微軟正黑體" w:eastAsia="微軟正黑體" w:hAnsi="微軟正黑體" w:hint="eastAsia"/>
        </w:rPr>
        <w:t>歲以上勞動力參與率為</w:t>
      </w:r>
      <w:r w:rsidRPr="003A7AE4">
        <w:rPr>
          <w:rFonts w:ascii="微軟正黑體" w:eastAsia="微軟正黑體" w:hAnsi="微軟正黑體"/>
        </w:rPr>
        <w:t>8.3%</w:t>
      </w:r>
      <w:r w:rsidRPr="003A7AE4">
        <w:rPr>
          <w:rFonts w:ascii="微軟正黑體" w:eastAsia="微軟正黑體" w:hAnsi="微軟正黑體" w:hint="eastAsia"/>
        </w:rPr>
        <w:t>，落後鄰近的日本</w:t>
      </w:r>
      <w:r w:rsidRPr="003A7AE4">
        <w:rPr>
          <w:rFonts w:ascii="微軟正黑體" w:eastAsia="微軟正黑體" w:hAnsi="微軟正黑體"/>
        </w:rPr>
        <w:t>(25.3%)</w:t>
      </w:r>
      <w:r w:rsidRPr="003A7AE4">
        <w:rPr>
          <w:rFonts w:ascii="微軟正黑體" w:eastAsia="微軟正黑體" w:hAnsi="微軟正黑體" w:hint="eastAsia"/>
        </w:rPr>
        <w:t>、新加坡</w:t>
      </w:r>
      <w:r w:rsidRPr="003A7AE4">
        <w:rPr>
          <w:rFonts w:ascii="微軟正黑體" w:eastAsia="微軟正黑體" w:hAnsi="微軟正黑體"/>
        </w:rPr>
        <w:t>(28.7%)</w:t>
      </w:r>
      <w:r w:rsidRPr="003A7AE4">
        <w:rPr>
          <w:rFonts w:ascii="微軟正黑體" w:eastAsia="微軟正黑體" w:hAnsi="微軟正黑體" w:hint="eastAsia"/>
        </w:rPr>
        <w:t>、韓國</w:t>
      </w:r>
      <w:r w:rsidRPr="003A7AE4">
        <w:rPr>
          <w:rFonts w:ascii="微軟正黑體" w:eastAsia="微軟正黑體" w:hAnsi="微軟正黑體"/>
        </w:rPr>
        <w:t>(34%)(</w:t>
      </w:r>
      <w:r w:rsidRPr="003A7AE4">
        <w:rPr>
          <w:rFonts w:ascii="微軟正黑體" w:eastAsia="微軟正黑體" w:hAnsi="微軟正黑體" w:hint="eastAsia"/>
        </w:rPr>
        <w:t>勞動部</w:t>
      </w:r>
      <w:r w:rsidRPr="003A7AE4">
        <w:rPr>
          <w:rFonts w:ascii="微軟正黑體" w:eastAsia="微軟正黑體" w:hAnsi="微軟正黑體"/>
        </w:rPr>
        <w:t>, 2019)</w:t>
      </w:r>
      <w:r w:rsidRPr="003A7AE4">
        <w:rPr>
          <w:rFonts w:ascii="微軟正黑體" w:eastAsia="微軟正黑體" w:hAnsi="微軟正黑體" w:hint="eastAsia"/>
        </w:rPr>
        <w:t>，新加坡與日本在官方的統計中甚至能夠調查到</w:t>
      </w:r>
      <w:r w:rsidRPr="003A7AE4">
        <w:rPr>
          <w:rFonts w:ascii="微軟正黑體" w:eastAsia="微軟正黑體" w:hAnsi="微軟正黑體"/>
        </w:rPr>
        <w:t>70</w:t>
      </w:r>
      <w:r>
        <w:rPr>
          <w:rFonts w:ascii="微軟正黑體" w:eastAsia="微軟正黑體" w:hAnsi="微軟正黑體" w:hint="eastAsia"/>
        </w:rPr>
        <w:t>歲以上的相關勞動數據(</w:t>
      </w:r>
      <w:r w:rsidRPr="003A7AE4">
        <w:rPr>
          <w:rFonts w:ascii="微軟正黑體" w:eastAsia="微軟正黑體" w:hAnsi="微軟正黑體" w:hint="eastAsia"/>
        </w:rPr>
        <w:t>如下</w:t>
      </w:r>
      <w:r w:rsidR="00366780">
        <w:rPr>
          <w:rFonts w:ascii="微軟正黑體" w:eastAsia="微軟正黑體" w:hAnsi="微軟正黑體" w:hint="eastAsia"/>
        </w:rPr>
        <w:t>表3</w:t>
      </w:r>
      <w:r>
        <w:rPr>
          <w:rFonts w:ascii="微軟正黑體" w:eastAsia="微軟正黑體" w:hAnsi="微軟正黑體" w:hint="eastAsia"/>
        </w:rPr>
        <w:t>)</w:t>
      </w:r>
      <w:r w:rsidRPr="003A7AE4">
        <w:rPr>
          <w:rFonts w:ascii="微軟正黑體" w:eastAsia="微軟正黑體" w:hAnsi="微軟正黑體" w:hint="eastAsia"/>
        </w:rPr>
        <w:t>，顯示同樣處於高齡社會壓力下，我國</w:t>
      </w:r>
      <w:r w:rsidRPr="003A7AE4">
        <w:rPr>
          <w:rFonts w:ascii="微軟正黑體" w:eastAsia="微軟正黑體" w:hAnsi="微軟正黑體"/>
        </w:rPr>
        <w:t>65</w:t>
      </w:r>
      <w:r w:rsidRPr="003A7AE4">
        <w:rPr>
          <w:rFonts w:ascii="微軟正黑體" w:eastAsia="微軟正黑體" w:hAnsi="微軟正黑體" w:hint="eastAsia"/>
        </w:rPr>
        <w:t>歲以上勞動力運用情形確實仍有發展空間。</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p>
    <w:p w:rsidR="00821A46" w:rsidRDefault="00821A46" w:rsidP="00821A46">
      <w:pPr>
        <w:spacing w:afterLines="30" w:after="72" w:line="400" w:lineRule="exact"/>
        <w:ind w:firstLineChars="200" w:firstLine="480"/>
        <w:jc w:val="center"/>
        <w:rPr>
          <w:rFonts w:ascii="微軟正黑體" w:eastAsia="微軟正黑體" w:hAnsi="微軟正黑體" w:cs="Times New Roman"/>
        </w:rPr>
      </w:pPr>
      <w:bookmarkStart w:id="23" w:name="_Ref71831466"/>
      <w:bookmarkStart w:id="24" w:name="_Toc72227972"/>
    </w:p>
    <w:p w:rsidR="009816CC" w:rsidRDefault="009816CC" w:rsidP="00821A46">
      <w:pPr>
        <w:spacing w:afterLines="30" w:after="72" w:line="400" w:lineRule="exact"/>
        <w:ind w:firstLineChars="200" w:firstLine="480"/>
        <w:jc w:val="center"/>
        <w:rPr>
          <w:rFonts w:ascii="微軟正黑體" w:eastAsia="微軟正黑體" w:hAnsi="微軟正黑體" w:cs="Times New Roman"/>
        </w:rPr>
      </w:pPr>
    </w:p>
    <w:p w:rsidR="00821A46" w:rsidRPr="003A7AE4" w:rsidRDefault="00821A46" w:rsidP="00821A46">
      <w:pPr>
        <w:spacing w:afterLines="30" w:after="72" w:line="400" w:lineRule="exact"/>
        <w:ind w:firstLineChars="200" w:firstLine="480"/>
        <w:jc w:val="center"/>
        <w:rPr>
          <w:rFonts w:ascii="微軟正黑體" w:eastAsia="微軟正黑體" w:hAnsi="微軟正黑體" w:cs="Times New Roman"/>
        </w:rPr>
      </w:pPr>
      <w:r>
        <w:rPr>
          <w:rFonts w:ascii="微軟正黑體" w:eastAsia="微軟正黑體" w:hAnsi="微軟正黑體" w:cs="Times New Roman" w:hint="eastAsia"/>
          <w:lang w:val="en-GB"/>
        </w:rPr>
        <w:lastRenderedPageBreak/>
        <w:t>表</w:t>
      </w:r>
      <w:bookmarkEnd w:id="23"/>
      <w:r w:rsidR="00366780">
        <w:rPr>
          <w:rFonts w:ascii="微軟正黑體" w:eastAsia="微軟正黑體" w:hAnsi="微軟正黑體" w:cs="Times New Roman" w:hint="eastAsia"/>
        </w:rPr>
        <w:t>3</w:t>
      </w:r>
      <w:r w:rsidRPr="00CF16B4">
        <w:rPr>
          <w:rFonts w:ascii="微軟正黑體" w:eastAsia="微軟正黑體" w:hAnsi="微軟正黑體" w:cs="Times New Roman" w:hint="eastAsia"/>
        </w:rPr>
        <w:t xml:space="preserve">  </w:t>
      </w:r>
      <w:r w:rsidRPr="003A7AE4">
        <w:rPr>
          <w:rFonts w:ascii="微軟正黑體" w:eastAsia="微軟正黑體" w:hAnsi="微軟正黑體" w:cs="Times New Roman" w:hint="eastAsia"/>
        </w:rPr>
        <w:t>主要國家平均退離勞動市場年齡及</w:t>
      </w:r>
      <w:r w:rsidRPr="003A7AE4">
        <w:rPr>
          <w:rFonts w:ascii="微軟正黑體" w:eastAsia="微軟正黑體" w:hAnsi="微軟正黑體" w:cs="Times New Roman"/>
        </w:rPr>
        <w:t>65</w:t>
      </w:r>
      <w:r w:rsidRPr="003A7AE4">
        <w:rPr>
          <w:rFonts w:ascii="微軟正黑體" w:eastAsia="微軟正黑體" w:hAnsi="微軟正黑體" w:cs="Times New Roman" w:hint="eastAsia"/>
        </w:rPr>
        <w:t>歲以上勞參率</w:t>
      </w:r>
      <w:bookmarkEnd w:id="24"/>
    </w:p>
    <w:tbl>
      <w:tblPr>
        <w:tblStyle w:val="a5"/>
        <w:tblW w:w="8572" w:type="dxa"/>
        <w:jc w:val="center"/>
        <w:tblLook w:val="04A0" w:firstRow="1" w:lastRow="0" w:firstColumn="1" w:lastColumn="0" w:noHBand="0" w:noVBand="1"/>
      </w:tblPr>
      <w:tblGrid>
        <w:gridCol w:w="1358"/>
        <w:gridCol w:w="1370"/>
        <w:gridCol w:w="1559"/>
        <w:gridCol w:w="2268"/>
        <w:gridCol w:w="2017"/>
      </w:tblGrid>
      <w:tr w:rsidR="00821A46" w:rsidRPr="00480B64" w:rsidTr="00CA1CAA">
        <w:trPr>
          <w:trHeight w:val="713"/>
          <w:jc w:val="center"/>
        </w:trPr>
        <w:tc>
          <w:tcPr>
            <w:tcW w:w="1358" w:type="dxa"/>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pStyle w:val="ae"/>
              <w:jc w:val="center"/>
              <w:rPr>
                <w:rFonts w:ascii="微軟正黑體" w:eastAsia="微軟正黑體" w:hAnsi="微軟正黑體" w:cs="Times New Roman"/>
                <w:b/>
                <w:color w:val="FFFFFF" w:themeColor="background1"/>
              </w:rPr>
            </w:pPr>
            <w:r w:rsidRPr="00CA1CAA">
              <w:rPr>
                <w:rFonts w:ascii="微軟正黑體" w:eastAsia="微軟正黑體" w:hAnsi="微軟正黑體" w:cs="Times New Roman" w:hint="eastAsia"/>
                <w:b/>
                <w:color w:val="FFFFFF" w:themeColor="background1"/>
              </w:rPr>
              <w:t>國別</w:t>
            </w:r>
          </w:p>
        </w:tc>
        <w:tc>
          <w:tcPr>
            <w:tcW w:w="2929" w:type="dxa"/>
            <w:gridSpan w:val="2"/>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pStyle w:val="ae"/>
              <w:spacing w:line="320" w:lineRule="exact"/>
              <w:jc w:val="center"/>
              <w:rPr>
                <w:rFonts w:ascii="微軟正黑體" w:eastAsia="微軟正黑體" w:hAnsi="微軟正黑體" w:cs="Times New Roman"/>
                <w:b/>
                <w:color w:val="FFFFFF" w:themeColor="background1"/>
              </w:rPr>
            </w:pPr>
            <w:r w:rsidRPr="00CA1CAA">
              <w:rPr>
                <w:rFonts w:ascii="微軟正黑體" w:eastAsia="微軟正黑體" w:hAnsi="微軟正黑體" w:cs="Times New Roman"/>
                <w:b/>
                <w:color w:val="FFFFFF" w:themeColor="background1"/>
              </w:rPr>
              <w:t>2013-2018</w:t>
            </w:r>
            <w:r w:rsidRPr="00CA1CAA">
              <w:rPr>
                <w:rFonts w:ascii="微軟正黑體" w:eastAsia="微軟正黑體" w:hAnsi="微軟正黑體" w:cs="Times New Roman" w:hint="eastAsia"/>
                <w:b/>
                <w:color w:val="FFFFFF" w:themeColor="background1"/>
              </w:rPr>
              <w:t>年</w:t>
            </w:r>
          </w:p>
          <w:p w:rsidR="00821A46" w:rsidRPr="00CA1CAA" w:rsidRDefault="00821A46" w:rsidP="00644B21">
            <w:pPr>
              <w:pStyle w:val="ae"/>
              <w:spacing w:line="320" w:lineRule="exact"/>
              <w:jc w:val="center"/>
              <w:rPr>
                <w:rFonts w:ascii="微軟正黑體" w:eastAsia="微軟正黑體" w:hAnsi="微軟正黑體" w:cs="Times New Roman"/>
                <w:b/>
                <w:color w:val="FFFFFF" w:themeColor="background1"/>
              </w:rPr>
            </w:pPr>
            <w:r w:rsidRPr="00CA1CAA">
              <w:rPr>
                <w:rFonts w:ascii="微軟正黑體" w:eastAsia="微軟正黑體" w:hAnsi="微軟正黑體" w:cs="Times New Roman" w:hint="eastAsia"/>
                <w:b/>
                <w:color w:val="FFFFFF" w:themeColor="background1"/>
              </w:rPr>
              <w:t>平均退離勞動市場年齡</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pStyle w:val="ae"/>
              <w:spacing w:line="320" w:lineRule="exact"/>
              <w:jc w:val="center"/>
              <w:rPr>
                <w:rFonts w:ascii="微軟正黑體" w:eastAsia="微軟正黑體" w:hAnsi="微軟正黑體" w:cs="Times New Roman"/>
                <w:b/>
                <w:color w:val="FFFFFF" w:themeColor="background1"/>
              </w:rPr>
            </w:pPr>
            <w:r w:rsidRPr="00CA1CAA">
              <w:rPr>
                <w:rFonts w:ascii="微軟正黑體" w:eastAsia="微軟正黑體" w:hAnsi="微軟正黑體" w:cs="Times New Roman"/>
                <w:b/>
                <w:color w:val="FFFFFF" w:themeColor="background1"/>
              </w:rPr>
              <w:t>2019</w:t>
            </w:r>
            <w:r w:rsidRPr="00CA1CAA">
              <w:rPr>
                <w:rFonts w:ascii="微軟正黑體" w:eastAsia="微軟正黑體" w:hAnsi="微軟正黑體" w:cs="Times New Roman" w:hint="eastAsia"/>
                <w:b/>
                <w:color w:val="FFFFFF" w:themeColor="background1"/>
              </w:rPr>
              <w:t>年</w:t>
            </w:r>
            <w:r w:rsidRPr="00CA1CAA">
              <w:rPr>
                <w:rFonts w:ascii="微軟正黑體" w:eastAsia="微軟正黑體" w:hAnsi="微軟正黑體" w:cs="Times New Roman"/>
                <w:b/>
                <w:color w:val="FFFFFF" w:themeColor="background1"/>
              </w:rPr>
              <w:t>65</w:t>
            </w:r>
            <w:r w:rsidRPr="00CA1CAA">
              <w:rPr>
                <w:rFonts w:ascii="微軟正黑體" w:eastAsia="微軟正黑體" w:hAnsi="微軟正黑體" w:cs="Times New Roman" w:hint="eastAsia"/>
                <w:b/>
                <w:color w:val="FFFFFF" w:themeColor="background1"/>
              </w:rPr>
              <w:t>歲以上 勞動力參與率</w:t>
            </w:r>
          </w:p>
        </w:tc>
        <w:tc>
          <w:tcPr>
            <w:tcW w:w="2017" w:type="dxa"/>
            <w:vMerge w:val="restar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pStyle w:val="ae"/>
              <w:jc w:val="center"/>
              <w:rPr>
                <w:rFonts w:ascii="微軟正黑體" w:eastAsia="微軟正黑體" w:hAnsi="微軟正黑體" w:cs="Times New Roman"/>
                <w:b/>
                <w:color w:val="FFFFFF" w:themeColor="background1"/>
              </w:rPr>
            </w:pPr>
            <w:r w:rsidRPr="00CA1CAA">
              <w:rPr>
                <w:rFonts w:ascii="微軟正黑體" w:eastAsia="微軟正黑體" w:hAnsi="微軟正黑體" w:cs="Times New Roman" w:hint="eastAsia"/>
                <w:b/>
                <w:color w:val="FFFFFF" w:themeColor="background1"/>
              </w:rPr>
              <w:t>其他</w:t>
            </w:r>
          </w:p>
        </w:tc>
      </w:tr>
      <w:tr w:rsidR="00821A46" w:rsidRPr="00480B64" w:rsidTr="00644B21">
        <w:trPr>
          <w:trHeight w:val="553"/>
          <w:jc w:val="center"/>
        </w:trPr>
        <w:tc>
          <w:tcPr>
            <w:tcW w:w="1358" w:type="dxa"/>
            <w:vMerge/>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widowControl/>
              <w:jc w:val="center"/>
              <w:rPr>
                <w:rFonts w:ascii="微軟正黑體" w:eastAsia="微軟正黑體" w:hAnsi="微軟正黑體" w:cs="Times New Roman"/>
                <w:sz w:val="22"/>
              </w:rPr>
            </w:pPr>
          </w:p>
        </w:tc>
        <w:tc>
          <w:tcPr>
            <w:tcW w:w="13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pStyle w:val="ae"/>
              <w:jc w:val="center"/>
              <w:rPr>
                <w:rFonts w:ascii="微軟正黑體" w:eastAsia="微軟正黑體" w:hAnsi="微軟正黑體" w:cs="Times New Roman"/>
              </w:rPr>
            </w:pPr>
            <w:r w:rsidRPr="00CA1CAA">
              <w:rPr>
                <w:rFonts w:ascii="微軟正黑體" w:eastAsia="微軟正黑體" w:hAnsi="微軟正黑體" w:cs="Times New Roman" w:hint="eastAsia"/>
              </w:rPr>
              <w:t>男性</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21A46" w:rsidRPr="00CA1CAA" w:rsidRDefault="00821A46" w:rsidP="00644B21">
            <w:pPr>
              <w:pStyle w:val="ae"/>
              <w:jc w:val="center"/>
              <w:rPr>
                <w:rFonts w:ascii="微軟正黑體" w:eastAsia="微軟正黑體" w:hAnsi="微軟正黑體" w:cs="Times New Roman"/>
              </w:rPr>
            </w:pPr>
            <w:r w:rsidRPr="00CA1CAA">
              <w:rPr>
                <w:rFonts w:ascii="微軟正黑體" w:eastAsia="微軟正黑體" w:hAnsi="微軟正黑體" w:cs="Times New Roman" w:hint="eastAsia"/>
              </w:rPr>
              <w:t>女性</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widowControl/>
              <w:jc w:val="center"/>
              <w:rPr>
                <w:rFonts w:ascii="微軟正黑體" w:eastAsia="微軟正黑體" w:hAnsi="微軟正黑體" w:cs="Times New Roman"/>
                <w:sz w:val="22"/>
              </w:rPr>
            </w:pPr>
          </w:p>
        </w:tc>
        <w:tc>
          <w:tcPr>
            <w:tcW w:w="2017" w:type="dxa"/>
            <w:vMerge/>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widowControl/>
              <w:jc w:val="center"/>
              <w:rPr>
                <w:rFonts w:ascii="微軟正黑體" w:eastAsia="微軟正黑體" w:hAnsi="微軟正黑體" w:cs="Times New Roman"/>
                <w:sz w:val="22"/>
              </w:rPr>
            </w:pPr>
          </w:p>
        </w:tc>
      </w:tr>
      <w:tr w:rsidR="00821A46" w:rsidRPr="00480B64" w:rsidTr="00644B21">
        <w:trP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hint="eastAsia"/>
              </w:rPr>
              <w:t>中華民國</w:t>
            </w:r>
          </w:p>
        </w:tc>
        <w:tc>
          <w:tcPr>
            <w:tcW w:w="1370"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64.6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color w:val="0070C0"/>
              </w:rPr>
            </w:pPr>
            <w:r w:rsidRPr="00480B64">
              <w:rPr>
                <w:rFonts w:ascii="微軟正黑體" w:eastAsia="微軟正黑體" w:hAnsi="微軟正黑體" w:cs="Times New Roman"/>
              </w:rPr>
              <w:t>61</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8.3%</w:t>
            </w:r>
          </w:p>
        </w:tc>
        <w:tc>
          <w:tcPr>
            <w:tcW w:w="20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w:t>
            </w:r>
          </w:p>
        </w:tc>
      </w:tr>
      <w:tr w:rsidR="00821A46" w:rsidRPr="00480B64" w:rsidTr="00644B21">
        <w:trP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hint="eastAsia"/>
              </w:rPr>
              <w:t>日本</w:t>
            </w:r>
          </w:p>
        </w:tc>
        <w:tc>
          <w:tcPr>
            <w:tcW w:w="1370"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70.8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69.1</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25.3%</w:t>
            </w:r>
          </w:p>
        </w:tc>
        <w:tc>
          <w:tcPr>
            <w:tcW w:w="20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spacing w:line="320" w:lineRule="exact"/>
              <w:jc w:val="center"/>
              <w:rPr>
                <w:rFonts w:ascii="微軟正黑體" w:eastAsia="微軟正黑體" w:hAnsi="微軟正黑體" w:cs="Times New Roman"/>
              </w:rPr>
            </w:pPr>
            <w:r w:rsidRPr="00480B64">
              <w:rPr>
                <w:rFonts w:ascii="微軟正黑體" w:eastAsia="微軟正黑體" w:hAnsi="微軟正黑體" w:cs="Times New Roman"/>
              </w:rPr>
              <w:t>2019</w:t>
            </w:r>
            <w:r w:rsidRPr="00480B64">
              <w:rPr>
                <w:rFonts w:ascii="微軟正黑體" w:eastAsia="微軟正黑體" w:hAnsi="微軟正黑體" w:cs="Times New Roman" w:hint="eastAsia"/>
              </w:rPr>
              <w:t>年</w:t>
            </w:r>
            <w:r w:rsidRPr="00480B64">
              <w:rPr>
                <w:rFonts w:ascii="微軟正黑體" w:eastAsia="微軟正黑體" w:hAnsi="微軟正黑體" w:cs="Times New Roman"/>
              </w:rPr>
              <w:t>70</w:t>
            </w:r>
            <w:r w:rsidRPr="00480B64">
              <w:rPr>
                <w:rFonts w:ascii="微軟正黑體" w:eastAsia="微軟正黑體" w:hAnsi="微軟正黑體" w:cs="Times New Roman" w:hint="eastAsia"/>
              </w:rPr>
              <w:t>歲以上就業率</w:t>
            </w:r>
            <w:r w:rsidRPr="00480B64">
              <w:rPr>
                <w:rFonts w:ascii="微軟正黑體" w:eastAsia="微軟正黑體" w:hAnsi="微軟正黑體" w:cs="Times New Roman"/>
              </w:rPr>
              <w:t>17.2%*</w:t>
            </w:r>
          </w:p>
        </w:tc>
      </w:tr>
      <w:tr w:rsidR="00821A46" w:rsidRPr="00480B64" w:rsidTr="00644B21">
        <w:trP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hint="eastAsia"/>
              </w:rPr>
              <w:t>韓國</w:t>
            </w:r>
          </w:p>
        </w:tc>
        <w:tc>
          <w:tcPr>
            <w:tcW w:w="1370"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72.3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72.3</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34%</w:t>
            </w:r>
          </w:p>
        </w:tc>
        <w:tc>
          <w:tcPr>
            <w:tcW w:w="20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w:t>
            </w:r>
          </w:p>
        </w:tc>
      </w:tr>
      <w:tr w:rsidR="00821A46" w:rsidRPr="00480B64" w:rsidTr="00644B21">
        <w:trP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hint="eastAsia"/>
              </w:rPr>
              <w:t>新加坡</w:t>
            </w:r>
          </w:p>
        </w:tc>
        <w:tc>
          <w:tcPr>
            <w:tcW w:w="1370"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28.7%</w:t>
            </w:r>
          </w:p>
        </w:tc>
        <w:tc>
          <w:tcPr>
            <w:tcW w:w="20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spacing w:line="320" w:lineRule="exact"/>
              <w:jc w:val="center"/>
              <w:rPr>
                <w:rFonts w:ascii="微軟正黑體" w:eastAsia="微軟正黑體" w:hAnsi="微軟正黑體" w:cs="Times New Roman"/>
              </w:rPr>
            </w:pPr>
            <w:r w:rsidRPr="00480B64">
              <w:rPr>
                <w:rFonts w:ascii="微軟正黑體" w:eastAsia="微軟正黑體" w:hAnsi="微軟正黑體" w:cs="Times New Roman"/>
              </w:rPr>
              <w:t>2019</w:t>
            </w:r>
            <w:r w:rsidRPr="00480B64">
              <w:rPr>
                <w:rFonts w:ascii="微軟正黑體" w:eastAsia="微軟正黑體" w:hAnsi="微軟正黑體" w:cs="Times New Roman" w:hint="eastAsia"/>
              </w:rPr>
              <w:t>年</w:t>
            </w:r>
            <w:r w:rsidRPr="00480B64">
              <w:rPr>
                <w:rFonts w:ascii="微軟正黑體" w:eastAsia="微軟正黑體" w:hAnsi="微軟正黑體" w:cs="Times New Roman"/>
              </w:rPr>
              <w:t>75</w:t>
            </w:r>
            <w:r w:rsidRPr="00480B64">
              <w:rPr>
                <w:rFonts w:ascii="微軟正黑體" w:eastAsia="微軟正黑體" w:hAnsi="微軟正黑體" w:cs="Times New Roman" w:hint="eastAsia"/>
              </w:rPr>
              <w:t>歲以上勞參率</w:t>
            </w:r>
            <w:r w:rsidRPr="00480B64">
              <w:rPr>
                <w:rFonts w:ascii="微軟正黑體" w:eastAsia="微軟正黑體" w:hAnsi="微軟正黑體" w:cs="Times New Roman"/>
              </w:rPr>
              <w:t>9.5%**</w:t>
            </w:r>
          </w:p>
        </w:tc>
      </w:tr>
      <w:tr w:rsidR="00821A46" w:rsidRPr="00480B64" w:rsidTr="00644B21">
        <w:trP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hint="eastAsia"/>
              </w:rPr>
              <w:t>美國</w:t>
            </w:r>
          </w:p>
        </w:tc>
        <w:tc>
          <w:tcPr>
            <w:tcW w:w="1370"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67.9</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66.5</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20.2%</w:t>
            </w:r>
          </w:p>
        </w:tc>
        <w:tc>
          <w:tcPr>
            <w:tcW w:w="20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w:t>
            </w:r>
          </w:p>
        </w:tc>
      </w:tr>
      <w:tr w:rsidR="00821A46" w:rsidRPr="00480B64" w:rsidTr="00644B21">
        <w:trP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hint="eastAsia"/>
              </w:rPr>
              <w:t>英國</w:t>
            </w:r>
          </w:p>
        </w:tc>
        <w:tc>
          <w:tcPr>
            <w:tcW w:w="1370"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64.7</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63.6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10.9%</w:t>
            </w:r>
          </w:p>
        </w:tc>
        <w:tc>
          <w:tcPr>
            <w:tcW w:w="20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w:t>
            </w:r>
          </w:p>
        </w:tc>
      </w:tr>
      <w:tr w:rsidR="00821A46" w:rsidRPr="00480B64" w:rsidTr="00644B21">
        <w:trP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hint="eastAsia"/>
              </w:rPr>
              <w:t>法國</w:t>
            </w:r>
          </w:p>
        </w:tc>
        <w:tc>
          <w:tcPr>
            <w:tcW w:w="1370"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60.8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60.8</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3.4%</w:t>
            </w:r>
          </w:p>
        </w:tc>
        <w:tc>
          <w:tcPr>
            <w:tcW w:w="20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w:t>
            </w:r>
          </w:p>
        </w:tc>
      </w:tr>
      <w:tr w:rsidR="00821A46" w:rsidRPr="00480B64" w:rsidTr="00644B21">
        <w:trPr>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hint="eastAsia"/>
              </w:rPr>
              <w:t>德國</w:t>
            </w:r>
          </w:p>
        </w:tc>
        <w:tc>
          <w:tcPr>
            <w:tcW w:w="1370"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color w:val="0070C0"/>
              </w:rPr>
            </w:pPr>
            <w:r w:rsidRPr="00480B64">
              <w:rPr>
                <w:rFonts w:ascii="微軟正黑體" w:eastAsia="微軟正黑體" w:hAnsi="微軟正黑體" w:cs="Times New Roman"/>
              </w:rPr>
              <w:t>64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63.6</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7.8%</w:t>
            </w:r>
          </w:p>
        </w:tc>
        <w:tc>
          <w:tcPr>
            <w:tcW w:w="2017" w:type="dxa"/>
            <w:tcBorders>
              <w:top w:val="single" w:sz="4" w:space="0" w:color="auto"/>
              <w:left w:val="single" w:sz="4" w:space="0" w:color="auto"/>
              <w:bottom w:val="single" w:sz="4" w:space="0" w:color="auto"/>
              <w:right w:val="single" w:sz="4" w:space="0" w:color="auto"/>
            </w:tcBorders>
            <w:vAlign w:val="center"/>
            <w:hideMark/>
          </w:tcPr>
          <w:p w:rsidR="00821A46" w:rsidRPr="00480B64" w:rsidRDefault="00821A46" w:rsidP="00644B21">
            <w:pPr>
              <w:pStyle w:val="ae"/>
              <w:jc w:val="center"/>
              <w:rPr>
                <w:rFonts w:ascii="微軟正黑體" w:eastAsia="微軟正黑體" w:hAnsi="微軟正黑體" w:cs="Times New Roman"/>
              </w:rPr>
            </w:pPr>
            <w:r w:rsidRPr="00480B64">
              <w:rPr>
                <w:rFonts w:ascii="微軟正黑體" w:eastAsia="微軟正黑體" w:hAnsi="微軟正黑體" w:cs="Times New Roman"/>
              </w:rPr>
              <w:t>-</w:t>
            </w:r>
          </w:p>
        </w:tc>
      </w:tr>
      <w:tr w:rsidR="00821A46" w:rsidRPr="00480B64" w:rsidTr="00644B21">
        <w:trPr>
          <w:jc w:val="center"/>
        </w:trPr>
        <w:tc>
          <w:tcPr>
            <w:tcW w:w="8572" w:type="dxa"/>
            <w:gridSpan w:val="5"/>
            <w:tcBorders>
              <w:top w:val="single" w:sz="4" w:space="0" w:color="auto"/>
              <w:left w:val="nil"/>
              <w:bottom w:val="nil"/>
              <w:right w:val="nil"/>
            </w:tcBorders>
            <w:hideMark/>
          </w:tcPr>
          <w:p w:rsidR="00821A46" w:rsidRPr="00480B64" w:rsidRDefault="00821A46" w:rsidP="000827B0">
            <w:pPr>
              <w:spacing w:line="280" w:lineRule="exact"/>
              <w:rPr>
                <w:rFonts w:ascii="微軟正黑體" w:eastAsia="微軟正黑體" w:hAnsi="微軟正黑體" w:cs="Times New Roman"/>
                <w:sz w:val="20"/>
                <w:szCs w:val="20"/>
              </w:rPr>
            </w:pPr>
            <w:r w:rsidRPr="00480B64">
              <w:rPr>
                <w:rFonts w:ascii="微軟正黑體" w:eastAsia="微軟正黑體" w:hAnsi="微軟正黑體" w:cs="Times New Roman" w:hint="eastAsia"/>
                <w:sz w:val="20"/>
                <w:szCs w:val="20"/>
              </w:rPr>
              <w:t>資料來源：</w:t>
            </w:r>
          </w:p>
          <w:p w:rsidR="00821A46" w:rsidRPr="00480B64" w:rsidRDefault="00821A46" w:rsidP="00644B21">
            <w:pPr>
              <w:spacing w:line="280" w:lineRule="exact"/>
              <w:rPr>
                <w:rFonts w:ascii="微軟正黑體" w:eastAsia="微軟正黑體" w:hAnsi="微軟正黑體" w:cs="Times New Roman"/>
                <w:sz w:val="20"/>
                <w:szCs w:val="20"/>
              </w:rPr>
            </w:pPr>
            <w:r w:rsidRPr="00480B64">
              <w:rPr>
                <w:rFonts w:ascii="微軟正黑體" w:eastAsia="微軟正黑體" w:hAnsi="微軟正黑體" w:cs="Times New Roman" w:hint="eastAsia"/>
                <w:sz w:val="20"/>
                <w:szCs w:val="20"/>
              </w:rPr>
              <w:t>平均退離勞動市場與勞參率摘錄自勞動部</w:t>
            </w:r>
            <w:r w:rsidRPr="00480B64">
              <w:rPr>
                <w:rFonts w:ascii="微軟正黑體" w:eastAsia="微軟正黑體" w:hAnsi="微軟正黑體" w:cs="Times New Roman"/>
                <w:sz w:val="20"/>
                <w:szCs w:val="20"/>
              </w:rPr>
              <w:t>2019</w:t>
            </w:r>
            <w:r w:rsidRPr="00480B64">
              <w:rPr>
                <w:rFonts w:ascii="微軟正黑體" w:eastAsia="微軟正黑體" w:hAnsi="微軟正黑體" w:cs="Times New Roman" w:hint="eastAsia"/>
                <w:sz w:val="20"/>
                <w:szCs w:val="20"/>
              </w:rPr>
              <w:t>國際勞動統計報告，第</w:t>
            </w:r>
            <w:r w:rsidRPr="00480B64">
              <w:rPr>
                <w:rFonts w:ascii="微軟正黑體" w:eastAsia="微軟正黑體" w:hAnsi="微軟正黑體" w:cs="Times New Roman"/>
                <w:sz w:val="20"/>
                <w:szCs w:val="20"/>
              </w:rPr>
              <w:t>1-14</w:t>
            </w:r>
            <w:r w:rsidRPr="00480B64">
              <w:rPr>
                <w:rFonts w:ascii="微軟正黑體" w:eastAsia="微軟正黑體" w:hAnsi="微軟正黑體" w:cs="Times New Roman" w:hint="eastAsia"/>
                <w:sz w:val="20"/>
                <w:szCs w:val="20"/>
              </w:rPr>
              <w:t>、</w:t>
            </w:r>
            <w:r w:rsidRPr="00480B64">
              <w:rPr>
                <w:rFonts w:ascii="微軟正黑體" w:eastAsia="微軟正黑體" w:hAnsi="微軟正黑體" w:cs="Times New Roman"/>
                <w:sz w:val="20"/>
                <w:szCs w:val="20"/>
              </w:rPr>
              <w:t>10-6</w:t>
            </w:r>
            <w:r w:rsidRPr="00480B64">
              <w:rPr>
                <w:rFonts w:ascii="微軟正黑體" w:eastAsia="微軟正黑體" w:hAnsi="微軟正黑體" w:cs="Times New Roman" w:hint="eastAsia"/>
                <w:sz w:val="20"/>
                <w:szCs w:val="20"/>
              </w:rPr>
              <w:t>頁。</w:t>
            </w:r>
          </w:p>
          <w:p w:rsidR="00821A46" w:rsidRPr="00480B64" w:rsidRDefault="00821A46" w:rsidP="00644B21">
            <w:pPr>
              <w:spacing w:line="280" w:lineRule="exact"/>
              <w:rPr>
                <w:rFonts w:ascii="微軟正黑體" w:eastAsia="微軟正黑體" w:hAnsi="微軟正黑體" w:cs="Times New Roman"/>
                <w:sz w:val="20"/>
                <w:szCs w:val="20"/>
              </w:rPr>
            </w:pPr>
            <w:r w:rsidRPr="00480B64">
              <w:rPr>
                <w:rFonts w:ascii="微軟正黑體" w:eastAsia="微軟正黑體" w:hAnsi="微軟正黑體" w:cs="Times New Roman"/>
                <w:sz w:val="20"/>
                <w:szCs w:val="20"/>
              </w:rPr>
              <w:t>*</w:t>
            </w:r>
            <w:r w:rsidRPr="00480B64">
              <w:rPr>
                <w:rFonts w:ascii="微軟正黑體" w:eastAsia="微軟正黑體" w:hAnsi="微軟正黑體" w:cs="Times New Roman" w:hint="eastAsia"/>
                <w:sz w:val="20"/>
                <w:szCs w:val="20"/>
              </w:rPr>
              <w:t>摘自日本總務省高齡人口統計</w:t>
            </w:r>
            <w:r w:rsidRPr="00480B64">
              <w:rPr>
                <w:rFonts w:ascii="微軟正黑體" w:eastAsia="微軟正黑體" w:hAnsi="微軟正黑體" w:cs="Times New Roman"/>
                <w:sz w:val="20"/>
                <w:szCs w:val="20"/>
              </w:rPr>
              <w:t>(2020)</w:t>
            </w:r>
            <w:r w:rsidRPr="00480B64">
              <w:rPr>
                <w:rFonts w:ascii="微軟正黑體" w:eastAsia="微軟正黑體" w:hAnsi="微軟正黑體" w:cs="Times New Roman" w:hint="eastAsia"/>
                <w:sz w:val="20"/>
                <w:szCs w:val="20"/>
              </w:rPr>
              <w:t>。高齡者就業率推移</w:t>
            </w:r>
            <w:r w:rsidRPr="00480B64">
              <w:rPr>
                <w:rFonts w:ascii="微軟正黑體" w:eastAsia="微軟正黑體" w:hAnsi="微軟正黑體" w:cs="Times New Roman"/>
                <w:sz w:val="20"/>
                <w:szCs w:val="20"/>
              </w:rPr>
              <w:t>(2009</w:t>
            </w:r>
            <w:r w:rsidRPr="00480B64">
              <w:rPr>
                <w:rFonts w:ascii="微軟正黑體" w:eastAsia="微軟正黑體" w:hAnsi="微軟正黑體" w:cs="Times New Roman" w:hint="eastAsia"/>
                <w:sz w:val="20"/>
                <w:szCs w:val="20"/>
              </w:rPr>
              <w:t>年-</w:t>
            </w:r>
            <w:r w:rsidRPr="00480B64">
              <w:rPr>
                <w:rFonts w:ascii="微軟正黑體" w:eastAsia="微軟正黑體" w:hAnsi="微軟正黑體" w:cs="Times New Roman"/>
                <w:sz w:val="20"/>
                <w:szCs w:val="20"/>
              </w:rPr>
              <w:t>2019</w:t>
            </w:r>
            <w:r w:rsidRPr="00480B64">
              <w:rPr>
                <w:rFonts w:ascii="微軟正黑體" w:eastAsia="微軟正黑體" w:hAnsi="微軟正黑體" w:cs="Times New Roman" w:hint="eastAsia"/>
                <w:sz w:val="20"/>
                <w:szCs w:val="20"/>
              </w:rPr>
              <w:t>年</w:t>
            </w:r>
            <w:r w:rsidRPr="00480B64">
              <w:rPr>
                <w:rFonts w:ascii="微軟正黑體" w:eastAsia="微軟正黑體" w:hAnsi="微軟正黑體" w:cs="Times New Roman"/>
                <w:sz w:val="20"/>
                <w:szCs w:val="20"/>
              </w:rPr>
              <w:t>)</w:t>
            </w:r>
            <w:r w:rsidRPr="00480B64">
              <w:rPr>
                <w:rFonts w:ascii="微軟正黑體" w:eastAsia="微軟正黑體" w:hAnsi="微軟正黑體" w:cs="Times New Roman" w:hint="eastAsia"/>
                <w:sz w:val="20"/>
                <w:szCs w:val="20"/>
              </w:rPr>
              <w:t>。第</w:t>
            </w:r>
            <w:r w:rsidRPr="00480B64">
              <w:rPr>
                <w:rFonts w:ascii="微軟正黑體" w:eastAsia="微軟正黑體" w:hAnsi="微軟正黑體" w:cs="Times New Roman"/>
                <w:sz w:val="20"/>
                <w:szCs w:val="20"/>
              </w:rPr>
              <w:t>7</w:t>
            </w:r>
            <w:r w:rsidRPr="00480B64">
              <w:rPr>
                <w:rFonts w:ascii="微軟正黑體" w:eastAsia="微軟正黑體" w:hAnsi="微軟正黑體" w:cs="Times New Roman" w:hint="eastAsia"/>
                <w:sz w:val="20"/>
                <w:szCs w:val="20"/>
              </w:rPr>
              <w:t>頁。</w:t>
            </w:r>
          </w:p>
          <w:p w:rsidR="00821A46" w:rsidRPr="00480B64" w:rsidRDefault="00821A46" w:rsidP="00644B21">
            <w:pPr>
              <w:spacing w:line="280" w:lineRule="exact"/>
              <w:rPr>
                <w:rFonts w:ascii="微軟正黑體" w:eastAsia="微軟正黑體" w:hAnsi="微軟正黑體" w:cs="Times New Roman"/>
                <w:sz w:val="22"/>
              </w:rPr>
            </w:pPr>
            <w:r w:rsidRPr="00480B64">
              <w:rPr>
                <w:rFonts w:ascii="微軟正黑體" w:eastAsia="微軟正黑體" w:hAnsi="微軟正黑體" w:cs="Times New Roman"/>
                <w:sz w:val="20"/>
                <w:szCs w:val="20"/>
              </w:rPr>
              <w:t>**</w:t>
            </w:r>
            <w:r w:rsidRPr="00480B64">
              <w:rPr>
                <w:rFonts w:ascii="微軟正黑體" w:eastAsia="微軟正黑體" w:hAnsi="微軟正黑體" w:cs="Times New Roman" w:hint="eastAsia"/>
                <w:sz w:val="20"/>
                <w:szCs w:val="20"/>
              </w:rPr>
              <w:t>取自</w:t>
            </w:r>
            <w:r w:rsidRPr="00480B64">
              <w:rPr>
                <w:rFonts w:ascii="微軟正黑體" w:eastAsia="微軟正黑體" w:hAnsi="微軟正黑體" w:cs="Times New Roman"/>
                <w:sz w:val="20"/>
                <w:szCs w:val="20"/>
              </w:rPr>
              <w:t>Ministry of Manpower &amp; Singapore Department of Statistic</w:t>
            </w:r>
          </w:p>
        </w:tc>
      </w:tr>
    </w:tbl>
    <w:p w:rsidR="00821A46" w:rsidRDefault="00821A46" w:rsidP="00821A46">
      <w:pPr>
        <w:spacing w:beforeLines="30" w:before="72" w:line="400" w:lineRule="exact"/>
        <w:ind w:firstLineChars="200" w:firstLine="480"/>
        <w:jc w:val="both"/>
        <w:rPr>
          <w:rFonts w:ascii="微軟正黑體" w:eastAsia="微軟正黑體" w:hAnsi="微軟正黑體"/>
        </w:rPr>
      </w:pP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同時間日益頻繁的跨國就業者和移工之社會保障也是值得注意，當跨國移動頻繁下，每一個經濟體都需要面對移工的社會安全保障議題，特別是跨國移工的老年保障更是值得思考。國際勞工組織</w:t>
      </w:r>
      <w:r>
        <w:rPr>
          <w:rFonts w:ascii="微軟正黑體" w:eastAsia="微軟正黑體" w:hAnsi="微軟正黑體" w:hint="eastAsia"/>
        </w:rPr>
        <w:t>(</w:t>
      </w:r>
      <w:r w:rsidRPr="003A7AE4">
        <w:rPr>
          <w:rFonts w:ascii="微軟正黑體" w:eastAsia="微軟正黑體" w:hAnsi="微軟正黑體" w:hint="eastAsia"/>
        </w:rPr>
        <w:t>International Labour Organization，以下簡稱ILO</w:t>
      </w:r>
      <w:r>
        <w:rPr>
          <w:rFonts w:ascii="微軟正黑體" w:eastAsia="微軟正黑體" w:hAnsi="微軟正黑體" w:hint="eastAsia"/>
        </w:rPr>
        <w:t>)</w:t>
      </w:r>
      <w:r w:rsidRPr="003A7AE4">
        <w:rPr>
          <w:rFonts w:ascii="微軟正黑體" w:eastAsia="微軟正黑體" w:hAnsi="微軟正黑體" w:hint="eastAsia"/>
        </w:rPr>
        <w:t>認為，未來的勞動世界需要強而有力、及時因應的社會保護制度，因此，應以集體和風險共同承擔為原則，以滿足人們整體生命週期需要支持的需求─從出生到老年全面涵蓋的社會保護</w:t>
      </w:r>
      <w:r>
        <w:rPr>
          <w:rFonts w:ascii="微軟正黑體" w:eastAsia="微軟正黑體" w:hAnsi="微軟正黑體" w:hint="eastAsia"/>
        </w:rPr>
        <w:t>(加強社會保障)</w:t>
      </w:r>
      <w:r w:rsidRPr="003A7AE4">
        <w:rPr>
          <w:rFonts w:ascii="微軟正黑體" w:eastAsia="微軟正黑體" w:hAnsi="微軟正黑體" w:hint="eastAsia"/>
        </w:rPr>
        <w:t>。此目的有賴建立社會保護基本網，為每一位有需要的人提供</w:t>
      </w:r>
      <w:r w:rsidRPr="00655B24">
        <w:rPr>
          <w:rFonts w:ascii="微軟正黑體" w:eastAsia="微軟正黑體" w:hAnsi="微軟正黑體" w:hint="eastAsia"/>
        </w:rPr>
        <w:t>基</w:t>
      </w:r>
      <w:r w:rsidRPr="003A7AE4">
        <w:rPr>
          <w:rFonts w:ascii="微軟正黑體" w:eastAsia="微軟正黑體" w:hAnsi="微軟正黑體" w:hint="eastAsia"/>
        </w:rPr>
        <w:t>本水平</w:t>
      </w:r>
      <w:r>
        <w:rPr>
          <w:rFonts w:ascii="微軟正黑體" w:eastAsia="微軟正黑體" w:hAnsi="微軟正黑體" w:hint="eastAsia"/>
        </w:rPr>
        <w:t>的保護，並輔以繳費型社會保險計畫或方案，以提供更具品質之保護。(</w:t>
      </w:r>
      <w:r w:rsidRPr="003A7AE4">
        <w:rPr>
          <w:rFonts w:ascii="微軟正黑體" w:eastAsia="微軟正黑體" w:hAnsi="微軟正黑體" w:hint="eastAsia"/>
        </w:rPr>
        <w:t>International Labour Office, 2019</w:t>
      </w:r>
      <w:r>
        <w:rPr>
          <w:rFonts w:ascii="微軟正黑體" w:eastAsia="微軟正黑體" w:hAnsi="微軟正黑體" w:hint="eastAsia"/>
        </w:rPr>
        <w:t>)</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社會保障的原則包括：全面保障和可及性、給付足夠和永續性、可攜性、透明、性別平等、良善管理等；應關注的工作者包括：部分工時工作者、臨時工作者、自營作業者、不確定就業關係者、數位平台工作者等</w:t>
      </w:r>
      <w:r>
        <w:rPr>
          <w:rFonts w:ascii="微軟正黑體" w:eastAsia="微軟正黑體" w:hAnsi="微軟正黑體" w:hint="eastAsia"/>
        </w:rPr>
        <w:t>(</w:t>
      </w:r>
      <w:r w:rsidRPr="003A7AE4">
        <w:rPr>
          <w:rFonts w:ascii="微軟正黑體" w:eastAsia="微軟正黑體" w:hAnsi="微軟正黑體" w:hint="eastAsia"/>
        </w:rPr>
        <w:t>Behrendt &amp; Nguyen, 2018</w:t>
      </w:r>
      <w:r>
        <w:rPr>
          <w:rFonts w:ascii="微軟正黑體" w:eastAsia="微軟正黑體" w:hAnsi="微軟正黑體" w:hint="eastAsia"/>
        </w:rPr>
        <w:t>)</w:t>
      </w:r>
      <w:r w:rsidRPr="003A7AE4">
        <w:rPr>
          <w:rFonts w:ascii="微軟正黑體" w:eastAsia="微軟正黑體" w:hAnsi="微軟正黑體" w:hint="eastAsia"/>
        </w:rPr>
        <w:t>。社會保障的手段有兩大類：</w:t>
      </w:r>
    </w:p>
    <w:p w:rsidR="00821A46" w:rsidRDefault="00821A46" w:rsidP="00BD50E5">
      <w:pPr>
        <w:pStyle w:val="af0"/>
        <w:numPr>
          <w:ilvl w:val="0"/>
          <w:numId w:val="31"/>
        </w:numPr>
        <w:spacing w:beforeLines="30" w:before="72" w:line="400" w:lineRule="exact"/>
        <w:ind w:leftChars="0" w:left="567" w:hanging="283"/>
        <w:jc w:val="both"/>
        <w:rPr>
          <w:rFonts w:ascii="微軟正黑體" w:eastAsia="微軟正黑體" w:hAnsi="微軟正黑體"/>
        </w:rPr>
      </w:pPr>
      <w:r w:rsidRPr="003F6DA6">
        <w:rPr>
          <w:rFonts w:ascii="微軟正黑體" w:eastAsia="微軟正黑體" w:hAnsi="微軟正黑體" w:hint="eastAsia"/>
        </w:rPr>
        <w:t>要繳交費用的保險類；例如，醫療保險、傷病保險、失能保險、老年保險、職災保險、死亡給付、失業保險、育嬰留職停薪津貼等。</w:t>
      </w:r>
    </w:p>
    <w:p w:rsidR="00821A46" w:rsidRPr="00DD4527" w:rsidRDefault="00821A46" w:rsidP="00BD50E5">
      <w:pPr>
        <w:pStyle w:val="af0"/>
        <w:numPr>
          <w:ilvl w:val="0"/>
          <w:numId w:val="31"/>
        </w:numPr>
        <w:spacing w:beforeLines="30" w:before="72" w:line="400" w:lineRule="exact"/>
        <w:ind w:leftChars="0" w:left="567" w:hanging="283"/>
        <w:jc w:val="both"/>
        <w:rPr>
          <w:rFonts w:ascii="微軟正黑體" w:eastAsia="微軟正黑體" w:hAnsi="微軟正黑體"/>
        </w:rPr>
      </w:pPr>
      <w:r w:rsidRPr="00DD4527">
        <w:rPr>
          <w:rFonts w:ascii="微軟正黑體" w:eastAsia="微軟正黑體" w:hAnsi="微軟正黑體" w:hint="eastAsia"/>
        </w:rPr>
        <w:t>不必繳交費用的非保險類；例如，工作收入保障、工時上限、職災補償保障、社會福利、從懷孕到生產過程的協助等。</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655B24">
        <w:rPr>
          <w:rFonts w:ascii="微軟正黑體" w:eastAsia="微軟正黑體" w:hAnsi="微軟正黑體" w:hint="eastAsia"/>
        </w:rPr>
        <w:lastRenderedPageBreak/>
        <w:t>臺</w:t>
      </w:r>
      <w:r w:rsidRPr="003A7AE4">
        <w:rPr>
          <w:rFonts w:ascii="微軟正黑體" w:eastAsia="微軟正黑體" w:hAnsi="微軟正黑體" w:hint="eastAsia"/>
        </w:rPr>
        <w:t>灣涉及社</w:t>
      </w:r>
      <w:r>
        <w:rPr>
          <w:rFonts w:ascii="微軟正黑體" w:eastAsia="微軟正黑體" w:hAnsi="微軟正黑體" w:hint="eastAsia"/>
        </w:rPr>
        <w:t>會保障項目的法律包括勞工保險條例(以下簡稱勞保條例)</w:t>
      </w:r>
      <w:r w:rsidRPr="003F6DA6">
        <w:rPr>
          <w:rFonts w:ascii="微軟正黑體" w:eastAsia="微軟正黑體" w:hAnsi="微軟正黑體"/>
          <w:vertAlign w:val="superscript"/>
        </w:rPr>
        <w:footnoteReference w:id="8"/>
      </w:r>
      <w:r>
        <w:rPr>
          <w:rFonts w:ascii="微軟正黑體" w:eastAsia="微軟正黑體" w:hAnsi="微軟正黑體" w:hint="eastAsia"/>
        </w:rPr>
        <w:t>、職業災害勞工保護法</w:t>
      </w:r>
      <w:r w:rsidRPr="00655B24">
        <w:rPr>
          <w:rStyle w:val="af4"/>
          <w:rFonts w:ascii="微軟正黑體" w:eastAsia="微軟正黑體" w:hAnsi="微軟正黑體"/>
        </w:rPr>
        <w:footnoteReference w:id="9"/>
      </w:r>
      <w:r>
        <w:rPr>
          <w:rFonts w:ascii="微軟正黑體" w:eastAsia="微軟正黑體" w:hAnsi="微軟正黑體" w:hint="eastAsia"/>
        </w:rPr>
        <w:t>、農民健康保險條例(以下簡稱農保條例)、老年農民福利津貼暫行條例、國民年金法、就業保險法(以下簡稱就保法)、勞工退休金條例(以下簡稱勞退條例)</w:t>
      </w:r>
      <w:r w:rsidRPr="003A7AE4">
        <w:rPr>
          <w:rFonts w:ascii="微軟正黑體" w:eastAsia="微軟正黑體" w:hAnsi="微軟正黑體" w:hint="eastAsia"/>
        </w:rPr>
        <w:t>、全民健康保險法</w:t>
      </w:r>
      <w:r>
        <w:rPr>
          <w:rFonts w:ascii="微軟正黑體" w:eastAsia="微軟正黑體" w:hAnsi="微軟正黑體" w:hint="eastAsia"/>
        </w:rPr>
        <w:t>(以下簡稱健保法)</w:t>
      </w:r>
      <w:r w:rsidRPr="003A7AE4">
        <w:rPr>
          <w:rFonts w:ascii="微軟正黑體" w:eastAsia="微軟正黑體" w:hAnsi="微軟正黑體" w:hint="eastAsia"/>
        </w:rPr>
        <w:t>、勞基法、</w:t>
      </w:r>
      <w:r w:rsidRPr="00480B64">
        <w:rPr>
          <w:rFonts w:ascii="微軟正黑體" w:eastAsia="微軟正黑體" w:hAnsi="微軟正黑體" w:hint="eastAsia"/>
        </w:rPr>
        <w:t>就業服務法(以下簡稱就服法)</w:t>
      </w:r>
      <w:r w:rsidRPr="003A7AE4">
        <w:rPr>
          <w:rFonts w:ascii="微軟正黑體" w:eastAsia="微軟正黑體" w:hAnsi="微軟正黑體" w:hint="eastAsia"/>
        </w:rPr>
        <w:t>、境外僱用非我國籍船員許可及管理辦法、老人福利法、社會救助法等。以下分兩大類分析之。</w:t>
      </w:r>
    </w:p>
    <w:p w:rsidR="00821A46" w:rsidRPr="00572AA1" w:rsidRDefault="00821A46" w:rsidP="00BD50E5">
      <w:pPr>
        <w:pStyle w:val="af0"/>
        <w:numPr>
          <w:ilvl w:val="1"/>
          <w:numId w:val="31"/>
        </w:numPr>
        <w:spacing w:beforeLines="50" w:before="120" w:afterLines="50" w:after="120" w:line="400" w:lineRule="exact"/>
        <w:ind w:leftChars="0" w:left="425" w:hanging="442"/>
        <w:jc w:val="both"/>
        <w:rPr>
          <w:rFonts w:ascii="微軟正黑體" w:eastAsia="微軟正黑體" w:hAnsi="微軟正黑體"/>
        </w:rPr>
      </w:pPr>
      <w:r w:rsidRPr="00572AA1">
        <w:rPr>
          <w:rFonts w:ascii="微軟正黑體" w:eastAsia="微軟正黑體" w:hAnsi="微軟正黑體" w:hint="eastAsia"/>
        </w:rPr>
        <w:t>保險類</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健保法提供全體住民醫療健康服務，不論是受僱者或自營作業者，都應參加健保，享受物美價廉的服務。合法移工，不論是藍領或白領、產業或福利移工，也可以參加健保。</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勞保條例提供勞保被保險人傷病、職災醫療、失能、老年、死亡、生育等給付，傷病、失能和死亡給付有普通事故和職災兩類，不論是受僱者或自營作業者，都可依照規定，參加勞保。合法移工，不論是藍領或白領、產業或福利移工，也可以依照規定，參加勞保。無一定雇主或自營作業者如果自行參加職業工會，或成為漁會甲類會員，當他們從事非本業或與本業專長無關之工作，在工作場所因執行職務而致傷病者，得請領職業災害保險給付</w:t>
      </w:r>
      <w:r w:rsidRPr="006E76B5">
        <w:rPr>
          <w:rFonts w:ascii="微軟正黑體" w:eastAsia="微軟正黑體" w:hAnsi="微軟正黑體" w:hint="eastAsia"/>
        </w:rPr>
        <w:t>。</w:t>
      </w:r>
      <w:r w:rsidRPr="003A7AE4">
        <w:rPr>
          <w:rFonts w:ascii="微軟正黑體" w:eastAsia="微軟正黑體" w:hAnsi="微軟正黑體" w:hint="eastAsia"/>
        </w:rPr>
        <w:t>但是如果於往返日常居、住處所及就業場所途中或公差途中發生事故者，非屬職業災害保險給付範圍。</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不過，自行到海外就業者依法不得參加勞保；屬自營作業身分而參加職業工會或漁會甲類會員，應強制參加勞保；</w:t>
      </w:r>
      <w:r w:rsidRPr="003A7AE4">
        <w:rPr>
          <w:rFonts w:ascii="微軟正黑體" w:eastAsia="微軟正黑體" w:hAnsi="微軟正黑體"/>
        </w:rPr>
        <w:t>4</w:t>
      </w:r>
      <w:r w:rsidRPr="003A7AE4">
        <w:rPr>
          <w:rFonts w:ascii="微軟正黑體" w:eastAsia="微軟正黑體" w:hAnsi="微軟正黑體" w:hint="eastAsia"/>
        </w:rPr>
        <w:t>人以下事業單位勞工、家庭外勞等，係自願參加勞保；已請領老年給付再就業時，可以只自願參加勞保的職災保險；因此他們有可能沒有參加勞保。</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受僱者或自營作業者的老年保障除勞保的老年給付外，還有勞退條例的勞工退休金，只是受僱者是由雇主按月提繳不低於其每月工資的</w:t>
      </w:r>
      <w:r w:rsidRPr="003A7AE4">
        <w:rPr>
          <w:rFonts w:ascii="微軟正黑體" w:eastAsia="微軟正黑體" w:hAnsi="微軟正黑體"/>
        </w:rPr>
        <w:t>6%</w:t>
      </w:r>
      <w:r w:rsidRPr="003A7AE4">
        <w:rPr>
          <w:rFonts w:ascii="微軟正黑體" w:eastAsia="微軟正黑體" w:hAnsi="微軟正黑體" w:hint="eastAsia"/>
        </w:rPr>
        <w:t>退休金儲存至個人帳戶，亦可在</w:t>
      </w:r>
      <w:r w:rsidRPr="003A7AE4">
        <w:rPr>
          <w:rFonts w:ascii="微軟正黑體" w:eastAsia="微軟正黑體" w:hAnsi="微軟正黑體"/>
        </w:rPr>
        <w:t>6%</w:t>
      </w:r>
      <w:r w:rsidRPr="003A7AE4">
        <w:rPr>
          <w:rFonts w:ascii="微軟正黑體" w:eastAsia="微軟正黑體" w:hAnsi="微軟正黑體" w:hint="eastAsia"/>
        </w:rPr>
        <w:t>範圍內個人自願提繳，自營作業者則是由自己決定要不要在每月工資或執行業務所得的</w:t>
      </w:r>
      <w:r w:rsidRPr="003A7AE4">
        <w:rPr>
          <w:rFonts w:ascii="微軟正黑體" w:eastAsia="微軟正黑體" w:hAnsi="微軟正黑體"/>
        </w:rPr>
        <w:t>6%</w:t>
      </w:r>
      <w:r>
        <w:rPr>
          <w:rFonts w:ascii="微軟正黑體" w:eastAsia="微軟正黑體" w:hAnsi="微軟正黑體" w:hint="eastAsia"/>
        </w:rPr>
        <w:t>範圍內個人自願提繳退休金儲存至個人帳戶(</w:t>
      </w:r>
      <w:r w:rsidRPr="003A7AE4">
        <w:rPr>
          <w:rFonts w:ascii="微軟正黑體" w:eastAsia="微軟正黑體" w:hAnsi="微軟正黑體" w:hint="eastAsia"/>
        </w:rPr>
        <w:t>第</w:t>
      </w:r>
      <w:r w:rsidRPr="003A7AE4">
        <w:rPr>
          <w:rFonts w:ascii="微軟正黑體" w:eastAsia="微軟正黑體" w:hAnsi="微軟正黑體"/>
        </w:rPr>
        <w:t>7</w:t>
      </w:r>
      <w:r w:rsidRPr="003A7AE4">
        <w:rPr>
          <w:rFonts w:ascii="微軟正黑體" w:eastAsia="微軟正黑體" w:hAnsi="微軟正黑體" w:hint="eastAsia"/>
        </w:rPr>
        <w:t>、</w:t>
      </w:r>
      <w:r w:rsidRPr="003A7AE4">
        <w:rPr>
          <w:rFonts w:ascii="微軟正黑體" w:eastAsia="微軟正黑體" w:hAnsi="微軟正黑體"/>
        </w:rPr>
        <w:t>14</w:t>
      </w:r>
      <w:r>
        <w:rPr>
          <w:rFonts w:ascii="微軟正黑體" w:eastAsia="微軟正黑體" w:hAnsi="微軟正黑體" w:hint="eastAsia"/>
        </w:rPr>
        <w:t>條)</w:t>
      </w:r>
      <w:r w:rsidRPr="003A7AE4">
        <w:rPr>
          <w:rFonts w:ascii="微軟正黑體" w:eastAsia="微軟正黑體" w:hAnsi="微軟正黑體" w:hint="eastAsia"/>
        </w:rPr>
        <w:t>；勞退金要等到年滿</w:t>
      </w:r>
      <w:r w:rsidRPr="003A7AE4">
        <w:rPr>
          <w:rFonts w:ascii="微軟正黑體" w:eastAsia="微軟正黑體" w:hAnsi="微軟正黑體"/>
        </w:rPr>
        <w:t>60</w:t>
      </w:r>
      <w:r w:rsidRPr="003A7AE4">
        <w:rPr>
          <w:rFonts w:ascii="微軟正黑體" w:eastAsia="微軟正黑體" w:hAnsi="微軟正黑體" w:hint="eastAsia"/>
        </w:rPr>
        <w:t>歲才能領取。適用勞動基準法之本國籍勞工、外</w:t>
      </w:r>
      <w:r>
        <w:rPr>
          <w:rFonts w:ascii="微軟正黑體" w:eastAsia="微軟正黑體" w:hAnsi="微軟正黑體" w:hint="eastAsia"/>
        </w:rPr>
        <w:t>籍配偶、陸港澳地區配偶及取得永久居留之外籍人士強制參加勞退條例(</w:t>
      </w:r>
      <w:r w:rsidRPr="003A7AE4">
        <w:rPr>
          <w:rFonts w:ascii="微軟正黑體" w:eastAsia="微軟正黑體" w:hAnsi="微軟正黑體" w:hint="eastAsia"/>
        </w:rPr>
        <w:t>第</w:t>
      </w:r>
      <w:r w:rsidRPr="003A7AE4">
        <w:rPr>
          <w:rFonts w:ascii="微軟正黑體" w:eastAsia="微軟正黑體" w:hAnsi="微軟正黑體"/>
        </w:rPr>
        <w:t>7</w:t>
      </w:r>
      <w:r>
        <w:rPr>
          <w:rFonts w:ascii="微軟正黑體" w:eastAsia="微軟正黑體" w:hAnsi="微軟正黑體" w:hint="eastAsia"/>
        </w:rPr>
        <w:t>條)</w:t>
      </w:r>
      <w:r w:rsidRPr="003A7AE4">
        <w:rPr>
          <w:rFonts w:ascii="微軟正黑體" w:eastAsia="微軟正黑體" w:hAnsi="微軟正黑體" w:hint="eastAsia"/>
        </w:rPr>
        <w:t>。</w:t>
      </w:r>
    </w:p>
    <w:p w:rsidR="00821A46"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rPr>
        <w:t>25-64</w:t>
      </w:r>
      <w:r>
        <w:rPr>
          <w:rFonts w:ascii="微軟正黑體" w:eastAsia="微軟正黑體" w:hAnsi="微軟正黑體" w:hint="eastAsia"/>
        </w:rPr>
        <w:t>歲沒有參加任何社會保險(</w:t>
      </w:r>
      <w:r w:rsidRPr="003A7AE4">
        <w:rPr>
          <w:rFonts w:ascii="微軟正黑體" w:eastAsia="微軟正黑體" w:hAnsi="微軟正黑體" w:hint="eastAsia"/>
        </w:rPr>
        <w:t>如勞保、公保、軍保、農保</w:t>
      </w:r>
      <w:r w:rsidRPr="003F6DA6">
        <w:rPr>
          <w:rFonts w:ascii="微軟正黑體" w:eastAsia="微軟正黑體" w:hAnsi="微軟正黑體"/>
          <w:vertAlign w:val="superscript"/>
        </w:rPr>
        <w:footnoteReference w:id="10"/>
      </w:r>
      <w:r>
        <w:rPr>
          <w:rFonts w:ascii="微軟正黑體" w:eastAsia="微軟正黑體" w:hAnsi="微軟正黑體" w:hint="eastAsia"/>
        </w:rPr>
        <w:t>)的本國民眾(包括家管者)</w:t>
      </w:r>
      <w:r w:rsidRPr="003A7AE4">
        <w:rPr>
          <w:rFonts w:ascii="微軟正黑體" w:eastAsia="微軟正黑體" w:hAnsi="微軟正黑體" w:hint="eastAsia"/>
        </w:rPr>
        <w:t>應參加國民年金保險，該保</w:t>
      </w:r>
      <w:r>
        <w:rPr>
          <w:rFonts w:ascii="微軟正黑體" w:eastAsia="微軟正黑體" w:hAnsi="微軟正黑體" w:hint="eastAsia"/>
        </w:rPr>
        <w:t>險提供有老年年金給付、身心障礙年金給付、喪葬給付、遺屬年金給付</w:t>
      </w:r>
      <w:r w:rsidRPr="003A7AE4">
        <w:rPr>
          <w:rFonts w:ascii="微軟正黑體" w:eastAsia="微軟正黑體" w:hAnsi="微軟正黑體" w:hint="eastAsia"/>
        </w:rPr>
        <w:t>及生育給付等。但外國人無法參加國民年金保險。</w:t>
      </w:r>
    </w:p>
    <w:p w:rsidR="009816CC" w:rsidRPr="003A7AE4" w:rsidRDefault="009816CC" w:rsidP="00821A46">
      <w:pPr>
        <w:spacing w:beforeLines="30" w:before="72" w:line="400" w:lineRule="exact"/>
        <w:ind w:firstLineChars="200" w:firstLine="480"/>
        <w:jc w:val="both"/>
        <w:rPr>
          <w:rFonts w:ascii="微軟正黑體" w:eastAsia="微軟正黑體" w:hAnsi="微軟正黑體"/>
        </w:rPr>
      </w:pPr>
    </w:p>
    <w:p w:rsidR="00821A46" w:rsidRPr="003A7AE4" w:rsidRDefault="00821A46" w:rsidP="009816CC">
      <w:pPr>
        <w:spacing w:line="400" w:lineRule="exact"/>
        <w:ind w:firstLineChars="200" w:firstLine="480"/>
        <w:jc w:val="both"/>
        <w:rPr>
          <w:rFonts w:ascii="微軟正黑體" w:eastAsia="微軟正黑體" w:hAnsi="微軟正黑體"/>
        </w:rPr>
      </w:pPr>
      <w:r w:rsidRPr="005219B4">
        <w:rPr>
          <w:rFonts w:ascii="微軟正黑體" w:eastAsia="微軟正黑體" w:hAnsi="微軟正黑體" w:hint="eastAsia"/>
        </w:rPr>
        <w:lastRenderedPageBreak/>
        <w:t>就業</w:t>
      </w:r>
      <w:r>
        <w:rPr>
          <w:rFonts w:ascii="微軟正黑體" w:eastAsia="微軟正黑體" w:hAnsi="微軟正黑體" w:hint="eastAsia"/>
        </w:rPr>
        <w:t>保險方面，我國是依據就保法提供失業</w:t>
      </w:r>
      <w:r w:rsidRPr="005219B4">
        <w:rPr>
          <w:rFonts w:ascii="微軟正黑體" w:eastAsia="微軟正黑體" w:hAnsi="微軟正黑體" w:hint="eastAsia"/>
        </w:rPr>
        <w:t>給付</w:t>
      </w:r>
      <w:r>
        <w:rPr>
          <w:rFonts w:ascii="微軟正黑體" w:eastAsia="微軟正黑體" w:hAnsi="微軟正黑體" w:hint="eastAsia"/>
        </w:rPr>
        <w:t>(和職訓生活津貼、失業者的健保費補助等)，但只有本國及與本國人結婚的外籍配偶受僱者可以參加，自營作業者(</w:t>
      </w:r>
      <w:r w:rsidRPr="003A7AE4">
        <w:rPr>
          <w:rFonts w:ascii="微軟正黑體" w:eastAsia="微軟正黑體" w:hAnsi="微軟正黑體" w:hint="eastAsia"/>
        </w:rPr>
        <w:t>和外</w:t>
      </w:r>
      <w:r>
        <w:rPr>
          <w:rFonts w:ascii="微軟正黑體" w:eastAsia="微軟正黑體" w:hAnsi="微軟正黑體" w:hint="eastAsia"/>
        </w:rPr>
        <w:t>國人)</w:t>
      </w:r>
      <w:r w:rsidRPr="003A7AE4">
        <w:rPr>
          <w:rFonts w:ascii="微軟正黑體" w:eastAsia="微軟正黑體" w:hAnsi="微軟正黑體" w:hint="eastAsia"/>
        </w:rPr>
        <w:t>不能參加</w:t>
      </w:r>
      <w:r>
        <w:rPr>
          <w:rFonts w:ascii="微軟正黑體" w:eastAsia="微軟正黑體" w:hAnsi="微軟正黑體" w:hint="eastAsia"/>
        </w:rPr>
        <w:t>，主因是政府難以認定自營作業者是不是處於失業狀態，</w:t>
      </w:r>
      <w:r w:rsidRPr="003A7AE4">
        <w:rPr>
          <w:rFonts w:ascii="微軟正黑體" w:eastAsia="微軟正黑體" w:hAnsi="微軟正黑體" w:hint="eastAsia"/>
        </w:rPr>
        <w:t>而外國人若失業便無法取得工作聘僱許可留在國內，</w:t>
      </w:r>
      <w:r w:rsidRPr="00A87EC8">
        <w:rPr>
          <w:rFonts w:ascii="微軟正黑體" w:eastAsia="微軟正黑體" w:hAnsi="微軟正黑體" w:hint="eastAsia"/>
        </w:rPr>
        <w:t>因而返</w:t>
      </w:r>
      <w:r w:rsidRPr="003A7AE4">
        <w:rPr>
          <w:rFonts w:ascii="微軟正黑體" w:eastAsia="微軟正黑體" w:hAnsi="微軟正黑體" w:hint="eastAsia"/>
        </w:rPr>
        <w:t>回其母國。</w:t>
      </w:r>
    </w:p>
    <w:p w:rsidR="00821A46" w:rsidRPr="00572AA1" w:rsidRDefault="00821A46" w:rsidP="00BD50E5">
      <w:pPr>
        <w:pStyle w:val="af0"/>
        <w:numPr>
          <w:ilvl w:val="1"/>
          <w:numId w:val="31"/>
        </w:numPr>
        <w:spacing w:beforeLines="50" w:before="120" w:afterLines="50" w:after="120" w:line="400" w:lineRule="exact"/>
        <w:ind w:leftChars="0" w:left="425" w:hanging="442"/>
        <w:jc w:val="both"/>
        <w:rPr>
          <w:rFonts w:ascii="微軟正黑體" w:eastAsia="微軟正黑體" w:hAnsi="微軟正黑體"/>
        </w:rPr>
      </w:pPr>
      <w:r w:rsidRPr="00572AA1">
        <w:rPr>
          <w:rFonts w:ascii="微軟正黑體" w:eastAsia="微軟正黑體" w:hAnsi="微軟正黑體" w:hint="eastAsia"/>
        </w:rPr>
        <w:t>非保險類</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工作收入保障方面，勞基法有最低工資的規範，區分有時薪和月薪；境外僱用非</w:t>
      </w:r>
      <w:r>
        <w:rPr>
          <w:rFonts w:ascii="微軟正黑體" w:eastAsia="微軟正黑體" w:hAnsi="微軟正黑體" w:hint="eastAsia"/>
        </w:rPr>
        <w:t>我國籍船員許可及管理辦法對遠洋漁船僱用的境外船員也有最低</w:t>
      </w:r>
      <w:r w:rsidRPr="005219B4">
        <w:rPr>
          <w:rFonts w:ascii="微軟正黑體" w:eastAsia="微軟正黑體" w:hAnsi="微軟正黑體" w:hint="eastAsia"/>
        </w:rPr>
        <w:t>每</w:t>
      </w:r>
      <w:r>
        <w:rPr>
          <w:rFonts w:ascii="微軟正黑體" w:eastAsia="微軟正黑體" w:hAnsi="微軟正黑體" w:hint="eastAsia"/>
        </w:rPr>
        <w:t>月工資(</w:t>
      </w:r>
      <w:r w:rsidRPr="003A7AE4">
        <w:rPr>
          <w:rFonts w:ascii="微軟正黑體" w:eastAsia="微軟正黑體" w:hAnsi="微軟正黑體"/>
        </w:rPr>
        <w:t>450</w:t>
      </w:r>
      <w:r>
        <w:rPr>
          <w:rFonts w:ascii="微軟正黑體" w:eastAsia="微軟正黑體" w:hAnsi="微軟正黑體" w:hint="eastAsia"/>
        </w:rPr>
        <w:t>美元)</w:t>
      </w:r>
      <w:r w:rsidRPr="003A7AE4">
        <w:rPr>
          <w:rFonts w:ascii="微軟正黑體" w:eastAsia="微軟正黑體" w:hAnsi="微軟正黑體" w:hint="eastAsia"/>
        </w:rPr>
        <w:t>的規範。</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工時上限方面，勞基法提供有正常工時、加班工時的上限。職災保障方面，勞保條例提供職災傷病、失能和死亡給付；職業災害勞工保護法提供未參加勞保者第一級投保薪資級距的職災給付，適用於受僱者或自營作業者；勞基法第</w:t>
      </w:r>
      <w:r w:rsidRPr="003A7AE4">
        <w:rPr>
          <w:rFonts w:ascii="微軟正黑體" w:eastAsia="微軟正黑體" w:hAnsi="微軟正黑體"/>
        </w:rPr>
        <w:t>59</w:t>
      </w:r>
      <w:r w:rsidRPr="003A7AE4">
        <w:rPr>
          <w:rFonts w:ascii="微軟正黑體" w:eastAsia="微軟正黑體" w:hAnsi="微軟正黑體" w:hint="eastAsia"/>
        </w:rPr>
        <w:t>條訂有雇主職災補償責任，第</w:t>
      </w:r>
      <w:r w:rsidRPr="003A7AE4">
        <w:rPr>
          <w:rFonts w:ascii="微軟正黑體" w:eastAsia="微軟正黑體" w:hAnsi="微軟正黑體"/>
        </w:rPr>
        <w:t>62</w:t>
      </w:r>
      <w:r w:rsidRPr="003A7AE4">
        <w:rPr>
          <w:rFonts w:ascii="微軟正黑體" w:eastAsia="微軟正黑體" w:hAnsi="微軟正黑體" w:hint="eastAsia"/>
        </w:rPr>
        <w:t>和</w:t>
      </w:r>
      <w:r w:rsidRPr="003A7AE4">
        <w:rPr>
          <w:rFonts w:ascii="微軟正黑體" w:eastAsia="微軟正黑體" w:hAnsi="微軟正黑體"/>
        </w:rPr>
        <w:t>63</w:t>
      </w:r>
      <w:r w:rsidRPr="003A7AE4">
        <w:rPr>
          <w:rFonts w:ascii="微軟正黑體" w:eastAsia="微軟正黑體" w:hAnsi="微軟正黑體" w:hint="eastAsia"/>
        </w:rPr>
        <w:t>條訂有承攬關係下的職災補償責任。</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協助就業方面，就服法指名要協助的特定對象包括獨力負擔家計者、中高齡者、身心障礙者、原住民、低收入戶或中低收入戶中有工作能力者、長期失業者、二度就業婦女、家庭暴力被害人、更生受保護人、其他經中央主管機關認為有必要者</w:t>
      </w:r>
      <w:r w:rsidRPr="003F6DA6">
        <w:rPr>
          <w:rFonts w:ascii="微軟正黑體" w:eastAsia="微軟正黑體" w:hAnsi="微軟正黑體"/>
          <w:vertAlign w:val="superscript"/>
        </w:rPr>
        <w:footnoteReference w:id="11"/>
      </w:r>
      <w:r>
        <w:rPr>
          <w:rFonts w:ascii="微軟正黑體" w:eastAsia="微軟正黑體" w:hAnsi="微軟正黑體" w:hint="eastAsia"/>
        </w:rPr>
        <w:t>(</w:t>
      </w:r>
      <w:r w:rsidRPr="003A7AE4">
        <w:rPr>
          <w:rFonts w:ascii="微軟正黑體" w:eastAsia="微軟正黑體" w:hAnsi="微軟正黑體" w:hint="eastAsia"/>
        </w:rPr>
        <w:t>第</w:t>
      </w:r>
      <w:r w:rsidRPr="003A7AE4">
        <w:rPr>
          <w:rFonts w:ascii="微軟正黑體" w:eastAsia="微軟正黑體" w:hAnsi="微軟正黑體"/>
        </w:rPr>
        <w:t>24</w:t>
      </w:r>
      <w:r w:rsidRPr="003A7AE4">
        <w:rPr>
          <w:rFonts w:ascii="微軟正黑體" w:eastAsia="微軟正黑體" w:hAnsi="微軟正黑體" w:hint="eastAsia"/>
        </w:rPr>
        <w:t>條第</w:t>
      </w:r>
      <w:r w:rsidRPr="003A7AE4">
        <w:rPr>
          <w:rFonts w:ascii="微軟正黑體" w:eastAsia="微軟正黑體" w:hAnsi="微軟正黑體"/>
        </w:rPr>
        <w:t>1</w:t>
      </w:r>
      <w:r>
        <w:rPr>
          <w:rFonts w:ascii="微軟正黑體" w:eastAsia="微軟正黑體" w:hAnsi="微軟正黑體" w:hint="eastAsia"/>
        </w:rPr>
        <w:t>項)</w:t>
      </w:r>
      <w:r w:rsidRPr="003A7AE4">
        <w:rPr>
          <w:rFonts w:ascii="微軟正黑體" w:eastAsia="微軟正黑體" w:hAnsi="微軟正黑體" w:hint="eastAsia"/>
        </w:rPr>
        <w:t>等；女性若符合上述身分之一，即可適用。新移民、性侵受害者、遭裁減資遣勞工等，尚未符合特定對象卻需要協助者，實務上勞動部也會給</w:t>
      </w:r>
      <w:r w:rsidRPr="005219B4">
        <w:rPr>
          <w:rFonts w:ascii="微軟正黑體" w:eastAsia="微軟正黑體" w:hAnsi="微軟正黑體" w:hint="eastAsia"/>
        </w:rPr>
        <w:t>予</w:t>
      </w:r>
      <w:r w:rsidRPr="003A7AE4">
        <w:rPr>
          <w:rFonts w:ascii="微軟正黑體" w:eastAsia="微軟正黑體" w:hAnsi="微軟正黑體" w:hint="eastAsia"/>
        </w:rPr>
        <w:t>特別協助。藍領移工若申請轉換雇主，就業</w:t>
      </w:r>
      <w:r w:rsidRPr="00E037AA">
        <w:rPr>
          <w:rFonts w:ascii="微軟正黑體" w:eastAsia="微軟正黑體" w:hAnsi="微軟正黑體" w:hint="eastAsia"/>
        </w:rPr>
        <w:t>服務</w:t>
      </w:r>
      <w:r w:rsidRPr="003A7AE4">
        <w:rPr>
          <w:rFonts w:ascii="微軟正黑體" w:eastAsia="微軟正黑體" w:hAnsi="微軟正黑體" w:hint="eastAsia"/>
        </w:rPr>
        <w:t>中心會加以協助。</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社會福利方面，老人福利法規定，勞工主管機關主管老人就業促進及免於歧視、支援員工照顧老人家屬與照顧服務員技能檢定之規劃、推動及監督等事項</w:t>
      </w:r>
      <w:r>
        <w:rPr>
          <w:rFonts w:ascii="微軟正黑體" w:eastAsia="微軟正黑體" w:hAnsi="微軟正黑體" w:hint="eastAsia"/>
        </w:rPr>
        <w:t>(</w:t>
      </w:r>
      <w:r w:rsidRPr="003A7AE4">
        <w:rPr>
          <w:rFonts w:ascii="微軟正黑體" w:eastAsia="微軟正黑體" w:hAnsi="微軟正黑體" w:hint="eastAsia"/>
        </w:rPr>
        <w:t>第</w:t>
      </w:r>
      <w:r w:rsidRPr="003A7AE4">
        <w:rPr>
          <w:rFonts w:ascii="微軟正黑體" w:eastAsia="微軟正黑體" w:hAnsi="微軟正黑體"/>
        </w:rPr>
        <w:t>3</w:t>
      </w:r>
      <w:r>
        <w:rPr>
          <w:rFonts w:ascii="微軟正黑體" w:eastAsia="微軟正黑體" w:hAnsi="微軟正黑體" w:hint="eastAsia"/>
        </w:rPr>
        <w:t>條)。(我國籍)</w:t>
      </w:r>
      <w:r w:rsidRPr="003A7AE4">
        <w:rPr>
          <w:rFonts w:ascii="微軟正黑體" w:eastAsia="微軟正黑體" w:hAnsi="微軟正黑體" w:hint="eastAsia"/>
        </w:rPr>
        <w:t>中低收入老人未接受收容安置者，得申請發給生活津貼。前項領有生活津貼，且其失</w:t>
      </w:r>
      <w:r>
        <w:rPr>
          <w:rFonts w:ascii="微軟正黑體" w:eastAsia="微軟正黑體" w:hAnsi="微軟正黑體" w:hint="eastAsia"/>
        </w:rPr>
        <w:t>能程度經評估為重度以上，實際由家人照顧者，照顧者得向直轄市、縣(市)</w:t>
      </w:r>
      <w:r w:rsidRPr="003A7AE4">
        <w:rPr>
          <w:rFonts w:ascii="微軟正黑體" w:eastAsia="微軟正黑體" w:hAnsi="微軟正黑體" w:hint="eastAsia"/>
        </w:rPr>
        <w:t>主管機關申請發給特別照顧津貼</w:t>
      </w:r>
      <w:r>
        <w:rPr>
          <w:rFonts w:ascii="微軟正黑體" w:eastAsia="微軟正黑體" w:hAnsi="微軟正黑體" w:hint="eastAsia"/>
        </w:rPr>
        <w:t>(</w:t>
      </w:r>
      <w:r w:rsidRPr="003A7AE4">
        <w:rPr>
          <w:rFonts w:ascii="微軟正黑體" w:eastAsia="微軟正黑體" w:hAnsi="微軟正黑體" w:hint="eastAsia"/>
        </w:rPr>
        <w:t>第</w:t>
      </w:r>
      <w:r w:rsidRPr="003A7AE4">
        <w:rPr>
          <w:rFonts w:ascii="微軟正黑體" w:eastAsia="微軟正黑體" w:hAnsi="微軟正黑體"/>
        </w:rPr>
        <w:t>12</w:t>
      </w:r>
      <w:r>
        <w:rPr>
          <w:rFonts w:ascii="微軟正黑體" w:eastAsia="微軟正黑體" w:hAnsi="微軟正黑體" w:hint="eastAsia"/>
        </w:rPr>
        <w:t>條)</w:t>
      </w:r>
      <w:r w:rsidRPr="003A7AE4">
        <w:rPr>
          <w:rFonts w:ascii="微軟正黑體" w:eastAsia="微軟正黑體" w:hAnsi="微軟正黑體" w:hint="eastAsia"/>
        </w:rPr>
        <w:t>。勞工主管機關應積極促進高齡者就業，並致力老人免於</w:t>
      </w:r>
      <w:r>
        <w:rPr>
          <w:rFonts w:ascii="微軟正黑體" w:eastAsia="微軟正黑體" w:hAnsi="微軟正黑體" w:hint="eastAsia"/>
        </w:rPr>
        <w:t>就業歧視。前項促進高齡就業之政策與措施，由中央勞工主管機關定之(</w:t>
      </w:r>
      <w:r w:rsidRPr="003A7AE4">
        <w:rPr>
          <w:rFonts w:ascii="微軟正黑體" w:eastAsia="微軟正黑體" w:hAnsi="微軟正黑體" w:hint="eastAsia"/>
        </w:rPr>
        <w:t>第</w:t>
      </w:r>
      <w:r w:rsidRPr="003A7AE4">
        <w:rPr>
          <w:rFonts w:ascii="微軟正黑體" w:eastAsia="微軟正黑體" w:hAnsi="微軟正黑體"/>
        </w:rPr>
        <w:t>29</w:t>
      </w:r>
      <w:r w:rsidRPr="003A7AE4">
        <w:rPr>
          <w:rFonts w:ascii="微軟正黑體" w:eastAsia="微軟正黑體" w:hAnsi="微軟正黑體" w:hint="eastAsia"/>
        </w:rPr>
        <w:t>條</w:t>
      </w:r>
      <w:r>
        <w:rPr>
          <w:rFonts w:ascii="微軟正黑體" w:eastAsia="微軟正黑體" w:hAnsi="微軟正黑體" w:hint="eastAsia"/>
        </w:rPr>
        <w:t>)</w:t>
      </w:r>
      <w:r w:rsidRPr="003A7AE4">
        <w:rPr>
          <w:rFonts w:ascii="微軟正黑體" w:eastAsia="微軟正黑體" w:hAnsi="微軟正黑體" w:hint="eastAsia"/>
        </w:rPr>
        <w:t>。政府也已將「中高齡</w:t>
      </w:r>
      <w:r w:rsidRPr="005219B4">
        <w:rPr>
          <w:rFonts w:ascii="微軟正黑體" w:eastAsia="微軟正黑體" w:hAnsi="微軟正黑體" w:hint="eastAsia"/>
        </w:rPr>
        <w:t>者</w:t>
      </w:r>
      <w:r w:rsidRPr="003A7AE4">
        <w:rPr>
          <w:rFonts w:ascii="微軟正黑體" w:eastAsia="微軟正黑體" w:hAnsi="微軟正黑體" w:hint="eastAsia"/>
        </w:rPr>
        <w:t>及高齡者就業</w:t>
      </w:r>
      <w:r w:rsidRPr="005219B4">
        <w:rPr>
          <w:rFonts w:ascii="微軟正黑體" w:eastAsia="微軟正黑體" w:hAnsi="微軟正黑體" w:hint="eastAsia"/>
        </w:rPr>
        <w:t>促進</w:t>
      </w:r>
      <w:r w:rsidRPr="003A7AE4">
        <w:rPr>
          <w:rFonts w:ascii="微軟正黑體" w:eastAsia="微軟正黑體" w:hAnsi="微軟正黑體" w:hint="eastAsia"/>
        </w:rPr>
        <w:t>法」立法。</w:t>
      </w:r>
    </w:p>
    <w:p w:rsidR="00821A46" w:rsidRPr="00B435F7"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本文將透過不同國家對於社會安全保障法規內容制度進行收集與比較，並且進一步提出我國發展的建議。</w:t>
      </w:r>
    </w:p>
    <w:p w:rsidR="00821A46" w:rsidRPr="003A7AE4" w:rsidRDefault="00821A46" w:rsidP="00821A46">
      <w:pPr>
        <w:spacing w:beforeLines="150" w:before="360" w:line="400" w:lineRule="exact"/>
        <w:jc w:val="center"/>
        <w:rPr>
          <w:rFonts w:ascii="微軟正黑體" w:eastAsia="微軟正黑體" w:hAnsi="微軟正黑體" w:cstheme="minorHAnsi"/>
          <w:b/>
          <w:sz w:val="32"/>
          <w:szCs w:val="32"/>
        </w:rPr>
      </w:pPr>
      <w:r w:rsidRPr="003A7AE4">
        <w:rPr>
          <w:rFonts w:ascii="微軟正黑體" w:eastAsia="微軟正黑體" w:hAnsi="微軟正黑體" w:cstheme="minorHAnsi" w:hint="eastAsia"/>
          <w:b/>
          <w:sz w:val="32"/>
          <w:szCs w:val="32"/>
        </w:rPr>
        <w:t>貳、各國制度整理</w:t>
      </w:r>
    </w:p>
    <w:p w:rsidR="00821A46" w:rsidRPr="00A12F43" w:rsidRDefault="00821A46" w:rsidP="00825B78">
      <w:pPr>
        <w:spacing w:beforeLines="150" w:before="360"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我國近年努力融入新興市場，如東協、南亞市場，希望透過經濟合作模式取得進入當地市場契機。根據行政院於2016年9月5日提出《新南向政策推動計畫》，推動方向涵蓋「經貿合作」、「人才交流」、「資源共享」與「區域鏈結」四大面向，希望透過與</w:t>
      </w:r>
      <w:r w:rsidRPr="003A7AE4">
        <w:rPr>
          <w:rFonts w:ascii="微軟正黑體" w:eastAsia="微軟正黑體" w:hAnsi="微軟正黑體" w:hint="eastAsia"/>
        </w:rPr>
        <w:lastRenderedPageBreak/>
        <w:t>東協、紐澳與南亞等國家，創造互利共贏之新合作模式。在區域合作上，除了積極</w:t>
      </w:r>
      <w:r>
        <w:rPr>
          <w:rFonts w:ascii="微軟正黑體" w:eastAsia="微軟正黑體" w:hAnsi="微軟正黑體" w:hint="eastAsia"/>
        </w:rPr>
        <w:t>爭取加入跨太平洋夥伴全面進步協定(</w:t>
      </w:r>
      <w:r w:rsidRPr="003A7AE4">
        <w:rPr>
          <w:rFonts w:ascii="微軟正黑體" w:eastAsia="微軟正黑體" w:hAnsi="微軟正黑體" w:hint="eastAsia"/>
        </w:rPr>
        <w:t>Comprehensive and Progressive Agreement for Trans-Pacific Partnership, CPTPP</w:t>
      </w:r>
      <w:r>
        <w:rPr>
          <w:rFonts w:ascii="微軟正黑體" w:eastAsia="微軟正黑體" w:hAnsi="微軟正黑體" w:hint="eastAsia"/>
        </w:rPr>
        <w:t>)</w:t>
      </w:r>
      <w:r w:rsidRPr="003A7AE4">
        <w:rPr>
          <w:rFonts w:ascii="微軟正黑體" w:eastAsia="微軟正黑體" w:hAnsi="微軟正黑體" w:hint="eastAsia"/>
        </w:rPr>
        <w:t>、區域全面經濟夥伴協定</w:t>
      </w:r>
      <w:r>
        <w:rPr>
          <w:rFonts w:ascii="微軟正黑體" w:eastAsia="微軟正黑體" w:hAnsi="微軟正黑體" w:hint="eastAsia"/>
        </w:rPr>
        <w:t>(</w:t>
      </w:r>
      <w:r w:rsidRPr="003A7AE4">
        <w:rPr>
          <w:rFonts w:ascii="微軟正黑體" w:eastAsia="微軟正黑體" w:hAnsi="微軟正黑體" w:hint="eastAsia"/>
        </w:rPr>
        <w:t>Regional Comprehensive Economic Partnership, RCEP</w:t>
      </w:r>
      <w:r>
        <w:rPr>
          <w:rFonts w:ascii="微軟正黑體" w:eastAsia="微軟正黑體" w:hAnsi="微軟正黑體" w:hint="eastAsia"/>
        </w:rPr>
        <w:t>)等區域貿易協定，我國也積極洽簽自由貿易協定(</w:t>
      </w:r>
      <w:r w:rsidRPr="003A7AE4">
        <w:rPr>
          <w:rFonts w:ascii="微軟正黑體" w:eastAsia="微軟正黑體" w:hAnsi="微軟正黑體" w:hint="eastAsia"/>
        </w:rPr>
        <w:t>Free Trade Agreement, FTA</w:t>
      </w:r>
      <w:r>
        <w:rPr>
          <w:rFonts w:ascii="微軟正黑體" w:eastAsia="微軟正黑體" w:hAnsi="微軟正黑體" w:hint="eastAsia"/>
        </w:rPr>
        <w:t>)</w:t>
      </w:r>
      <w:r w:rsidRPr="003A7AE4">
        <w:rPr>
          <w:rFonts w:ascii="微軟正黑體" w:eastAsia="微軟正黑體" w:hAnsi="微軟正黑體" w:hint="eastAsia"/>
        </w:rPr>
        <w:t>。目前已簽署的FTA有臺灣—巴拿馬FTA</w:t>
      </w:r>
      <w:r>
        <w:rPr>
          <w:rFonts w:ascii="微軟正黑體" w:eastAsia="微軟正黑體" w:hAnsi="微軟正黑體" w:hint="eastAsia"/>
        </w:rPr>
        <w:t>(</w:t>
      </w:r>
      <w:r w:rsidRPr="003A7AE4">
        <w:rPr>
          <w:rFonts w:ascii="微軟正黑體" w:eastAsia="微軟正黑體" w:hAnsi="微軟正黑體" w:hint="eastAsia"/>
        </w:rPr>
        <w:t>2003年8</w:t>
      </w:r>
      <w:r>
        <w:rPr>
          <w:rFonts w:ascii="微軟正黑體" w:eastAsia="微軟正黑體" w:hAnsi="微軟正黑體" w:hint="eastAsia"/>
        </w:rPr>
        <w:t>月)</w:t>
      </w:r>
      <w:r w:rsidRPr="003A7AE4">
        <w:rPr>
          <w:rFonts w:ascii="微軟正黑體" w:eastAsia="微軟正黑體" w:hAnsi="微軟正黑體" w:hint="eastAsia"/>
        </w:rPr>
        <w:t>、臺灣—瓜地馬拉FTA</w:t>
      </w:r>
      <w:r>
        <w:rPr>
          <w:rFonts w:ascii="微軟正黑體" w:eastAsia="微軟正黑體" w:hAnsi="微軟正黑體" w:hint="eastAsia"/>
        </w:rPr>
        <w:t>(</w:t>
      </w:r>
      <w:r w:rsidRPr="003A7AE4">
        <w:rPr>
          <w:rFonts w:ascii="微軟正黑體" w:eastAsia="微軟正黑體" w:hAnsi="微軟正黑體" w:hint="eastAsia"/>
        </w:rPr>
        <w:t>2005年9</w:t>
      </w:r>
      <w:r>
        <w:rPr>
          <w:rFonts w:ascii="微軟正黑體" w:eastAsia="微軟正黑體" w:hAnsi="微軟正黑體" w:hint="eastAsia"/>
        </w:rPr>
        <w:t>月)</w:t>
      </w:r>
      <w:r w:rsidRPr="003A7AE4">
        <w:rPr>
          <w:rFonts w:ascii="微軟正黑體" w:eastAsia="微軟正黑體" w:hAnsi="微軟正黑體" w:hint="eastAsia"/>
        </w:rPr>
        <w:t>、臺灣—尼加拉瓜FTA</w:t>
      </w:r>
      <w:r>
        <w:rPr>
          <w:rFonts w:ascii="微軟正黑體" w:eastAsia="微軟正黑體" w:hAnsi="微軟正黑體" w:hint="eastAsia"/>
        </w:rPr>
        <w:t>(</w:t>
      </w:r>
      <w:r w:rsidRPr="003A7AE4">
        <w:rPr>
          <w:rFonts w:ascii="微軟正黑體" w:eastAsia="微軟正黑體" w:hAnsi="微軟正黑體" w:hint="eastAsia"/>
        </w:rPr>
        <w:t>2006年6月</w:t>
      </w:r>
      <w:r>
        <w:rPr>
          <w:rFonts w:ascii="微軟正黑體" w:eastAsia="微軟正黑體" w:hAnsi="微軟正黑體" w:hint="eastAsia"/>
        </w:rPr>
        <w:t>)</w:t>
      </w:r>
      <w:r w:rsidRPr="003A7AE4">
        <w:rPr>
          <w:rFonts w:ascii="微軟正黑體" w:eastAsia="微軟正黑體" w:hAnsi="微軟正黑體" w:hint="eastAsia"/>
        </w:rPr>
        <w:t>、臺灣—薩爾瓦多暨宏都拉斯FTA</w:t>
      </w:r>
      <w:r>
        <w:rPr>
          <w:rFonts w:ascii="微軟正黑體" w:eastAsia="微軟正黑體" w:hAnsi="微軟正黑體" w:hint="eastAsia"/>
        </w:rPr>
        <w:t>(</w:t>
      </w:r>
      <w:r w:rsidRPr="003A7AE4">
        <w:rPr>
          <w:rFonts w:ascii="微軟正黑體" w:eastAsia="微軟正黑體" w:hAnsi="微軟正黑體" w:hint="eastAsia"/>
        </w:rPr>
        <w:t>2007年5</w:t>
      </w:r>
      <w:r>
        <w:rPr>
          <w:rFonts w:ascii="微軟正黑體" w:eastAsia="微軟正黑體" w:hAnsi="微軟正黑體" w:hint="eastAsia"/>
        </w:rPr>
        <w:t>月)、臺灣—紐西蘭(</w:t>
      </w:r>
      <w:r w:rsidRPr="003A7AE4">
        <w:rPr>
          <w:rFonts w:ascii="微軟正黑體" w:eastAsia="微軟正黑體" w:hAnsi="微軟正黑體" w:hint="eastAsia"/>
        </w:rPr>
        <w:t>臺紐經濟合作協定，2013年7</w:t>
      </w:r>
      <w:r>
        <w:rPr>
          <w:rFonts w:ascii="微軟正黑體" w:eastAsia="微軟正黑體" w:hAnsi="微軟正黑體" w:hint="eastAsia"/>
        </w:rPr>
        <w:t>月)、</w:t>
      </w:r>
      <w:r w:rsidRPr="005219B4">
        <w:rPr>
          <w:rFonts w:ascii="微軟正黑體" w:eastAsia="微軟正黑體" w:hAnsi="微軟正黑體" w:hint="eastAsia"/>
        </w:rPr>
        <w:t>臺灣—</w:t>
      </w:r>
      <w:r>
        <w:rPr>
          <w:rFonts w:ascii="微軟正黑體" w:eastAsia="微軟正黑體" w:hAnsi="微軟正黑體" w:hint="eastAsia"/>
        </w:rPr>
        <w:t>新加坡(</w:t>
      </w:r>
      <w:r w:rsidRPr="003A7AE4">
        <w:rPr>
          <w:rFonts w:ascii="微軟正黑體" w:eastAsia="微軟正黑體" w:hAnsi="微軟正黑體" w:hint="eastAsia"/>
        </w:rPr>
        <w:t>臺星經濟夥伴協定，2013年11</w:t>
      </w:r>
      <w:r>
        <w:rPr>
          <w:rFonts w:ascii="微軟正黑體" w:eastAsia="微軟正黑體" w:hAnsi="微軟正黑體" w:hint="eastAsia"/>
        </w:rPr>
        <w:t>月)</w:t>
      </w:r>
      <w:r w:rsidRPr="005219B4">
        <w:rPr>
          <w:rFonts w:ascii="微軟正黑體" w:eastAsia="微軟正黑體" w:hAnsi="微軟正黑體" w:hint="eastAsia"/>
        </w:rPr>
        <w:t>等</w:t>
      </w:r>
      <w:r w:rsidRPr="00230F96">
        <w:rPr>
          <w:rFonts w:ascii="微軟正黑體" w:eastAsia="微軟正黑體" w:hAnsi="微軟正黑體" w:hint="eastAsia"/>
        </w:rPr>
        <w:t>，</w:t>
      </w:r>
      <w:r>
        <w:rPr>
          <w:rFonts w:ascii="微軟正黑體" w:eastAsia="微軟正黑體" w:hAnsi="微軟正黑體" w:hint="eastAsia"/>
        </w:rPr>
        <w:t>與貿易與投資保障協定，另外如臺灣—中國大陸(</w:t>
      </w:r>
      <w:r w:rsidRPr="003A7AE4">
        <w:rPr>
          <w:rFonts w:ascii="微軟正黑體" w:eastAsia="微軟正黑體" w:hAnsi="微軟正黑體" w:hint="eastAsia"/>
        </w:rPr>
        <w:t>海峽兩岸經濟合作架構協議，2010年6</w:t>
      </w:r>
      <w:r>
        <w:rPr>
          <w:rFonts w:ascii="微軟正黑體" w:eastAsia="微軟正黑體" w:hAnsi="微軟正黑體" w:hint="eastAsia"/>
        </w:rPr>
        <w:t>月)</w:t>
      </w:r>
      <w:r w:rsidRPr="003A7AE4">
        <w:rPr>
          <w:rFonts w:ascii="微軟正黑體" w:eastAsia="微軟正黑體" w:hAnsi="微軟正黑體" w:hint="eastAsia"/>
        </w:rPr>
        <w:t>。因此在跨國勞動力流動日益興盛的同時，</w:t>
      </w:r>
      <w:r w:rsidRPr="0024564F">
        <w:rPr>
          <w:rFonts w:ascii="微軟正黑體" w:eastAsia="微軟正黑體" w:hAnsi="微軟正黑體" w:hint="eastAsia"/>
        </w:rPr>
        <w:t>本文</w:t>
      </w:r>
      <w:r w:rsidRPr="003A7AE4">
        <w:rPr>
          <w:rFonts w:ascii="微軟正黑體" w:eastAsia="微軟正黑體" w:hAnsi="微軟正黑體" w:hint="eastAsia"/>
        </w:rPr>
        <w:t>將與我國勞動力流動較為密切的國家進行盤點，以下將針對越南、泰國、印尼、與日本的社會安全體制整理如下：</w:t>
      </w:r>
    </w:p>
    <w:p w:rsidR="00821A46" w:rsidRPr="00D0453A" w:rsidRDefault="00821A46" w:rsidP="00821A46">
      <w:pPr>
        <w:spacing w:beforeLines="100" w:before="240" w:afterLines="50" w:after="120" w:line="400" w:lineRule="exact"/>
        <w:jc w:val="both"/>
        <w:rPr>
          <w:rFonts w:ascii="微軟正黑體" w:eastAsia="微軟正黑體" w:hAnsi="微軟正黑體"/>
          <w:b/>
          <w:sz w:val="28"/>
          <w:szCs w:val="28"/>
        </w:rPr>
      </w:pPr>
      <w:r>
        <w:rPr>
          <w:rFonts w:ascii="微軟正黑體" w:eastAsia="微軟正黑體" w:hAnsi="微軟正黑體" w:hint="eastAsia"/>
          <w:b/>
          <w:sz w:val="28"/>
          <w:szCs w:val="28"/>
        </w:rPr>
        <w:t>一、</w:t>
      </w:r>
      <w:r w:rsidRPr="00D0453A">
        <w:rPr>
          <w:rFonts w:ascii="微軟正黑體" w:eastAsia="微軟正黑體" w:hAnsi="微軟正黑體" w:hint="eastAsia"/>
          <w:b/>
          <w:sz w:val="28"/>
          <w:szCs w:val="28"/>
        </w:rPr>
        <w:t>越南</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越南社會保險機關自2018年1月1日起若干新的社會保險規定生效。對於以雇主所決定之薪資機制須繳納強制性社保費者，其規定</w:t>
      </w:r>
      <w:r w:rsidRPr="00165515">
        <w:rPr>
          <w:rFonts w:ascii="微軟正黑體" w:eastAsia="微軟正黑體" w:hAnsi="微軟正黑體" w:hint="eastAsia"/>
        </w:rPr>
        <w:t>為</w:t>
      </w:r>
      <w:r w:rsidRPr="003A7AE4">
        <w:rPr>
          <w:rFonts w:ascii="微軟正黑體" w:eastAsia="微軟正黑體" w:hAnsi="微軟正黑體" w:hint="eastAsia"/>
        </w:rPr>
        <w:t>自2018年1月1日起繳納社保費之計算包括月薪資、薪資津貼以及其他補助津貼。其中，用於繳納社保費之月薪資係依照業者自行制定之梯型薪資表；薪資津貼係指職名津貼、責任津貼、毒害工作環境津貼等；其他津貼係指非屬薪資、薪資津貼並與勞動契約之工作及職名有關之款項，此津貼款項不包含越南勞動法第103條所規定之獎金、班間膳費、勞工親人死亡、勞工生日、勞工因工作事故面臨困境等補貼以及非與勞動契約之工作及職名有關之款項。</w:t>
      </w:r>
    </w:p>
    <w:p w:rsidR="00821A46" w:rsidRPr="00E458D3" w:rsidRDefault="00821A46" w:rsidP="00821A46">
      <w:pPr>
        <w:spacing w:beforeLines="30" w:before="72" w:line="400" w:lineRule="exact"/>
        <w:ind w:firstLineChars="200" w:firstLine="480"/>
        <w:jc w:val="both"/>
        <w:rPr>
          <w:rFonts w:ascii="微軟正黑體" w:eastAsia="微軟正黑體" w:hAnsi="微軟正黑體"/>
        </w:rPr>
      </w:pPr>
      <w:r w:rsidRPr="00E458D3">
        <w:rPr>
          <w:rFonts w:ascii="微軟正黑體" w:eastAsia="微軟正黑體" w:hAnsi="微軟正黑體" w:hint="eastAsia"/>
        </w:rPr>
        <w:t>用於繳納社保費之最低月薪必須相當於區域別最低薪資。對於在一般工作環境下從事簡單工作或職務者，其用於繳納社保費之月薪不得低於區域別最低薪資；對於從事需要訓練之工作或職務者(包含由業者自行訓練之勞工)，其用於繳納社保費之月薪須高於區域別最低薪資之7%以上；對於在艱苦、毒害、危險之工作環境下從事工作或職務者，其用於繳納社保費之月薪須高於區域別最低薪資之5%以上；對於在特別艱苦、毒害、危險之工作環境下從事工作或職務者，其用於繳納社保費之月薪須較在一般工作環境下從事相同複雜程度之工作或職務者高7%以上。</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越南第</w:t>
      </w:r>
      <w:r w:rsidRPr="003A7AE4">
        <w:rPr>
          <w:rFonts w:ascii="微軟正黑體" w:eastAsia="微軟正黑體" w:hAnsi="微軟正黑體"/>
        </w:rPr>
        <w:t>58/2014/QH13</w:t>
      </w:r>
      <w:r w:rsidRPr="003A7AE4">
        <w:rPr>
          <w:rFonts w:ascii="微軟正黑體" w:eastAsia="微軟正黑體" w:hAnsi="微軟正黑體" w:hint="eastAsia"/>
        </w:rPr>
        <w:t>號之社會保險法(</w:t>
      </w:r>
      <w:r w:rsidRPr="003A7AE4">
        <w:rPr>
          <w:rFonts w:ascii="微軟正黑體" w:eastAsia="微軟正黑體" w:hAnsi="微軟正黑體"/>
        </w:rPr>
        <w:t>2014</w:t>
      </w:r>
      <w:r w:rsidRPr="003A7AE4">
        <w:rPr>
          <w:rFonts w:ascii="微軟正黑體" w:eastAsia="微軟正黑體" w:hAnsi="微軟正黑體" w:hint="eastAsia"/>
        </w:rPr>
        <w:t>年版)</w:t>
      </w:r>
      <w:r w:rsidRPr="00D0453A">
        <w:rPr>
          <w:rFonts w:ascii="微軟正黑體" w:eastAsia="微軟正黑體" w:hAnsi="微軟正黑體"/>
          <w:vertAlign w:val="superscript"/>
        </w:rPr>
        <w:footnoteReference w:id="12"/>
      </w:r>
      <w:r w:rsidRPr="003A7AE4">
        <w:rPr>
          <w:rFonts w:ascii="微軟正黑體" w:eastAsia="微軟正黑體" w:hAnsi="微軟正黑體" w:hint="eastAsia"/>
        </w:rPr>
        <w:t>規範從</w:t>
      </w:r>
      <w:r w:rsidRPr="003A7AE4">
        <w:rPr>
          <w:rFonts w:ascii="微軟正黑體" w:eastAsia="微軟正黑體" w:hAnsi="微軟正黑體"/>
        </w:rPr>
        <w:t>2018</w:t>
      </w:r>
      <w:r w:rsidRPr="003A7AE4">
        <w:rPr>
          <w:rFonts w:ascii="微軟正黑體" w:eastAsia="微軟正黑體" w:hAnsi="微軟正黑體" w:hint="eastAsia"/>
        </w:rPr>
        <w:t>年</w:t>
      </w:r>
      <w:r w:rsidRPr="003A7AE4">
        <w:rPr>
          <w:rFonts w:ascii="微軟正黑體" w:eastAsia="微軟正黑體" w:hAnsi="微軟正黑體"/>
        </w:rPr>
        <w:t>1</w:t>
      </w:r>
      <w:r w:rsidRPr="003A7AE4">
        <w:rPr>
          <w:rFonts w:ascii="微軟正黑體" w:eastAsia="微軟正黑體" w:hAnsi="微軟正黑體" w:hint="eastAsia"/>
        </w:rPr>
        <w:t>月</w:t>
      </w:r>
      <w:r w:rsidRPr="003A7AE4">
        <w:rPr>
          <w:rFonts w:ascii="微軟正黑體" w:eastAsia="微軟正黑體" w:hAnsi="微軟正黑體"/>
        </w:rPr>
        <w:t>1</w:t>
      </w:r>
      <w:r w:rsidRPr="003A7AE4">
        <w:rPr>
          <w:rFonts w:ascii="微軟正黑體" w:eastAsia="微軟正黑體" w:hAnsi="微軟正黑體" w:hint="eastAsia"/>
        </w:rPr>
        <w:t>日起，</w:t>
      </w:r>
      <w:r w:rsidRPr="0024564F">
        <w:rPr>
          <w:rFonts w:ascii="微軟正黑體" w:eastAsia="微軟正黑體" w:hAnsi="微軟正黑體" w:hint="eastAsia"/>
        </w:rPr>
        <w:t>工作1至3個月之勞工、擁有由越南權責機關核發之工作許可證、從業文憑、從業許可證並在越南工作之外籍勞工須參加強制性之社會保險。</w:t>
      </w:r>
      <w:r w:rsidRPr="003A7AE4">
        <w:rPr>
          <w:rFonts w:ascii="微軟正黑體" w:eastAsia="微軟正黑體" w:hAnsi="微軟正黑體" w:hint="eastAsia"/>
        </w:rPr>
        <w:t>依據越南</w:t>
      </w:r>
      <w:r w:rsidRPr="003A7AE4">
        <w:rPr>
          <w:rFonts w:ascii="微軟正黑體" w:eastAsia="微軟正黑體" w:hAnsi="微軟正黑體"/>
        </w:rPr>
        <w:t>2014</w:t>
      </w:r>
      <w:r w:rsidRPr="003A7AE4">
        <w:rPr>
          <w:rFonts w:ascii="微軟正黑體" w:eastAsia="微軟正黑體" w:hAnsi="微軟正黑體" w:hint="eastAsia"/>
        </w:rPr>
        <w:t>年版社會保險法規定，越籍勞工參加強制社會保險計有</w:t>
      </w:r>
      <w:r w:rsidRPr="003A7AE4">
        <w:rPr>
          <w:rFonts w:ascii="微軟正黑體" w:eastAsia="微軟正黑體" w:hAnsi="微軟正黑體"/>
        </w:rPr>
        <w:t>5</w:t>
      </w:r>
      <w:r w:rsidRPr="003A7AE4">
        <w:rPr>
          <w:rFonts w:ascii="微軟正黑體" w:eastAsia="微軟正黑體" w:hAnsi="微軟正黑體" w:hint="eastAsia"/>
        </w:rPr>
        <w:t>種保險項目，包括疾病、分娩、勞動意外職業疾病、退休及撫恤金，而為提供有利條件讓外籍勞工在越南工作能參加社會保險，外籍勞工僅須參加上述社會保險所列之退休及撫恤保險項目，同時外籍勞工可選擇繳交在越南工作整個期間之社會保險費方式，可分每季、半年或</w:t>
      </w:r>
      <w:r w:rsidRPr="003A7AE4">
        <w:rPr>
          <w:rFonts w:ascii="微軟正黑體" w:eastAsia="微軟正黑體" w:hAnsi="微軟正黑體"/>
        </w:rPr>
        <w:t>1</w:t>
      </w:r>
      <w:r w:rsidRPr="003A7AE4">
        <w:rPr>
          <w:rFonts w:ascii="微軟正黑體" w:eastAsia="微軟正黑體" w:hAnsi="微軟正黑體" w:hint="eastAsia"/>
        </w:rPr>
        <w:t>年繳交社會保險費，另外籍勞</w:t>
      </w:r>
      <w:r w:rsidRPr="003A7AE4">
        <w:rPr>
          <w:rFonts w:ascii="微軟正黑體" w:eastAsia="微軟正黑體" w:hAnsi="微軟正黑體" w:hint="eastAsia"/>
        </w:rPr>
        <w:lastRenderedPageBreak/>
        <w:t>工可向越南社會保險機關或透過雇主繳交社會保險費。</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越南勞動部前已於</w:t>
      </w:r>
      <w:r w:rsidRPr="003A7AE4">
        <w:rPr>
          <w:rFonts w:ascii="微軟正黑體" w:eastAsia="微軟正黑體" w:hAnsi="微軟正黑體"/>
        </w:rPr>
        <w:t>2015</w:t>
      </w:r>
      <w:r w:rsidRPr="003A7AE4">
        <w:rPr>
          <w:rFonts w:ascii="微軟正黑體" w:eastAsia="微軟正黑體" w:hAnsi="微軟正黑體" w:hint="eastAsia"/>
        </w:rPr>
        <w:t>年</w:t>
      </w:r>
      <w:r w:rsidRPr="003A7AE4">
        <w:rPr>
          <w:rFonts w:ascii="微軟正黑體" w:eastAsia="微軟正黑體" w:hAnsi="微軟正黑體"/>
        </w:rPr>
        <w:t>12</w:t>
      </w:r>
      <w:r w:rsidRPr="003A7AE4">
        <w:rPr>
          <w:rFonts w:ascii="微軟正黑體" w:eastAsia="微軟正黑體" w:hAnsi="微軟正黑體" w:hint="eastAsia"/>
        </w:rPr>
        <w:t>月</w:t>
      </w:r>
      <w:r w:rsidRPr="003A7AE4">
        <w:rPr>
          <w:rFonts w:ascii="微軟正黑體" w:eastAsia="微軟正黑體" w:hAnsi="微軟正黑體"/>
        </w:rPr>
        <w:t>29</w:t>
      </w:r>
      <w:r w:rsidRPr="003A7AE4">
        <w:rPr>
          <w:rFonts w:ascii="微軟正黑體" w:eastAsia="微軟正黑體" w:hAnsi="微軟正黑體" w:hint="eastAsia"/>
        </w:rPr>
        <w:t>日發布第</w:t>
      </w:r>
      <w:r w:rsidRPr="003A7AE4">
        <w:rPr>
          <w:rFonts w:ascii="微軟正黑體" w:eastAsia="微軟正黑體" w:hAnsi="微軟正黑體"/>
        </w:rPr>
        <w:t>59/2015/TT-BLDTBXH</w:t>
      </w:r>
      <w:r w:rsidRPr="003A7AE4">
        <w:rPr>
          <w:rFonts w:ascii="微軟正黑體" w:eastAsia="微軟正黑體" w:hAnsi="微軟正黑體" w:hint="eastAsia"/>
        </w:rPr>
        <w:t>號公告社會保險法有關強制性社會保險部分條文施行細則</w:t>
      </w:r>
      <w:r w:rsidRPr="00D0453A">
        <w:rPr>
          <w:rFonts w:ascii="微軟正黑體" w:eastAsia="微軟正黑體" w:hAnsi="微軟正黑體"/>
          <w:vertAlign w:val="superscript"/>
        </w:rPr>
        <w:footnoteReference w:id="13"/>
      </w:r>
      <w:r w:rsidRPr="003A7AE4">
        <w:rPr>
          <w:rFonts w:ascii="微軟正黑體" w:eastAsia="微軟正黑體" w:hAnsi="微軟正黑體" w:hint="eastAsia"/>
        </w:rPr>
        <w:t>，自</w:t>
      </w:r>
      <w:r w:rsidRPr="003A7AE4">
        <w:rPr>
          <w:rFonts w:ascii="微軟正黑體" w:eastAsia="微軟正黑體" w:hAnsi="微軟正黑體"/>
        </w:rPr>
        <w:t>2018</w:t>
      </w:r>
      <w:r w:rsidRPr="003A7AE4">
        <w:rPr>
          <w:rFonts w:ascii="微軟正黑體" w:eastAsia="微軟正黑體" w:hAnsi="微軟正黑體" w:hint="eastAsia"/>
        </w:rPr>
        <w:t>年</w:t>
      </w:r>
      <w:r w:rsidRPr="003A7AE4">
        <w:rPr>
          <w:rFonts w:ascii="微軟正黑體" w:eastAsia="微軟正黑體" w:hAnsi="微軟正黑體"/>
        </w:rPr>
        <w:t>1</w:t>
      </w:r>
      <w:r w:rsidRPr="003A7AE4">
        <w:rPr>
          <w:rFonts w:ascii="微軟正黑體" w:eastAsia="微軟正黑體" w:hAnsi="微軟正黑體" w:hint="eastAsia"/>
        </w:rPr>
        <w:t>月</w:t>
      </w:r>
      <w:r w:rsidRPr="003A7AE4">
        <w:rPr>
          <w:rFonts w:ascii="微軟正黑體" w:eastAsia="微軟正黑體" w:hAnsi="微軟正黑體"/>
        </w:rPr>
        <w:t>1</w:t>
      </w:r>
      <w:r w:rsidRPr="003A7AE4">
        <w:rPr>
          <w:rFonts w:ascii="微軟正黑體" w:eastAsia="微軟正黑體" w:hAnsi="微軟正黑體" w:hint="eastAsia"/>
        </w:rPr>
        <w:t>日起，雇主給付勞工之下列</w:t>
      </w:r>
      <w:r w:rsidRPr="003A7AE4">
        <w:rPr>
          <w:rFonts w:ascii="微軟正黑體" w:eastAsia="微軟正黑體" w:hAnsi="微軟正黑體"/>
        </w:rPr>
        <w:t>10</w:t>
      </w:r>
      <w:r w:rsidRPr="003A7AE4">
        <w:rPr>
          <w:rFonts w:ascii="微軟正黑體" w:eastAsia="微軟正黑體" w:hAnsi="微軟正黑體" w:hint="eastAsia"/>
        </w:rPr>
        <w:t>項薪資及薪資津貼等，均須繳交社會保險費：</w:t>
      </w:r>
      <w:r>
        <w:rPr>
          <w:rFonts w:ascii="微軟正黑體" w:eastAsia="微軟正黑體" w:hAnsi="微軟正黑體" w:hint="eastAsia"/>
        </w:rPr>
        <w:t>(</w:t>
      </w:r>
      <w:r w:rsidRPr="003A7AE4">
        <w:rPr>
          <w:rFonts w:ascii="微軟正黑體" w:eastAsia="微軟正黑體" w:hAnsi="微軟正黑體" w:hint="eastAsia"/>
        </w:rPr>
        <w:t>A</w:t>
      </w:r>
      <w:r>
        <w:rPr>
          <w:rFonts w:ascii="微軟正黑體" w:eastAsia="微軟正黑體" w:hAnsi="微軟正黑體" w:hint="eastAsia"/>
        </w:rPr>
        <w:t>)</w:t>
      </w:r>
      <w:r w:rsidRPr="003A7AE4">
        <w:rPr>
          <w:rFonts w:ascii="微軟正黑體" w:eastAsia="微軟正黑體" w:hAnsi="微軟正黑體" w:hint="eastAsia"/>
        </w:rPr>
        <w:t>薪資(含以件計酬)</w:t>
      </w:r>
      <w:r>
        <w:rPr>
          <w:rFonts w:ascii="微軟正黑體" w:eastAsia="微軟正黑體" w:hAnsi="微軟正黑體" w:hint="eastAsia"/>
        </w:rPr>
        <w:t>；(</w:t>
      </w:r>
      <w:r w:rsidRPr="003A7AE4">
        <w:rPr>
          <w:rFonts w:ascii="微軟正黑體" w:eastAsia="微軟正黑體" w:hAnsi="微軟正黑體" w:hint="eastAsia"/>
        </w:rPr>
        <w:t>B</w:t>
      </w:r>
      <w:r>
        <w:rPr>
          <w:rFonts w:ascii="微軟正黑體" w:eastAsia="微軟正黑體" w:hAnsi="微軟正黑體" w:hint="eastAsia"/>
        </w:rPr>
        <w:t>)職務加給；(</w:t>
      </w:r>
      <w:r w:rsidRPr="003A7AE4">
        <w:rPr>
          <w:rFonts w:ascii="微軟正黑體" w:eastAsia="微軟正黑體" w:hAnsi="微軟正黑體" w:hint="eastAsia"/>
        </w:rPr>
        <w:t>C</w:t>
      </w:r>
      <w:r>
        <w:rPr>
          <w:rFonts w:ascii="微軟正黑體" w:eastAsia="微軟正黑體" w:hAnsi="微軟正黑體" w:hint="eastAsia"/>
        </w:rPr>
        <w:t>)責任加給；(</w:t>
      </w:r>
      <w:r w:rsidRPr="003A7AE4">
        <w:rPr>
          <w:rFonts w:ascii="微軟正黑體" w:eastAsia="微軟正黑體" w:hAnsi="微軟正黑體" w:hint="eastAsia"/>
        </w:rPr>
        <w:t>D</w:t>
      </w:r>
      <w:r>
        <w:rPr>
          <w:rFonts w:ascii="微軟正黑體" w:eastAsia="微軟正黑體" w:hAnsi="微軟正黑體" w:hint="eastAsia"/>
        </w:rPr>
        <w:t>)</w:t>
      </w:r>
      <w:r w:rsidRPr="003A7AE4">
        <w:rPr>
          <w:rFonts w:ascii="微軟正黑體" w:eastAsia="微軟正黑體" w:hAnsi="微軟正黑體" w:hint="eastAsia"/>
        </w:rPr>
        <w:t>毒害、危險及粗重工作加給；(E)年資加給；(F)地區補助；(G)流動性工作補給；(H)吸引勞工之補給；(I)其他類似性質之補給；(J)其他各項補給。</w:t>
      </w:r>
    </w:p>
    <w:p w:rsidR="00821A46"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越南社會保險包括三大項：社會保險、醫療保險、失業保險，所有越南勞工皆需加入這三項保險。社會保險總繳費比例為勞工月薪的</w:t>
      </w:r>
      <w:r w:rsidRPr="003A7AE4">
        <w:rPr>
          <w:rFonts w:ascii="微軟正黑體" w:eastAsia="微軟正黑體" w:hAnsi="微軟正黑體"/>
        </w:rPr>
        <w:t>32.5%</w:t>
      </w:r>
      <w:r w:rsidRPr="003A7AE4">
        <w:rPr>
          <w:rFonts w:ascii="微軟正黑體" w:eastAsia="微軟正黑體" w:hAnsi="微軟正黑體" w:hint="eastAsia"/>
        </w:rPr>
        <w:t>，其中公司負擔</w:t>
      </w:r>
      <w:r w:rsidRPr="003A7AE4">
        <w:rPr>
          <w:rFonts w:ascii="微軟正黑體" w:eastAsia="微軟正黑體" w:hAnsi="微軟正黑體"/>
        </w:rPr>
        <w:t>22%</w:t>
      </w:r>
      <w:r w:rsidRPr="003A7AE4">
        <w:rPr>
          <w:rFonts w:ascii="微軟正黑體" w:eastAsia="微軟正黑體" w:hAnsi="微軟正黑體" w:hint="eastAsia"/>
        </w:rPr>
        <w:t>，個人負擔</w:t>
      </w:r>
      <w:r w:rsidRPr="003A7AE4">
        <w:rPr>
          <w:rFonts w:ascii="微軟正黑體" w:eastAsia="微軟正黑體" w:hAnsi="微軟正黑體"/>
        </w:rPr>
        <w:t>10.5%</w:t>
      </w:r>
      <w:r w:rsidRPr="003A7AE4">
        <w:rPr>
          <w:rFonts w:ascii="微軟正黑體" w:eastAsia="微軟正黑體" w:hAnsi="微軟正黑體" w:hint="eastAsia"/>
        </w:rPr>
        <w:t>。繳費時直接在勞工薪資中扣除，由公司代為繳納。目前三項社會保險費用分擔比例如表</w:t>
      </w:r>
      <w:r w:rsidRPr="003A7AE4">
        <w:rPr>
          <w:rFonts w:ascii="微軟正黑體" w:eastAsia="微軟正黑體" w:hAnsi="微軟正黑體"/>
        </w:rPr>
        <w:t>4</w:t>
      </w:r>
      <w:r w:rsidRPr="003A7AE4">
        <w:rPr>
          <w:rFonts w:ascii="微軟正黑體" w:eastAsia="微軟正黑體" w:hAnsi="微軟正黑體" w:hint="eastAsia"/>
        </w:rPr>
        <w:t>所示：</w:t>
      </w:r>
    </w:p>
    <w:p w:rsidR="00821A46" w:rsidRPr="00CF16B4" w:rsidRDefault="00821A46" w:rsidP="00821A46">
      <w:pPr>
        <w:spacing w:afterLines="30" w:after="72" w:line="400" w:lineRule="exact"/>
        <w:ind w:firstLineChars="200" w:firstLine="480"/>
        <w:jc w:val="center"/>
        <w:rPr>
          <w:rFonts w:ascii="微軟正黑體" w:eastAsia="微軟正黑體" w:hAnsi="微軟正黑體" w:cs="Times New Roman"/>
        </w:rPr>
      </w:pPr>
      <w:r w:rsidRPr="00CF16B4">
        <w:rPr>
          <w:rFonts w:ascii="微軟正黑體" w:eastAsia="微軟正黑體" w:hAnsi="微軟正黑體" w:cs="Times New Roman" w:hint="eastAsia"/>
        </w:rPr>
        <w:t>表4  越南各類社會保險費比率及負擔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2551"/>
      </w:tblGrid>
      <w:tr w:rsidR="00821A46" w:rsidRPr="00EB7773" w:rsidTr="00CA1CAA">
        <w:trPr>
          <w:jc w:val="center"/>
        </w:trPr>
        <w:tc>
          <w:tcPr>
            <w:tcW w:w="2551"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ind w:leftChars="-14" w:left="-3" w:hangingChars="14" w:hanging="31"/>
              <w:jc w:val="center"/>
              <w:rPr>
                <w:rFonts w:ascii="微軟正黑體" w:eastAsia="微軟正黑體" w:hAnsi="微軟正黑體"/>
                <w:b/>
                <w:color w:val="FFFFFF" w:themeColor="background1"/>
                <w:sz w:val="22"/>
              </w:rPr>
            </w:pPr>
            <w:r w:rsidRPr="00CA1CAA">
              <w:rPr>
                <w:rFonts w:ascii="微軟正黑體" w:eastAsia="微軟正黑體" w:hAnsi="微軟正黑體" w:hint="eastAsia"/>
                <w:b/>
                <w:color w:val="FFFFFF" w:themeColor="background1"/>
                <w:sz w:val="22"/>
              </w:rPr>
              <w:t>保險種類</w:t>
            </w:r>
          </w:p>
        </w:tc>
        <w:tc>
          <w:tcPr>
            <w:tcW w:w="2551"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ind w:left="-14"/>
              <w:jc w:val="center"/>
              <w:rPr>
                <w:rFonts w:ascii="微軟正黑體" w:eastAsia="微軟正黑體" w:hAnsi="微軟正黑體"/>
                <w:b/>
                <w:color w:val="FFFFFF" w:themeColor="background1"/>
                <w:sz w:val="22"/>
              </w:rPr>
            </w:pPr>
            <w:r w:rsidRPr="00CA1CAA">
              <w:rPr>
                <w:rFonts w:ascii="微軟正黑體" w:eastAsia="微軟正黑體" w:hAnsi="微軟正黑體" w:hint="eastAsia"/>
                <w:b/>
                <w:color w:val="FFFFFF" w:themeColor="background1"/>
                <w:sz w:val="22"/>
              </w:rPr>
              <w:t>公司負擔</w:t>
            </w:r>
          </w:p>
        </w:tc>
        <w:tc>
          <w:tcPr>
            <w:tcW w:w="2551" w:type="dxa"/>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rsidR="00821A46" w:rsidRPr="00CA1CAA" w:rsidRDefault="00821A46" w:rsidP="00644B21">
            <w:pPr>
              <w:ind w:left="-14"/>
              <w:jc w:val="center"/>
              <w:rPr>
                <w:rFonts w:ascii="微軟正黑體" w:eastAsia="微軟正黑體" w:hAnsi="微軟正黑體"/>
                <w:b/>
                <w:color w:val="FFFFFF" w:themeColor="background1"/>
                <w:sz w:val="22"/>
              </w:rPr>
            </w:pPr>
            <w:r w:rsidRPr="00CA1CAA">
              <w:rPr>
                <w:rFonts w:ascii="微軟正黑體" w:eastAsia="微軟正黑體" w:hAnsi="微軟正黑體" w:hint="eastAsia"/>
                <w:b/>
                <w:color w:val="FFFFFF" w:themeColor="background1"/>
                <w:sz w:val="22"/>
              </w:rPr>
              <w:t>勞工負擔</w:t>
            </w:r>
          </w:p>
        </w:tc>
      </w:tr>
      <w:tr w:rsidR="00821A46" w:rsidRPr="00EB7773" w:rsidTr="00644B21">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Chars="-14" w:left="-3" w:hangingChars="14" w:hanging="31"/>
              <w:jc w:val="center"/>
              <w:rPr>
                <w:rFonts w:ascii="微軟正黑體" w:eastAsia="微軟正黑體" w:hAnsi="微軟正黑體"/>
                <w:sz w:val="22"/>
              </w:rPr>
            </w:pPr>
            <w:r w:rsidRPr="00EB7773">
              <w:rPr>
                <w:rFonts w:ascii="微軟正黑體" w:eastAsia="微軟正黑體" w:hAnsi="微軟正黑體" w:hint="eastAsia"/>
                <w:sz w:val="22"/>
              </w:rPr>
              <w:t>社會保險</w:t>
            </w:r>
          </w:p>
        </w:tc>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14"/>
              <w:jc w:val="center"/>
              <w:rPr>
                <w:rFonts w:ascii="微軟正黑體" w:eastAsia="微軟正黑體" w:hAnsi="微軟正黑體"/>
                <w:sz w:val="22"/>
              </w:rPr>
            </w:pPr>
            <w:r w:rsidRPr="00EB7773">
              <w:rPr>
                <w:rFonts w:ascii="微軟正黑體" w:eastAsia="微軟正黑體" w:hAnsi="微軟正黑體"/>
                <w:sz w:val="22"/>
              </w:rPr>
              <w:t>18%</w:t>
            </w:r>
          </w:p>
        </w:tc>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14"/>
              <w:jc w:val="center"/>
              <w:rPr>
                <w:rFonts w:ascii="微軟正黑體" w:eastAsia="微軟正黑體" w:hAnsi="微軟正黑體"/>
                <w:sz w:val="22"/>
              </w:rPr>
            </w:pPr>
            <w:r w:rsidRPr="00EB7773">
              <w:rPr>
                <w:rFonts w:ascii="微軟正黑體" w:eastAsia="微軟正黑體" w:hAnsi="微軟正黑體"/>
                <w:sz w:val="22"/>
              </w:rPr>
              <w:t>8%</w:t>
            </w:r>
          </w:p>
        </w:tc>
      </w:tr>
      <w:tr w:rsidR="00821A46" w:rsidRPr="00EB7773" w:rsidTr="00644B21">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Chars="-14" w:left="-3" w:hangingChars="14" w:hanging="31"/>
              <w:jc w:val="center"/>
              <w:rPr>
                <w:rFonts w:ascii="微軟正黑體" w:eastAsia="微軟正黑體" w:hAnsi="微軟正黑體"/>
                <w:sz w:val="22"/>
              </w:rPr>
            </w:pPr>
            <w:r w:rsidRPr="00EB7773">
              <w:rPr>
                <w:rFonts w:ascii="微軟正黑體" w:eastAsia="微軟正黑體" w:hAnsi="微軟正黑體" w:hint="eastAsia"/>
                <w:sz w:val="22"/>
              </w:rPr>
              <w:t>醫療保險</w:t>
            </w:r>
          </w:p>
        </w:tc>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14"/>
              <w:jc w:val="center"/>
              <w:rPr>
                <w:rFonts w:ascii="微軟正黑體" w:eastAsia="微軟正黑體" w:hAnsi="微軟正黑體"/>
                <w:sz w:val="22"/>
              </w:rPr>
            </w:pPr>
            <w:r w:rsidRPr="00EB7773">
              <w:rPr>
                <w:rFonts w:ascii="微軟正黑體" w:eastAsia="微軟正黑體" w:hAnsi="微軟正黑體"/>
                <w:sz w:val="22"/>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14"/>
              <w:jc w:val="center"/>
              <w:rPr>
                <w:rFonts w:ascii="微軟正黑體" w:eastAsia="微軟正黑體" w:hAnsi="微軟正黑體"/>
                <w:sz w:val="22"/>
              </w:rPr>
            </w:pPr>
            <w:r w:rsidRPr="00EB7773">
              <w:rPr>
                <w:rFonts w:ascii="微軟正黑體" w:eastAsia="微軟正黑體" w:hAnsi="微軟正黑體"/>
                <w:sz w:val="22"/>
              </w:rPr>
              <w:t>1.5%</w:t>
            </w:r>
          </w:p>
        </w:tc>
      </w:tr>
      <w:tr w:rsidR="00821A46" w:rsidRPr="00EB7773" w:rsidTr="00644B21">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Chars="-14" w:left="-3" w:hangingChars="14" w:hanging="31"/>
              <w:jc w:val="center"/>
              <w:rPr>
                <w:rFonts w:ascii="微軟正黑體" w:eastAsia="微軟正黑體" w:hAnsi="微軟正黑體"/>
                <w:sz w:val="22"/>
              </w:rPr>
            </w:pPr>
            <w:r w:rsidRPr="00EB7773">
              <w:rPr>
                <w:rFonts w:ascii="微軟正黑體" w:eastAsia="微軟正黑體" w:hAnsi="微軟正黑體" w:hint="eastAsia"/>
                <w:sz w:val="22"/>
              </w:rPr>
              <w:t>失業保險</w:t>
            </w:r>
          </w:p>
        </w:tc>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14"/>
              <w:jc w:val="center"/>
              <w:rPr>
                <w:rFonts w:ascii="微軟正黑體" w:eastAsia="微軟正黑體" w:hAnsi="微軟正黑體"/>
                <w:sz w:val="22"/>
              </w:rPr>
            </w:pPr>
            <w:r w:rsidRPr="00EB7773">
              <w:rPr>
                <w:rFonts w:ascii="微軟正黑體" w:eastAsia="微軟正黑體" w:hAnsi="微軟正黑體"/>
                <w:sz w:val="22"/>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14"/>
              <w:jc w:val="center"/>
              <w:rPr>
                <w:rFonts w:ascii="微軟正黑體" w:eastAsia="微軟正黑體" w:hAnsi="微軟正黑體"/>
                <w:sz w:val="22"/>
              </w:rPr>
            </w:pPr>
            <w:r w:rsidRPr="00EB7773">
              <w:rPr>
                <w:rFonts w:ascii="微軟正黑體" w:eastAsia="微軟正黑體" w:hAnsi="微軟正黑體"/>
                <w:sz w:val="22"/>
              </w:rPr>
              <w:t>1%</w:t>
            </w:r>
          </w:p>
        </w:tc>
      </w:tr>
      <w:tr w:rsidR="00821A46" w:rsidRPr="00EB7773" w:rsidTr="00644B21">
        <w:trPr>
          <w:jc w:val="center"/>
        </w:trPr>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Chars="-14" w:left="-3" w:hangingChars="14" w:hanging="31"/>
              <w:jc w:val="center"/>
              <w:rPr>
                <w:rFonts w:ascii="微軟正黑體" w:eastAsia="微軟正黑體" w:hAnsi="微軟正黑體"/>
                <w:sz w:val="22"/>
              </w:rPr>
            </w:pPr>
            <w:r w:rsidRPr="00EB7773">
              <w:rPr>
                <w:rFonts w:ascii="微軟正黑體" w:eastAsia="微軟正黑體" w:hAnsi="微軟正黑體" w:hint="eastAsia"/>
                <w:sz w:val="22"/>
              </w:rPr>
              <w:t>合計</w:t>
            </w:r>
          </w:p>
        </w:tc>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14"/>
              <w:jc w:val="center"/>
              <w:rPr>
                <w:rFonts w:ascii="微軟正黑體" w:eastAsia="微軟正黑體" w:hAnsi="微軟正黑體"/>
                <w:sz w:val="22"/>
              </w:rPr>
            </w:pPr>
            <w:r w:rsidRPr="00EB7773">
              <w:rPr>
                <w:rFonts w:ascii="微軟正黑體" w:eastAsia="微軟正黑體" w:hAnsi="微軟正黑體"/>
                <w:sz w:val="22"/>
              </w:rPr>
              <w:t>22%</w:t>
            </w:r>
          </w:p>
        </w:tc>
        <w:tc>
          <w:tcPr>
            <w:tcW w:w="2551"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644B21">
            <w:pPr>
              <w:ind w:left="-14"/>
              <w:jc w:val="center"/>
              <w:rPr>
                <w:rFonts w:ascii="微軟正黑體" w:eastAsia="微軟正黑體" w:hAnsi="微軟正黑體"/>
                <w:sz w:val="22"/>
              </w:rPr>
            </w:pPr>
            <w:r w:rsidRPr="00EB7773">
              <w:rPr>
                <w:rFonts w:ascii="微軟正黑體" w:eastAsia="微軟正黑體" w:hAnsi="微軟正黑體"/>
                <w:sz w:val="22"/>
              </w:rPr>
              <w:t>10.5%</w:t>
            </w:r>
          </w:p>
        </w:tc>
      </w:tr>
    </w:tbl>
    <w:p w:rsidR="00821A46" w:rsidRPr="00D0453A" w:rsidRDefault="00821A46" w:rsidP="000827B0">
      <w:pPr>
        <w:spacing w:line="280" w:lineRule="exact"/>
        <w:ind w:firstLineChars="200" w:firstLine="400"/>
        <w:jc w:val="both"/>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D0453A">
        <w:rPr>
          <w:rFonts w:ascii="微軟正黑體" w:eastAsia="微軟正黑體" w:hAnsi="微軟正黑體" w:hint="eastAsia"/>
          <w:sz w:val="20"/>
          <w:szCs w:val="20"/>
        </w:rPr>
        <w:t>資料</w:t>
      </w:r>
      <w:r w:rsidRPr="005413B8">
        <w:rPr>
          <w:rFonts w:ascii="微軟正黑體" w:eastAsia="微軟正黑體" w:hAnsi="微軟正黑體" w:hint="eastAsia"/>
          <w:sz w:val="20"/>
          <w:szCs w:val="20"/>
        </w:rPr>
        <w:t>來源</w:t>
      </w:r>
      <w:r w:rsidRPr="00825B78">
        <w:rPr>
          <w:rFonts w:ascii="微軟正黑體" w:eastAsia="微軟正黑體" w:hAnsi="微軟正黑體" w:hint="eastAsia"/>
          <w:sz w:val="20"/>
          <w:szCs w:val="20"/>
        </w:rPr>
        <w:t>:</w:t>
      </w:r>
      <w:r w:rsidRPr="00825B78">
        <w:rPr>
          <w:rFonts w:ascii="微軟正黑體" w:eastAsia="微軟正黑體" w:hAnsi="微軟正黑體"/>
          <w:sz w:val="20"/>
          <w:szCs w:val="20"/>
        </w:rPr>
        <w:t xml:space="preserve"> </w:t>
      </w:r>
      <w:hyperlink r:id="rId132" w:history="1">
        <w:r w:rsidRPr="00825B78">
          <w:rPr>
            <w:rStyle w:val="af7"/>
            <w:rFonts w:ascii="微軟正黑體" w:eastAsia="微軟正黑體" w:hAnsi="微軟正黑體" w:hint="eastAsia"/>
            <w:color w:val="auto"/>
            <w:sz w:val="20"/>
            <w:szCs w:val="20"/>
            <w:u w:val="none"/>
          </w:rPr>
          <w:t>http://www.powerpoint-group.com/fanti-2/asia13.html</w:t>
        </w:r>
      </w:hyperlink>
      <w:r w:rsidRPr="00825B78">
        <w:rPr>
          <w:rFonts w:ascii="微軟正黑體" w:eastAsia="微軟正黑體" w:hAnsi="微軟正黑體" w:hint="eastAsia"/>
          <w:sz w:val="20"/>
          <w:szCs w:val="20"/>
        </w:rPr>
        <w:t>。</w:t>
      </w:r>
    </w:p>
    <w:p w:rsidR="00821A46" w:rsidRDefault="00821A46" w:rsidP="00821A46">
      <w:pPr>
        <w:spacing w:line="400" w:lineRule="exact"/>
        <w:ind w:firstLineChars="200" w:firstLine="480"/>
        <w:jc w:val="both"/>
        <w:rPr>
          <w:rFonts w:ascii="微軟正黑體" w:eastAsia="微軟正黑體" w:hAnsi="微軟正黑體"/>
        </w:rPr>
      </w:pPr>
    </w:p>
    <w:p w:rsidR="00821A46" w:rsidRPr="0024564F" w:rsidRDefault="00821A46" w:rsidP="00821A46">
      <w:pPr>
        <w:spacing w:line="400" w:lineRule="exact"/>
        <w:ind w:firstLineChars="200" w:firstLine="480"/>
        <w:jc w:val="both"/>
        <w:rPr>
          <w:rFonts w:ascii="微軟正黑體" w:eastAsia="微軟正黑體" w:hAnsi="微軟正黑體"/>
        </w:rPr>
      </w:pPr>
      <w:r w:rsidRPr="0024564F">
        <w:rPr>
          <w:rFonts w:ascii="微軟正黑體" w:eastAsia="微軟正黑體" w:hAnsi="微軟正黑體" w:hint="eastAsia"/>
        </w:rPr>
        <w:t>其中，社會保險費方面，雇主須負擔勞工薪資總額之18%，勞工自行負擔薪資總額之8%(第186條)。社會保險包括疾病險、生育險、職業病險、工傷險、退休與死亡金，外國勞動者應當按月工資標準繳納</w:t>
      </w:r>
      <w:r w:rsidRPr="0024564F">
        <w:rPr>
          <w:rFonts w:ascii="微軟正黑體" w:eastAsia="微軟正黑體" w:hAnsi="微軟正黑體"/>
        </w:rPr>
        <w:t>8%</w:t>
      </w:r>
      <w:r w:rsidRPr="0024564F">
        <w:rPr>
          <w:rFonts w:ascii="微軟正黑體" w:eastAsia="微軟正黑體" w:hAnsi="微軟正黑體" w:hint="eastAsia"/>
        </w:rPr>
        <w:t>的退休與死亡金，用人單位按月工資標準最高繳納</w:t>
      </w:r>
      <w:r w:rsidRPr="0024564F">
        <w:rPr>
          <w:rFonts w:ascii="微軟正黑體" w:eastAsia="微軟正黑體" w:hAnsi="微軟正黑體"/>
        </w:rPr>
        <w:t>18%</w:t>
      </w:r>
      <w:r w:rsidRPr="0024564F">
        <w:rPr>
          <w:rFonts w:ascii="微軟正黑體" w:eastAsia="微軟正黑體" w:hAnsi="微軟正黑體" w:hint="eastAsia"/>
        </w:rPr>
        <w:t>的強制社會保險，包括</w:t>
      </w:r>
      <w:r w:rsidRPr="0024564F">
        <w:rPr>
          <w:rFonts w:ascii="微軟正黑體" w:eastAsia="微軟正黑體" w:hAnsi="微軟正黑體"/>
        </w:rPr>
        <w:t>3%</w:t>
      </w:r>
      <w:r w:rsidRPr="0024564F">
        <w:rPr>
          <w:rFonts w:ascii="微軟正黑體" w:eastAsia="微軟正黑體" w:hAnsi="微軟正黑體" w:hint="eastAsia"/>
        </w:rPr>
        <w:t>疾病險和生育險，</w:t>
      </w:r>
      <w:r w:rsidRPr="0024564F">
        <w:rPr>
          <w:rFonts w:ascii="微軟正黑體" w:eastAsia="微軟正黑體" w:hAnsi="微軟正黑體"/>
        </w:rPr>
        <w:t>1%</w:t>
      </w:r>
      <w:r w:rsidRPr="0024564F">
        <w:rPr>
          <w:rFonts w:ascii="微軟正黑體" w:eastAsia="微軟正黑體" w:hAnsi="微軟正黑體" w:hint="eastAsia"/>
        </w:rPr>
        <w:t>工傷險和職業病險；</w:t>
      </w:r>
      <w:r w:rsidRPr="0024564F">
        <w:rPr>
          <w:rFonts w:ascii="微軟正黑體" w:eastAsia="微軟正黑體" w:hAnsi="微軟正黑體"/>
        </w:rPr>
        <w:t>14%</w:t>
      </w:r>
      <w:r w:rsidRPr="0024564F">
        <w:rPr>
          <w:rFonts w:ascii="微軟正黑體" w:eastAsia="微軟正黑體" w:hAnsi="微軟正黑體" w:hint="eastAsia"/>
        </w:rPr>
        <w:t>退休和死亡金。另據醫療保險法相關規定，自2009年7月1日起，雇主須負擔勞工薪資總額3%之醫療保險費(原為2%)，勞工則自行負擔薪資總額之1.5%(原為1%)。</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第</w:t>
      </w:r>
      <w:r w:rsidRPr="003A7AE4">
        <w:rPr>
          <w:rFonts w:ascii="微軟正黑體" w:eastAsia="微軟正黑體" w:hAnsi="微軟正黑體"/>
        </w:rPr>
        <w:t>58/2014/QH13</w:t>
      </w:r>
      <w:r w:rsidRPr="003A7AE4">
        <w:rPr>
          <w:rFonts w:ascii="微軟正黑體" w:eastAsia="微軟正黑體" w:hAnsi="微軟正黑體" w:hint="eastAsia"/>
        </w:rPr>
        <w:t>號社會保險法同時規定退休金的計算方式將於</w:t>
      </w:r>
      <w:r w:rsidRPr="003A7AE4">
        <w:rPr>
          <w:rFonts w:ascii="微軟正黑體" w:eastAsia="微軟正黑體" w:hAnsi="微軟正黑體"/>
        </w:rPr>
        <w:t>2018</w:t>
      </w:r>
      <w:r w:rsidRPr="003A7AE4">
        <w:rPr>
          <w:rFonts w:ascii="微軟正黑體" w:eastAsia="微軟正黑體" w:hAnsi="微軟正黑體" w:hint="eastAsia"/>
        </w:rPr>
        <w:t>年起改變。凡於</w:t>
      </w:r>
      <w:r w:rsidRPr="003A7AE4">
        <w:rPr>
          <w:rFonts w:ascii="微軟正黑體" w:eastAsia="微軟正黑體" w:hAnsi="微軟正黑體"/>
        </w:rPr>
        <w:t>2017</w:t>
      </w:r>
      <w:r w:rsidRPr="003A7AE4">
        <w:rPr>
          <w:rFonts w:ascii="微軟正黑體" w:eastAsia="微軟正黑體" w:hAnsi="微軟正黑體" w:hint="eastAsia"/>
        </w:rPr>
        <w:t>年</w:t>
      </w:r>
      <w:r w:rsidRPr="003A7AE4">
        <w:rPr>
          <w:rFonts w:ascii="微軟正黑體" w:eastAsia="微軟正黑體" w:hAnsi="微軟正黑體"/>
        </w:rPr>
        <w:t>12</w:t>
      </w:r>
      <w:r w:rsidRPr="003A7AE4">
        <w:rPr>
          <w:rFonts w:ascii="微軟正黑體" w:eastAsia="微軟正黑體" w:hAnsi="微軟正黑體" w:hint="eastAsia"/>
        </w:rPr>
        <w:t>月</w:t>
      </w:r>
      <w:r w:rsidRPr="003A7AE4">
        <w:rPr>
          <w:rFonts w:ascii="微軟正黑體" w:eastAsia="微軟正黑體" w:hAnsi="微軟正黑體"/>
        </w:rPr>
        <w:t>31</w:t>
      </w:r>
      <w:r w:rsidRPr="003A7AE4">
        <w:rPr>
          <w:rFonts w:ascii="微軟正黑體" w:eastAsia="微軟正黑體" w:hAnsi="微軟正黑體" w:hint="eastAsia"/>
        </w:rPr>
        <w:t>日前退休之人士，每月退休</w:t>
      </w:r>
      <w:r w:rsidRPr="0024564F">
        <w:rPr>
          <w:rFonts w:ascii="微軟正黑體" w:eastAsia="微軟正黑體" w:hAnsi="微軟正黑體" w:hint="eastAsia"/>
        </w:rPr>
        <w:t>金</w:t>
      </w:r>
      <w:r w:rsidRPr="003A7AE4">
        <w:rPr>
          <w:rFonts w:ascii="微軟正黑體" w:eastAsia="微軟正黑體" w:hAnsi="微軟正黑體" w:hint="eastAsia"/>
        </w:rPr>
        <w:t>將計算其平均月薪之</w:t>
      </w:r>
      <w:r w:rsidRPr="003A7AE4">
        <w:rPr>
          <w:rFonts w:ascii="微軟正黑體" w:eastAsia="微軟正黑體" w:hAnsi="微軟正黑體"/>
        </w:rPr>
        <w:t>45%</w:t>
      </w:r>
      <w:r w:rsidRPr="003A7AE4">
        <w:rPr>
          <w:rFonts w:ascii="微軟正黑體" w:eastAsia="微軟正黑體" w:hAnsi="微軟正黑體" w:hint="eastAsia"/>
        </w:rPr>
        <w:t>，計算期間</w:t>
      </w:r>
      <w:r w:rsidRPr="003A7AE4">
        <w:rPr>
          <w:rFonts w:ascii="微軟正黑體" w:eastAsia="微軟正黑體" w:hAnsi="微軟正黑體"/>
        </w:rPr>
        <w:t>15</w:t>
      </w:r>
      <w:r w:rsidRPr="003A7AE4">
        <w:rPr>
          <w:rFonts w:ascii="微軟正黑體" w:eastAsia="微軟正黑體" w:hAnsi="微軟正黑體" w:hint="eastAsia"/>
        </w:rPr>
        <w:t>年，自第</w:t>
      </w:r>
      <w:r w:rsidRPr="003A7AE4">
        <w:rPr>
          <w:rFonts w:ascii="微軟正黑體" w:eastAsia="微軟正黑體" w:hAnsi="微軟正黑體"/>
        </w:rPr>
        <w:t>16</w:t>
      </w:r>
      <w:r w:rsidRPr="003A7AE4">
        <w:rPr>
          <w:rFonts w:ascii="微軟正黑體" w:eastAsia="微軟正黑體" w:hAnsi="微軟正黑體" w:hint="eastAsia"/>
        </w:rPr>
        <w:t>年起，男性每月退休</w:t>
      </w:r>
      <w:r w:rsidRPr="0024564F">
        <w:rPr>
          <w:rFonts w:ascii="微軟正黑體" w:eastAsia="微軟正黑體" w:hAnsi="微軟正黑體" w:hint="eastAsia"/>
        </w:rPr>
        <w:t>金</w:t>
      </w:r>
      <w:r w:rsidRPr="003A7AE4">
        <w:rPr>
          <w:rFonts w:ascii="微軟正黑體" w:eastAsia="微軟正黑體" w:hAnsi="微軟正黑體" w:hint="eastAsia"/>
        </w:rPr>
        <w:t>增加</w:t>
      </w:r>
      <w:r w:rsidRPr="003A7AE4">
        <w:rPr>
          <w:rFonts w:ascii="微軟正黑體" w:eastAsia="微軟正黑體" w:hAnsi="微軟正黑體"/>
        </w:rPr>
        <w:t>2%</w:t>
      </w:r>
      <w:r w:rsidRPr="003A7AE4">
        <w:rPr>
          <w:rFonts w:ascii="微軟正黑體" w:eastAsia="微軟正黑體" w:hAnsi="微軟正黑體" w:hint="eastAsia"/>
        </w:rPr>
        <w:t>，女性增加</w:t>
      </w:r>
      <w:r w:rsidRPr="003A7AE4">
        <w:rPr>
          <w:rFonts w:ascii="微軟正黑體" w:eastAsia="微軟正黑體" w:hAnsi="微軟正黑體"/>
        </w:rPr>
        <w:t>3%</w:t>
      </w:r>
      <w:r w:rsidRPr="003A7AE4">
        <w:rPr>
          <w:rFonts w:ascii="微軟正黑體" w:eastAsia="微軟正黑體" w:hAnsi="微軟正黑體" w:hint="eastAsia"/>
        </w:rPr>
        <w:t>，直至達到</w:t>
      </w:r>
      <w:r w:rsidRPr="003A7AE4">
        <w:rPr>
          <w:rFonts w:ascii="微軟正黑體" w:eastAsia="微軟正黑體" w:hAnsi="微軟正黑體"/>
        </w:rPr>
        <w:t>75%</w:t>
      </w:r>
      <w:r w:rsidRPr="003A7AE4">
        <w:rPr>
          <w:rFonts w:ascii="微軟正黑體" w:eastAsia="微軟正黑體" w:hAnsi="微軟正黑體" w:hint="eastAsia"/>
        </w:rPr>
        <w:t>之最高比率。女性勞工於</w:t>
      </w:r>
      <w:r w:rsidRPr="003A7AE4">
        <w:rPr>
          <w:rFonts w:ascii="微軟正黑體" w:eastAsia="微軟正黑體" w:hAnsi="微軟正黑體"/>
        </w:rPr>
        <w:t>2018</w:t>
      </w:r>
      <w:r w:rsidRPr="003A7AE4">
        <w:rPr>
          <w:rFonts w:ascii="微軟正黑體" w:eastAsia="微軟正黑體" w:hAnsi="微軟正黑體" w:hint="eastAsia"/>
        </w:rPr>
        <w:t>年</w:t>
      </w:r>
      <w:r w:rsidRPr="003A7AE4">
        <w:rPr>
          <w:rFonts w:ascii="微軟正黑體" w:eastAsia="微軟正黑體" w:hAnsi="微軟正黑體"/>
        </w:rPr>
        <w:t>1</w:t>
      </w:r>
      <w:r w:rsidRPr="003A7AE4">
        <w:rPr>
          <w:rFonts w:ascii="微軟正黑體" w:eastAsia="微軟正黑體" w:hAnsi="微軟正黑體" w:hint="eastAsia"/>
        </w:rPr>
        <w:t>月</w:t>
      </w:r>
      <w:r w:rsidRPr="003A7AE4">
        <w:rPr>
          <w:rFonts w:ascii="微軟正黑體" w:eastAsia="微軟正黑體" w:hAnsi="微軟正黑體"/>
        </w:rPr>
        <w:t>1</w:t>
      </w:r>
      <w:r w:rsidRPr="003A7AE4">
        <w:rPr>
          <w:rFonts w:ascii="微軟正黑體" w:eastAsia="微軟正黑體" w:hAnsi="微軟正黑體" w:hint="eastAsia"/>
        </w:rPr>
        <w:t>日以後退休，每月退休</w:t>
      </w:r>
      <w:r w:rsidRPr="0024564F">
        <w:rPr>
          <w:rFonts w:ascii="微軟正黑體" w:eastAsia="微軟正黑體" w:hAnsi="微軟正黑體" w:hint="eastAsia"/>
        </w:rPr>
        <w:t>金</w:t>
      </w:r>
      <w:r w:rsidRPr="003A7AE4">
        <w:rPr>
          <w:rFonts w:ascii="微軟正黑體" w:eastAsia="微軟正黑體" w:hAnsi="微軟正黑體" w:hint="eastAsia"/>
        </w:rPr>
        <w:t>同樣計算其平均月薪之</w:t>
      </w:r>
      <w:r w:rsidRPr="003A7AE4">
        <w:rPr>
          <w:rFonts w:ascii="微軟正黑體" w:eastAsia="微軟正黑體" w:hAnsi="微軟正黑體"/>
        </w:rPr>
        <w:t>45%</w:t>
      </w:r>
      <w:r w:rsidRPr="003A7AE4">
        <w:rPr>
          <w:rFonts w:ascii="微軟正黑體" w:eastAsia="微軟正黑體" w:hAnsi="微軟正黑體" w:hint="eastAsia"/>
        </w:rPr>
        <w:t>，計算期間</w:t>
      </w:r>
      <w:r w:rsidRPr="003A7AE4">
        <w:rPr>
          <w:rFonts w:ascii="微軟正黑體" w:eastAsia="微軟正黑體" w:hAnsi="微軟正黑體"/>
        </w:rPr>
        <w:t>15</w:t>
      </w:r>
      <w:r w:rsidRPr="003A7AE4">
        <w:rPr>
          <w:rFonts w:ascii="微軟正黑體" w:eastAsia="微軟正黑體" w:hAnsi="微軟正黑體" w:hint="eastAsia"/>
        </w:rPr>
        <w:t>年，但自第</w:t>
      </w:r>
      <w:r w:rsidRPr="003A7AE4">
        <w:rPr>
          <w:rFonts w:ascii="微軟正黑體" w:eastAsia="微軟正黑體" w:hAnsi="微軟正黑體"/>
        </w:rPr>
        <w:t>16</w:t>
      </w:r>
      <w:r w:rsidRPr="003A7AE4">
        <w:rPr>
          <w:rFonts w:ascii="微軟正黑體" w:eastAsia="微軟正黑體" w:hAnsi="微軟正黑體" w:hint="eastAsia"/>
        </w:rPr>
        <w:t>年起，每月退休</w:t>
      </w:r>
      <w:r w:rsidRPr="0024564F">
        <w:rPr>
          <w:rFonts w:ascii="微軟正黑體" w:eastAsia="微軟正黑體" w:hAnsi="微軟正黑體" w:hint="eastAsia"/>
        </w:rPr>
        <w:t>金</w:t>
      </w:r>
      <w:r w:rsidRPr="003A7AE4">
        <w:rPr>
          <w:rFonts w:ascii="微軟正黑體" w:eastAsia="微軟正黑體" w:hAnsi="微軟正黑體" w:hint="eastAsia"/>
        </w:rPr>
        <w:t>將改為增加</w:t>
      </w:r>
      <w:r w:rsidRPr="003A7AE4">
        <w:rPr>
          <w:rFonts w:ascii="微軟正黑體" w:eastAsia="微軟正黑體" w:hAnsi="微軟正黑體"/>
        </w:rPr>
        <w:t>2%</w:t>
      </w:r>
      <w:r w:rsidRPr="003A7AE4">
        <w:rPr>
          <w:rFonts w:ascii="微軟正黑體" w:eastAsia="微軟正黑體" w:hAnsi="微軟正黑體" w:hint="eastAsia"/>
        </w:rPr>
        <w:t>(與</w:t>
      </w:r>
      <w:r w:rsidRPr="003A7AE4">
        <w:rPr>
          <w:rFonts w:ascii="微軟正黑體" w:eastAsia="微軟正黑體" w:hAnsi="微軟正黑體"/>
        </w:rPr>
        <w:t>2017</w:t>
      </w:r>
      <w:r w:rsidRPr="003A7AE4">
        <w:rPr>
          <w:rFonts w:ascii="微軟正黑體" w:eastAsia="微軟正黑體" w:hAnsi="微軟正黑體" w:hint="eastAsia"/>
        </w:rPr>
        <w:t>年相比減少</w:t>
      </w:r>
      <w:r w:rsidRPr="003A7AE4">
        <w:rPr>
          <w:rFonts w:ascii="微軟正黑體" w:eastAsia="微軟正黑體" w:hAnsi="微軟正黑體"/>
        </w:rPr>
        <w:t>1%</w:t>
      </w:r>
      <w:r w:rsidRPr="003A7AE4">
        <w:rPr>
          <w:rFonts w:ascii="微軟正黑體" w:eastAsia="微軟正黑體" w:hAnsi="微軟正黑體" w:hint="eastAsia"/>
        </w:rPr>
        <w:t>)，直至達到</w:t>
      </w:r>
      <w:r w:rsidRPr="003A7AE4">
        <w:rPr>
          <w:rFonts w:ascii="微軟正黑體" w:eastAsia="微軟正黑體" w:hAnsi="微軟正黑體"/>
        </w:rPr>
        <w:t>75%</w:t>
      </w:r>
      <w:r w:rsidRPr="003A7AE4">
        <w:rPr>
          <w:rFonts w:ascii="微軟正黑體" w:eastAsia="微軟正黑體" w:hAnsi="微軟正黑體" w:hint="eastAsia"/>
        </w:rPr>
        <w:t>之最高比率；男性勞工</w:t>
      </w:r>
      <w:r w:rsidRPr="0024564F">
        <w:rPr>
          <w:rFonts w:ascii="微軟正黑體" w:eastAsia="微軟正黑體" w:hAnsi="微軟正黑體" w:hint="eastAsia"/>
        </w:rPr>
        <w:t>計算</w:t>
      </w:r>
      <w:r w:rsidRPr="003A7AE4">
        <w:rPr>
          <w:rFonts w:ascii="微軟正黑體" w:eastAsia="微軟正黑體" w:hAnsi="微軟正黑體" w:hint="eastAsia"/>
        </w:rPr>
        <w:t>期間則改為</w:t>
      </w:r>
      <w:r w:rsidRPr="003A7AE4">
        <w:rPr>
          <w:rFonts w:ascii="微軟正黑體" w:eastAsia="微軟正黑體" w:hAnsi="微軟正黑體"/>
        </w:rPr>
        <w:t>16</w:t>
      </w:r>
      <w:r w:rsidRPr="003A7AE4">
        <w:rPr>
          <w:rFonts w:ascii="微軟正黑體" w:eastAsia="微軟正黑體" w:hAnsi="微軟正黑體" w:hint="eastAsia"/>
        </w:rPr>
        <w:t>年，自第</w:t>
      </w:r>
      <w:r w:rsidRPr="003A7AE4">
        <w:rPr>
          <w:rFonts w:ascii="微軟正黑體" w:eastAsia="微軟正黑體" w:hAnsi="微軟正黑體"/>
        </w:rPr>
        <w:t>17</w:t>
      </w:r>
      <w:r w:rsidRPr="003A7AE4">
        <w:rPr>
          <w:rFonts w:ascii="微軟正黑體" w:eastAsia="微軟正黑體" w:hAnsi="微軟正黑體" w:hint="eastAsia"/>
        </w:rPr>
        <w:t>年起每月退休</w:t>
      </w:r>
      <w:r w:rsidRPr="0024564F">
        <w:rPr>
          <w:rFonts w:ascii="微軟正黑體" w:eastAsia="微軟正黑體" w:hAnsi="微軟正黑體" w:hint="eastAsia"/>
        </w:rPr>
        <w:t>金</w:t>
      </w:r>
      <w:r w:rsidRPr="003A7AE4">
        <w:rPr>
          <w:rFonts w:ascii="微軟正黑體" w:eastAsia="微軟正黑體" w:hAnsi="微軟正黑體" w:hint="eastAsia"/>
        </w:rPr>
        <w:t>增加</w:t>
      </w:r>
      <w:r w:rsidRPr="003A7AE4">
        <w:rPr>
          <w:rFonts w:ascii="微軟正黑體" w:eastAsia="微軟正黑體" w:hAnsi="微軟正黑體"/>
        </w:rPr>
        <w:t>2%</w:t>
      </w:r>
      <w:r w:rsidRPr="003A7AE4">
        <w:rPr>
          <w:rFonts w:ascii="微軟正黑體" w:eastAsia="微軟正黑體" w:hAnsi="微軟正黑體" w:hint="eastAsia"/>
        </w:rPr>
        <w:t>(與</w:t>
      </w:r>
      <w:r w:rsidRPr="003A7AE4">
        <w:rPr>
          <w:rFonts w:ascii="微軟正黑體" w:eastAsia="微軟正黑體" w:hAnsi="微軟正黑體"/>
        </w:rPr>
        <w:t>2017</w:t>
      </w:r>
      <w:r w:rsidRPr="003A7AE4">
        <w:rPr>
          <w:rFonts w:ascii="微軟正黑體" w:eastAsia="微軟正黑體" w:hAnsi="微軟正黑體" w:hint="eastAsia"/>
        </w:rPr>
        <w:t>年相同)，直至達到</w:t>
      </w:r>
      <w:r w:rsidRPr="003A7AE4">
        <w:rPr>
          <w:rFonts w:ascii="微軟正黑體" w:eastAsia="微軟正黑體" w:hAnsi="微軟正黑體"/>
        </w:rPr>
        <w:t>75%</w:t>
      </w:r>
      <w:r w:rsidRPr="003A7AE4">
        <w:rPr>
          <w:rFonts w:ascii="微軟正黑體" w:eastAsia="微軟正黑體" w:hAnsi="微軟正黑體" w:hint="eastAsia"/>
        </w:rPr>
        <w:t>之最高比率</w:t>
      </w:r>
      <w:r w:rsidRPr="00D0453A">
        <w:rPr>
          <w:rFonts w:ascii="微軟正黑體" w:eastAsia="微軟正黑體" w:hAnsi="微軟正黑體"/>
          <w:vertAlign w:val="superscript"/>
        </w:rPr>
        <w:footnoteReference w:id="14"/>
      </w:r>
      <w:r w:rsidRPr="003A7AE4">
        <w:rPr>
          <w:rFonts w:ascii="微軟正黑體" w:eastAsia="微軟正黑體" w:hAnsi="微軟正黑體" w:hint="eastAsia"/>
        </w:rPr>
        <w:t>。社保繳納年限超過20年，55歲以上的女性雇員或60歲以上的男性員工有資格申領退休金。不符合上述要求的員工，在符合次要要求的情況下可申請較低規格的退休金。每月</w:t>
      </w:r>
      <w:r w:rsidRPr="0024564F">
        <w:rPr>
          <w:rFonts w:ascii="微軟正黑體" w:eastAsia="微軟正黑體" w:hAnsi="微軟正黑體" w:hint="eastAsia"/>
        </w:rPr>
        <w:t>退休金</w:t>
      </w:r>
      <w:r w:rsidRPr="003A7AE4">
        <w:rPr>
          <w:rFonts w:ascii="微軟正黑體" w:eastAsia="微軟正黑體" w:hAnsi="微軟正黑體" w:hint="eastAsia"/>
        </w:rPr>
        <w:t>是根據社</w:t>
      </w:r>
      <w:r w:rsidRPr="003A7AE4">
        <w:rPr>
          <w:rFonts w:ascii="微軟正黑體" w:eastAsia="微軟正黑體" w:hAnsi="微軟正黑體" w:hint="eastAsia"/>
        </w:rPr>
        <w:lastRenderedPageBreak/>
        <w:t>會保險繳納年限和每月社會保險費的平均月薪計算的。每月最高繳納額相當於政府平均工資的75％，而最低養老金繳納額則相當於政府標準的最低工資。男性繳納社保超過30年，女性繳納社保超過25年的，有權享受 0.5%</w:t>
      </w:r>
      <w:r>
        <w:rPr>
          <w:rFonts w:ascii="微軟正黑體" w:eastAsia="微軟正黑體" w:hAnsi="微軟正黑體" w:hint="eastAsia"/>
        </w:rPr>
        <w:t>的平均工資乘以額外貢獻年數的老年補助金。例如，1</w:t>
      </w:r>
      <w:r w:rsidRPr="003A7AE4">
        <w:rPr>
          <w:rFonts w:ascii="微軟正黑體" w:eastAsia="微軟正黑體" w:hAnsi="微軟正黑體" w:hint="eastAsia"/>
        </w:rPr>
        <w:t>名工作34年後退休的男子將獲得的老年補助金為：0.5%的平均工資×</w:t>
      </w:r>
      <w:r>
        <w:rPr>
          <w:rFonts w:ascii="微軟正黑體" w:eastAsia="微軟正黑體" w:hAnsi="微軟正黑體" w:hint="eastAsia"/>
        </w:rPr>
        <w:t>4</w:t>
      </w:r>
      <w:r w:rsidRPr="003A7AE4">
        <w:rPr>
          <w:rFonts w:ascii="微軟正黑體" w:eastAsia="微軟正黑體" w:hAnsi="微軟正黑體" w:hint="eastAsia"/>
        </w:rPr>
        <w:t>年。</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社會保險投保薪資上限是公告基本薪資的</w:t>
      </w:r>
      <w:r w:rsidRPr="003A7AE4">
        <w:rPr>
          <w:rFonts w:ascii="微軟正黑體" w:eastAsia="微軟正黑體" w:hAnsi="微軟正黑體"/>
        </w:rPr>
        <w:t>20</w:t>
      </w:r>
      <w:r w:rsidRPr="003A7AE4">
        <w:rPr>
          <w:rFonts w:ascii="微軟正黑體" w:eastAsia="微軟正黑體" w:hAnsi="微軟正黑體" w:hint="eastAsia"/>
        </w:rPr>
        <w:t>倍，目前投保上限是</w:t>
      </w:r>
      <w:r w:rsidR="00A75ACE">
        <w:rPr>
          <w:rFonts w:ascii="微軟正黑體" w:eastAsia="微軟正黑體" w:hAnsi="微軟正黑體"/>
        </w:rPr>
        <w:t>2</w:t>
      </w:r>
      <w:r w:rsidR="00A75ACE">
        <w:rPr>
          <w:rFonts w:ascii="微軟正黑體" w:eastAsia="微軟正黑體" w:hAnsi="微軟正黑體" w:hint="eastAsia"/>
        </w:rPr>
        <w:t>,</w:t>
      </w:r>
      <w:r w:rsidR="00A75ACE">
        <w:rPr>
          <w:rFonts w:ascii="微軟正黑體" w:eastAsia="微軟正黑體" w:hAnsi="微軟正黑體"/>
        </w:rPr>
        <w:t>3</w:t>
      </w:r>
      <w:r w:rsidR="00A75ACE">
        <w:rPr>
          <w:rFonts w:ascii="微軟正黑體" w:eastAsia="微軟正黑體" w:hAnsi="微軟正黑體" w:hint="eastAsia"/>
        </w:rPr>
        <w:t>0</w:t>
      </w:r>
      <w:r w:rsidR="00A75ACE">
        <w:rPr>
          <w:rFonts w:ascii="微軟正黑體" w:eastAsia="微軟正黑體" w:hAnsi="微軟正黑體"/>
        </w:rPr>
        <w:t>0</w:t>
      </w:r>
      <w:r w:rsidR="00A75ACE">
        <w:rPr>
          <w:rFonts w:ascii="微軟正黑體" w:eastAsia="微軟正黑體" w:hAnsi="微軟正黑體" w:hint="eastAsia"/>
        </w:rPr>
        <w:t>萬</w:t>
      </w:r>
      <w:r w:rsidRPr="003A7AE4">
        <w:rPr>
          <w:rFonts w:ascii="微軟正黑體" w:eastAsia="微軟正黑體" w:hAnsi="微軟正黑體" w:hint="eastAsia"/>
        </w:rPr>
        <w:t>越南盾。投保上限依照個別地區公告的最低薪資會有所不同。</w:t>
      </w:r>
      <w:r w:rsidRPr="003A7AE4">
        <w:rPr>
          <w:rFonts w:ascii="微軟正黑體" w:eastAsia="微軟正黑體" w:hAnsi="微軟正黑體"/>
        </w:rPr>
        <w:t>2016</w:t>
      </w:r>
      <w:r w:rsidRPr="003A7AE4">
        <w:rPr>
          <w:rFonts w:ascii="微軟正黑體" w:eastAsia="微軟正黑體" w:hAnsi="微軟正黑體" w:hint="eastAsia"/>
        </w:rPr>
        <w:t>年越南基本工資調漲</w:t>
      </w:r>
      <w:r w:rsidRPr="003A7AE4">
        <w:rPr>
          <w:rFonts w:ascii="微軟正黑體" w:eastAsia="微軟正黑體" w:hAnsi="微軟正黑體"/>
        </w:rPr>
        <w:t>12.4%</w:t>
      </w:r>
      <w:r w:rsidRPr="003A7AE4">
        <w:rPr>
          <w:rFonts w:ascii="微軟正黑體" w:eastAsia="微軟正黑體" w:hAnsi="微軟正黑體" w:hint="eastAsia"/>
        </w:rPr>
        <w:t>。外商實際支付薪資金額皆高於基本薪資，但是政府每年調漲基本工資金額，會對企業造成調薪的壓力。目前基本工資金額依照分區採用不同金額，台商企業設廠地點多位在第一區及第二區。</w:t>
      </w:r>
    </w:p>
    <w:p w:rsidR="00821A46" w:rsidRPr="00D0453A" w:rsidRDefault="00821A46" w:rsidP="00821A46">
      <w:pPr>
        <w:spacing w:beforeLines="100" w:before="240" w:afterLines="50" w:after="120" w:line="400" w:lineRule="exact"/>
        <w:jc w:val="both"/>
        <w:rPr>
          <w:rFonts w:ascii="微軟正黑體" w:eastAsia="微軟正黑體" w:hAnsi="微軟正黑體"/>
          <w:b/>
          <w:sz w:val="28"/>
          <w:szCs w:val="28"/>
        </w:rPr>
      </w:pPr>
      <w:r>
        <w:rPr>
          <w:rFonts w:ascii="微軟正黑體" w:eastAsia="微軟正黑體" w:hAnsi="微軟正黑體" w:hint="eastAsia"/>
          <w:b/>
          <w:sz w:val="28"/>
          <w:szCs w:val="28"/>
        </w:rPr>
        <w:t>二、</w:t>
      </w:r>
      <w:r w:rsidRPr="00D0453A">
        <w:rPr>
          <w:rFonts w:ascii="微軟正黑體" w:eastAsia="微軟正黑體" w:hAnsi="微軟正黑體" w:hint="eastAsia"/>
          <w:b/>
          <w:sz w:val="28"/>
          <w:szCs w:val="28"/>
        </w:rPr>
        <w:t>泰國</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公司僱用</w:t>
      </w:r>
      <w:r>
        <w:rPr>
          <w:rFonts w:ascii="微軟正黑體" w:eastAsia="微軟正黑體" w:hAnsi="微軟正黑體" w:hint="eastAsia"/>
        </w:rPr>
        <w:t>10</w:t>
      </w:r>
      <w:r w:rsidRPr="003A7AE4">
        <w:rPr>
          <w:rFonts w:ascii="微軟正黑體" w:eastAsia="微軟正黑體" w:hAnsi="微軟正黑體" w:hint="eastAsia"/>
        </w:rPr>
        <w:t>人以上必須為勞工設立福利基金，這些基金可作為勞工離職、解雇、在工作中死亡所需資金之用，雇主與勞工均必須提撥一定金額到此基金帳戶中。</w:t>
      </w:r>
      <w:r w:rsidRPr="0024564F">
        <w:rPr>
          <w:rFonts w:ascii="微軟正黑體" w:eastAsia="微軟正黑體" w:hAnsi="微軟正黑體" w:hint="eastAsia"/>
        </w:rPr>
        <w:t>如勞工在執行工作中受傷、生病、或死亡之時，依據「泰國工傷賠償法」(</w:t>
      </w:r>
      <w:r w:rsidRPr="0024564F">
        <w:rPr>
          <w:rFonts w:ascii="微軟正黑體" w:eastAsia="微軟正黑體" w:hAnsi="微軟正黑體"/>
        </w:rPr>
        <w:t>The Compensation Act</w:t>
      </w:r>
      <w:r w:rsidRPr="0024564F">
        <w:rPr>
          <w:rFonts w:ascii="微軟正黑體" w:eastAsia="微軟正黑體" w:hAnsi="微軟正黑體" w:hint="eastAsia"/>
        </w:rPr>
        <w:t>)明訂雇主必須對勞工予以合法之賠償，賠償種類分賠償金(因工作造成傷害、生病、死亡)、醫療費用、復健費用、及喪葬費用等4個項目，賠償金額根據情況嚴重程度和比例來進行支付，「一般賠償金」為每月工資的60%，但不得低於2,000泰銖/月，最高不超過9,000泰銖/月；「醫療費用」視實際支出予以賠償，但一般最多不超過35,000泰銖，嚴重個案不超過50,000泰銖；「復健費用」亦視實際支出支付，但最多不超過20,000泰銖；死亡時，需補助「喪葬費用」為法定當地最低每日工資之100倍。泰國的最低工資因省份不同而有不同的規定，例如最高的曼谷都會地區每日最低工資為194泰銖，而在泰國其他低度開發的地區，每日最低工資為144-160泰銖之間。</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對於那些擁有至少</w:t>
      </w:r>
      <w:r w:rsidRPr="003A7AE4">
        <w:rPr>
          <w:rFonts w:ascii="微軟正黑體" w:eastAsia="微軟正黑體" w:hAnsi="微軟正黑體"/>
        </w:rPr>
        <w:t>10</w:t>
      </w:r>
      <w:r w:rsidRPr="003A7AE4">
        <w:rPr>
          <w:rFonts w:ascii="微軟正黑體" w:eastAsia="微軟正黑體" w:hAnsi="微軟正黑體" w:hint="eastAsia"/>
        </w:rPr>
        <w:t>名雇員，而還沒有設立勞工福利基金的公司，則需要設立一個雇員福利基金，以便在雇員辭職、被解雇或在服務期間死亡時給予補償</w:t>
      </w:r>
      <w:r>
        <w:rPr>
          <w:rFonts w:ascii="微軟正黑體" w:eastAsia="微軟正黑體" w:hAnsi="微軟正黑體" w:hint="eastAsia"/>
        </w:rPr>
        <w:t>，</w:t>
      </w:r>
      <w:r w:rsidRPr="003A7AE4">
        <w:rPr>
          <w:rFonts w:ascii="微軟正黑體" w:eastAsia="微軟正黑體" w:hAnsi="微軟正黑體" w:hint="eastAsia"/>
        </w:rPr>
        <w:t>雇主和雇員都要求須</w:t>
      </w:r>
      <w:r w:rsidRPr="0024564F">
        <w:rPr>
          <w:rFonts w:ascii="微軟正黑體" w:eastAsia="微軟正黑體" w:hAnsi="微軟正黑體" w:hint="eastAsia"/>
        </w:rPr>
        <w:t>提撥金額至</w:t>
      </w:r>
      <w:r w:rsidRPr="003A7AE4">
        <w:rPr>
          <w:rFonts w:ascii="微軟正黑體" w:eastAsia="微軟正黑體" w:hAnsi="微軟正黑體" w:hint="eastAsia"/>
        </w:rPr>
        <w:t>該基金。除了上述規定之外，另有對於女工和童工所能從事的工作採取保護限制</w:t>
      </w:r>
      <w:r w:rsidRPr="00217D77">
        <w:rPr>
          <w:rFonts w:ascii="微軟正黑體" w:eastAsia="微軟正黑體" w:hAnsi="微軟正黑體" w:hint="eastAsia"/>
        </w:rPr>
        <w:t>，</w:t>
      </w:r>
      <w:r w:rsidRPr="003A7AE4">
        <w:rPr>
          <w:rFonts w:ascii="微軟正黑體" w:eastAsia="微軟正黑體" w:hAnsi="微軟正黑體" w:hint="eastAsia"/>
        </w:rPr>
        <w:t>確定了工資和加班以及解決勞工管理糾</w:t>
      </w:r>
      <w:r>
        <w:rPr>
          <w:rFonts w:ascii="微軟正黑體" w:eastAsia="微軟正黑體" w:hAnsi="微軟正黑體" w:hint="eastAsia"/>
        </w:rPr>
        <w:t>紛的準則，</w:t>
      </w:r>
      <w:r w:rsidRPr="003A7AE4">
        <w:rPr>
          <w:rFonts w:ascii="微軟正黑體" w:eastAsia="微軟正黑體" w:hAnsi="微軟正黑體" w:hint="eastAsia"/>
        </w:rPr>
        <w:t>如果雇員在工作期間受傷、患病或死亡，則要求雇主對該雇員支付賠償金。泰國法律要求雇主提供福利設施，包括醫療和衛生設施。</w:t>
      </w:r>
    </w:p>
    <w:p w:rsidR="00821A46"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泰國雇主與勞工每個月尚需各自繳納薪資成本</w:t>
      </w:r>
      <w:r w:rsidRPr="003A7AE4">
        <w:rPr>
          <w:rFonts w:ascii="微軟正黑體" w:eastAsia="微軟正黑體" w:hAnsi="微軟正黑體"/>
        </w:rPr>
        <w:t>5%</w:t>
      </w:r>
      <w:r w:rsidRPr="003A7AE4">
        <w:rPr>
          <w:rFonts w:ascii="微軟正黑體" w:eastAsia="微軟正黑體" w:hAnsi="微軟正黑體" w:hint="eastAsia"/>
        </w:rPr>
        <w:t>的社會安全捐到社會安全局，社會安全捐係作為勞工生育補助、孩童福利、退休金、失業救濟金等用途。只要公司勞工人數超過</w:t>
      </w:r>
      <w:r w:rsidRPr="003A7AE4">
        <w:rPr>
          <w:rFonts w:ascii="微軟正黑體" w:eastAsia="微軟正黑體" w:hAnsi="微軟正黑體"/>
        </w:rPr>
        <w:t>10</w:t>
      </w:r>
      <w:r>
        <w:rPr>
          <w:rFonts w:ascii="微軟正黑體" w:eastAsia="微軟正黑體" w:hAnsi="微軟正黑體" w:hint="eastAsia"/>
        </w:rPr>
        <w:t>人，就必須參加社會保險(</w:t>
      </w:r>
      <w:r w:rsidRPr="003A7AE4">
        <w:rPr>
          <w:rFonts w:ascii="微軟正黑體" w:eastAsia="微軟正黑體" w:hAnsi="微軟正黑體"/>
        </w:rPr>
        <w:t>Social Security</w:t>
      </w:r>
      <w:r>
        <w:rPr>
          <w:rFonts w:ascii="微軟正黑體" w:eastAsia="微軟正黑體" w:hAnsi="微軟正黑體" w:hint="eastAsia"/>
        </w:rPr>
        <w:t>)</w:t>
      </w:r>
      <w:r w:rsidRPr="003A7AE4">
        <w:rPr>
          <w:rFonts w:ascii="微軟正黑體" w:eastAsia="微軟正黑體" w:hAnsi="微軟正黑體" w:hint="eastAsia"/>
        </w:rPr>
        <w:t>制度，勞工每人需繳納每月薪資的</w:t>
      </w:r>
      <w:r w:rsidRPr="003A7AE4">
        <w:rPr>
          <w:rFonts w:ascii="微軟正黑體" w:eastAsia="微軟正黑體" w:hAnsi="微軟正黑體"/>
        </w:rPr>
        <w:t>5%</w:t>
      </w:r>
      <w:r w:rsidRPr="003A7AE4">
        <w:rPr>
          <w:rFonts w:ascii="微軟正黑體" w:eastAsia="微軟正黑體" w:hAnsi="微軟正黑體" w:hint="eastAsia"/>
        </w:rPr>
        <w:t>作為保險費用，由公司於發薪資時預扣，但做為計算基礎的月薪最高不得超過</w:t>
      </w:r>
      <w:r w:rsidRPr="003A7AE4">
        <w:rPr>
          <w:rFonts w:ascii="微軟正黑體" w:eastAsia="微軟正黑體" w:hAnsi="微軟正黑體"/>
        </w:rPr>
        <w:t>15,000</w:t>
      </w:r>
      <w:r>
        <w:rPr>
          <w:rFonts w:ascii="微軟正黑體" w:eastAsia="微軟正黑體" w:hAnsi="微軟正黑體" w:hint="eastAsia"/>
        </w:rPr>
        <w:t>泰銖</w:t>
      </w:r>
      <w:r w:rsidRPr="003A7AE4">
        <w:rPr>
          <w:rFonts w:ascii="微軟正黑體" w:eastAsia="微軟正黑體" w:hAnsi="微軟正黑體" w:hint="eastAsia"/>
        </w:rPr>
        <w:t>。雇主則需繳交與勞工相同之金額，亦即社福保險費受僱人自負額及雇主提撥之比例為</w:t>
      </w:r>
      <w:r w:rsidRPr="003A7AE4">
        <w:rPr>
          <w:rFonts w:ascii="微軟正黑體" w:eastAsia="微軟正黑體" w:hAnsi="微軟正黑體"/>
        </w:rPr>
        <w:t>50%-50%</w:t>
      </w:r>
      <w:r w:rsidRPr="003A7AE4">
        <w:rPr>
          <w:rFonts w:ascii="微軟正黑體" w:eastAsia="微軟正黑體" w:hAnsi="微軟正黑體" w:hint="eastAsia"/>
        </w:rPr>
        <w:t>，而所有的保險費必須在次月</w:t>
      </w:r>
      <w:r w:rsidRPr="003A7AE4">
        <w:rPr>
          <w:rFonts w:ascii="微軟正黑體" w:eastAsia="微軟正黑體" w:hAnsi="微軟正黑體"/>
        </w:rPr>
        <w:t>15</w:t>
      </w:r>
      <w:r w:rsidRPr="003A7AE4">
        <w:rPr>
          <w:rFonts w:ascii="微軟正黑體" w:eastAsia="微軟正黑體" w:hAnsi="微軟正黑體" w:hint="eastAsia"/>
        </w:rPr>
        <w:t>日前提交社會福利保險機構。受僱勞工在非因工作時受傷、生病、無能力工作</w:t>
      </w:r>
      <w:r w:rsidRPr="00480372">
        <w:rPr>
          <w:rFonts w:ascii="微軟正黑體" w:eastAsia="微軟正黑體" w:hAnsi="微軟正黑體" w:hint="eastAsia"/>
        </w:rPr>
        <w:t>、</w:t>
      </w:r>
      <w:r w:rsidRPr="003A7AE4">
        <w:rPr>
          <w:rFonts w:ascii="微軟正黑體" w:eastAsia="微軟正黑體" w:hAnsi="微軟正黑體" w:hint="eastAsia"/>
        </w:rPr>
        <w:t>或死亡</w:t>
      </w:r>
      <w:r w:rsidRPr="00E037AA">
        <w:rPr>
          <w:rFonts w:ascii="微軟正黑體" w:eastAsia="微軟正黑體" w:hAnsi="微軟正黑體" w:hint="eastAsia"/>
        </w:rPr>
        <w:t>時，</w:t>
      </w:r>
      <w:r w:rsidRPr="003A7AE4">
        <w:rPr>
          <w:rFonts w:ascii="微軟正黑體" w:eastAsia="微軟正黑體" w:hAnsi="微軟正黑體" w:hint="eastAsia"/>
        </w:rPr>
        <w:t>可向社會福利機構申請補</w:t>
      </w:r>
      <w:r w:rsidRPr="003A7AE4">
        <w:rPr>
          <w:rFonts w:ascii="微軟正黑體" w:eastAsia="微軟正黑體" w:hAnsi="微軟正黑體" w:hint="eastAsia"/>
        </w:rPr>
        <w:lastRenderedPageBreak/>
        <w:t>償，另在生育、兒童福利、失業、退休時亦可申請補助</w:t>
      </w:r>
      <w:r>
        <w:rPr>
          <w:rFonts w:ascii="微軟正黑體" w:eastAsia="微軟正黑體" w:hAnsi="微軟正黑體" w:hint="eastAsia"/>
        </w:rPr>
        <w:t>。</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《勞動法》於</w:t>
      </w:r>
      <w:r w:rsidRPr="003A7AE4">
        <w:rPr>
          <w:rFonts w:ascii="微軟正黑體" w:eastAsia="微軟正黑體" w:hAnsi="微軟正黑體"/>
        </w:rPr>
        <w:t>2017</w:t>
      </w:r>
      <w:r w:rsidRPr="003A7AE4">
        <w:rPr>
          <w:rFonts w:ascii="微軟正黑體" w:eastAsia="微軟正黑體" w:hAnsi="微軟正黑體" w:hint="eastAsia"/>
        </w:rPr>
        <w:t>年</w:t>
      </w:r>
      <w:r w:rsidRPr="003A7AE4">
        <w:rPr>
          <w:rFonts w:ascii="微軟正黑體" w:eastAsia="微軟正黑體" w:hAnsi="微軟正黑體"/>
        </w:rPr>
        <w:t>5</w:t>
      </w:r>
      <w:r w:rsidRPr="003A7AE4">
        <w:rPr>
          <w:rFonts w:ascii="微軟正黑體" w:eastAsia="微軟正黑體" w:hAnsi="微軟正黑體" w:hint="eastAsia"/>
        </w:rPr>
        <w:t>月起正式生效。其規定雇主必須為年滿</w:t>
      </w:r>
      <w:r w:rsidRPr="003A7AE4">
        <w:rPr>
          <w:rFonts w:ascii="微軟正黑體" w:eastAsia="微軟正黑體" w:hAnsi="微軟正黑體"/>
        </w:rPr>
        <w:t>60</w:t>
      </w:r>
      <w:r w:rsidRPr="003A7AE4">
        <w:rPr>
          <w:rFonts w:ascii="微軟正黑體" w:eastAsia="微軟正黑體" w:hAnsi="微軟正黑體" w:hint="eastAsia"/>
        </w:rPr>
        <w:t>周歲雇員辦理退休手續，且將正常退休認定為資遣，雇主需向其補償至多</w:t>
      </w:r>
      <w:r w:rsidRPr="003A7AE4">
        <w:rPr>
          <w:rFonts w:ascii="微軟正黑體" w:eastAsia="微軟正黑體" w:hAnsi="微軟正黑體"/>
        </w:rPr>
        <w:t>10</w:t>
      </w:r>
      <w:r w:rsidRPr="003A7AE4">
        <w:rPr>
          <w:rFonts w:ascii="微軟正黑體" w:eastAsia="微軟正黑體" w:hAnsi="微軟正黑體" w:hint="eastAsia"/>
        </w:rPr>
        <w:t>個月薪水。</w:t>
      </w:r>
      <w:r w:rsidRPr="00D0453A">
        <w:rPr>
          <w:rFonts w:ascii="微軟正黑體" w:eastAsia="微軟正黑體" w:hAnsi="微軟正黑體"/>
          <w:vertAlign w:val="superscript"/>
        </w:rPr>
        <w:footnoteReference w:id="15"/>
      </w:r>
      <w:r>
        <w:rPr>
          <w:rFonts w:ascii="微軟正黑體" w:eastAsia="微軟正黑體" w:hAnsi="微軟正黑體" w:hint="eastAsia"/>
        </w:rPr>
        <w:t>泰國勞動合同法(</w:t>
      </w:r>
      <w:r w:rsidRPr="003A7AE4">
        <w:rPr>
          <w:rFonts w:ascii="微軟正黑體" w:eastAsia="微軟正黑體" w:hAnsi="微軟正黑體"/>
        </w:rPr>
        <w:t>1998</w:t>
      </w:r>
      <w:r>
        <w:rPr>
          <w:rFonts w:ascii="微軟正黑體" w:eastAsia="微軟正黑體" w:hAnsi="微軟正黑體" w:hint="eastAsia"/>
        </w:rPr>
        <w:t>版)</w:t>
      </w:r>
      <w:r w:rsidRPr="003A7AE4">
        <w:rPr>
          <w:rFonts w:ascii="微軟正黑體" w:eastAsia="微軟正黑體" w:hAnsi="微軟正黑體" w:hint="eastAsia"/>
        </w:rPr>
        <w:t>第</w:t>
      </w:r>
      <w:r w:rsidRPr="003A7AE4">
        <w:rPr>
          <w:rFonts w:ascii="微軟正黑體" w:eastAsia="微軟正黑體" w:hAnsi="微軟正黑體"/>
        </w:rPr>
        <w:t>144</w:t>
      </w:r>
      <w:r w:rsidRPr="003A7AE4">
        <w:rPr>
          <w:rFonts w:ascii="微軟正黑體" w:eastAsia="微軟正黑體" w:hAnsi="微軟正黑體" w:hint="eastAsia"/>
        </w:rPr>
        <w:t>款規定，雇員被</w:t>
      </w:r>
      <w:r w:rsidRPr="002B16A4">
        <w:rPr>
          <w:rFonts w:ascii="微軟正黑體" w:eastAsia="微軟正黑體" w:hAnsi="微軟正黑體" w:hint="eastAsia"/>
        </w:rPr>
        <w:t>雇</w:t>
      </w:r>
      <w:r w:rsidRPr="003A7AE4">
        <w:rPr>
          <w:rFonts w:ascii="微軟正黑體" w:eastAsia="微軟正黑體" w:hAnsi="微軟正黑體" w:hint="eastAsia"/>
        </w:rPr>
        <w:t>主辭退將按照以下規定給予經濟補償，</w:t>
      </w:r>
      <w:r w:rsidRPr="003A7AE4">
        <w:rPr>
          <w:rFonts w:ascii="微軟正黑體" w:eastAsia="微軟正黑體" w:hAnsi="微軟正黑體"/>
        </w:rPr>
        <w:t>10</w:t>
      </w:r>
      <w:r w:rsidRPr="003A7AE4">
        <w:rPr>
          <w:rFonts w:ascii="微軟正黑體" w:eastAsia="微軟正黑體" w:hAnsi="微軟正黑體" w:hint="eastAsia"/>
        </w:rPr>
        <w:t>年以上工齡者補償</w:t>
      </w:r>
      <w:r w:rsidRPr="003A7AE4">
        <w:rPr>
          <w:rFonts w:ascii="微軟正黑體" w:eastAsia="微軟正黑體" w:hAnsi="微軟正黑體"/>
        </w:rPr>
        <w:t>10</w:t>
      </w:r>
      <w:r w:rsidRPr="003A7AE4">
        <w:rPr>
          <w:rFonts w:ascii="微軟正黑體" w:eastAsia="微軟正黑體" w:hAnsi="微軟正黑體" w:hint="eastAsia"/>
        </w:rPr>
        <w:t>個月薪資，</w:t>
      </w:r>
      <w:r w:rsidRPr="003A7AE4">
        <w:rPr>
          <w:rFonts w:ascii="微軟正黑體" w:eastAsia="微軟正黑體" w:hAnsi="微軟正黑體"/>
        </w:rPr>
        <w:t>6-10</w:t>
      </w:r>
      <w:r w:rsidRPr="003A7AE4">
        <w:rPr>
          <w:rFonts w:ascii="微軟正黑體" w:eastAsia="微軟正黑體" w:hAnsi="微軟正黑體" w:hint="eastAsia"/>
        </w:rPr>
        <w:t>年工齡者補償</w:t>
      </w:r>
      <w:r w:rsidRPr="003A7AE4">
        <w:rPr>
          <w:rFonts w:ascii="微軟正黑體" w:eastAsia="微軟正黑體" w:hAnsi="微軟正黑體"/>
        </w:rPr>
        <w:t>8</w:t>
      </w:r>
      <w:r w:rsidRPr="003A7AE4">
        <w:rPr>
          <w:rFonts w:ascii="微軟正黑體" w:eastAsia="微軟正黑體" w:hAnsi="微軟正黑體" w:hint="eastAsia"/>
        </w:rPr>
        <w:t>個月薪資，</w:t>
      </w:r>
      <w:r w:rsidRPr="003A7AE4">
        <w:rPr>
          <w:rFonts w:ascii="微軟正黑體" w:eastAsia="微軟正黑體" w:hAnsi="微軟正黑體"/>
        </w:rPr>
        <w:t>3-6</w:t>
      </w:r>
      <w:r w:rsidRPr="003A7AE4">
        <w:rPr>
          <w:rFonts w:ascii="微軟正黑體" w:eastAsia="微軟正黑體" w:hAnsi="微軟正黑體" w:hint="eastAsia"/>
        </w:rPr>
        <w:t>年工齡者補償</w:t>
      </w:r>
      <w:r w:rsidRPr="003A7AE4">
        <w:rPr>
          <w:rFonts w:ascii="微軟正黑體" w:eastAsia="微軟正黑體" w:hAnsi="微軟正黑體"/>
        </w:rPr>
        <w:t>6</w:t>
      </w:r>
      <w:r w:rsidRPr="003A7AE4">
        <w:rPr>
          <w:rFonts w:ascii="微軟正黑體" w:eastAsia="微軟正黑體" w:hAnsi="微軟正黑體" w:hint="eastAsia"/>
        </w:rPr>
        <w:t>個月薪資。如果</w:t>
      </w:r>
      <w:r w:rsidRPr="002B16A4">
        <w:rPr>
          <w:rFonts w:ascii="微軟正黑體" w:eastAsia="微軟正黑體" w:hAnsi="微軟正黑體" w:hint="eastAsia"/>
        </w:rPr>
        <w:t>雇</w:t>
      </w:r>
      <w:r>
        <w:rPr>
          <w:rFonts w:ascii="微軟正黑體" w:eastAsia="微軟正黑體" w:hAnsi="微軟正黑體" w:hint="eastAsia"/>
        </w:rPr>
        <w:t>主(用人單位)</w:t>
      </w:r>
      <w:r w:rsidRPr="003A7AE4">
        <w:rPr>
          <w:rFonts w:ascii="微軟正黑體" w:eastAsia="微軟正黑體" w:hAnsi="微軟正黑體" w:hint="eastAsia"/>
        </w:rPr>
        <w:t>沒有按照規定向雇員提供經濟補償，將面臨最長不超過</w:t>
      </w:r>
      <w:r w:rsidRPr="003A7AE4">
        <w:rPr>
          <w:rFonts w:ascii="微軟正黑體" w:eastAsia="微軟正黑體" w:hAnsi="微軟正黑體"/>
        </w:rPr>
        <w:t>6</w:t>
      </w:r>
      <w:r w:rsidRPr="003A7AE4">
        <w:rPr>
          <w:rFonts w:ascii="微軟正黑體" w:eastAsia="微軟正黑體" w:hAnsi="微軟正黑體" w:hint="eastAsia"/>
        </w:rPr>
        <w:t>個月，每年至多</w:t>
      </w:r>
      <w:r w:rsidRPr="003A7AE4">
        <w:rPr>
          <w:rFonts w:ascii="微軟正黑體" w:eastAsia="微軟正黑體" w:hAnsi="微軟正黑體"/>
        </w:rPr>
        <w:t>10</w:t>
      </w:r>
      <w:r w:rsidRPr="003A7AE4">
        <w:rPr>
          <w:rFonts w:ascii="微軟正黑體" w:eastAsia="微軟正黑體" w:hAnsi="微軟正黑體" w:hint="eastAsia"/>
        </w:rPr>
        <w:t>萬泰銖罰款。如果雇主敗訴還需要按照每年</w:t>
      </w:r>
      <w:r w:rsidRPr="003A7AE4">
        <w:rPr>
          <w:rFonts w:ascii="微軟正黑體" w:eastAsia="微軟正黑體" w:hAnsi="微軟正黑體"/>
        </w:rPr>
        <w:t>15%</w:t>
      </w:r>
      <w:r w:rsidRPr="003A7AE4">
        <w:rPr>
          <w:rFonts w:ascii="微軟正黑體" w:eastAsia="微軟正黑體" w:hAnsi="微軟正黑體" w:hint="eastAsia"/>
        </w:rPr>
        <w:t>的利息支付利息。</w:t>
      </w:r>
      <w:r w:rsidRPr="00D0453A">
        <w:rPr>
          <w:rFonts w:ascii="微軟正黑體" w:eastAsia="微軟正黑體" w:hAnsi="微軟正黑體"/>
          <w:vertAlign w:val="superscript"/>
        </w:rPr>
        <w:footnoteReference w:id="16"/>
      </w:r>
      <w:r w:rsidRPr="003A7AE4">
        <w:rPr>
          <w:rFonts w:ascii="微軟正黑體" w:eastAsia="微軟正黑體" w:hAnsi="微軟正黑體" w:hint="eastAsia"/>
        </w:rPr>
        <w:t>新勞動法正式實施後，每年將有</w:t>
      </w:r>
      <w:r w:rsidRPr="003A7AE4">
        <w:rPr>
          <w:rFonts w:ascii="微軟正黑體" w:eastAsia="微軟正黑體" w:hAnsi="微軟正黑體"/>
        </w:rPr>
        <w:t>30-40</w:t>
      </w:r>
      <w:r w:rsidRPr="003A7AE4">
        <w:rPr>
          <w:rFonts w:ascii="微軟正黑體" w:eastAsia="微軟正黑體" w:hAnsi="微軟正黑體" w:hint="eastAsia"/>
        </w:rPr>
        <w:t>萬老年人受益。這也是泰國老年人勞動力市場的一次重大變革，真正落實年滿</w:t>
      </w:r>
      <w:r w:rsidRPr="003A7AE4">
        <w:rPr>
          <w:rFonts w:ascii="微軟正黑體" w:eastAsia="微軟正黑體" w:hAnsi="微軟正黑體"/>
        </w:rPr>
        <w:t>60</w:t>
      </w:r>
      <w:r w:rsidRPr="003A7AE4">
        <w:rPr>
          <w:rFonts w:ascii="微軟正黑體" w:eastAsia="微軟正黑體" w:hAnsi="微軟正黑體" w:hint="eastAsia"/>
        </w:rPr>
        <w:t>周歲法定退休年齡的法律規定。</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類似</w:t>
      </w:r>
      <w:r w:rsidRPr="002B16A4">
        <w:rPr>
          <w:rFonts w:ascii="微軟正黑體" w:eastAsia="微軟正黑體" w:hAnsi="微軟正黑體" w:hint="eastAsia"/>
        </w:rPr>
        <w:t>臺</w:t>
      </w:r>
      <w:r w:rsidRPr="003A7AE4">
        <w:rPr>
          <w:rFonts w:ascii="微軟正黑體" w:eastAsia="微軟正黑體" w:hAnsi="微軟正黑體" w:hint="eastAsia"/>
        </w:rPr>
        <w:t>灣退休金制度的概念，但泰國</w:t>
      </w:r>
      <w:r w:rsidRPr="003A7AE4">
        <w:rPr>
          <w:rFonts w:ascii="微軟正黑體" w:eastAsia="微軟正黑體" w:hAnsi="微軟正黑體"/>
        </w:rPr>
        <w:t>Thai Provident Fund</w:t>
      </w:r>
      <w:r>
        <w:rPr>
          <w:rFonts w:ascii="微軟正黑體" w:eastAsia="微軟正黑體" w:hAnsi="微軟正黑體" w:hint="eastAsia"/>
        </w:rPr>
        <w:t>(</w:t>
      </w:r>
      <w:r w:rsidRPr="003A7AE4">
        <w:rPr>
          <w:rFonts w:ascii="微軟正黑體" w:eastAsia="微軟正黑體" w:hAnsi="微軟正黑體"/>
        </w:rPr>
        <w:t>PVD</w:t>
      </w:r>
      <w:r>
        <w:rPr>
          <w:rFonts w:ascii="微軟正黑體" w:eastAsia="微軟正黑體" w:hAnsi="微軟正黑體" w:hint="eastAsia"/>
        </w:rPr>
        <w:t>)</w:t>
      </w:r>
      <w:r w:rsidRPr="003A7AE4">
        <w:rPr>
          <w:rFonts w:ascii="微軟正黑體" w:eastAsia="微軟正黑體" w:hAnsi="微軟正黑體" w:hint="eastAsia"/>
        </w:rPr>
        <w:t>是僅限勞資雙方之間的私契行為，勞方可自提比例從月薪的2-15%，企業提撥和員工自提部分享有稅賦優惠。另外通常要工作5年以上或是屆滿55歲退休才能提領，而離職時可以選擇要將PVD留在前公司，或是移轉到新公司。</w:t>
      </w:r>
    </w:p>
    <w:p w:rsidR="00821A46" w:rsidRPr="00D0453A" w:rsidRDefault="00821A46" w:rsidP="00821A46">
      <w:pPr>
        <w:spacing w:beforeLines="100" w:before="240" w:afterLines="50" w:after="120" w:line="400" w:lineRule="exact"/>
        <w:jc w:val="both"/>
        <w:rPr>
          <w:rFonts w:ascii="微軟正黑體" w:eastAsia="微軟正黑體" w:hAnsi="微軟正黑體"/>
          <w:b/>
          <w:sz w:val="28"/>
          <w:szCs w:val="28"/>
        </w:rPr>
      </w:pPr>
      <w:r>
        <w:rPr>
          <w:rFonts w:ascii="微軟正黑體" w:eastAsia="微軟正黑體" w:hAnsi="微軟正黑體" w:hint="eastAsia"/>
          <w:b/>
          <w:sz w:val="28"/>
          <w:szCs w:val="28"/>
        </w:rPr>
        <w:t>三、</w:t>
      </w:r>
      <w:r w:rsidRPr="00D0453A">
        <w:rPr>
          <w:rFonts w:ascii="微軟正黑體" w:eastAsia="微軟正黑體" w:hAnsi="微軟正黑體" w:hint="eastAsia"/>
          <w:b/>
          <w:sz w:val="28"/>
          <w:szCs w:val="28"/>
        </w:rPr>
        <w:t>印尼</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正職員工之退休金原則上</w:t>
      </w:r>
      <w:r>
        <w:rPr>
          <w:rFonts w:ascii="微軟正黑體" w:eastAsia="微軟正黑體" w:hAnsi="微軟正黑體" w:hint="eastAsia"/>
        </w:rPr>
        <w:t>依</w:t>
      </w:r>
      <w:r w:rsidRPr="003A7AE4">
        <w:rPr>
          <w:rFonts w:ascii="微軟正黑體" w:eastAsia="微軟正黑體" w:hAnsi="微軟正黑體" w:hint="eastAsia"/>
        </w:rPr>
        <w:t>該員工之服務年資計算，但根據印尼</w:t>
      </w:r>
      <w:r w:rsidRPr="003A7AE4">
        <w:rPr>
          <w:rFonts w:ascii="微軟正黑體" w:eastAsia="微軟正黑體" w:hAnsi="微軟正黑體"/>
        </w:rPr>
        <w:t>13/2003</w:t>
      </w:r>
      <w:r w:rsidRPr="003A7AE4">
        <w:rPr>
          <w:rFonts w:ascii="微軟正黑體" w:eastAsia="微軟正黑體" w:hAnsi="微軟正黑體" w:hint="eastAsia"/>
        </w:rPr>
        <w:t>勞工法第</w:t>
      </w:r>
      <w:r w:rsidRPr="003A7AE4">
        <w:rPr>
          <w:rFonts w:ascii="微軟正黑體" w:eastAsia="微軟正黑體" w:hAnsi="微軟正黑體"/>
        </w:rPr>
        <w:t>167</w:t>
      </w:r>
      <w:r w:rsidRPr="003A7AE4">
        <w:rPr>
          <w:rFonts w:ascii="微軟正黑體" w:eastAsia="微軟正黑體" w:hAnsi="微軟正黑體" w:hint="eastAsia"/>
        </w:rPr>
        <w:t>條規定，退休員工依公司退休金計劃所取得之退休金若低於特定金額</w:t>
      </w:r>
      <w:r w:rsidRPr="003A7AE4">
        <w:rPr>
          <w:rFonts w:ascii="微軟正黑體" w:eastAsia="微軟正黑體" w:hAnsi="微軟正黑體"/>
        </w:rPr>
        <w:t>(</w:t>
      </w:r>
      <w:r w:rsidRPr="003A7AE4">
        <w:rPr>
          <w:rFonts w:ascii="微軟正黑體" w:eastAsia="微軟正黑體" w:hAnsi="微軟正黑體" w:hint="eastAsia"/>
        </w:rPr>
        <w:t>即依同法第</w:t>
      </w:r>
      <w:r w:rsidRPr="003A7AE4">
        <w:rPr>
          <w:rFonts w:ascii="微軟正黑體" w:eastAsia="微軟正黑體" w:hAnsi="微軟正黑體"/>
        </w:rPr>
        <w:t>156</w:t>
      </w:r>
      <w:r w:rsidRPr="003A7AE4">
        <w:rPr>
          <w:rFonts w:ascii="微軟正黑體" w:eastAsia="微軟正黑體" w:hAnsi="微軟正黑體" w:hint="eastAsia"/>
        </w:rPr>
        <w:t>條規定計算之兩倍資遣費加上感謝金及權益補貼金)，則差額部分須由資方補貼。若退休金計劃係由勞雇雙方共同參與提撥，則雇主應給付予員工之退休金金額不得低於依同法規定計算之資遣費(即員工若非退休，而改為被公司資遣時將可得到之資遣費)，差額部</w:t>
      </w:r>
      <w:r>
        <w:rPr>
          <w:rFonts w:ascii="微軟正黑體" w:eastAsia="微軟正黑體" w:hAnsi="微軟正黑體" w:hint="eastAsia"/>
        </w:rPr>
        <w:t>分</w:t>
      </w:r>
      <w:r w:rsidRPr="003A7AE4">
        <w:rPr>
          <w:rFonts w:ascii="微軟正黑體" w:eastAsia="微軟正黑體" w:hAnsi="微軟正黑體" w:hint="eastAsia"/>
        </w:rPr>
        <w:t>仍應由雇主補貼。</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Pr>
          <w:rFonts w:ascii="微軟正黑體" w:eastAsia="微軟正黑體" w:hAnsi="微軟正黑體" w:hint="eastAsia"/>
        </w:rPr>
        <w:t>10</w:t>
      </w:r>
      <w:r w:rsidRPr="003A7AE4">
        <w:rPr>
          <w:rFonts w:ascii="微軟正黑體" w:eastAsia="微軟正黑體" w:hAnsi="微軟正黑體" w:hint="eastAsia"/>
        </w:rPr>
        <w:t>人以上企業或每月薪資支出超過</w:t>
      </w:r>
      <w:r w:rsidRPr="003A7AE4">
        <w:rPr>
          <w:rFonts w:ascii="微軟正黑體" w:eastAsia="微軟正黑體" w:hAnsi="微軟正黑體"/>
        </w:rPr>
        <w:t>100</w:t>
      </w:r>
      <w:r w:rsidRPr="003A7AE4">
        <w:rPr>
          <w:rFonts w:ascii="微軟正黑體" w:eastAsia="微軟正黑體" w:hAnsi="微軟正黑體" w:hint="eastAsia"/>
        </w:rPr>
        <w:t>萬印尼盾之企業，須提供包括職業意外、健康與人壽保險之社會安全計劃</w:t>
      </w:r>
      <w:r w:rsidRPr="003A7AE4">
        <w:rPr>
          <w:rFonts w:ascii="微軟正黑體" w:eastAsia="微軟正黑體" w:hAnsi="微軟正黑體"/>
        </w:rPr>
        <w:t>(Jamsostek</w:t>
      </w:r>
      <w:r w:rsidRPr="003A7AE4">
        <w:rPr>
          <w:rFonts w:ascii="微軟正黑體" w:eastAsia="微軟正黑體" w:hAnsi="微軟正黑體" w:hint="eastAsia"/>
        </w:rPr>
        <w:t>，</w:t>
      </w:r>
      <w:r w:rsidRPr="003A7AE4">
        <w:rPr>
          <w:rFonts w:ascii="微軟正黑體" w:eastAsia="微軟正黑體" w:hAnsi="微軟正黑體"/>
        </w:rPr>
        <w:t>Social Security Scheme)</w:t>
      </w:r>
      <w:r w:rsidRPr="003A7AE4">
        <w:rPr>
          <w:rFonts w:ascii="微軟正黑體" w:eastAsia="微軟正黑體" w:hAnsi="微軟正黑體" w:hint="eastAsia"/>
        </w:rPr>
        <w:t>，而公司的安全計劃則由國營之勞工保險基金管理，相關福利完全由雇主負擔。該計劃所包含之範圍主要有：</w:t>
      </w:r>
    </w:p>
    <w:p w:rsidR="00821A46" w:rsidRDefault="00821A46" w:rsidP="00BD50E5">
      <w:pPr>
        <w:pStyle w:val="af0"/>
        <w:numPr>
          <w:ilvl w:val="0"/>
          <w:numId w:val="36"/>
        </w:numPr>
        <w:spacing w:beforeLines="30" w:before="72" w:line="400" w:lineRule="exact"/>
        <w:ind w:leftChars="0" w:left="567" w:hanging="283"/>
        <w:jc w:val="both"/>
        <w:rPr>
          <w:rFonts w:ascii="微軟正黑體" w:eastAsia="微軟正黑體" w:hAnsi="微軟正黑體"/>
        </w:rPr>
      </w:pPr>
      <w:r w:rsidRPr="00F7495F">
        <w:rPr>
          <w:rFonts w:ascii="微軟正黑體" w:eastAsia="微軟正黑體" w:hAnsi="微軟正黑體" w:hint="eastAsia"/>
        </w:rPr>
        <w:t>意外保險：雇主提撥的保險費</w:t>
      </w:r>
      <w:r>
        <w:rPr>
          <w:rFonts w:ascii="微軟正黑體" w:eastAsia="微軟正黑體" w:hAnsi="微軟正黑體" w:hint="eastAsia"/>
        </w:rPr>
        <w:t>(月付)依行業別有所不同，共分五大類，第一類型(主要為紡織業、貿易業、進出口業等)</w:t>
      </w:r>
      <w:r w:rsidRPr="00F7495F">
        <w:rPr>
          <w:rFonts w:ascii="微軟正黑體" w:eastAsia="微軟正黑體" w:hAnsi="微軟正黑體" w:hint="eastAsia"/>
        </w:rPr>
        <w:t>為月薪之</w:t>
      </w:r>
      <w:r w:rsidRPr="00F7495F">
        <w:rPr>
          <w:rFonts w:ascii="微軟正黑體" w:eastAsia="微軟正黑體" w:hAnsi="微軟正黑體"/>
        </w:rPr>
        <w:t>0.24%</w:t>
      </w:r>
      <w:r>
        <w:rPr>
          <w:rFonts w:ascii="微軟正黑體" w:eastAsia="微軟正黑體" w:hAnsi="微軟正黑體" w:hint="eastAsia"/>
        </w:rPr>
        <w:t>；第二類型(農園業、香菸、樂器、油漆等工廠)</w:t>
      </w:r>
      <w:r w:rsidRPr="00F7495F">
        <w:rPr>
          <w:rFonts w:ascii="微軟正黑體" w:eastAsia="微軟正黑體" w:hAnsi="微軟正黑體" w:hint="eastAsia"/>
        </w:rPr>
        <w:t>為月薪之</w:t>
      </w:r>
      <w:r w:rsidRPr="00F7495F">
        <w:rPr>
          <w:rFonts w:ascii="微軟正黑體" w:eastAsia="微軟正黑體" w:hAnsi="微軟正黑體"/>
        </w:rPr>
        <w:t>0.54%</w:t>
      </w:r>
      <w:r>
        <w:rPr>
          <w:rFonts w:ascii="微軟正黑體" w:eastAsia="微軟正黑體" w:hAnsi="微軟正黑體" w:hint="eastAsia"/>
        </w:rPr>
        <w:t>；</w:t>
      </w:r>
      <w:r w:rsidRPr="00F7495F">
        <w:rPr>
          <w:rFonts w:ascii="微軟正黑體" w:eastAsia="微軟正黑體" w:hAnsi="微軟正黑體" w:hint="eastAsia"/>
        </w:rPr>
        <w:t>第三類</w:t>
      </w:r>
      <w:r>
        <w:rPr>
          <w:rFonts w:ascii="微軟正黑體" w:eastAsia="微軟正黑體" w:hAnsi="微軟正黑體" w:hint="eastAsia"/>
        </w:rPr>
        <w:t>型(森林業、養殖場、食品業等)</w:t>
      </w:r>
      <w:r w:rsidRPr="00F7495F">
        <w:rPr>
          <w:rFonts w:ascii="微軟正黑體" w:eastAsia="微軟正黑體" w:hAnsi="微軟正黑體" w:hint="eastAsia"/>
        </w:rPr>
        <w:t>為月薪之</w:t>
      </w:r>
      <w:r w:rsidRPr="00F7495F">
        <w:rPr>
          <w:rFonts w:ascii="微軟正黑體" w:eastAsia="微軟正黑體" w:hAnsi="微軟正黑體"/>
        </w:rPr>
        <w:t>0.89%</w:t>
      </w:r>
      <w:r>
        <w:rPr>
          <w:rFonts w:ascii="微軟正黑體" w:eastAsia="微軟正黑體" w:hAnsi="微軟正黑體" w:hint="eastAsia"/>
        </w:rPr>
        <w:t>；</w:t>
      </w:r>
      <w:r w:rsidRPr="00F7495F">
        <w:rPr>
          <w:rFonts w:ascii="微軟正黑體" w:eastAsia="微軟正黑體" w:hAnsi="微軟正黑體" w:hint="eastAsia"/>
        </w:rPr>
        <w:t>第四類型</w:t>
      </w:r>
      <w:r>
        <w:rPr>
          <w:rFonts w:ascii="微軟正黑體" w:eastAsia="微軟正黑體" w:hAnsi="微軟正黑體" w:hint="eastAsia"/>
        </w:rPr>
        <w:t>(機械、船舶、車輛等重工業)</w:t>
      </w:r>
      <w:r w:rsidRPr="00F7495F">
        <w:rPr>
          <w:rFonts w:ascii="微軟正黑體" w:eastAsia="微軟正黑體" w:hAnsi="微軟正黑體" w:hint="eastAsia"/>
        </w:rPr>
        <w:t>為月薪之</w:t>
      </w:r>
      <w:r w:rsidRPr="00F7495F">
        <w:rPr>
          <w:rFonts w:ascii="微軟正黑體" w:eastAsia="微軟正黑體" w:hAnsi="微軟正黑體"/>
        </w:rPr>
        <w:t>1.27%</w:t>
      </w:r>
      <w:r>
        <w:rPr>
          <w:rFonts w:ascii="微軟正黑體" w:eastAsia="微軟正黑體" w:hAnsi="微軟正黑體" w:hint="eastAsia"/>
        </w:rPr>
        <w:t>；第五類型(木伐、海魚捕捉、礦取等工業)</w:t>
      </w:r>
      <w:r w:rsidRPr="00F7495F">
        <w:rPr>
          <w:rFonts w:ascii="微軟正黑體" w:eastAsia="微軟正黑體" w:hAnsi="微軟正黑體" w:hint="eastAsia"/>
        </w:rPr>
        <w:t>為月薪之</w:t>
      </w:r>
      <w:r w:rsidRPr="00F7495F">
        <w:rPr>
          <w:rFonts w:ascii="微軟正黑體" w:eastAsia="微軟正黑體" w:hAnsi="微軟正黑體"/>
        </w:rPr>
        <w:t>1.74%</w:t>
      </w:r>
      <w:r w:rsidRPr="00F7495F">
        <w:rPr>
          <w:rFonts w:ascii="微軟正黑體" w:eastAsia="微軟正黑體" w:hAnsi="微軟正黑體" w:hint="eastAsia"/>
        </w:rPr>
        <w:t>。</w:t>
      </w:r>
    </w:p>
    <w:p w:rsidR="00821A46" w:rsidRDefault="00821A46" w:rsidP="00BD50E5">
      <w:pPr>
        <w:pStyle w:val="af0"/>
        <w:numPr>
          <w:ilvl w:val="0"/>
          <w:numId w:val="36"/>
        </w:numPr>
        <w:spacing w:beforeLines="30" w:before="72" w:line="400" w:lineRule="exact"/>
        <w:ind w:leftChars="0" w:left="567" w:hanging="283"/>
        <w:jc w:val="both"/>
        <w:rPr>
          <w:rFonts w:ascii="微軟正黑體" w:eastAsia="微軟正黑體" w:hAnsi="微軟正黑體"/>
        </w:rPr>
      </w:pPr>
      <w:r>
        <w:rPr>
          <w:rFonts w:ascii="微軟正黑體" w:eastAsia="微軟正黑體" w:hAnsi="微軟正黑體" w:hint="eastAsia"/>
        </w:rPr>
        <w:t>死亡(人壽)</w:t>
      </w:r>
      <w:r w:rsidRPr="00F7495F">
        <w:rPr>
          <w:rFonts w:ascii="微軟正黑體" w:eastAsia="微軟正黑體" w:hAnsi="微軟正黑體" w:hint="eastAsia"/>
        </w:rPr>
        <w:t>保險：雇主須按月薪之</w:t>
      </w:r>
      <w:r w:rsidRPr="00F7495F">
        <w:rPr>
          <w:rFonts w:ascii="微軟正黑體" w:eastAsia="微軟正黑體" w:hAnsi="微軟正黑體"/>
        </w:rPr>
        <w:t>0.3%</w:t>
      </w:r>
      <w:r w:rsidRPr="00F7495F">
        <w:rPr>
          <w:rFonts w:ascii="微軟正黑體" w:eastAsia="微軟正黑體" w:hAnsi="微軟正黑體" w:hint="eastAsia"/>
        </w:rPr>
        <w:t>提撥。</w:t>
      </w:r>
    </w:p>
    <w:p w:rsidR="00821A46" w:rsidRDefault="00821A46" w:rsidP="00BD50E5">
      <w:pPr>
        <w:pStyle w:val="af0"/>
        <w:numPr>
          <w:ilvl w:val="0"/>
          <w:numId w:val="36"/>
        </w:numPr>
        <w:spacing w:beforeLines="30" w:before="72" w:line="400" w:lineRule="exact"/>
        <w:ind w:leftChars="0" w:left="567" w:hanging="283"/>
        <w:jc w:val="both"/>
        <w:rPr>
          <w:rFonts w:ascii="微軟正黑體" w:eastAsia="微軟正黑體" w:hAnsi="微軟正黑體"/>
        </w:rPr>
      </w:pPr>
      <w:r w:rsidRPr="00F7495F">
        <w:rPr>
          <w:rFonts w:ascii="微軟正黑體" w:eastAsia="微軟正黑體" w:hAnsi="微軟正黑體" w:hint="eastAsia"/>
        </w:rPr>
        <w:t>醫療保險：雇主須按月薪之</w:t>
      </w:r>
      <w:r w:rsidRPr="00F7495F">
        <w:rPr>
          <w:rFonts w:ascii="微軟正黑體" w:eastAsia="微軟正黑體" w:hAnsi="微軟正黑體"/>
        </w:rPr>
        <w:t>6%</w:t>
      </w:r>
      <w:r>
        <w:rPr>
          <w:rFonts w:ascii="微軟正黑體" w:eastAsia="微軟正黑體" w:hAnsi="微軟正黑體" w:hint="eastAsia"/>
        </w:rPr>
        <w:t>(若已成家)</w:t>
      </w:r>
      <w:r w:rsidRPr="00F7495F">
        <w:rPr>
          <w:rFonts w:ascii="微軟正黑體" w:eastAsia="微軟正黑體" w:hAnsi="微軟正黑體" w:hint="eastAsia"/>
        </w:rPr>
        <w:t>或</w:t>
      </w:r>
      <w:r w:rsidRPr="00F7495F">
        <w:rPr>
          <w:rFonts w:ascii="微軟正黑體" w:eastAsia="微軟正黑體" w:hAnsi="微軟正黑體"/>
        </w:rPr>
        <w:t>3%</w:t>
      </w:r>
      <w:r>
        <w:rPr>
          <w:rFonts w:ascii="微軟正黑體" w:eastAsia="微軟正黑體" w:hAnsi="微軟正黑體" w:hint="eastAsia"/>
        </w:rPr>
        <w:t>(若未成家)</w:t>
      </w:r>
      <w:r w:rsidRPr="00F7495F">
        <w:rPr>
          <w:rFonts w:ascii="微軟正黑體" w:eastAsia="微軟正黑體" w:hAnsi="微軟正黑體" w:hint="eastAsia"/>
        </w:rPr>
        <w:t>提撥。</w:t>
      </w:r>
    </w:p>
    <w:p w:rsidR="00821A46" w:rsidRPr="00F7495F" w:rsidRDefault="00821A46" w:rsidP="00BD50E5">
      <w:pPr>
        <w:pStyle w:val="af0"/>
        <w:numPr>
          <w:ilvl w:val="0"/>
          <w:numId w:val="36"/>
        </w:numPr>
        <w:spacing w:beforeLines="30" w:before="72" w:line="400" w:lineRule="exact"/>
        <w:ind w:leftChars="0" w:left="567" w:hanging="283"/>
        <w:jc w:val="both"/>
        <w:rPr>
          <w:rFonts w:ascii="微軟正黑體" w:eastAsia="微軟正黑體" w:hAnsi="微軟正黑體"/>
        </w:rPr>
      </w:pPr>
      <w:r w:rsidRPr="000827B0">
        <w:rPr>
          <w:rFonts w:ascii="微軟正黑體" w:eastAsia="微軟正黑體" w:hAnsi="微軟正黑體" w:hint="eastAsia"/>
          <w:spacing w:val="-6"/>
        </w:rPr>
        <w:t>退休基金(老年給付)：按月薪之</w:t>
      </w:r>
      <w:r w:rsidRPr="000827B0">
        <w:rPr>
          <w:rFonts w:ascii="微軟正黑體" w:eastAsia="微軟正黑體" w:hAnsi="微軟正黑體"/>
          <w:spacing w:val="-6"/>
        </w:rPr>
        <w:t>5.7%</w:t>
      </w:r>
      <w:r w:rsidRPr="000827B0">
        <w:rPr>
          <w:rFonts w:ascii="微軟正黑體" w:eastAsia="微軟正黑體" w:hAnsi="微軟正黑體" w:hint="eastAsia"/>
          <w:spacing w:val="-6"/>
        </w:rPr>
        <w:t>提撥，其中</w:t>
      </w:r>
      <w:r w:rsidRPr="000827B0">
        <w:rPr>
          <w:rFonts w:ascii="微軟正黑體" w:eastAsia="微軟正黑體" w:hAnsi="微軟正黑體"/>
          <w:spacing w:val="-6"/>
        </w:rPr>
        <w:t>3.7%</w:t>
      </w:r>
      <w:r w:rsidRPr="000827B0">
        <w:rPr>
          <w:rFonts w:ascii="微軟正黑體" w:eastAsia="微軟正黑體" w:hAnsi="微軟正黑體" w:hint="eastAsia"/>
          <w:spacing w:val="-6"/>
        </w:rPr>
        <w:t>由雇主負擔，</w:t>
      </w:r>
      <w:r w:rsidRPr="000827B0">
        <w:rPr>
          <w:rFonts w:ascii="微軟正黑體" w:eastAsia="微軟正黑體" w:hAnsi="微軟正黑體"/>
          <w:spacing w:val="-6"/>
        </w:rPr>
        <w:t>2%</w:t>
      </w:r>
      <w:r w:rsidRPr="000827B0">
        <w:rPr>
          <w:rFonts w:ascii="微軟正黑體" w:eastAsia="微軟正黑體" w:hAnsi="微軟正黑體" w:hint="eastAsia"/>
          <w:spacing w:val="-6"/>
        </w:rPr>
        <w:t>由員工負擔</w:t>
      </w:r>
      <w:r w:rsidRPr="00F7495F">
        <w:rPr>
          <w:rFonts w:ascii="微軟正黑體" w:eastAsia="微軟正黑體" w:hAnsi="微軟正黑體" w:hint="eastAsia"/>
        </w:rPr>
        <w:t>。</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lastRenderedPageBreak/>
        <w:t>依</w:t>
      </w:r>
      <w:r w:rsidRPr="003A7AE4">
        <w:rPr>
          <w:rFonts w:ascii="微軟正黑體" w:eastAsia="微軟正黑體" w:hAnsi="微軟正黑體"/>
        </w:rPr>
        <w:t>13/2003</w:t>
      </w:r>
      <w:r w:rsidRPr="003A7AE4">
        <w:rPr>
          <w:rFonts w:ascii="微軟正黑體" w:eastAsia="微軟正黑體" w:hAnsi="微軟正黑體" w:hint="eastAsia"/>
        </w:rPr>
        <w:t>勞動法第</w:t>
      </w:r>
      <w:r w:rsidRPr="003A7AE4">
        <w:rPr>
          <w:rFonts w:ascii="微軟正黑體" w:eastAsia="微軟正黑體" w:hAnsi="微軟正黑體"/>
        </w:rPr>
        <w:t>156</w:t>
      </w:r>
      <w:r w:rsidRPr="003A7AE4">
        <w:rPr>
          <w:rFonts w:ascii="微軟正黑體" w:eastAsia="微軟正黑體" w:hAnsi="微軟正黑體" w:hint="eastAsia"/>
        </w:rPr>
        <w:t>條第</w:t>
      </w:r>
      <w:r w:rsidRPr="003A7AE4">
        <w:rPr>
          <w:rFonts w:ascii="微軟正黑體" w:eastAsia="微軟正黑體" w:hAnsi="微軟正黑體"/>
        </w:rPr>
        <w:t>2</w:t>
      </w:r>
      <w:r w:rsidRPr="003A7AE4">
        <w:rPr>
          <w:rFonts w:ascii="微軟正黑體" w:eastAsia="微軟正黑體" w:hAnsi="微軟正黑體" w:hint="eastAsia"/>
        </w:rPr>
        <w:t>項規定，若員工服務年資在</w:t>
      </w:r>
      <w:r w:rsidRPr="003A7AE4">
        <w:rPr>
          <w:rFonts w:ascii="微軟正黑體" w:eastAsia="微軟正黑體" w:hAnsi="微軟正黑體"/>
        </w:rPr>
        <w:t>3</w:t>
      </w:r>
      <w:r w:rsidRPr="003A7AE4">
        <w:rPr>
          <w:rFonts w:ascii="微軟正黑體" w:eastAsia="微軟正黑體" w:hAnsi="微軟正黑體" w:hint="eastAsia"/>
        </w:rPr>
        <w:t>年以上，則雇主於資遣員工時尚須按照員工年資給予額外之感謝金，有關感謝金給付基數與年資間之相關規定如下：工作期間滿</w:t>
      </w:r>
      <w:r w:rsidRPr="003A7AE4">
        <w:rPr>
          <w:rFonts w:ascii="微軟正黑體" w:eastAsia="微軟正黑體" w:hAnsi="微軟正黑體"/>
        </w:rPr>
        <w:t>3</w:t>
      </w:r>
      <w:r w:rsidRPr="003A7AE4">
        <w:rPr>
          <w:rFonts w:ascii="微軟正黑體" w:eastAsia="微軟正黑體" w:hAnsi="微軟正黑體" w:hint="eastAsia"/>
        </w:rPr>
        <w:t>年未滿</w:t>
      </w:r>
      <w:r w:rsidRPr="003A7AE4">
        <w:rPr>
          <w:rFonts w:ascii="微軟正黑體" w:eastAsia="微軟正黑體" w:hAnsi="微軟正黑體"/>
        </w:rPr>
        <w:t>6</w:t>
      </w:r>
      <w:r w:rsidRPr="003A7AE4">
        <w:rPr>
          <w:rFonts w:ascii="微軟正黑體" w:eastAsia="微軟正黑體" w:hAnsi="微軟正黑體" w:hint="eastAsia"/>
        </w:rPr>
        <w:t>年者</w:t>
      </w:r>
      <w:r w:rsidRPr="003A7AE4">
        <w:rPr>
          <w:rFonts w:ascii="微軟正黑體" w:eastAsia="微軟正黑體" w:hAnsi="微軟正黑體"/>
        </w:rPr>
        <w:t>=2</w:t>
      </w:r>
      <w:r>
        <w:rPr>
          <w:rFonts w:ascii="微軟正黑體" w:eastAsia="微軟正黑體" w:hAnsi="微軟正黑體" w:hint="eastAsia"/>
        </w:rPr>
        <w:t>個月薪資；</w:t>
      </w:r>
      <w:r w:rsidRPr="003A7AE4">
        <w:rPr>
          <w:rFonts w:ascii="微軟正黑體" w:eastAsia="微軟正黑體" w:hAnsi="微軟正黑體" w:hint="eastAsia"/>
        </w:rPr>
        <w:t>工作期間滿</w:t>
      </w:r>
      <w:r w:rsidRPr="003A7AE4">
        <w:rPr>
          <w:rFonts w:ascii="微軟正黑體" w:eastAsia="微軟正黑體" w:hAnsi="微軟正黑體"/>
        </w:rPr>
        <w:t>6</w:t>
      </w:r>
      <w:r w:rsidRPr="003A7AE4">
        <w:rPr>
          <w:rFonts w:ascii="微軟正黑體" w:eastAsia="微軟正黑體" w:hAnsi="微軟正黑體" w:hint="eastAsia"/>
        </w:rPr>
        <w:t>年未滿</w:t>
      </w:r>
      <w:r w:rsidRPr="003A7AE4">
        <w:rPr>
          <w:rFonts w:ascii="微軟正黑體" w:eastAsia="微軟正黑體" w:hAnsi="微軟正黑體"/>
        </w:rPr>
        <w:t>9</w:t>
      </w:r>
      <w:r w:rsidRPr="003A7AE4">
        <w:rPr>
          <w:rFonts w:ascii="微軟正黑體" w:eastAsia="微軟正黑體" w:hAnsi="微軟正黑體" w:hint="eastAsia"/>
        </w:rPr>
        <w:t>年者</w:t>
      </w:r>
      <w:r w:rsidRPr="003A7AE4">
        <w:rPr>
          <w:rFonts w:ascii="微軟正黑體" w:eastAsia="微軟正黑體" w:hAnsi="微軟正黑體"/>
        </w:rPr>
        <w:t>=3</w:t>
      </w:r>
      <w:r>
        <w:rPr>
          <w:rFonts w:ascii="微軟正黑體" w:eastAsia="微軟正黑體" w:hAnsi="微軟正黑體" w:hint="eastAsia"/>
        </w:rPr>
        <w:t>個月薪資；</w:t>
      </w:r>
      <w:r w:rsidRPr="003A7AE4">
        <w:rPr>
          <w:rFonts w:ascii="微軟正黑體" w:eastAsia="微軟正黑體" w:hAnsi="微軟正黑體" w:hint="eastAsia"/>
        </w:rPr>
        <w:t>工作期間滿</w:t>
      </w:r>
      <w:r w:rsidRPr="003A7AE4">
        <w:rPr>
          <w:rFonts w:ascii="微軟正黑體" w:eastAsia="微軟正黑體" w:hAnsi="微軟正黑體"/>
        </w:rPr>
        <w:t>9</w:t>
      </w:r>
      <w:r w:rsidRPr="003A7AE4">
        <w:rPr>
          <w:rFonts w:ascii="微軟正黑體" w:eastAsia="微軟正黑體" w:hAnsi="微軟正黑體" w:hint="eastAsia"/>
        </w:rPr>
        <w:t>年未滿</w:t>
      </w:r>
      <w:r w:rsidRPr="003A7AE4">
        <w:rPr>
          <w:rFonts w:ascii="微軟正黑體" w:eastAsia="微軟正黑體" w:hAnsi="微軟正黑體"/>
        </w:rPr>
        <w:t>12</w:t>
      </w:r>
      <w:r w:rsidRPr="003A7AE4">
        <w:rPr>
          <w:rFonts w:ascii="微軟正黑體" w:eastAsia="微軟正黑體" w:hAnsi="微軟正黑體" w:hint="eastAsia"/>
        </w:rPr>
        <w:t>年者</w:t>
      </w:r>
      <w:r w:rsidRPr="003A7AE4">
        <w:rPr>
          <w:rFonts w:ascii="微軟正黑體" w:eastAsia="微軟正黑體" w:hAnsi="微軟正黑體"/>
        </w:rPr>
        <w:t>=4</w:t>
      </w:r>
      <w:r>
        <w:rPr>
          <w:rFonts w:ascii="微軟正黑體" w:eastAsia="微軟正黑體" w:hAnsi="微軟正黑體" w:hint="eastAsia"/>
        </w:rPr>
        <w:t>個月薪資；</w:t>
      </w:r>
      <w:r w:rsidRPr="003A7AE4">
        <w:rPr>
          <w:rFonts w:ascii="微軟正黑體" w:eastAsia="微軟正黑體" w:hAnsi="微軟正黑體" w:hint="eastAsia"/>
        </w:rPr>
        <w:t>工作期間滿</w:t>
      </w:r>
      <w:r w:rsidRPr="003A7AE4">
        <w:rPr>
          <w:rFonts w:ascii="微軟正黑體" w:eastAsia="微軟正黑體" w:hAnsi="微軟正黑體"/>
        </w:rPr>
        <w:t>12</w:t>
      </w:r>
      <w:r w:rsidRPr="003A7AE4">
        <w:rPr>
          <w:rFonts w:ascii="微軟正黑體" w:eastAsia="微軟正黑體" w:hAnsi="微軟正黑體" w:hint="eastAsia"/>
        </w:rPr>
        <w:t>年未滿</w:t>
      </w:r>
      <w:r w:rsidRPr="003A7AE4">
        <w:rPr>
          <w:rFonts w:ascii="微軟正黑體" w:eastAsia="微軟正黑體" w:hAnsi="微軟正黑體"/>
        </w:rPr>
        <w:t>15</w:t>
      </w:r>
      <w:r w:rsidRPr="003A7AE4">
        <w:rPr>
          <w:rFonts w:ascii="微軟正黑體" w:eastAsia="微軟正黑體" w:hAnsi="微軟正黑體" w:hint="eastAsia"/>
        </w:rPr>
        <w:t>年者</w:t>
      </w:r>
      <w:r w:rsidRPr="003A7AE4">
        <w:rPr>
          <w:rFonts w:ascii="微軟正黑體" w:eastAsia="微軟正黑體" w:hAnsi="微軟正黑體"/>
        </w:rPr>
        <w:t>=5</w:t>
      </w:r>
      <w:r>
        <w:rPr>
          <w:rFonts w:ascii="微軟正黑體" w:eastAsia="微軟正黑體" w:hAnsi="微軟正黑體" w:hint="eastAsia"/>
        </w:rPr>
        <w:t>個月薪資；</w:t>
      </w:r>
      <w:r w:rsidRPr="003A7AE4">
        <w:rPr>
          <w:rFonts w:ascii="微軟正黑體" w:eastAsia="微軟正黑體" w:hAnsi="微軟正黑體" w:hint="eastAsia"/>
        </w:rPr>
        <w:t>工作期間滿</w:t>
      </w:r>
      <w:r w:rsidRPr="003A7AE4">
        <w:rPr>
          <w:rFonts w:ascii="微軟正黑體" w:eastAsia="微軟正黑體" w:hAnsi="微軟正黑體"/>
        </w:rPr>
        <w:t>15</w:t>
      </w:r>
      <w:r w:rsidRPr="003A7AE4">
        <w:rPr>
          <w:rFonts w:ascii="微軟正黑體" w:eastAsia="微軟正黑體" w:hAnsi="微軟正黑體" w:hint="eastAsia"/>
        </w:rPr>
        <w:t>年未滿</w:t>
      </w:r>
      <w:r w:rsidRPr="003A7AE4">
        <w:rPr>
          <w:rFonts w:ascii="微軟正黑體" w:eastAsia="微軟正黑體" w:hAnsi="微軟正黑體"/>
        </w:rPr>
        <w:t>18</w:t>
      </w:r>
      <w:r w:rsidRPr="003A7AE4">
        <w:rPr>
          <w:rFonts w:ascii="微軟正黑體" w:eastAsia="微軟正黑體" w:hAnsi="微軟正黑體" w:hint="eastAsia"/>
        </w:rPr>
        <w:t>年者</w:t>
      </w:r>
      <w:r w:rsidRPr="003A7AE4">
        <w:rPr>
          <w:rFonts w:ascii="微軟正黑體" w:eastAsia="微軟正黑體" w:hAnsi="微軟正黑體"/>
        </w:rPr>
        <w:t>=6</w:t>
      </w:r>
      <w:r>
        <w:rPr>
          <w:rFonts w:ascii="微軟正黑體" w:eastAsia="微軟正黑體" w:hAnsi="微軟正黑體" w:hint="eastAsia"/>
        </w:rPr>
        <w:t>個月薪資；</w:t>
      </w:r>
      <w:r w:rsidRPr="003A7AE4">
        <w:rPr>
          <w:rFonts w:ascii="微軟正黑體" w:eastAsia="微軟正黑體" w:hAnsi="微軟正黑體" w:hint="eastAsia"/>
        </w:rPr>
        <w:t>工作期間滿</w:t>
      </w:r>
      <w:r w:rsidRPr="003A7AE4">
        <w:rPr>
          <w:rFonts w:ascii="微軟正黑體" w:eastAsia="微軟正黑體" w:hAnsi="微軟正黑體"/>
        </w:rPr>
        <w:t>18</w:t>
      </w:r>
      <w:r w:rsidRPr="003A7AE4">
        <w:rPr>
          <w:rFonts w:ascii="微軟正黑體" w:eastAsia="微軟正黑體" w:hAnsi="微軟正黑體" w:hint="eastAsia"/>
        </w:rPr>
        <w:t>年未滿</w:t>
      </w:r>
      <w:r w:rsidRPr="003A7AE4">
        <w:rPr>
          <w:rFonts w:ascii="微軟正黑體" w:eastAsia="微軟正黑體" w:hAnsi="微軟正黑體"/>
        </w:rPr>
        <w:t>21</w:t>
      </w:r>
      <w:r w:rsidRPr="003A7AE4">
        <w:rPr>
          <w:rFonts w:ascii="微軟正黑體" w:eastAsia="微軟正黑體" w:hAnsi="微軟正黑體" w:hint="eastAsia"/>
        </w:rPr>
        <w:t>年者</w:t>
      </w:r>
      <w:r w:rsidRPr="003A7AE4">
        <w:rPr>
          <w:rFonts w:ascii="微軟正黑體" w:eastAsia="微軟正黑體" w:hAnsi="微軟正黑體"/>
        </w:rPr>
        <w:t>=7</w:t>
      </w:r>
      <w:r>
        <w:rPr>
          <w:rFonts w:ascii="微軟正黑體" w:eastAsia="微軟正黑體" w:hAnsi="微軟正黑體" w:hint="eastAsia"/>
        </w:rPr>
        <w:t>個月薪資；</w:t>
      </w:r>
      <w:r w:rsidRPr="003A7AE4">
        <w:rPr>
          <w:rFonts w:ascii="微軟正黑體" w:eastAsia="微軟正黑體" w:hAnsi="微軟正黑體" w:hint="eastAsia"/>
        </w:rPr>
        <w:t>工作期間滿</w:t>
      </w:r>
      <w:r w:rsidRPr="003A7AE4">
        <w:rPr>
          <w:rFonts w:ascii="微軟正黑體" w:eastAsia="微軟正黑體" w:hAnsi="微軟正黑體"/>
        </w:rPr>
        <w:t>21</w:t>
      </w:r>
      <w:r w:rsidRPr="003A7AE4">
        <w:rPr>
          <w:rFonts w:ascii="微軟正黑體" w:eastAsia="微軟正黑體" w:hAnsi="微軟正黑體" w:hint="eastAsia"/>
        </w:rPr>
        <w:t>年未滿</w:t>
      </w:r>
      <w:r w:rsidRPr="003A7AE4">
        <w:rPr>
          <w:rFonts w:ascii="微軟正黑體" w:eastAsia="微軟正黑體" w:hAnsi="微軟正黑體"/>
        </w:rPr>
        <w:t>24</w:t>
      </w:r>
      <w:r w:rsidRPr="003A7AE4">
        <w:rPr>
          <w:rFonts w:ascii="微軟正黑體" w:eastAsia="微軟正黑體" w:hAnsi="微軟正黑體" w:hint="eastAsia"/>
        </w:rPr>
        <w:t>年者</w:t>
      </w:r>
      <w:r w:rsidRPr="003A7AE4">
        <w:rPr>
          <w:rFonts w:ascii="微軟正黑體" w:eastAsia="微軟正黑體" w:hAnsi="微軟正黑體"/>
        </w:rPr>
        <w:t>=8</w:t>
      </w:r>
      <w:r>
        <w:rPr>
          <w:rFonts w:ascii="微軟正黑體" w:eastAsia="微軟正黑體" w:hAnsi="微軟正黑體" w:hint="eastAsia"/>
        </w:rPr>
        <w:t>個月薪資；</w:t>
      </w:r>
      <w:r w:rsidRPr="003A7AE4">
        <w:rPr>
          <w:rFonts w:ascii="微軟正黑體" w:eastAsia="微軟正黑體" w:hAnsi="微軟正黑體" w:hint="eastAsia"/>
        </w:rPr>
        <w:t>工作期間滿</w:t>
      </w:r>
      <w:r w:rsidRPr="003A7AE4">
        <w:rPr>
          <w:rFonts w:ascii="微軟正黑體" w:eastAsia="微軟正黑體" w:hAnsi="微軟正黑體"/>
        </w:rPr>
        <w:t>24</w:t>
      </w:r>
      <w:r w:rsidRPr="003A7AE4">
        <w:rPr>
          <w:rFonts w:ascii="微軟正黑體" w:eastAsia="微軟正黑體" w:hAnsi="微軟正黑體" w:hint="eastAsia"/>
        </w:rPr>
        <w:t>年者</w:t>
      </w:r>
      <w:r w:rsidRPr="003A7AE4">
        <w:rPr>
          <w:rFonts w:ascii="微軟正黑體" w:eastAsia="微軟正黑體" w:hAnsi="微軟正黑體"/>
        </w:rPr>
        <w:t>=10</w:t>
      </w:r>
      <w:r w:rsidRPr="003A7AE4">
        <w:rPr>
          <w:rFonts w:ascii="微軟正黑體" w:eastAsia="微軟正黑體" w:hAnsi="微軟正黑體" w:hint="eastAsia"/>
        </w:rPr>
        <w:t>個月薪資。除資遣費與感謝金外，</w:t>
      </w:r>
      <w:r>
        <w:rPr>
          <w:rFonts w:ascii="微軟正黑體" w:eastAsia="微軟正黑體" w:hAnsi="微軟正黑體" w:hint="eastAsia"/>
        </w:rPr>
        <w:t>雇主於資遣員工時尚須支付權益補貼金(</w:t>
      </w:r>
      <w:r w:rsidRPr="003A7AE4">
        <w:rPr>
          <w:rFonts w:ascii="微軟正黑體" w:eastAsia="微軟正黑體" w:hAnsi="微軟正黑體"/>
        </w:rPr>
        <w:t>compensation pay</w:t>
      </w:r>
      <w:r>
        <w:rPr>
          <w:rFonts w:ascii="微軟正黑體" w:eastAsia="微軟正黑體" w:hAnsi="微軟正黑體" w:hint="eastAsia"/>
        </w:rPr>
        <w:t>)</w:t>
      </w:r>
      <w:r w:rsidRPr="003A7AE4">
        <w:rPr>
          <w:rFonts w:ascii="微軟正黑體" w:eastAsia="微軟正黑體" w:hAnsi="微軟正黑體" w:hint="eastAsia"/>
        </w:rPr>
        <w:t>，項目</w:t>
      </w:r>
      <w:r>
        <w:rPr>
          <w:rFonts w:ascii="微軟正黑體" w:eastAsia="微軟正黑體" w:hAnsi="微軟正黑體" w:hint="eastAsia"/>
        </w:rPr>
        <w:t>包括：未休完的支薪假期；員工及其家屬之搬遷費用；住宅和醫療補助(</w:t>
      </w:r>
      <w:r w:rsidRPr="003A7AE4">
        <w:rPr>
          <w:rFonts w:ascii="微軟正黑體" w:eastAsia="微軟正黑體" w:hAnsi="微軟正黑體" w:hint="eastAsia"/>
        </w:rPr>
        <w:t>為資遣費或感謝金之</w:t>
      </w:r>
      <w:r w:rsidRPr="003A7AE4">
        <w:rPr>
          <w:rFonts w:ascii="微軟正黑體" w:eastAsia="微軟正黑體" w:hAnsi="微軟正黑體"/>
        </w:rPr>
        <w:t>15%</w:t>
      </w:r>
      <w:r>
        <w:rPr>
          <w:rFonts w:ascii="微軟正黑體" w:eastAsia="微軟正黑體" w:hAnsi="微軟正黑體" w:hint="eastAsia"/>
        </w:rPr>
        <w:t>)</w:t>
      </w:r>
      <w:r w:rsidRPr="003A7AE4">
        <w:rPr>
          <w:rFonts w:ascii="微軟正黑體" w:eastAsia="微軟正黑體" w:hAnsi="微軟正黑體" w:hint="eastAsia"/>
        </w:rPr>
        <w:t>，或於工作協議或公司規定中所訂定之其他福利。</w:t>
      </w:r>
    </w:p>
    <w:p w:rsidR="00821A46" w:rsidRPr="00D0453A" w:rsidRDefault="00821A46" w:rsidP="00821A46">
      <w:pPr>
        <w:spacing w:beforeLines="100" w:before="240" w:afterLines="50" w:after="120" w:line="400" w:lineRule="exact"/>
        <w:jc w:val="both"/>
        <w:rPr>
          <w:rFonts w:ascii="微軟正黑體" w:eastAsia="微軟正黑體" w:hAnsi="微軟正黑體"/>
          <w:b/>
          <w:sz w:val="28"/>
          <w:szCs w:val="28"/>
        </w:rPr>
      </w:pPr>
      <w:r>
        <w:rPr>
          <w:rFonts w:ascii="微軟正黑體" w:eastAsia="微軟正黑體" w:hAnsi="微軟正黑體" w:hint="eastAsia"/>
          <w:b/>
          <w:sz w:val="28"/>
          <w:szCs w:val="28"/>
        </w:rPr>
        <w:t>四、</w:t>
      </w:r>
      <w:r w:rsidRPr="00D0453A">
        <w:rPr>
          <w:rFonts w:ascii="微軟正黑體" w:eastAsia="微軟正黑體" w:hAnsi="微軟正黑體" w:hint="eastAsia"/>
          <w:b/>
          <w:sz w:val="28"/>
          <w:szCs w:val="28"/>
        </w:rPr>
        <w:t>日本</w:t>
      </w:r>
    </w:p>
    <w:p w:rsidR="00821A46"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社會保險方面，日本採取的是全民保險制度，原則上在日本擁有住所者都必須加入官方的健康</w:t>
      </w:r>
      <w:r w:rsidRPr="003A7AE4">
        <w:rPr>
          <w:rFonts w:ascii="微軟正黑體" w:eastAsia="微軟正黑體" w:hAnsi="微軟正黑體"/>
        </w:rPr>
        <w:t>(</w:t>
      </w:r>
      <w:r w:rsidRPr="003A7AE4">
        <w:rPr>
          <w:rFonts w:ascii="微軟正黑體" w:eastAsia="微軟正黑體" w:hAnsi="微軟正黑體" w:hint="eastAsia"/>
        </w:rPr>
        <w:t>醫療</w:t>
      </w:r>
      <w:r w:rsidRPr="003A7AE4">
        <w:rPr>
          <w:rFonts w:ascii="微軟正黑體" w:eastAsia="微軟正黑體" w:hAnsi="微軟正黑體"/>
        </w:rPr>
        <w:t>)</w:t>
      </w:r>
      <w:r w:rsidRPr="003A7AE4">
        <w:rPr>
          <w:rFonts w:ascii="微軟正黑體" w:eastAsia="微軟正黑體" w:hAnsi="微軟正黑體" w:hint="eastAsia"/>
        </w:rPr>
        <w:t>保險以及退休保險。日本規定企業有義務為符</w:t>
      </w:r>
      <w:r w:rsidRPr="002B16A4">
        <w:rPr>
          <w:rFonts w:ascii="微軟正黑體" w:eastAsia="微軟正黑體" w:hAnsi="微軟正黑體" w:hint="eastAsia"/>
        </w:rPr>
        <w:t>合</w:t>
      </w:r>
      <w:r w:rsidRPr="003A7AE4">
        <w:rPr>
          <w:rFonts w:ascii="微軟正黑體" w:eastAsia="微軟正黑體" w:hAnsi="微軟正黑體" w:hint="eastAsia"/>
        </w:rPr>
        <w:t>某些條件的雇員購買</w:t>
      </w:r>
      <w:r w:rsidRPr="003A7AE4">
        <w:rPr>
          <w:rFonts w:ascii="微軟正黑體" w:eastAsia="微軟正黑體" w:hAnsi="微軟正黑體"/>
        </w:rPr>
        <w:t>4</w:t>
      </w:r>
      <w:r w:rsidRPr="003A7AE4">
        <w:rPr>
          <w:rFonts w:ascii="微軟正黑體" w:eastAsia="微軟正黑體" w:hAnsi="微軟正黑體" w:hint="eastAsia"/>
        </w:rPr>
        <w:t>種保險</w:t>
      </w:r>
      <w:r w:rsidRPr="00D0453A">
        <w:rPr>
          <w:rFonts w:ascii="微軟正黑體" w:eastAsia="微軟正黑體" w:hAnsi="微軟正黑體"/>
          <w:vertAlign w:val="superscript"/>
        </w:rPr>
        <w:footnoteReference w:id="17"/>
      </w:r>
      <w:r w:rsidRPr="003A7AE4">
        <w:rPr>
          <w:rFonts w:ascii="微軟正黑體" w:eastAsia="微軟正黑體" w:hAnsi="微軟正黑體" w:hint="eastAsia"/>
        </w:rPr>
        <w:t>，如下表5：</w:t>
      </w:r>
    </w:p>
    <w:p w:rsidR="00821A46" w:rsidRDefault="00821A46" w:rsidP="00E037AA">
      <w:pPr>
        <w:spacing w:line="240" w:lineRule="exact"/>
        <w:ind w:firstLineChars="200" w:firstLine="480"/>
        <w:jc w:val="both"/>
        <w:rPr>
          <w:rFonts w:ascii="微軟正黑體" w:eastAsia="微軟正黑體" w:hAnsi="微軟正黑體"/>
        </w:rPr>
      </w:pPr>
    </w:p>
    <w:p w:rsidR="00821A46" w:rsidRPr="00CF16B4" w:rsidRDefault="00821A46" w:rsidP="00821A46">
      <w:pPr>
        <w:spacing w:afterLines="30" w:after="72" w:line="400" w:lineRule="exact"/>
        <w:ind w:firstLineChars="200" w:firstLine="480"/>
        <w:jc w:val="center"/>
        <w:rPr>
          <w:rFonts w:ascii="微軟正黑體" w:eastAsia="微軟正黑體" w:hAnsi="微軟正黑體" w:cs="Times New Roman"/>
        </w:rPr>
      </w:pPr>
      <w:r w:rsidRPr="00CF16B4">
        <w:rPr>
          <w:rFonts w:ascii="微軟正黑體" w:eastAsia="微軟正黑體" w:hAnsi="微軟正黑體" w:cs="Times New Roman" w:hint="eastAsia"/>
        </w:rPr>
        <w:t>表</w:t>
      </w:r>
      <w:r w:rsidRPr="00CF16B4">
        <w:rPr>
          <w:rFonts w:ascii="微軟正黑體" w:eastAsia="微軟正黑體" w:hAnsi="微軟正黑體" w:cs="Times New Roman"/>
        </w:rPr>
        <w:t>5</w:t>
      </w:r>
      <w:r w:rsidRPr="00CF16B4">
        <w:rPr>
          <w:rFonts w:ascii="微軟正黑體" w:eastAsia="微軟正黑體" w:hAnsi="微軟正黑體" w:cs="Times New Roman" w:hint="eastAsia"/>
        </w:rPr>
        <w:t xml:space="preserve">  日本社會保險概況</w:t>
      </w:r>
    </w:p>
    <w:tbl>
      <w:tblPr>
        <w:tblW w:w="8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488"/>
        <w:gridCol w:w="2482"/>
        <w:gridCol w:w="2489"/>
      </w:tblGrid>
      <w:tr w:rsidR="00CA1CAA" w:rsidRPr="00CA1CAA" w:rsidTr="00CA1CAA">
        <w:trPr>
          <w:trHeight w:val="461"/>
          <w:tblHeader/>
          <w:jc w:val="center"/>
        </w:trPr>
        <w:tc>
          <w:tcPr>
            <w:tcW w:w="1358"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rsidR="00821A46" w:rsidRPr="00CA1CAA" w:rsidRDefault="00821A46" w:rsidP="00644B21">
            <w:pPr>
              <w:spacing w:line="360" w:lineRule="exact"/>
              <w:jc w:val="center"/>
              <w:rPr>
                <w:rFonts w:ascii="微軟正黑體" w:eastAsia="微軟正黑體" w:hAnsi="微軟正黑體"/>
                <w:b/>
                <w:color w:val="FFFFFF" w:themeColor="background1"/>
                <w:sz w:val="22"/>
              </w:rPr>
            </w:pPr>
            <w:r w:rsidRPr="00CA1CAA">
              <w:rPr>
                <w:rFonts w:ascii="微軟正黑體" w:eastAsia="微軟正黑體" w:hAnsi="微軟正黑體" w:hint="eastAsia"/>
                <w:b/>
                <w:color w:val="FFFFFF" w:themeColor="background1"/>
                <w:sz w:val="22"/>
              </w:rPr>
              <w:t>保險</w:t>
            </w:r>
          </w:p>
        </w:tc>
        <w:tc>
          <w:tcPr>
            <w:tcW w:w="2488"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rsidR="00821A46" w:rsidRPr="00CA1CAA" w:rsidRDefault="00821A46" w:rsidP="00644B21">
            <w:pPr>
              <w:spacing w:line="360" w:lineRule="exact"/>
              <w:jc w:val="center"/>
              <w:rPr>
                <w:rFonts w:ascii="微軟正黑體" w:eastAsia="微軟正黑體" w:hAnsi="微軟正黑體"/>
                <w:b/>
                <w:color w:val="FFFFFF" w:themeColor="background1"/>
                <w:sz w:val="22"/>
              </w:rPr>
            </w:pPr>
            <w:r w:rsidRPr="00CA1CAA">
              <w:rPr>
                <w:rFonts w:ascii="微軟正黑體" w:eastAsia="微軟正黑體" w:hAnsi="微軟正黑體" w:hint="eastAsia"/>
                <w:b/>
                <w:color w:val="FFFFFF" w:themeColor="background1"/>
                <w:sz w:val="22"/>
              </w:rPr>
              <w:t>賠償</w:t>
            </w:r>
          </w:p>
        </w:tc>
        <w:tc>
          <w:tcPr>
            <w:tcW w:w="2482"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rsidR="00821A46" w:rsidRPr="00CA1CAA" w:rsidRDefault="00821A46" w:rsidP="00644B21">
            <w:pPr>
              <w:spacing w:line="360" w:lineRule="exact"/>
              <w:jc w:val="center"/>
              <w:rPr>
                <w:rFonts w:ascii="微軟正黑體" w:eastAsia="微軟正黑體" w:hAnsi="微軟正黑體"/>
                <w:b/>
                <w:color w:val="FFFFFF" w:themeColor="background1"/>
                <w:sz w:val="22"/>
              </w:rPr>
            </w:pPr>
            <w:r w:rsidRPr="00CA1CAA">
              <w:rPr>
                <w:rFonts w:ascii="微軟正黑體" w:eastAsia="微軟正黑體" w:hAnsi="微軟正黑體" w:hint="eastAsia"/>
                <w:b/>
                <w:color w:val="FFFFFF" w:themeColor="background1"/>
                <w:sz w:val="22"/>
              </w:rPr>
              <w:t>適用範圍</w:t>
            </w:r>
          </w:p>
        </w:tc>
        <w:tc>
          <w:tcPr>
            <w:tcW w:w="2489"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rsidR="00821A46" w:rsidRPr="00CA1CAA" w:rsidRDefault="00821A46" w:rsidP="00644B21">
            <w:pPr>
              <w:spacing w:line="360" w:lineRule="exact"/>
              <w:jc w:val="center"/>
              <w:rPr>
                <w:rFonts w:ascii="微軟正黑體" w:eastAsia="微軟正黑體" w:hAnsi="微軟正黑體"/>
                <w:b/>
                <w:color w:val="FFFFFF" w:themeColor="background1"/>
                <w:sz w:val="22"/>
              </w:rPr>
            </w:pPr>
            <w:r w:rsidRPr="00CA1CAA">
              <w:rPr>
                <w:rFonts w:ascii="微軟正黑體" w:eastAsia="微軟正黑體" w:hAnsi="微軟正黑體" w:hint="eastAsia"/>
                <w:b/>
                <w:color w:val="FFFFFF" w:themeColor="background1"/>
                <w:sz w:val="22"/>
              </w:rPr>
              <w:t>備註</w:t>
            </w:r>
          </w:p>
        </w:tc>
      </w:tr>
      <w:tr w:rsidR="00821A46" w:rsidRPr="00EB7773" w:rsidTr="00E037AA">
        <w:trPr>
          <w:trHeight w:val="1620"/>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center"/>
              <w:rPr>
                <w:rFonts w:ascii="微軟正黑體" w:eastAsia="微軟正黑體" w:hAnsi="微軟正黑體"/>
                <w:sz w:val="22"/>
              </w:rPr>
            </w:pPr>
            <w:r w:rsidRPr="00EB7773">
              <w:rPr>
                <w:rFonts w:ascii="微軟正黑體" w:eastAsia="微軟正黑體" w:hAnsi="微軟正黑體" w:hint="eastAsia"/>
                <w:sz w:val="22"/>
              </w:rPr>
              <w:t>職災保險</w:t>
            </w:r>
          </w:p>
        </w:tc>
        <w:tc>
          <w:tcPr>
            <w:tcW w:w="2488"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因在工作或上下班途中的災害而導致傷病、殘疾、死亡等時，針對醫療、缺勤、殘疾、死亡的補償</w:t>
            </w:r>
          </w:p>
        </w:tc>
        <w:tc>
          <w:tcPr>
            <w:tcW w:w="2482"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適用於有使用勞動者的所有業務單位</w:t>
            </w:r>
          </w:p>
        </w:tc>
        <w:tc>
          <w:tcPr>
            <w:tcW w:w="2489"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有針對企業經營者的特別加入制度，保險費率因行業有別</w:t>
            </w:r>
          </w:p>
        </w:tc>
      </w:tr>
      <w:tr w:rsidR="00821A46" w:rsidRPr="00EB7773" w:rsidTr="00E037AA">
        <w:trPr>
          <w:trHeight w:val="1078"/>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center"/>
              <w:rPr>
                <w:rFonts w:ascii="微軟正黑體" w:eastAsia="微軟正黑體" w:hAnsi="微軟正黑體"/>
                <w:sz w:val="22"/>
              </w:rPr>
            </w:pPr>
            <w:r w:rsidRPr="00E037AA">
              <w:rPr>
                <w:rFonts w:ascii="微軟正黑體" w:eastAsia="微軟正黑體" w:hAnsi="微軟正黑體" w:hint="eastAsia"/>
                <w:sz w:val="22"/>
              </w:rPr>
              <w:t>雇用</w:t>
            </w:r>
            <w:r w:rsidRPr="00EB7773">
              <w:rPr>
                <w:rFonts w:ascii="微軟正黑體" w:eastAsia="微軟正黑體" w:hAnsi="微軟正黑體" w:hint="eastAsia"/>
                <w:sz w:val="22"/>
              </w:rPr>
              <w:t>保險</w:t>
            </w:r>
          </w:p>
        </w:tc>
        <w:tc>
          <w:tcPr>
            <w:tcW w:w="2488"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失業人員、獲得育兒休假者或老年人</w:t>
            </w:r>
          </w:p>
        </w:tc>
        <w:tc>
          <w:tcPr>
            <w:tcW w:w="2482"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適用於每週規定工作時間</w:t>
            </w:r>
            <w:r w:rsidRPr="00EB7773">
              <w:rPr>
                <w:rFonts w:ascii="微軟正黑體" w:eastAsia="微軟正黑體" w:hAnsi="微軟正黑體"/>
                <w:sz w:val="22"/>
              </w:rPr>
              <w:t>20</w:t>
            </w:r>
            <w:r w:rsidRPr="00EB7773">
              <w:rPr>
                <w:rFonts w:ascii="微軟正黑體" w:eastAsia="微軟正黑體" w:hAnsi="微軟正黑體" w:hint="eastAsia"/>
                <w:sz w:val="22"/>
              </w:rPr>
              <w:t>小時以上的所有雇員</w:t>
            </w:r>
          </w:p>
        </w:tc>
        <w:tc>
          <w:tcPr>
            <w:tcW w:w="2489"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加入海外失業補償的人員免予加入</w:t>
            </w:r>
          </w:p>
        </w:tc>
      </w:tr>
      <w:tr w:rsidR="00821A46" w:rsidRPr="00EB7773" w:rsidTr="00E037AA">
        <w:trPr>
          <w:trHeight w:val="995"/>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center"/>
              <w:rPr>
                <w:rFonts w:ascii="微軟正黑體" w:eastAsia="微軟正黑體" w:hAnsi="微軟正黑體"/>
                <w:sz w:val="22"/>
              </w:rPr>
            </w:pPr>
            <w:r w:rsidRPr="00EB7773">
              <w:rPr>
                <w:rFonts w:ascii="微軟正黑體" w:eastAsia="微軟正黑體" w:hAnsi="微軟正黑體" w:hint="eastAsia"/>
                <w:sz w:val="22"/>
              </w:rPr>
              <w:t>健康、護理保險</w:t>
            </w:r>
          </w:p>
        </w:tc>
        <w:tc>
          <w:tcPr>
            <w:tcW w:w="2488"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除工作、上下班以外原因導致的傷病、分娩等</w:t>
            </w:r>
          </w:p>
        </w:tc>
        <w:tc>
          <w:tcPr>
            <w:tcW w:w="2482"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全部的法人和經常員工</w:t>
            </w:r>
            <w:r w:rsidRPr="00EB7773">
              <w:rPr>
                <w:rFonts w:ascii="微軟正黑體" w:eastAsia="微軟正黑體" w:hAnsi="微軟正黑體"/>
                <w:sz w:val="22"/>
              </w:rPr>
              <w:t>5</w:t>
            </w:r>
            <w:r w:rsidRPr="00EB7773">
              <w:rPr>
                <w:rFonts w:ascii="微軟正黑體" w:eastAsia="微軟正黑體" w:hAnsi="微軟正黑體" w:hint="eastAsia"/>
                <w:sz w:val="22"/>
              </w:rPr>
              <w:t>人以上的特定行業的個人企業所</w:t>
            </w:r>
          </w:p>
        </w:tc>
        <w:tc>
          <w:tcPr>
            <w:tcW w:w="2489"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健康保險協會管理健康保險</w:t>
            </w:r>
            <w:r w:rsidRPr="00EB7773">
              <w:rPr>
                <w:rFonts w:ascii="微軟正黑體" w:eastAsia="微軟正黑體" w:hAnsi="微軟正黑體"/>
                <w:sz w:val="22"/>
              </w:rPr>
              <w:t>(</w:t>
            </w:r>
            <w:r w:rsidRPr="00EB7773">
              <w:rPr>
                <w:rFonts w:ascii="微軟正黑體" w:eastAsia="微軟正黑體" w:hAnsi="微軟正黑體" w:hint="eastAsia"/>
                <w:sz w:val="22"/>
              </w:rPr>
              <w:t>東京都</w:t>
            </w:r>
            <w:r w:rsidRPr="00EB7773">
              <w:rPr>
                <w:rFonts w:ascii="微軟正黑體" w:eastAsia="微軟正黑體" w:hAnsi="微軟正黑體"/>
                <w:sz w:val="22"/>
              </w:rPr>
              <w:t>)</w:t>
            </w:r>
            <w:r w:rsidRPr="00EB7773">
              <w:rPr>
                <w:rFonts w:ascii="微軟正黑體" w:eastAsia="微軟正黑體" w:hAnsi="微軟正黑體" w:hint="eastAsia"/>
                <w:sz w:val="22"/>
              </w:rPr>
              <w:t>的保險費率</w:t>
            </w:r>
          </w:p>
        </w:tc>
      </w:tr>
      <w:tr w:rsidR="00821A46" w:rsidRPr="00EB7773" w:rsidTr="00E037AA">
        <w:trPr>
          <w:trHeight w:val="883"/>
          <w:jc w:val="center"/>
        </w:trPr>
        <w:tc>
          <w:tcPr>
            <w:tcW w:w="1358"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ind w:leftChars="-38" w:left="-91" w:rightChars="-17" w:right="-41"/>
              <w:jc w:val="center"/>
              <w:rPr>
                <w:rFonts w:ascii="微軟正黑體" w:eastAsia="微軟正黑體" w:hAnsi="微軟正黑體"/>
                <w:sz w:val="22"/>
              </w:rPr>
            </w:pPr>
            <w:r w:rsidRPr="00EB7773">
              <w:rPr>
                <w:rFonts w:ascii="微軟正黑體" w:eastAsia="微軟正黑體" w:hAnsi="微軟正黑體" w:hint="eastAsia"/>
                <w:sz w:val="22"/>
              </w:rPr>
              <w:t>福利退休金保險</w:t>
            </w:r>
          </w:p>
        </w:tc>
        <w:tc>
          <w:tcPr>
            <w:tcW w:w="2488"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年老、殘疾、死亡</w:t>
            </w:r>
          </w:p>
        </w:tc>
        <w:tc>
          <w:tcPr>
            <w:tcW w:w="2482"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全部的法人和經常員工</w:t>
            </w:r>
            <w:r w:rsidRPr="00EB7773">
              <w:rPr>
                <w:rFonts w:ascii="微軟正黑體" w:eastAsia="微軟正黑體" w:hAnsi="微軟正黑體"/>
                <w:sz w:val="22"/>
              </w:rPr>
              <w:t>5</w:t>
            </w:r>
            <w:r w:rsidRPr="00EB7773">
              <w:rPr>
                <w:rFonts w:ascii="微軟正黑體" w:eastAsia="微軟正黑體" w:hAnsi="微軟正黑體" w:hint="eastAsia"/>
                <w:sz w:val="22"/>
              </w:rPr>
              <w:t>人以上的特定行業的個人企業所</w:t>
            </w:r>
          </w:p>
        </w:tc>
        <w:tc>
          <w:tcPr>
            <w:tcW w:w="2489" w:type="dxa"/>
            <w:tcBorders>
              <w:top w:val="single" w:sz="4" w:space="0" w:color="auto"/>
              <w:left w:val="single" w:sz="4" w:space="0" w:color="auto"/>
              <w:bottom w:val="single" w:sz="4" w:space="0" w:color="auto"/>
              <w:right w:val="single" w:sz="4" w:space="0" w:color="auto"/>
            </w:tcBorders>
            <w:vAlign w:val="center"/>
            <w:hideMark/>
          </w:tcPr>
          <w:p w:rsidR="00821A46" w:rsidRPr="00EB7773" w:rsidRDefault="00821A46" w:rsidP="00E037AA">
            <w:pPr>
              <w:spacing w:line="340" w:lineRule="exact"/>
              <w:jc w:val="both"/>
              <w:rPr>
                <w:rFonts w:ascii="微軟正黑體" w:eastAsia="微軟正黑體" w:hAnsi="微軟正黑體"/>
                <w:sz w:val="22"/>
              </w:rPr>
            </w:pPr>
            <w:r w:rsidRPr="00EB7773">
              <w:rPr>
                <w:rFonts w:ascii="微軟正黑體" w:eastAsia="微軟正黑體" w:hAnsi="微軟正黑體" w:hint="eastAsia"/>
                <w:sz w:val="22"/>
              </w:rPr>
              <w:t>外國人可以一次性退保領款</w:t>
            </w:r>
          </w:p>
        </w:tc>
      </w:tr>
    </w:tbl>
    <w:p w:rsidR="00821A46" w:rsidRDefault="00821A46" w:rsidP="000827B0">
      <w:pPr>
        <w:spacing w:line="280" w:lineRule="exact"/>
        <w:ind w:leftChars="118" w:left="283"/>
        <w:rPr>
          <w:rFonts w:ascii="微軟正黑體" w:eastAsia="微軟正黑體" w:hAnsi="微軟正黑體"/>
          <w:sz w:val="20"/>
          <w:szCs w:val="20"/>
        </w:rPr>
      </w:pPr>
      <w:r w:rsidRPr="005C3DF9">
        <w:rPr>
          <w:rFonts w:ascii="微軟正黑體" w:eastAsia="微軟正黑體" w:hAnsi="微軟正黑體" w:hint="eastAsia"/>
          <w:sz w:val="20"/>
          <w:szCs w:val="20"/>
        </w:rPr>
        <w:t>資料來源：</w:t>
      </w:r>
      <w:r w:rsidRPr="005C3DF9">
        <w:rPr>
          <w:rFonts w:ascii="微軟正黑體" w:eastAsia="微軟正黑體" w:hAnsi="微軟正黑體"/>
          <w:sz w:val="20"/>
          <w:szCs w:val="20"/>
        </w:rPr>
        <w:t>JETRO Japan External Trade Organization</w:t>
      </w:r>
      <w:r w:rsidRPr="005C3DF9">
        <w:rPr>
          <w:rFonts w:ascii="微軟正黑體" w:eastAsia="微軟正黑體" w:hAnsi="微軟正黑體" w:hint="eastAsia"/>
          <w:sz w:val="20"/>
          <w:szCs w:val="20"/>
        </w:rPr>
        <w:t>「日本的社會保障制度」，</w:t>
      </w:r>
      <w:hyperlink r:id="rId133" w:history="1">
        <w:r w:rsidRPr="00C77ACA">
          <w:rPr>
            <w:rStyle w:val="af7"/>
            <w:rFonts w:ascii="微軟正黑體" w:eastAsia="微軟正黑體" w:hAnsi="微軟正黑體"/>
            <w:color w:val="auto"/>
            <w:sz w:val="20"/>
            <w:szCs w:val="20"/>
            <w:u w:val="none"/>
          </w:rPr>
          <w:t>https://www.jetro.go.jp/tc/invest/setting_up/section4/page9.html</w:t>
        </w:r>
      </w:hyperlink>
      <w:r w:rsidRPr="00C77ACA">
        <w:rPr>
          <w:rFonts w:ascii="微軟正黑體" w:eastAsia="微軟正黑體" w:hAnsi="微軟正黑體" w:hint="eastAsia"/>
          <w:sz w:val="20"/>
          <w:szCs w:val="20"/>
        </w:rPr>
        <w:t>。</w:t>
      </w:r>
    </w:p>
    <w:p w:rsidR="000827B0" w:rsidRDefault="000827B0" w:rsidP="00821A46">
      <w:pPr>
        <w:spacing w:beforeLines="30" w:before="72" w:line="280" w:lineRule="exact"/>
        <w:ind w:leftChars="118" w:left="283"/>
        <w:rPr>
          <w:rFonts w:ascii="微軟正黑體" w:eastAsia="微軟正黑體" w:hAnsi="微軟正黑體"/>
          <w:sz w:val="20"/>
          <w:szCs w:val="20"/>
        </w:rPr>
      </w:pPr>
    </w:p>
    <w:p w:rsidR="000827B0" w:rsidRPr="005C3DF9" w:rsidRDefault="000827B0" w:rsidP="00821A46">
      <w:pPr>
        <w:spacing w:beforeLines="30" w:before="72" w:line="280" w:lineRule="exact"/>
        <w:ind w:leftChars="118" w:left="283"/>
        <w:rPr>
          <w:rFonts w:ascii="微軟正黑體" w:eastAsia="微軟正黑體" w:hAnsi="微軟正黑體"/>
          <w:sz w:val="20"/>
          <w:szCs w:val="20"/>
        </w:rPr>
      </w:pP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lastRenderedPageBreak/>
        <w:t>通常，將雇員工傷保險</w:t>
      </w:r>
      <w:r w:rsidRPr="00245554">
        <w:rPr>
          <w:rFonts w:ascii="微軟正黑體" w:eastAsia="微軟正黑體" w:hAnsi="微軟正黑體" w:hint="eastAsia"/>
        </w:rPr>
        <w:t>與雇用保險統</w:t>
      </w:r>
      <w:r w:rsidRPr="003A7AE4">
        <w:rPr>
          <w:rFonts w:ascii="微軟正黑體" w:eastAsia="微軟正黑體" w:hAnsi="微軟正黑體" w:hint="eastAsia"/>
        </w:rPr>
        <w:t>稱為「勞工保險」，將健康保險、護理保險與福利退休保險統稱為「社會保險」。關於投保手續，企業因初次聘用員工、勞動者、成立法人等成為投保上述保險的適用對象時，要向監督機關申報勞工保險和社會保險。保費的支付方法一般由企業從雇員工資中扣除雇員應承擔的部分加上企業經營者應承擔的部分一併繳納給監督機關。</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不同於</w:t>
      </w:r>
      <w:r w:rsidRPr="002B16A4">
        <w:rPr>
          <w:rFonts w:ascii="微軟正黑體" w:eastAsia="微軟正黑體" w:hAnsi="微軟正黑體" w:hint="eastAsia"/>
        </w:rPr>
        <w:t>臺</w:t>
      </w:r>
      <w:r w:rsidRPr="003A7AE4">
        <w:rPr>
          <w:rFonts w:ascii="微軟正黑體" w:eastAsia="微軟正黑體" w:hAnsi="微軟正黑體" w:hint="eastAsia"/>
        </w:rPr>
        <w:t>灣將退休金制度寫入勞動基準法</w:t>
      </w:r>
      <w:r w:rsidRPr="002B16A4">
        <w:rPr>
          <w:rFonts w:ascii="微軟正黑體" w:eastAsia="微軟正黑體" w:hAnsi="微軟正黑體" w:hint="eastAsia"/>
        </w:rPr>
        <w:t>及勞工退休金條例</w:t>
      </w:r>
      <w:r w:rsidRPr="003A7AE4">
        <w:rPr>
          <w:rFonts w:ascii="微軟正黑體" w:eastAsia="微軟正黑體" w:hAnsi="微軟正黑體" w:hint="eastAsia"/>
        </w:rPr>
        <w:t>，日本勞働基準法中並無明文退休金制度規定，而是另外訂定養老金制度，由公共年金和非公共年金組成，公共年金又可分為國民年金和厚生年</w:t>
      </w:r>
      <w:r>
        <w:rPr>
          <w:rFonts w:ascii="微軟正黑體" w:eastAsia="微軟正黑體" w:hAnsi="微軟正黑體" w:hint="eastAsia"/>
        </w:rPr>
        <w:t>金。所以實際上，日本的養老制度由三階層構成，將被保險人分為三類：</w:t>
      </w:r>
      <w:r w:rsidRPr="003A7AE4">
        <w:rPr>
          <w:rFonts w:ascii="微軟正黑體" w:eastAsia="微軟正黑體" w:hAnsi="微軟正黑體" w:hint="eastAsia"/>
        </w:rPr>
        <w:t>第一類為自營作業者、學生、失業者等；第二類為受僱於企業的正式員工、公務員等；第三類為二類保險者之被扶養配偶。</w:t>
      </w:r>
    </w:p>
    <w:p w:rsidR="00821A46" w:rsidRPr="00BC1700" w:rsidRDefault="00821A46" w:rsidP="00BD50E5">
      <w:pPr>
        <w:pStyle w:val="af0"/>
        <w:numPr>
          <w:ilvl w:val="0"/>
          <w:numId w:val="32"/>
        </w:numPr>
        <w:spacing w:beforeLines="50" w:before="120" w:afterLines="50" w:after="120" w:line="400" w:lineRule="exact"/>
        <w:ind w:leftChars="0" w:hangingChars="170"/>
        <w:jc w:val="both"/>
        <w:rPr>
          <w:rFonts w:ascii="微軟正黑體" w:eastAsia="微軟正黑體" w:hAnsi="微軟正黑體"/>
        </w:rPr>
      </w:pPr>
      <w:r>
        <w:rPr>
          <w:rFonts w:ascii="微軟正黑體" w:eastAsia="微軟正黑體" w:hAnsi="微軟正黑體" w:hint="eastAsia"/>
        </w:rPr>
        <w:t xml:space="preserve"> </w:t>
      </w:r>
      <w:r w:rsidRPr="00572AA1">
        <w:rPr>
          <w:rFonts w:ascii="微軟正黑體" w:eastAsia="微軟正黑體" w:hAnsi="微軟正黑體" w:hint="eastAsia"/>
        </w:rPr>
        <w:t>第一階層：國民年金(基礎年金)</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適用於居住在日本的所有</w:t>
      </w:r>
      <w:r w:rsidRPr="003A7AE4">
        <w:rPr>
          <w:rFonts w:ascii="微軟正黑體" w:eastAsia="微軟正黑體" w:hAnsi="微軟正黑體"/>
        </w:rPr>
        <w:t>20</w:t>
      </w:r>
      <w:r w:rsidRPr="003A7AE4">
        <w:rPr>
          <w:rFonts w:ascii="微軟正黑體" w:eastAsia="微軟正黑體" w:hAnsi="微軟正黑體" w:hint="eastAsia"/>
        </w:rPr>
        <w:t>歲至</w:t>
      </w:r>
      <w:r w:rsidRPr="003A7AE4">
        <w:rPr>
          <w:rFonts w:ascii="微軟正黑體" w:eastAsia="微軟正黑體" w:hAnsi="微軟正黑體"/>
        </w:rPr>
        <w:t>60</w:t>
      </w:r>
      <w:r w:rsidRPr="003A7AE4">
        <w:rPr>
          <w:rFonts w:ascii="微軟正黑體" w:eastAsia="微軟正黑體" w:hAnsi="微軟正黑體" w:hint="eastAsia"/>
        </w:rPr>
        <w:t>歲以下之人，不分職業都有義務參加國民年金。</w:t>
      </w:r>
      <w:r>
        <w:rPr>
          <w:rFonts w:ascii="微軟正黑體" w:eastAsia="微軟正黑體" w:hAnsi="微軟正黑體" w:hint="eastAsia"/>
        </w:rPr>
        <w:t>僅領取國民養老金者(第一位被保險人)每月支付的養老金保費是固定金額(</w:t>
      </w:r>
      <w:r w:rsidRPr="003A7AE4">
        <w:rPr>
          <w:rFonts w:ascii="微軟正黑體" w:eastAsia="微軟正黑體" w:hAnsi="微軟正黑體" w:hint="eastAsia"/>
        </w:rPr>
        <w:t>截至</w:t>
      </w:r>
      <w:r w:rsidRPr="003A7AE4">
        <w:rPr>
          <w:rFonts w:ascii="微軟正黑體" w:eastAsia="微軟正黑體" w:hAnsi="微軟正黑體"/>
        </w:rPr>
        <w:t>2019</w:t>
      </w:r>
      <w:r w:rsidRPr="003A7AE4">
        <w:rPr>
          <w:rFonts w:ascii="微軟正黑體" w:eastAsia="微軟正黑體" w:hAnsi="微軟正黑體" w:hint="eastAsia"/>
        </w:rPr>
        <w:t>年為</w:t>
      </w:r>
      <w:r w:rsidRPr="003A7AE4">
        <w:rPr>
          <w:rFonts w:ascii="微軟正黑體" w:eastAsia="微軟正黑體" w:hAnsi="微軟正黑體"/>
        </w:rPr>
        <w:t>16,410</w:t>
      </w:r>
      <w:r w:rsidRPr="003A7AE4">
        <w:rPr>
          <w:rFonts w:ascii="微軟正黑體" w:eastAsia="微軟正黑體" w:hAnsi="微軟正黑體" w:hint="eastAsia"/>
        </w:rPr>
        <w:t>日元</w:t>
      </w:r>
      <w:r>
        <w:rPr>
          <w:rFonts w:ascii="微軟正黑體" w:eastAsia="微軟正黑體" w:hAnsi="微軟正黑體" w:hint="eastAsia"/>
        </w:rPr>
        <w:t>)</w:t>
      </w:r>
      <w:r w:rsidRPr="003A7AE4">
        <w:rPr>
          <w:rFonts w:ascii="微軟正黑體" w:eastAsia="微軟正黑體" w:hAnsi="微軟正黑體" w:hint="eastAsia"/>
        </w:rPr>
        <w:t>。目前國家養老金開始</w:t>
      </w:r>
      <w:r w:rsidRPr="00261268">
        <w:rPr>
          <w:rFonts w:ascii="微軟正黑體" w:eastAsia="微軟正黑體" w:hAnsi="微軟正黑體" w:hint="eastAsia"/>
        </w:rPr>
        <w:t>請領</w:t>
      </w:r>
      <w:r w:rsidRPr="003A7AE4">
        <w:rPr>
          <w:rFonts w:ascii="微軟正黑體" w:eastAsia="微軟正黑體" w:hAnsi="微軟正黑體" w:hint="eastAsia"/>
        </w:rPr>
        <w:t>年齡為</w:t>
      </w:r>
      <w:r w:rsidRPr="003A7AE4">
        <w:rPr>
          <w:rFonts w:ascii="微軟正黑體" w:eastAsia="微軟正黑體" w:hAnsi="微軟正黑體"/>
        </w:rPr>
        <w:t>65</w:t>
      </w:r>
      <w:r w:rsidRPr="003A7AE4">
        <w:rPr>
          <w:rFonts w:ascii="微軟正黑體" w:eastAsia="微軟正黑體" w:hAnsi="微軟正黑體" w:hint="eastAsia"/>
        </w:rPr>
        <w:t>歲，根據給付期限確定福利金額，國民若已繳納</w:t>
      </w:r>
      <w:r w:rsidRPr="003A7AE4">
        <w:rPr>
          <w:rFonts w:ascii="微軟正黑體" w:eastAsia="微軟正黑體" w:hAnsi="微軟正黑體"/>
        </w:rPr>
        <w:t>20</w:t>
      </w:r>
      <w:r w:rsidRPr="003A7AE4">
        <w:rPr>
          <w:rFonts w:ascii="微軟正黑體" w:eastAsia="微軟正黑體" w:hAnsi="微軟正黑體" w:hint="eastAsia"/>
        </w:rPr>
        <w:t>至</w:t>
      </w:r>
      <w:r w:rsidRPr="003A7AE4">
        <w:rPr>
          <w:rFonts w:ascii="微軟正黑體" w:eastAsia="微軟正黑體" w:hAnsi="微軟正黑體"/>
        </w:rPr>
        <w:t>60</w:t>
      </w:r>
      <w:r w:rsidRPr="003A7AE4">
        <w:rPr>
          <w:rFonts w:ascii="微軟正黑體" w:eastAsia="微軟正黑體" w:hAnsi="微軟正黑體" w:hint="eastAsia"/>
        </w:rPr>
        <w:t>歲這</w:t>
      </w:r>
      <w:r w:rsidRPr="003A7AE4">
        <w:rPr>
          <w:rFonts w:ascii="微軟正黑體" w:eastAsia="微軟正黑體" w:hAnsi="微軟正黑體"/>
        </w:rPr>
        <w:t>40</w:t>
      </w:r>
      <w:r w:rsidRPr="003A7AE4">
        <w:rPr>
          <w:rFonts w:ascii="微軟正黑體" w:eastAsia="微軟正黑體" w:hAnsi="微軟正黑體" w:hint="eastAsia"/>
        </w:rPr>
        <w:t>年的全部保費，則每月可獲得約</w:t>
      </w:r>
      <w:r w:rsidRPr="003A7AE4">
        <w:rPr>
          <w:rFonts w:ascii="微軟正黑體" w:eastAsia="微軟正黑體" w:hAnsi="微軟正黑體"/>
        </w:rPr>
        <w:t>65,000</w:t>
      </w:r>
      <w:r>
        <w:rPr>
          <w:rFonts w:ascii="微軟正黑體" w:eastAsia="微軟正黑體" w:hAnsi="微軟正黑體" w:hint="eastAsia"/>
        </w:rPr>
        <w:t>日元的全額費用(</w:t>
      </w:r>
      <w:r w:rsidRPr="003A7AE4">
        <w:rPr>
          <w:rFonts w:ascii="微軟正黑體" w:eastAsia="微軟正黑體" w:hAnsi="微軟正黑體" w:hint="eastAsia"/>
        </w:rPr>
        <w:t>截至</w:t>
      </w:r>
      <w:r w:rsidRPr="003A7AE4">
        <w:rPr>
          <w:rFonts w:ascii="微軟正黑體" w:eastAsia="微軟正黑體" w:hAnsi="微軟正黑體"/>
        </w:rPr>
        <w:t>2019</w:t>
      </w:r>
      <w:r>
        <w:rPr>
          <w:rFonts w:ascii="微軟正黑體" w:eastAsia="微軟正黑體" w:hAnsi="微軟正黑體" w:hint="eastAsia"/>
        </w:rPr>
        <w:t>年)</w:t>
      </w:r>
      <w:r w:rsidRPr="003A7AE4">
        <w:rPr>
          <w:rFonts w:ascii="微軟正黑體" w:eastAsia="微軟正黑體" w:hAnsi="微軟正黑體" w:hint="eastAsia"/>
        </w:rPr>
        <w:t>。</w:t>
      </w:r>
    </w:p>
    <w:p w:rsidR="00821A46" w:rsidRPr="00314587" w:rsidRDefault="00821A46" w:rsidP="00BD50E5">
      <w:pPr>
        <w:pStyle w:val="af0"/>
        <w:numPr>
          <w:ilvl w:val="0"/>
          <w:numId w:val="32"/>
        </w:numPr>
        <w:spacing w:beforeLines="50" w:before="120" w:afterLines="50" w:after="120" w:line="400" w:lineRule="exact"/>
        <w:ind w:leftChars="0" w:hangingChars="170"/>
        <w:jc w:val="both"/>
        <w:rPr>
          <w:rFonts w:ascii="微軟正黑體" w:eastAsia="微軟正黑體" w:hAnsi="微軟正黑體"/>
        </w:rPr>
      </w:pPr>
      <w:r>
        <w:rPr>
          <w:rFonts w:ascii="微軟正黑體" w:eastAsia="微軟正黑體" w:hAnsi="微軟正黑體" w:hint="eastAsia"/>
        </w:rPr>
        <w:t xml:space="preserve"> </w:t>
      </w:r>
      <w:r w:rsidRPr="00314587">
        <w:rPr>
          <w:rFonts w:ascii="微軟正黑體" w:eastAsia="微軟正黑體" w:hAnsi="微軟正黑體" w:hint="eastAsia"/>
        </w:rPr>
        <w:t>第二階層：厚生年金(共濟年金)</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在日本受僱於企業的正式員工、公務員不論年齡皆有義務參加厚生年金。年金的保費是月薪的固定比率</w:t>
      </w:r>
      <w:r>
        <w:rPr>
          <w:rFonts w:ascii="微軟正黑體" w:eastAsia="微軟正黑體" w:hAnsi="微軟正黑體" w:hint="eastAsia"/>
        </w:rPr>
        <w:t>(</w:t>
      </w:r>
      <w:r w:rsidRPr="003A7AE4">
        <w:rPr>
          <w:rFonts w:ascii="微軟正黑體" w:eastAsia="微軟正黑體" w:hAnsi="微軟正黑體" w:hint="eastAsia"/>
        </w:rPr>
        <w:t>截至</w:t>
      </w:r>
      <w:r w:rsidRPr="003A7AE4">
        <w:rPr>
          <w:rFonts w:ascii="微軟正黑體" w:eastAsia="微軟正黑體" w:hAnsi="微軟正黑體"/>
        </w:rPr>
        <w:t>2018</w:t>
      </w:r>
      <w:r w:rsidRPr="003A7AE4">
        <w:rPr>
          <w:rFonts w:ascii="微軟正黑體" w:eastAsia="微軟正黑體" w:hAnsi="微軟正黑體" w:hint="eastAsia"/>
        </w:rPr>
        <w:t>年底為</w:t>
      </w:r>
      <w:r w:rsidRPr="003A7AE4">
        <w:rPr>
          <w:rFonts w:ascii="微軟正黑體" w:eastAsia="微軟正黑體" w:hAnsi="微軟正黑體"/>
        </w:rPr>
        <w:t>18.3</w:t>
      </w:r>
      <w:r>
        <w:rPr>
          <w:rFonts w:ascii="微軟正黑體" w:eastAsia="微軟正黑體" w:hAnsi="微軟正黑體" w:hint="eastAsia"/>
        </w:rPr>
        <w:t>％)</w:t>
      </w:r>
      <w:r w:rsidRPr="003A7AE4">
        <w:rPr>
          <w:rFonts w:ascii="微軟正黑體" w:eastAsia="微軟正黑體" w:hAnsi="微軟正黑體" w:hint="eastAsia"/>
        </w:rPr>
        <w:t>，實際支付金額因個人而異，此外雇主承擔僱員養老金的一半保險費，實際支付金額是工資明細上寫的保險費的兩倍。而公務員保費也是個人和國家折半。</w:t>
      </w:r>
      <w:r w:rsidRPr="005C3DF9">
        <w:rPr>
          <w:vertAlign w:val="superscript"/>
        </w:rPr>
        <w:footnoteReference w:id="18"/>
      </w:r>
    </w:p>
    <w:p w:rsidR="00821A46" w:rsidRPr="00314587" w:rsidRDefault="00821A46" w:rsidP="00BD50E5">
      <w:pPr>
        <w:pStyle w:val="af0"/>
        <w:numPr>
          <w:ilvl w:val="0"/>
          <w:numId w:val="32"/>
        </w:numPr>
        <w:spacing w:beforeLines="50" w:before="120" w:afterLines="50" w:after="120" w:line="400" w:lineRule="exact"/>
        <w:ind w:leftChars="0" w:hangingChars="170"/>
        <w:jc w:val="both"/>
        <w:rPr>
          <w:rFonts w:ascii="微軟正黑體" w:eastAsia="微軟正黑體" w:hAnsi="微軟正黑體"/>
        </w:rPr>
      </w:pPr>
      <w:r>
        <w:rPr>
          <w:rFonts w:ascii="微軟正黑體" w:eastAsia="微軟正黑體" w:hAnsi="微軟正黑體" w:hint="eastAsia"/>
        </w:rPr>
        <w:t xml:space="preserve"> </w:t>
      </w:r>
      <w:r w:rsidRPr="00314587">
        <w:rPr>
          <w:rFonts w:ascii="微軟正黑體" w:eastAsia="微軟正黑體" w:hAnsi="微軟正黑體" w:hint="eastAsia"/>
        </w:rPr>
        <w:t>第三階層：非公共年金(企業年金、個人年金)</w:t>
      </w:r>
    </w:p>
    <w:p w:rsidR="00821A46"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企業年金種類繁多，現行有確定給付企業年金制度</w:t>
      </w:r>
      <w:r w:rsidRPr="003A7AE4">
        <w:rPr>
          <w:rFonts w:ascii="微軟正黑體" w:eastAsia="微軟正黑體" w:hAnsi="微軟正黑體"/>
        </w:rPr>
        <w:t>(DB)</w:t>
      </w:r>
      <w:r w:rsidRPr="003A7AE4">
        <w:rPr>
          <w:rFonts w:ascii="微軟正黑體" w:eastAsia="微軟正黑體" w:hAnsi="微軟正黑體" w:hint="eastAsia"/>
        </w:rPr>
        <w:t>、企業行確定拠出年金制度</w:t>
      </w:r>
      <w:r w:rsidRPr="003A7AE4">
        <w:rPr>
          <w:rFonts w:ascii="微軟正黑體" w:eastAsia="微軟正黑體" w:hAnsi="微軟正黑體"/>
        </w:rPr>
        <w:t>(DC)</w:t>
      </w:r>
      <w:r w:rsidRPr="003A7AE4">
        <w:rPr>
          <w:rFonts w:ascii="微軟正黑體" w:eastAsia="微軟正黑體" w:hAnsi="微軟正黑體" w:hint="eastAsia"/>
        </w:rPr>
        <w:t>、個人型確定拠出年金</w:t>
      </w:r>
      <w:r w:rsidRPr="003A7AE4">
        <w:rPr>
          <w:rFonts w:ascii="微軟正黑體" w:eastAsia="微軟正黑體" w:hAnsi="微軟正黑體"/>
        </w:rPr>
        <w:t>(iDeCo)</w:t>
      </w:r>
      <w:r w:rsidRPr="003A7AE4">
        <w:rPr>
          <w:rFonts w:ascii="微軟正黑體" w:eastAsia="微軟正黑體" w:hAnsi="微軟正黑體" w:hint="eastAsia"/>
        </w:rPr>
        <w:t>、厚生年金基金制度、國民年金基金制度。非公共年金是為了進一步增加人們年老後的收入，讓人們可以安心養老，並沒有法律義務，個人可以彈性規劃調整自己所擁有的公共年金與非公共年金。</w:t>
      </w:r>
      <w:r w:rsidRPr="005C3DF9">
        <w:rPr>
          <w:vertAlign w:val="superscript"/>
        </w:rPr>
        <w:footnoteReference w:id="19"/>
      </w:r>
    </w:p>
    <w:p w:rsidR="00821A46" w:rsidRPr="00EB7773" w:rsidRDefault="00821A46" w:rsidP="00821A46">
      <w:pPr>
        <w:spacing w:beforeLines="30" w:before="72" w:line="400" w:lineRule="exact"/>
        <w:ind w:firstLineChars="200" w:firstLine="480"/>
        <w:jc w:val="both"/>
        <w:rPr>
          <w:rFonts w:ascii="微軟正黑體" w:eastAsia="微軟正黑體" w:hAnsi="微軟正黑體"/>
          <w:color w:val="C00000"/>
        </w:rPr>
      </w:pPr>
      <w:r w:rsidRPr="00A213CC">
        <w:rPr>
          <w:rFonts w:ascii="微軟正黑體" w:eastAsia="微軟正黑體" w:hAnsi="微軟正黑體" w:hint="eastAsia"/>
        </w:rPr>
        <w:t>日本與多個國家簽有社會安全協議，包括1998年4月20日與德國簽訂、2000年2月29日與英國簽訂、2004年2月19日與美國簽訂、2005年2月23日與比利時簽訂、2006年2月15日與加拿大簽訂、2007年2月27日與澳洲簽訂、2008年2月21日與捷克簽訂、2008年2月21日與荷蘭簽訂、2009年2月6日與義大利簽訂、2009年10月29日與愛爾蘭簽訂、2010年7月29 日與巴西簽訂、2010年10月22</w:t>
      </w:r>
      <w:r w:rsidRPr="00A213CC">
        <w:rPr>
          <w:rFonts w:ascii="微軟正黑體" w:eastAsia="微軟正黑體" w:hAnsi="微軟正黑體" w:hint="eastAsia"/>
        </w:rPr>
        <w:lastRenderedPageBreak/>
        <w:t>日與瑞士簽訂等。外國人若受日本企業僱用，除當然有勞災保險之適用外，若滿足工作時間之相關要件，亦有</w:t>
      </w:r>
      <w:r w:rsidRPr="00245554">
        <w:rPr>
          <w:rFonts w:ascii="微軟正黑體" w:eastAsia="微軟正黑體" w:hAnsi="微軟正黑體" w:hint="eastAsia"/>
        </w:rPr>
        <w:t>雇用保險</w:t>
      </w:r>
      <w:r w:rsidRPr="00A213CC">
        <w:rPr>
          <w:rFonts w:ascii="微軟正黑體" w:eastAsia="微軟正黑體" w:hAnsi="微軟正黑體" w:hint="eastAsia"/>
        </w:rPr>
        <w:t>、厚生年金與健康保險之適用。其中，勞災保險之保費僅由雇主負擔，而</w:t>
      </w:r>
      <w:r w:rsidRPr="00245554">
        <w:rPr>
          <w:rFonts w:ascii="微軟正黑體" w:eastAsia="微軟正黑體" w:hAnsi="微軟正黑體" w:hint="eastAsia"/>
        </w:rPr>
        <w:t>雇用保險</w:t>
      </w:r>
      <w:r w:rsidRPr="00A213CC">
        <w:rPr>
          <w:rFonts w:ascii="微軟正黑體" w:eastAsia="微軟正黑體" w:hAnsi="微軟正黑體" w:hint="eastAsia"/>
        </w:rPr>
        <w:t>、厚生年金與健康保險之保</w:t>
      </w:r>
      <w:r>
        <w:rPr>
          <w:rFonts w:ascii="微軟正黑體" w:eastAsia="微軟正黑體" w:hAnsi="微軟正黑體" w:hint="eastAsia"/>
        </w:rPr>
        <w:t>費，則由雇主與勞工本人共同負擔。至於給付，若為</w:t>
      </w:r>
      <w:r w:rsidRPr="00245554">
        <w:rPr>
          <w:rFonts w:ascii="微軟正黑體" w:eastAsia="微軟正黑體" w:hAnsi="微軟正黑體" w:hint="eastAsia"/>
        </w:rPr>
        <w:t>雇用保險</w:t>
      </w:r>
      <w:r w:rsidRPr="00A213CC">
        <w:rPr>
          <w:rFonts w:ascii="微軟正黑體" w:eastAsia="微軟正黑體" w:hAnsi="微軟正黑體" w:hint="eastAsia"/>
        </w:rPr>
        <w:t>，離職前2年合計保險年資滿12個月以上時，公司破產或解僱則為離職前1年合計保險年資滿6個月以上時，得受領失業給付。而醫療、長照、勞災保險則與納保期間無關，均得領取給付。相對地，年金請領須保險年資達10年以上，外國人若於日本境內就業未滿10年而離開日本時，原則上不能領取年金給付；但若滿足一定條件時，可領取一次性返還金。此外，若為與日本訂有社會保障協定國家之國民，即便於日本之納保期間未滿10年，亦得領取年金。日本基礎國民年金強制</w:t>
      </w:r>
      <w:r>
        <w:rPr>
          <w:rFonts w:ascii="微軟正黑體" w:eastAsia="微軟正黑體" w:hAnsi="微軟正黑體" w:hint="eastAsia"/>
        </w:rPr>
        <w:t>20至</w:t>
      </w:r>
      <w:r w:rsidRPr="00A213CC">
        <w:rPr>
          <w:rFonts w:ascii="微軟正黑體" w:eastAsia="微軟正黑體" w:hAnsi="微軟正黑體" w:hint="eastAsia"/>
        </w:rPr>
        <w:t>未滿60歲的國民參加，外國人完成登錄者亦須加保。厚生年金保險適用於未滿65歲的工作者，外國籍勞工也要加保；加保25年者到65歲時 ，可請領養老金。預期無法加保滿25年的外國人，若加保滿6個月以上，可在離開日本後的2年內，申請一次性返還金，給付金額依加保年資而不等，但原則上一次性返還金較已繳納之保險費總額為少。</w:t>
      </w:r>
    </w:p>
    <w:p w:rsidR="00821A46" w:rsidRPr="003A7AE4" w:rsidRDefault="00821A46" w:rsidP="00821A46">
      <w:pPr>
        <w:spacing w:beforeLines="150" w:before="360" w:line="400" w:lineRule="exact"/>
        <w:jc w:val="center"/>
        <w:rPr>
          <w:rFonts w:ascii="微軟正黑體" w:eastAsia="微軟正黑體" w:hAnsi="微軟正黑體" w:cstheme="minorHAnsi"/>
          <w:b/>
          <w:sz w:val="32"/>
          <w:szCs w:val="32"/>
        </w:rPr>
      </w:pPr>
      <w:r w:rsidRPr="003A7AE4">
        <w:rPr>
          <w:rFonts w:ascii="微軟正黑體" w:eastAsia="微軟正黑體" w:hAnsi="微軟正黑體" w:cstheme="minorHAnsi" w:hint="eastAsia"/>
          <w:b/>
          <w:sz w:val="32"/>
          <w:szCs w:val="32"/>
        </w:rPr>
        <w:t>參、結論</w:t>
      </w:r>
    </w:p>
    <w:p w:rsidR="00821A46" w:rsidRPr="003A7AE4" w:rsidRDefault="00821A46" w:rsidP="00870A48">
      <w:pPr>
        <w:spacing w:beforeLines="150" w:before="360"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目前跨國工作者的老年經濟安全，很可能受限</w:t>
      </w:r>
      <w:r w:rsidRPr="00261268">
        <w:rPr>
          <w:rFonts w:ascii="微軟正黑體" w:eastAsia="微軟正黑體" w:hAnsi="微軟正黑體" w:hint="eastAsia"/>
        </w:rPr>
        <w:t>於</w:t>
      </w:r>
      <w:r w:rsidRPr="003A7AE4">
        <w:rPr>
          <w:rFonts w:ascii="微軟正黑體" w:eastAsia="微軟正黑體" w:hAnsi="微軟正黑體" w:hint="eastAsia"/>
        </w:rPr>
        <w:t>各國的社會保險制度缺乏通算機制，亦即在個別國家中無法達成或部</w:t>
      </w:r>
      <w:r>
        <w:rPr>
          <w:rFonts w:ascii="微軟正黑體" w:eastAsia="微軟正黑體" w:hAnsi="微軟正黑體" w:hint="eastAsia"/>
        </w:rPr>
        <w:t>分</w:t>
      </w:r>
      <w:r w:rsidRPr="003A7AE4">
        <w:rPr>
          <w:rFonts w:ascii="微軟正黑體" w:eastAsia="微軟正黑體" w:hAnsi="微軟正黑體" w:hint="eastAsia"/>
        </w:rPr>
        <w:t>達成社會保險的老年給付。因此，跨國勞工雖然都有繳納社會保險費，但是有可能在單一國家中老年給付</w:t>
      </w:r>
      <w:r>
        <w:rPr>
          <w:rFonts w:ascii="微軟正黑體" w:eastAsia="微軟正黑體" w:hAnsi="微軟正黑體" w:hint="eastAsia"/>
        </w:rPr>
        <w:t>的額度不足，甚至沒有老年給付。所以我國若希望與他國建立通算機制</w:t>
      </w:r>
      <w:r w:rsidRPr="00821A46">
        <w:rPr>
          <w:rFonts w:ascii="微軟正黑體" w:eastAsia="微軟正黑體" w:hAnsi="微軟正黑體" w:hint="eastAsia"/>
        </w:rPr>
        <w:t>(</w:t>
      </w:r>
      <w:r w:rsidRPr="003A7AE4">
        <w:rPr>
          <w:rFonts w:ascii="微軟正黑體" w:eastAsia="微軟正黑體" w:hAnsi="微軟正黑體" w:hint="eastAsia"/>
        </w:rPr>
        <w:t>或稱為社會安全協</w:t>
      </w:r>
      <w:r w:rsidRPr="00917B73">
        <w:rPr>
          <w:rFonts w:ascii="微軟正黑體" w:eastAsia="微軟正黑體" w:hAnsi="微軟正黑體" w:hint="eastAsia"/>
        </w:rPr>
        <w:t>定</w:t>
      </w:r>
      <w:r w:rsidRPr="00821A46">
        <w:rPr>
          <w:rFonts w:ascii="微軟正黑體" w:eastAsia="微軟正黑體" w:hAnsi="微軟正黑體" w:hint="eastAsia"/>
        </w:rPr>
        <w:t>)</w:t>
      </w:r>
      <w:r w:rsidRPr="00917B73">
        <w:rPr>
          <w:rFonts w:ascii="微軟正黑體" w:eastAsia="微軟正黑體" w:hAnsi="微軟正黑體" w:hint="eastAsia"/>
        </w:rPr>
        <w:t>。</w:t>
      </w:r>
      <w:r w:rsidRPr="003A7AE4">
        <w:rPr>
          <w:rFonts w:ascii="微軟正黑體" w:eastAsia="微軟正黑體" w:hAnsi="微軟正黑體" w:hint="eastAsia"/>
        </w:rPr>
        <w:t>充分的資訊是協商洽簽社會安全協議的基礎，故相關資訊的交換最可優先協商，如相關法規與執行與往來人數統計等。需洽簽的社會安全協定內容包括：</w:t>
      </w:r>
    </w:p>
    <w:p w:rsidR="00821A46" w:rsidRDefault="00821A46" w:rsidP="00BD50E5">
      <w:pPr>
        <w:pStyle w:val="af0"/>
        <w:numPr>
          <w:ilvl w:val="0"/>
          <w:numId w:val="33"/>
        </w:numPr>
        <w:spacing w:beforeLines="30" w:before="72" w:line="400" w:lineRule="exact"/>
        <w:ind w:leftChars="0" w:left="566" w:hangingChars="236" w:hanging="566"/>
        <w:jc w:val="both"/>
        <w:rPr>
          <w:rFonts w:ascii="微軟正黑體" w:eastAsia="微軟正黑體" w:hAnsi="微軟正黑體"/>
        </w:rPr>
      </w:pPr>
      <w:r>
        <w:rPr>
          <w:rFonts w:ascii="微軟正黑體" w:eastAsia="微軟正黑體" w:hAnsi="微軟正黑體" w:hint="eastAsia"/>
        </w:rPr>
        <w:t>適用的法律(項目涉及的法律界定)：</w:t>
      </w:r>
      <w:r w:rsidRPr="00BC27C3">
        <w:rPr>
          <w:rFonts w:ascii="微軟正黑體" w:eastAsia="微軟正黑體" w:hAnsi="微軟正黑體" w:hint="eastAsia"/>
        </w:rPr>
        <w:t>以老年給付和失能給付為主，如勞保老年給付和失能給付應是最優先協商的項目，我國可採取訂定延伸性條款之作法，供未來引用協商擴充適用項目。</w:t>
      </w:r>
    </w:p>
    <w:p w:rsidR="00821A46" w:rsidRDefault="00821A46" w:rsidP="00BD50E5">
      <w:pPr>
        <w:pStyle w:val="af0"/>
        <w:numPr>
          <w:ilvl w:val="0"/>
          <w:numId w:val="33"/>
        </w:numPr>
        <w:spacing w:beforeLines="30" w:before="72" w:line="400" w:lineRule="exact"/>
        <w:ind w:leftChars="0" w:left="566" w:hangingChars="236" w:hanging="566"/>
        <w:jc w:val="both"/>
        <w:rPr>
          <w:rFonts w:ascii="微軟正黑體" w:eastAsia="微軟正黑體" w:hAnsi="微軟正黑體"/>
        </w:rPr>
      </w:pPr>
      <w:r>
        <w:rPr>
          <w:rFonts w:ascii="微軟正黑體" w:eastAsia="微軟正黑體" w:hAnsi="微軟正黑體" w:hint="eastAsia"/>
        </w:rPr>
        <w:t>適用狀況期間：</w:t>
      </w:r>
      <w:r w:rsidRPr="00BC27C3">
        <w:rPr>
          <w:rFonts w:ascii="微軟正黑體" w:eastAsia="微軟正黑體" w:hAnsi="微軟正黑體" w:hint="eastAsia"/>
        </w:rPr>
        <w:t>一般是五年豁免，必要時得延長。依對手國的狀況，可彈性訂定。</w:t>
      </w:r>
    </w:p>
    <w:p w:rsidR="00821A46" w:rsidRPr="00BC27C3" w:rsidRDefault="00821A46" w:rsidP="00BD50E5">
      <w:pPr>
        <w:pStyle w:val="af0"/>
        <w:numPr>
          <w:ilvl w:val="0"/>
          <w:numId w:val="33"/>
        </w:numPr>
        <w:spacing w:beforeLines="30" w:before="72" w:line="400" w:lineRule="exact"/>
        <w:ind w:leftChars="0" w:left="566" w:hangingChars="236" w:hanging="566"/>
        <w:jc w:val="both"/>
        <w:rPr>
          <w:rFonts w:ascii="微軟正黑體" w:eastAsia="微軟正黑體" w:hAnsi="微軟正黑體"/>
        </w:rPr>
      </w:pPr>
      <w:r>
        <w:rPr>
          <w:rFonts w:ascii="微軟正黑體" w:eastAsia="微軟正黑體" w:hAnsi="微軟正黑體" w:hint="eastAsia"/>
        </w:rPr>
        <w:t>給付：</w:t>
      </w:r>
      <w:r w:rsidRPr="00BC27C3">
        <w:rPr>
          <w:rFonts w:ascii="微軟正黑體" w:eastAsia="微軟正黑體" w:hAnsi="微軟正黑體" w:hint="eastAsia"/>
        </w:rPr>
        <w:t>一般會規定，允許海外給付，換匯自由；無法請領給付時，採一次退還保費。不可跨國給付時，免除參加義務；若參加有利益時，可不被歧視地參加。我國已允許在海外申請給付，但在勞保費率遠低於給付的財務考量下，不宜允許未達退休年齡而離境的外國籍勞工提前申領一次性給付。</w:t>
      </w:r>
    </w:p>
    <w:p w:rsidR="00821A46" w:rsidRPr="003A7AE4" w:rsidRDefault="00821A46" w:rsidP="00BD50E5">
      <w:pPr>
        <w:pStyle w:val="af0"/>
        <w:numPr>
          <w:ilvl w:val="0"/>
          <w:numId w:val="33"/>
        </w:numPr>
        <w:spacing w:beforeLines="30" w:before="72" w:line="400" w:lineRule="exact"/>
        <w:ind w:leftChars="0" w:left="566" w:hangingChars="236" w:hanging="566"/>
        <w:jc w:val="both"/>
        <w:rPr>
          <w:rFonts w:ascii="微軟正黑體" w:eastAsia="微軟正黑體" w:hAnsi="微軟正黑體"/>
        </w:rPr>
      </w:pPr>
      <w:r>
        <w:rPr>
          <w:rFonts w:ascii="微軟正黑體" w:eastAsia="微軟正黑體" w:hAnsi="微軟正黑體" w:hint="eastAsia"/>
        </w:rPr>
        <w:t>年資採認標準：</w:t>
      </w:r>
      <w:r w:rsidRPr="003A7AE4">
        <w:rPr>
          <w:rFonts w:ascii="微軟正黑體" w:eastAsia="微軟正黑體" w:hAnsi="微軟正黑體" w:hint="eastAsia"/>
        </w:rPr>
        <w:t>跨國的投保年資如何採認，訂有採認條件和上限，協議內容會因國情差異而不同。故長期可協商互惠採認投保年資，但通算標準宜依簽訂國間的國情異同而有別。</w:t>
      </w:r>
    </w:p>
    <w:p w:rsidR="00821A46" w:rsidRPr="003A7AE4" w:rsidRDefault="00821A46" w:rsidP="00BD50E5">
      <w:pPr>
        <w:pStyle w:val="af0"/>
        <w:numPr>
          <w:ilvl w:val="0"/>
          <w:numId w:val="33"/>
        </w:numPr>
        <w:spacing w:beforeLines="30" w:before="72" w:line="400" w:lineRule="exact"/>
        <w:ind w:leftChars="0" w:left="566" w:hangingChars="236" w:hanging="566"/>
        <w:jc w:val="both"/>
        <w:rPr>
          <w:rFonts w:ascii="微軟正黑體" w:eastAsia="微軟正黑體" w:hAnsi="微軟正黑體"/>
        </w:rPr>
      </w:pPr>
      <w:r>
        <w:rPr>
          <w:rFonts w:ascii="微軟正黑體" w:eastAsia="微軟正黑體" w:hAnsi="微軟正黑體" w:hint="eastAsia"/>
        </w:rPr>
        <w:t>適用人員：</w:t>
      </w:r>
      <w:r w:rsidRPr="003A7AE4">
        <w:rPr>
          <w:rFonts w:ascii="微軟正黑體" w:eastAsia="微軟正黑體" w:hAnsi="微軟正黑體" w:hint="eastAsia"/>
        </w:rPr>
        <w:t>適用人員一般包括受僱者、自僱者、自第三國派入者；國籍船的受僱</w:t>
      </w:r>
      <w:r w:rsidRPr="003A7AE4">
        <w:rPr>
          <w:rFonts w:ascii="微軟正黑體" w:eastAsia="微軟正黑體" w:hAnsi="微軟正黑體" w:hint="eastAsia"/>
        </w:rPr>
        <w:lastRenderedPageBreak/>
        <w:t>船員、外交人員亦有適用者。受</w:t>
      </w:r>
      <w:r>
        <w:rPr>
          <w:rFonts w:ascii="微軟正黑體" w:eastAsia="微軟正黑體" w:hAnsi="微軟正黑體" w:hint="eastAsia"/>
        </w:rPr>
        <w:t>僱者未區分全職或部分工時者，</w:t>
      </w:r>
      <w:r w:rsidRPr="008123D7">
        <w:rPr>
          <w:rFonts w:ascii="微軟正黑體" w:eastAsia="微軟正黑體" w:hAnsi="微軟正黑體" w:hint="eastAsia"/>
        </w:rPr>
        <w:t>故</w:t>
      </w:r>
      <w:r>
        <w:rPr>
          <w:rFonts w:ascii="微軟正黑體" w:eastAsia="微軟正黑體" w:hAnsi="微軟正黑體" w:hint="eastAsia"/>
        </w:rPr>
        <w:t>應都包括在內。故可協商納入受僱者(含自第三國外派入國的簽訂協議國籍受僱者，包括全職和部分工時者)</w:t>
      </w:r>
      <w:r w:rsidRPr="003A7AE4">
        <w:rPr>
          <w:rFonts w:ascii="微軟正黑體" w:eastAsia="微軟正黑體" w:hAnsi="微軟正黑體" w:hint="eastAsia"/>
        </w:rPr>
        <w:t>、自僱者和雇主。</w:t>
      </w:r>
    </w:p>
    <w:p w:rsidR="00821A46" w:rsidRPr="003A7AE4" w:rsidRDefault="00821A46" w:rsidP="00BD50E5">
      <w:pPr>
        <w:pStyle w:val="af0"/>
        <w:numPr>
          <w:ilvl w:val="0"/>
          <w:numId w:val="33"/>
        </w:numPr>
        <w:spacing w:beforeLines="30" w:before="72" w:line="400" w:lineRule="exact"/>
        <w:ind w:leftChars="0" w:left="566" w:hangingChars="236" w:hanging="566"/>
        <w:jc w:val="both"/>
        <w:rPr>
          <w:rFonts w:ascii="微軟正黑體" w:eastAsia="微軟正黑體" w:hAnsi="微軟正黑體"/>
        </w:rPr>
      </w:pPr>
      <w:r>
        <w:rPr>
          <w:rFonts w:ascii="微軟正黑體" w:eastAsia="微軟正黑體" w:hAnsi="微軟正黑體" w:hint="eastAsia"/>
        </w:rPr>
        <w:t>資訊交換機制：</w:t>
      </w:r>
      <w:r w:rsidRPr="003A7AE4">
        <w:rPr>
          <w:rFonts w:ascii="微軟正黑體" w:eastAsia="微軟正黑體" w:hAnsi="微軟正黑體" w:hint="eastAsia"/>
        </w:rPr>
        <w:t>一般協議會規定，兩國行政機關互助、指定聯絡機關、資訊互惠分享</w:t>
      </w:r>
      <w:r w:rsidRPr="008123D7">
        <w:rPr>
          <w:rFonts w:ascii="微軟正黑體" w:eastAsia="微軟正黑體" w:hAnsi="微軟正黑體" w:hint="eastAsia"/>
        </w:rPr>
        <w:t>；</w:t>
      </w:r>
      <w:r w:rsidRPr="003A7AE4">
        <w:rPr>
          <w:rFonts w:ascii="微軟正黑體" w:eastAsia="微軟正黑體" w:hAnsi="微軟正黑體" w:hint="eastAsia"/>
        </w:rPr>
        <w:t>個資要保護等。故可協商法規以及移工資料的統計與交換。</w:t>
      </w:r>
    </w:p>
    <w:p w:rsidR="00821A46" w:rsidRPr="003A7AE4" w:rsidRDefault="00821A46" w:rsidP="00821A46">
      <w:pPr>
        <w:spacing w:beforeLines="30" w:before="72" w:line="400" w:lineRule="exact"/>
        <w:ind w:firstLineChars="200" w:firstLine="480"/>
        <w:jc w:val="both"/>
        <w:rPr>
          <w:rFonts w:ascii="微軟正黑體" w:eastAsia="微軟正黑體" w:hAnsi="微軟正黑體"/>
        </w:rPr>
      </w:pPr>
      <w:r w:rsidRPr="003A7AE4">
        <w:rPr>
          <w:rFonts w:ascii="微軟正黑體" w:eastAsia="微軟正黑體" w:hAnsi="微軟正黑體" w:hint="eastAsia"/>
        </w:rPr>
        <w:t>這幾年雖然受陷於</w:t>
      </w:r>
      <w:r w:rsidRPr="00752E5F">
        <w:rPr>
          <w:rFonts w:ascii="微軟正黑體" w:eastAsia="微軟正黑體" w:hAnsi="微軟正黑體" w:hint="eastAsia"/>
        </w:rPr>
        <w:t>COVID-19</w:t>
      </w:r>
      <w:r w:rsidRPr="003A7AE4">
        <w:rPr>
          <w:rFonts w:ascii="微軟正黑體" w:eastAsia="微軟正黑體" w:hAnsi="微軟正黑體" w:hint="eastAsia"/>
        </w:rPr>
        <w:t>疫情，許多勞工無法跨國工作，但可以思考疫情之後，若隨著跨國移工人數增加，他們的社會安全給付如何獲得，此議題廣受各國重視；因為移工會跨國移動，但社會安全的請領資格不會跨國移動；假使社會安全給付的跨國可攜帶程度不足，則會影響移工的社會安全權利和人權。因此未來社會安全協定的簽訂，將會影響跨國勞工的老年經濟安全，若要洽簽，我國可優先主動拋出洽商意向的對手國家，一是日本，因為該國已與眾多國家簽訂有社會安全協議，與我國關係良好，兩國往來移</w:t>
      </w:r>
      <w:r>
        <w:rPr>
          <w:rFonts w:ascii="微軟正黑體" w:eastAsia="微軟正黑體" w:hAnsi="微軟正黑體" w:hint="eastAsia"/>
        </w:rPr>
        <w:t>工有一定相當的人數(我國移入勞工人數為第六)</w:t>
      </w:r>
      <w:r w:rsidRPr="003A7AE4">
        <w:rPr>
          <w:rFonts w:ascii="微軟正黑體" w:eastAsia="微軟正黑體" w:hAnsi="微軟正黑體" w:hint="eastAsia"/>
        </w:rPr>
        <w:t>，且兩國社會安全體系的差異較小，故可作為我國協商洽簽社會安全協議的最優先對手國。</w:t>
      </w:r>
    </w:p>
    <w:p w:rsidR="00E037AA" w:rsidRDefault="00821A46" w:rsidP="00821A46">
      <w:pPr>
        <w:spacing w:beforeLines="30" w:before="72" w:line="400" w:lineRule="exact"/>
        <w:ind w:firstLineChars="200" w:firstLine="480"/>
        <w:jc w:val="both"/>
        <w:rPr>
          <w:rFonts w:ascii="微軟正黑體" w:eastAsia="微軟正黑體" w:hAnsi="微軟正黑體"/>
        </w:rPr>
        <w:sectPr w:rsidR="00E037AA" w:rsidSect="00C71C46">
          <w:pgSz w:w="11906" w:h="16838"/>
          <w:pgMar w:top="1106" w:right="1418" w:bottom="1134" w:left="1418" w:header="285" w:footer="338" w:gutter="0"/>
          <w:cols w:space="425"/>
          <w:docGrid w:linePitch="360"/>
        </w:sectPr>
      </w:pPr>
      <w:r w:rsidRPr="003A7AE4">
        <w:rPr>
          <w:rFonts w:ascii="微軟正黑體" w:eastAsia="微軟正黑體" w:hAnsi="微軟正黑體" w:hint="eastAsia"/>
        </w:rPr>
        <w:t>此外，東南亞的外勞來源國，如菲律賓和印尼，該</w:t>
      </w:r>
      <w:r w:rsidR="00F249E7">
        <w:rPr>
          <w:rFonts w:ascii="微軟正黑體" w:eastAsia="微軟正黑體" w:hAnsi="微軟正黑體" w:hint="eastAsia"/>
        </w:rPr>
        <w:t>兩</w:t>
      </w:r>
      <w:r w:rsidRPr="003A7AE4">
        <w:rPr>
          <w:rFonts w:ascii="微軟正黑體" w:eastAsia="微軟正黑體" w:hAnsi="微軟正黑體" w:hint="eastAsia"/>
        </w:rPr>
        <w:t>國已與數個接受其勞工人數眾多的國家簽訂有社會安全協議，有可能對我國提出協商洽簽社會安全協議之行動，以保障其勞工權益；惟該兩國與我國社會安全體系的差異較大，且東南亞外勞來源國家的戶籍制度不完整，故可作為我國長期下被動協商洽簽社會安全協議的對手國。</w:t>
      </w:r>
    </w:p>
    <w:p w:rsidR="00E037AA" w:rsidRDefault="00E037AA" w:rsidP="00E037AA">
      <w:pPr>
        <w:spacing w:line="400" w:lineRule="exact"/>
        <w:jc w:val="center"/>
        <w:rPr>
          <w:rFonts w:ascii="微軟正黑體" w:eastAsia="微軟正黑體" w:hAnsi="微軟正黑體" w:cstheme="minorHAnsi"/>
          <w:b/>
          <w:sz w:val="32"/>
          <w:szCs w:val="32"/>
        </w:rPr>
      </w:pPr>
      <w:r w:rsidRPr="00DB257D">
        <w:rPr>
          <w:rFonts w:ascii="微軟正黑體" w:eastAsia="微軟正黑體" w:hAnsi="微軟正黑體" w:cstheme="minorHAnsi" w:hint="eastAsia"/>
          <w:b/>
          <w:sz w:val="32"/>
          <w:szCs w:val="32"/>
        </w:rPr>
        <w:lastRenderedPageBreak/>
        <w:t>參考文獻</w:t>
      </w:r>
    </w:p>
    <w:p w:rsidR="00E037AA" w:rsidRPr="00E037AA" w:rsidRDefault="00E037AA" w:rsidP="00E037AA">
      <w:pPr>
        <w:spacing w:beforeLines="50" w:before="120" w:afterLines="50" w:after="120" w:line="400" w:lineRule="exact"/>
        <w:ind w:left="826" w:hangingChars="295" w:hanging="826"/>
        <w:jc w:val="both"/>
        <w:rPr>
          <w:rFonts w:ascii="微軟正黑體" w:eastAsia="微軟正黑體" w:hAnsi="微軟正黑體"/>
          <w:b/>
          <w:color w:val="000000"/>
          <w:kern w:val="0"/>
          <w:sz w:val="28"/>
          <w:szCs w:val="28"/>
          <w:lang w:bidi="hi-IN"/>
        </w:rPr>
      </w:pPr>
      <w:r>
        <w:rPr>
          <w:rFonts w:ascii="微軟正黑體" w:eastAsia="微軟正黑體" w:hAnsi="微軟正黑體" w:hint="eastAsia"/>
          <w:b/>
          <w:color w:val="000000"/>
          <w:kern w:val="0"/>
          <w:sz w:val="28"/>
          <w:szCs w:val="28"/>
          <w:lang w:bidi="hi-IN"/>
        </w:rPr>
        <w:t>一、</w:t>
      </w:r>
      <w:r w:rsidRPr="00E037AA">
        <w:rPr>
          <w:rFonts w:ascii="微軟正黑體" w:eastAsia="微軟正黑體" w:hAnsi="微軟正黑體" w:hint="eastAsia"/>
          <w:b/>
          <w:color w:val="000000"/>
          <w:kern w:val="0"/>
          <w:sz w:val="28"/>
          <w:szCs w:val="28"/>
          <w:lang w:bidi="hi-IN"/>
        </w:rPr>
        <w:t>中文部分</w:t>
      </w:r>
    </w:p>
    <w:p w:rsidR="00E037AA" w:rsidRPr="00815796" w:rsidRDefault="00E037AA" w:rsidP="00BD50E5">
      <w:pPr>
        <w:pStyle w:val="af0"/>
        <w:numPr>
          <w:ilvl w:val="0"/>
          <w:numId w:val="34"/>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rPr>
        <w:t>國家發展委員會(2020)</w:t>
      </w:r>
      <w:r w:rsidRPr="00815796">
        <w:rPr>
          <w:rFonts w:ascii="微軟正黑體" w:eastAsia="微軟正黑體" w:hAnsi="微軟正黑體" w:hint="eastAsia"/>
        </w:rPr>
        <w:t>。</w:t>
      </w:r>
      <w:r>
        <w:rPr>
          <w:rFonts w:ascii="微軟正黑體" w:eastAsia="微軟正黑體" w:hAnsi="微軟正黑體"/>
        </w:rPr>
        <w:t>中華民國人口推估</w:t>
      </w:r>
      <w:r>
        <w:rPr>
          <w:rFonts w:ascii="微軟正黑體" w:eastAsia="微軟正黑體" w:hAnsi="微軟正黑體" w:hint="eastAsia"/>
        </w:rPr>
        <w:t>(</w:t>
      </w:r>
      <w:r w:rsidRPr="00815796">
        <w:rPr>
          <w:rFonts w:ascii="微軟正黑體" w:eastAsia="微軟正黑體" w:hAnsi="微軟正黑體"/>
        </w:rPr>
        <w:t>2020至2070</w:t>
      </w:r>
      <w:r>
        <w:rPr>
          <w:rFonts w:ascii="微軟正黑體" w:eastAsia="微軟正黑體" w:hAnsi="微軟正黑體"/>
        </w:rPr>
        <w:t>年</w:t>
      </w:r>
      <w:r>
        <w:rPr>
          <w:rFonts w:ascii="微軟正黑體" w:eastAsia="微軟正黑體" w:hAnsi="微軟正黑體" w:hint="eastAsia"/>
        </w:rPr>
        <w:t>)</w:t>
      </w:r>
      <w:r w:rsidRPr="00815796">
        <w:rPr>
          <w:rFonts w:ascii="微軟正黑體" w:eastAsia="微軟正黑體" w:hAnsi="微軟正黑體" w:hint="eastAsia"/>
        </w:rPr>
        <w:t>。</w:t>
      </w:r>
    </w:p>
    <w:p w:rsidR="00E037AA" w:rsidRPr="00815796" w:rsidRDefault="00E037AA" w:rsidP="00BD50E5">
      <w:pPr>
        <w:pStyle w:val="af0"/>
        <w:numPr>
          <w:ilvl w:val="0"/>
          <w:numId w:val="34"/>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rPr>
        <w:t>周玟琪(2006)</w:t>
      </w:r>
      <w:r w:rsidRPr="00815796">
        <w:rPr>
          <w:rFonts w:ascii="微軟正黑體" w:eastAsia="微軟正黑體" w:hAnsi="微軟正黑體" w:hint="eastAsia"/>
        </w:rPr>
        <w:t>。</w:t>
      </w:r>
      <w:r w:rsidRPr="00815796">
        <w:rPr>
          <w:rFonts w:ascii="微軟正黑體" w:eastAsia="微軟正黑體" w:hAnsi="微軟正黑體"/>
        </w:rPr>
        <w:t>高齡社會時代下我國高齡者就業對策</w:t>
      </w:r>
      <w:r w:rsidRPr="00815796">
        <w:rPr>
          <w:rFonts w:ascii="微軟正黑體" w:eastAsia="微軟正黑體" w:hAnsi="微軟正黑體" w:hint="eastAsia"/>
        </w:rPr>
        <w:t>。</w:t>
      </w:r>
      <w:r w:rsidRPr="00815796">
        <w:rPr>
          <w:rFonts w:ascii="微軟正黑體" w:eastAsia="微軟正黑體" w:hAnsi="微軟正黑體"/>
        </w:rPr>
        <w:t>就業安全</w:t>
      </w:r>
      <w:r w:rsidRPr="00815796">
        <w:rPr>
          <w:rFonts w:ascii="微軟正黑體" w:eastAsia="微軟正黑體" w:hAnsi="微軟正黑體" w:hint="eastAsia"/>
        </w:rPr>
        <w:t>，</w:t>
      </w:r>
      <w:r w:rsidRPr="00815796">
        <w:rPr>
          <w:rFonts w:ascii="微軟正黑體" w:eastAsia="微軟正黑體" w:hAnsi="微軟正黑體"/>
        </w:rPr>
        <w:t>5(2)</w:t>
      </w:r>
      <w:r w:rsidRPr="00815796">
        <w:rPr>
          <w:rFonts w:ascii="微軟正黑體" w:eastAsia="微軟正黑體" w:hAnsi="微軟正黑體" w:hint="eastAsia"/>
        </w:rPr>
        <w:t>，</w:t>
      </w:r>
      <w:r w:rsidRPr="00815796">
        <w:rPr>
          <w:rFonts w:ascii="微軟正黑體" w:eastAsia="微軟正黑體" w:hAnsi="微軟正黑體"/>
        </w:rPr>
        <w:t>11-17</w:t>
      </w:r>
      <w:r w:rsidRPr="00815796">
        <w:rPr>
          <w:rFonts w:ascii="微軟正黑體" w:eastAsia="微軟正黑體" w:hAnsi="微軟正黑體" w:hint="eastAsia"/>
        </w:rPr>
        <w:t>。</w:t>
      </w:r>
    </w:p>
    <w:p w:rsidR="00E037AA" w:rsidRPr="00815796" w:rsidRDefault="00E037AA" w:rsidP="00BD50E5">
      <w:pPr>
        <w:pStyle w:val="af0"/>
        <w:numPr>
          <w:ilvl w:val="0"/>
          <w:numId w:val="34"/>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rPr>
        <w:t>蘇麗瓊(2007)</w:t>
      </w:r>
      <w:r w:rsidRPr="00815796">
        <w:rPr>
          <w:rFonts w:ascii="微軟正黑體" w:eastAsia="微軟正黑體" w:hAnsi="微軟正黑體" w:hint="eastAsia"/>
        </w:rPr>
        <w:t>。</w:t>
      </w:r>
      <w:r w:rsidRPr="00815796">
        <w:rPr>
          <w:rFonts w:ascii="微軟正黑體" w:eastAsia="微軟正黑體" w:hAnsi="微軟正黑體"/>
        </w:rPr>
        <w:t>高齡者就業趨勢探討</w:t>
      </w:r>
      <w:r w:rsidRPr="00815796">
        <w:rPr>
          <w:rFonts w:ascii="微軟正黑體" w:eastAsia="微軟正黑體" w:hAnsi="微軟正黑體" w:hint="eastAsia"/>
        </w:rPr>
        <w:t>。</w:t>
      </w:r>
      <w:r w:rsidRPr="00815796">
        <w:rPr>
          <w:rFonts w:ascii="微軟正黑體" w:eastAsia="微軟正黑體" w:hAnsi="微軟正黑體"/>
        </w:rPr>
        <w:t>台灣勞工雙月刊</w:t>
      </w:r>
      <w:r w:rsidRPr="00815796">
        <w:rPr>
          <w:rFonts w:ascii="微軟正黑體" w:eastAsia="微軟正黑體" w:hAnsi="微軟正黑體" w:hint="eastAsia"/>
        </w:rPr>
        <w:t>，</w:t>
      </w:r>
      <w:r w:rsidRPr="00815796">
        <w:rPr>
          <w:rFonts w:ascii="微軟正黑體" w:eastAsia="微軟正黑體" w:hAnsi="微軟正黑體"/>
        </w:rPr>
        <w:t>8</w:t>
      </w:r>
      <w:r w:rsidRPr="00815796">
        <w:rPr>
          <w:rFonts w:ascii="微軟正黑體" w:eastAsia="微軟正黑體" w:hAnsi="微軟正黑體" w:hint="eastAsia"/>
        </w:rPr>
        <w:t>，</w:t>
      </w:r>
      <w:r w:rsidRPr="00815796">
        <w:rPr>
          <w:rFonts w:ascii="微軟正黑體" w:eastAsia="微軟正黑體" w:hAnsi="微軟正黑體"/>
        </w:rPr>
        <w:t>18-32</w:t>
      </w:r>
      <w:r w:rsidRPr="00815796">
        <w:rPr>
          <w:rFonts w:ascii="微軟正黑體" w:eastAsia="微軟正黑體" w:hAnsi="微軟正黑體" w:hint="eastAsia"/>
        </w:rPr>
        <w:t>。</w:t>
      </w:r>
    </w:p>
    <w:p w:rsidR="00E037AA" w:rsidRDefault="00E037AA" w:rsidP="00BD50E5">
      <w:pPr>
        <w:pStyle w:val="af0"/>
        <w:numPr>
          <w:ilvl w:val="0"/>
          <w:numId w:val="34"/>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rPr>
        <w:t>勞動部(2019)</w:t>
      </w:r>
      <w:r w:rsidRPr="00815796">
        <w:rPr>
          <w:rFonts w:ascii="微軟正黑體" w:eastAsia="微軟正黑體" w:hAnsi="微軟正黑體" w:hint="eastAsia"/>
        </w:rPr>
        <w:t>。</w:t>
      </w:r>
      <w:r w:rsidRPr="00815796">
        <w:rPr>
          <w:rFonts w:ascii="微軟正黑體" w:eastAsia="微軟正黑體" w:hAnsi="微軟正黑體"/>
        </w:rPr>
        <w:t>國際勞動統計</w:t>
      </w:r>
      <w:r w:rsidRPr="00815796">
        <w:rPr>
          <w:rFonts w:ascii="微軟正黑體" w:eastAsia="微軟正黑體" w:hAnsi="微軟正黑體" w:hint="eastAsia"/>
        </w:rPr>
        <w:t>。</w:t>
      </w:r>
    </w:p>
    <w:p w:rsidR="00E037AA" w:rsidRPr="00E037AA" w:rsidRDefault="00E037AA" w:rsidP="00E037AA">
      <w:pPr>
        <w:spacing w:beforeLines="50" w:before="120" w:afterLines="50" w:after="120" w:line="400" w:lineRule="exact"/>
        <w:ind w:left="826" w:hangingChars="295" w:hanging="826"/>
        <w:jc w:val="both"/>
        <w:rPr>
          <w:rFonts w:ascii="微軟正黑體" w:eastAsia="微軟正黑體" w:hAnsi="微軟正黑體"/>
          <w:b/>
          <w:color w:val="000000"/>
          <w:kern w:val="0"/>
          <w:sz w:val="28"/>
          <w:szCs w:val="28"/>
          <w:lang w:bidi="hi-IN"/>
        </w:rPr>
      </w:pPr>
      <w:r>
        <w:rPr>
          <w:rFonts w:ascii="微軟正黑體" w:eastAsia="微軟正黑體" w:hAnsi="微軟正黑體" w:hint="eastAsia"/>
          <w:b/>
          <w:color w:val="000000"/>
          <w:kern w:val="0"/>
          <w:sz w:val="28"/>
          <w:szCs w:val="28"/>
          <w:lang w:bidi="hi-IN"/>
        </w:rPr>
        <w:t>二、</w:t>
      </w:r>
      <w:r w:rsidRPr="00E037AA">
        <w:rPr>
          <w:rFonts w:ascii="微軟正黑體" w:eastAsia="微軟正黑體" w:hAnsi="微軟正黑體" w:hint="eastAsia"/>
          <w:b/>
          <w:color w:val="000000"/>
          <w:kern w:val="0"/>
          <w:sz w:val="28"/>
          <w:szCs w:val="28"/>
          <w:lang w:bidi="hi-IN"/>
        </w:rPr>
        <w:t>外文部分</w:t>
      </w:r>
    </w:p>
    <w:p w:rsidR="00E037AA" w:rsidRPr="00815796" w:rsidRDefault="00E037AA" w:rsidP="00BD50E5">
      <w:pPr>
        <w:pStyle w:val="af0"/>
        <w:numPr>
          <w:ilvl w:val="0"/>
          <w:numId w:val="35"/>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rPr>
        <w:t>International Labour Office</w:t>
      </w:r>
      <w:r w:rsidRPr="00815796">
        <w:rPr>
          <w:rFonts w:ascii="微軟正黑體" w:eastAsia="微軟正黑體" w:hAnsi="微軟正黑體" w:hint="eastAsia"/>
        </w:rPr>
        <w:t>(2019)</w:t>
      </w:r>
      <w:r w:rsidRPr="00815796">
        <w:rPr>
          <w:rFonts w:ascii="微軟正黑體" w:eastAsia="微軟正黑體" w:hAnsi="微軟正黑體"/>
        </w:rPr>
        <w:t>. Work for a bighter future—Global Commission on the Future of Work</w:t>
      </w:r>
      <w:r w:rsidRPr="00815796">
        <w:rPr>
          <w:rFonts w:ascii="微軟正黑體" w:eastAsia="微軟正黑體" w:hAnsi="微軟正黑體" w:hint="eastAsia"/>
        </w:rPr>
        <w:t>.</w:t>
      </w:r>
      <w:r w:rsidRPr="00815796">
        <w:rPr>
          <w:rFonts w:ascii="微軟正黑體" w:eastAsia="微軟正黑體" w:hAnsi="微軟正黑體"/>
        </w:rPr>
        <w:t xml:space="preserve"> Geneva.</w:t>
      </w:r>
    </w:p>
    <w:p w:rsidR="00E037AA" w:rsidRPr="00815796" w:rsidRDefault="00E037AA" w:rsidP="00BD50E5">
      <w:pPr>
        <w:pStyle w:val="af0"/>
        <w:numPr>
          <w:ilvl w:val="0"/>
          <w:numId w:val="35"/>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rPr>
        <w:t>Behrendt, C. &amp; Nguyen, Q.A</w:t>
      </w:r>
      <w:r w:rsidRPr="00815796">
        <w:rPr>
          <w:rFonts w:ascii="微軟正黑體" w:eastAsia="微軟正黑體" w:hAnsi="微軟正黑體" w:hint="eastAsia"/>
        </w:rPr>
        <w:t>(2018)</w:t>
      </w:r>
      <w:r w:rsidRPr="00815796">
        <w:rPr>
          <w:rFonts w:ascii="微軟正黑體" w:eastAsia="微軟正黑體" w:hAnsi="微軟正黑體"/>
        </w:rPr>
        <w:t>. Innovative approaches for ensuring universal social protection for the future of work. Geneva.</w:t>
      </w:r>
    </w:p>
    <w:p w:rsidR="00E037AA" w:rsidRPr="00815796" w:rsidRDefault="00E037AA" w:rsidP="00BD50E5">
      <w:pPr>
        <w:pStyle w:val="af0"/>
        <w:numPr>
          <w:ilvl w:val="0"/>
          <w:numId w:val="35"/>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rPr>
        <w:t>Vietnam Report on Labor Force Survey</w:t>
      </w:r>
    </w:p>
    <w:p w:rsidR="00E037AA" w:rsidRPr="00815796" w:rsidRDefault="00E037AA" w:rsidP="00E037AA">
      <w:pPr>
        <w:pStyle w:val="af0"/>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rPr>
        <w:t>https://www.gso.gov.vn/default_en.aspx?tabid=515&amp;idmid=5&amp;ItemID=18994</w:t>
      </w:r>
    </w:p>
    <w:p w:rsidR="00E037AA" w:rsidRPr="00815796" w:rsidRDefault="00E037AA" w:rsidP="00BD50E5">
      <w:pPr>
        <w:pStyle w:val="af0"/>
        <w:numPr>
          <w:ilvl w:val="0"/>
          <w:numId w:val="35"/>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rPr>
        <w:t>泰國國家統計局</w:t>
      </w:r>
    </w:p>
    <w:p w:rsidR="00E037AA" w:rsidRPr="00815796" w:rsidRDefault="0004578D" w:rsidP="00E037AA">
      <w:pPr>
        <w:pStyle w:val="af0"/>
        <w:spacing w:beforeLines="30" w:before="72" w:line="400" w:lineRule="exact"/>
        <w:ind w:leftChars="0" w:left="567"/>
        <w:jc w:val="both"/>
        <w:rPr>
          <w:rFonts w:ascii="微軟正黑體" w:eastAsia="微軟正黑體" w:hAnsi="微軟正黑體"/>
        </w:rPr>
      </w:pPr>
      <w:hyperlink r:id="rId134" w:history="1">
        <w:r w:rsidR="00E037AA" w:rsidRPr="00815796">
          <w:rPr>
            <w:rFonts w:ascii="微軟正黑體" w:eastAsia="微軟正黑體" w:hAnsi="微軟正黑體"/>
          </w:rPr>
          <w:t>http://web.nso.go.th/en/survey/data_survey/200260_summary_Jan_2017.pdf</w:t>
        </w:r>
      </w:hyperlink>
      <w:r w:rsidR="00E037AA" w:rsidRPr="00815796">
        <w:rPr>
          <w:rFonts w:ascii="微軟正黑體" w:eastAsia="微軟正黑體" w:hAnsi="微軟正黑體"/>
        </w:rPr>
        <w:t>.</w:t>
      </w:r>
    </w:p>
    <w:p w:rsidR="00E037AA" w:rsidRPr="00815796" w:rsidRDefault="00E037AA" w:rsidP="00BD50E5">
      <w:pPr>
        <w:pStyle w:val="af0"/>
        <w:numPr>
          <w:ilvl w:val="0"/>
          <w:numId w:val="35"/>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hint="eastAsia"/>
        </w:rPr>
        <w:t>JETRO Japan External Trade Organization「日本的社會保障制度」，</w:t>
      </w:r>
    </w:p>
    <w:p w:rsidR="00E037AA" w:rsidRPr="00815796" w:rsidRDefault="00E037AA" w:rsidP="00E037AA">
      <w:pPr>
        <w:pStyle w:val="af0"/>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hint="eastAsia"/>
        </w:rPr>
        <w:t>https://www.jetro.go.jp/tc/invest/setting_up/section4/page9.html (最後瀏覽日</w:t>
      </w:r>
      <w:r w:rsidR="000827B0">
        <w:rPr>
          <w:rFonts w:ascii="微軟正黑體" w:eastAsia="微軟正黑體" w:hAnsi="微軟正黑體" w:hint="eastAsia"/>
        </w:rPr>
        <w:t>：</w:t>
      </w:r>
      <w:r w:rsidRPr="00815796">
        <w:rPr>
          <w:rFonts w:ascii="微軟正黑體" w:eastAsia="微軟正黑體" w:hAnsi="微軟正黑體" w:hint="eastAsia"/>
        </w:rPr>
        <w:t>2019年8月10日)。</w:t>
      </w:r>
    </w:p>
    <w:p w:rsidR="00E037AA" w:rsidRPr="00815796" w:rsidRDefault="00E037AA" w:rsidP="00BD50E5">
      <w:pPr>
        <w:pStyle w:val="af0"/>
        <w:numPr>
          <w:ilvl w:val="0"/>
          <w:numId w:val="35"/>
        </w:numPr>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hint="eastAsia"/>
        </w:rPr>
        <w:t>日本總務省統計局2019年6月勞動力調查報告，取自</w:t>
      </w:r>
    </w:p>
    <w:p w:rsidR="00E037AA" w:rsidRPr="00815796" w:rsidRDefault="00E037AA" w:rsidP="00E037AA">
      <w:pPr>
        <w:pStyle w:val="af0"/>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hint="eastAsia"/>
        </w:rPr>
        <w:t>https://www.stat.go.jp/data/roudou/sokuhou/tsuki/pdf/gaiyou.pdf</w:t>
      </w:r>
      <w:r w:rsidR="00C77ACA">
        <w:rPr>
          <w:rFonts w:ascii="微軟正黑體" w:eastAsia="微軟正黑體" w:hAnsi="微軟正黑體" w:hint="eastAsia"/>
        </w:rPr>
        <w:t>。</w:t>
      </w:r>
    </w:p>
    <w:p w:rsidR="00E037AA" w:rsidRDefault="00E037AA" w:rsidP="00BD50E5">
      <w:pPr>
        <w:pStyle w:val="af0"/>
        <w:numPr>
          <w:ilvl w:val="0"/>
          <w:numId w:val="35"/>
        </w:numPr>
        <w:spacing w:beforeLines="30" w:before="72" w:line="400" w:lineRule="exact"/>
        <w:ind w:leftChars="0" w:left="567"/>
        <w:jc w:val="both"/>
        <w:rPr>
          <w:rFonts w:ascii="微軟正黑體" w:eastAsia="微軟正黑體" w:hAnsi="微軟正黑體"/>
        </w:rPr>
      </w:pPr>
      <w:r w:rsidRPr="00E037AA">
        <w:rPr>
          <w:rFonts w:ascii="微軟正黑體" w:eastAsia="微軟正黑體" w:hAnsi="微軟正黑體" w:hint="eastAsia"/>
        </w:rPr>
        <w:t>日本厚生勞動省私人養老金規劃概述</w:t>
      </w:r>
    </w:p>
    <w:p w:rsidR="0022143C" w:rsidRPr="00E037AA" w:rsidRDefault="0022143C" w:rsidP="0022143C">
      <w:pPr>
        <w:pStyle w:val="af0"/>
        <w:spacing w:beforeLines="30" w:before="72" w:line="400" w:lineRule="exact"/>
        <w:ind w:leftChars="0" w:left="567"/>
        <w:jc w:val="both"/>
        <w:rPr>
          <w:rFonts w:ascii="微軟正黑體" w:eastAsia="微軟正黑體" w:hAnsi="微軟正黑體"/>
        </w:rPr>
      </w:pPr>
      <w:r w:rsidRPr="00815796">
        <w:rPr>
          <w:rFonts w:ascii="微軟正黑體" w:eastAsia="微軟正黑體" w:hAnsi="微軟正黑體" w:hint="eastAsia"/>
        </w:rPr>
        <w:t>https://www.mhlw.go.jp/stf/seisakunitsuite/bunya/nenkin/nenkin/kigyounenkin.htm</w:t>
      </w:r>
      <w:r>
        <w:rPr>
          <w:rFonts w:ascii="微軟正黑體" w:eastAsia="微軟正黑體" w:hAnsi="微軟正黑體" w:hint="eastAsia"/>
        </w:rPr>
        <w:t>l</w:t>
      </w:r>
      <w:r w:rsidR="00C77ACA">
        <w:rPr>
          <w:rFonts w:ascii="微軟正黑體" w:eastAsia="微軟正黑體" w:hAnsi="微軟正黑體" w:hint="eastAsia"/>
        </w:rPr>
        <w:t>。</w:t>
      </w:r>
    </w:p>
    <w:p w:rsidR="00E037AA" w:rsidRPr="00BC27C3" w:rsidRDefault="00E037AA" w:rsidP="00BD50E5">
      <w:pPr>
        <w:pStyle w:val="af0"/>
        <w:numPr>
          <w:ilvl w:val="0"/>
          <w:numId w:val="35"/>
        </w:numPr>
        <w:spacing w:beforeLines="30" w:before="72" w:line="400" w:lineRule="exact"/>
        <w:ind w:leftChars="0" w:left="567"/>
        <w:jc w:val="both"/>
        <w:rPr>
          <w:rFonts w:ascii="微軟正黑體" w:eastAsia="微軟正黑體" w:hAnsi="微軟正黑體"/>
        </w:rPr>
        <w:sectPr w:rsidR="00E037AA" w:rsidRPr="00BC27C3" w:rsidSect="00C71C46">
          <w:pgSz w:w="11906" w:h="16838"/>
          <w:pgMar w:top="1106" w:right="1418" w:bottom="1134" w:left="1418" w:header="285" w:footer="338" w:gutter="0"/>
          <w:cols w:space="425"/>
          <w:docGrid w:linePitch="360"/>
        </w:sectPr>
      </w:pPr>
    </w:p>
    <w:bookmarkEnd w:id="10"/>
    <w:bookmarkEnd w:id="11"/>
    <w:bookmarkEnd w:id="12"/>
    <w:bookmarkEnd w:id="13"/>
    <w:bookmarkEnd w:id="14"/>
    <w:bookmarkEnd w:id="15"/>
    <w:bookmarkEnd w:id="16"/>
    <w:bookmarkEnd w:id="17"/>
    <w:bookmarkEnd w:id="18"/>
    <w:bookmarkEnd w:id="19"/>
    <w:bookmarkEnd w:id="20"/>
    <w:p w:rsidR="005713A9" w:rsidRDefault="005713A9" w:rsidP="0022143C">
      <w:pPr>
        <w:spacing w:line="700" w:lineRule="exact"/>
        <w:rPr>
          <w:rFonts w:ascii="微軟正黑體" w:eastAsia="微軟正黑體" w:hAnsi="微軟正黑體"/>
          <w:b/>
          <w:sz w:val="60"/>
          <w:szCs w:val="60"/>
        </w:rPr>
      </w:pPr>
    </w:p>
    <w:p w:rsidR="008B122E" w:rsidRDefault="008B122E" w:rsidP="008B122E">
      <w:pPr>
        <w:spacing w:line="700" w:lineRule="exact"/>
        <w:jc w:val="center"/>
        <w:rPr>
          <w:rFonts w:ascii="微軟正黑體" w:eastAsia="微軟正黑體" w:hAnsi="微軟正黑體"/>
          <w:b/>
          <w:sz w:val="60"/>
          <w:szCs w:val="60"/>
        </w:rPr>
      </w:pPr>
      <w:r w:rsidRPr="00C306F8">
        <w:rPr>
          <w:rFonts w:ascii="微軟正黑體" w:eastAsia="微軟正黑體" w:hAnsi="微軟正黑體" w:hint="eastAsia"/>
          <w:b/>
          <w:sz w:val="60"/>
          <w:szCs w:val="60"/>
        </w:rPr>
        <w:t>數位時代下電傳工作者勞動與</w:t>
      </w:r>
    </w:p>
    <w:p w:rsidR="00E17C29" w:rsidRPr="005713A9" w:rsidRDefault="008B122E" w:rsidP="000827B0">
      <w:pPr>
        <w:spacing w:line="700" w:lineRule="exact"/>
        <w:jc w:val="center"/>
        <w:rPr>
          <w:rFonts w:ascii="微軟正黑體" w:eastAsia="微軟正黑體" w:hAnsi="微軟正黑體"/>
          <w:b/>
          <w:sz w:val="60"/>
          <w:szCs w:val="60"/>
        </w:rPr>
      </w:pPr>
      <w:r w:rsidRPr="00C306F8">
        <w:rPr>
          <w:rFonts w:ascii="微軟正黑體" w:eastAsia="微軟正黑體" w:hAnsi="微軟正黑體" w:hint="eastAsia"/>
          <w:b/>
          <w:sz w:val="60"/>
          <w:szCs w:val="60"/>
        </w:rPr>
        <w:t>社會保障之探討</w:t>
      </w:r>
    </w:p>
    <w:p w:rsidR="005713A9" w:rsidRPr="000656C6" w:rsidRDefault="008B122E" w:rsidP="00E22278">
      <w:pPr>
        <w:wordWrap w:val="0"/>
        <w:spacing w:beforeLines="200" w:before="480" w:line="400" w:lineRule="exact"/>
        <w:jc w:val="right"/>
        <w:rPr>
          <w:rFonts w:ascii="微軟正黑體" w:eastAsia="微軟正黑體" w:hAnsi="微軟正黑體"/>
        </w:rPr>
      </w:pPr>
      <w:r>
        <w:rPr>
          <w:rFonts w:ascii="微軟正黑體" w:eastAsia="微軟正黑體" w:hAnsi="微軟正黑體" w:hint="eastAsia"/>
        </w:rPr>
        <w:t>政治</w:t>
      </w:r>
      <w:r w:rsidRPr="000656C6">
        <w:rPr>
          <w:rFonts w:ascii="微軟正黑體" w:eastAsia="微軟正黑體" w:hAnsi="微軟正黑體" w:hint="eastAsia"/>
        </w:rPr>
        <w:t>大學</w:t>
      </w:r>
      <w:r>
        <w:rPr>
          <w:rFonts w:ascii="微軟正黑體" w:eastAsia="微軟正黑體" w:hAnsi="微軟正黑體" w:hint="eastAsia"/>
        </w:rPr>
        <w:t>勞工研究所</w:t>
      </w:r>
      <w:r w:rsidRPr="00C306F8">
        <w:rPr>
          <w:rFonts w:ascii="微軟正黑體" w:eastAsia="微軟正黑體" w:hAnsi="微軟正黑體" w:hint="eastAsia"/>
        </w:rPr>
        <w:t>教授</w:t>
      </w:r>
      <w:r>
        <w:rPr>
          <w:rFonts w:ascii="微軟正黑體" w:eastAsia="微軟正黑體" w:hAnsi="微軟正黑體" w:hint="eastAsia"/>
        </w:rPr>
        <w:t xml:space="preserve">  成之約</w:t>
      </w:r>
    </w:p>
    <w:p w:rsidR="005713A9" w:rsidRDefault="005713A9" w:rsidP="004D043F">
      <w:pPr>
        <w:tabs>
          <w:tab w:val="left" w:pos="5100"/>
        </w:tabs>
        <w:spacing w:line="600" w:lineRule="exact"/>
        <w:ind w:right="1202"/>
        <w:rPr>
          <w:rFonts w:ascii="微軟正黑體" w:eastAsia="微軟正黑體" w:hAnsi="微軟正黑體"/>
          <w:b/>
        </w:rPr>
      </w:pPr>
      <w:r w:rsidRPr="00E01F34">
        <w:rPr>
          <w:rFonts w:ascii="微軟正黑體" w:eastAsia="微軟正黑體" w:hAnsi="微軟正黑體"/>
          <w:b/>
          <w:noProof/>
          <w:sz w:val="36"/>
          <w:szCs w:val="36"/>
        </w:rPr>
        <mc:AlternateContent>
          <mc:Choice Requires="wps">
            <w:drawing>
              <wp:anchor distT="0" distB="0" distL="114300" distR="114300" simplePos="0" relativeHeight="252047360" behindDoc="1" locked="0" layoutInCell="1" allowOverlap="1" wp14:anchorId="5495E4CC" wp14:editId="15773683">
                <wp:simplePos x="0" y="0"/>
                <wp:positionH relativeFrom="column">
                  <wp:posOffset>-900430</wp:posOffset>
                </wp:positionH>
                <wp:positionV relativeFrom="paragraph">
                  <wp:posOffset>197485</wp:posOffset>
                </wp:positionV>
                <wp:extent cx="7543800" cy="2609850"/>
                <wp:effectExtent l="0" t="0" r="0" b="0"/>
                <wp:wrapNone/>
                <wp:docPr id="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609850"/>
                        </a:xfrm>
                        <a:prstGeom prst="rect">
                          <a:avLst/>
                        </a:prstGeom>
                        <a:solidFill>
                          <a:schemeClr val="accent5">
                            <a:lumMod val="20000"/>
                            <a:lumOff val="80000"/>
                          </a:schemeClr>
                        </a:solidFill>
                        <a:ln w="9525">
                          <a:noFill/>
                          <a:miter lim="800000"/>
                          <a:headEnd/>
                          <a:tailEnd/>
                        </a:ln>
                      </wps:spPr>
                      <wps:txbx>
                        <w:txbxContent>
                          <w:p w:rsidR="00745375" w:rsidRDefault="00745375" w:rsidP="005713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70.9pt;margin-top:15.55pt;width:594pt;height:205.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" fillcolor="#daeef3 [664]" stroked="f">
                <v:textbox>
                  <w:txbxContent>
                    <w:p w:rsidR="00745375" w:rsidRDefault="00745375" w:rsidP="005713A9"/>
                  </w:txbxContent>
                </v:textbox>
              </v:shape>
            </w:pict>
          </mc:Fallback>
        </mc:AlternateContent>
      </w:r>
      <w:r w:rsidR="004D043F">
        <w:rPr>
          <w:rFonts w:ascii="微軟正黑體" w:eastAsia="微軟正黑體" w:hAnsi="微軟正黑體"/>
          <w:b/>
        </w:rPr>
        <w:tab/>
      </w:r>
    </w:p>
    <w:p w:rsidR="008B122E" w:rsidRPr="008B122E" w:rsidRDefault="008B122E" w:rsidP="008B122E">
      <w:pPr>
        <w:spacing w:line="600" w:lineRule="exact"/>
        <w:ind w:right="1202"/>
        <w:rPr>
          <w:rFonts w:ascii="微軟正黑體" w:eastAsia="微軟正黑體" w:hAnsi="微軟正黑體"/>
          <w:sz w:val="40"/>
          <w:szCs w:val="40"/>
        </w:rPr>
      </w:pPr>
      <w:r w:rsidRPr="008B122E">
        <w:rPr>
          <w:rFonts w:ascii="微軟正黑體" w:eastAsia="微軟正黑體" w:hAnsi="微軟正黑體" w:hint="eastAsia"/>
          <w:sz w:val="40"/>
          <w:szCs w:val="40"/>
        </w:rPr>
        <w:t>壹、前言</w:t>
      </w:r>
    </w:p>
    <w:p w:rsidR="008B122E" w:rsidRPr="008B122E" w:rsidRDefault="008B122E" w:rsidP="008B122E">
      <w:pPr>
        <w:spacing w:line="600" w:lineRule="exact"/>
        <w:ind w:right="1202"/>
        <w:rPr>
          <w:rFonts w:ascii="微軟正黑體" w:eastAsia="微軟正黑體" w:hAnsi="微軟正黑體"/>
          <w:sz w:val="40"/>
          <w:szCs w:val="40"/>
        </w:rPr>
      </w:pPr>
      <w:r w:rsidRPr="008B122E">
        <w:rPr>
          <w:rFonts w:ascii="微軟正黑體" w:eastAsia="微軟正黑體" w:hAnsi="微軟正黑體" w:hint="eastAsia"/>
          <w:sz w:val="40"/>
          <w:szCs w:val="40"/>
        </w:rPr>
        <w:t>貳、電傳工作發展概況</w:t>
      </w:r>
    </w:p>
    <w:p w:rsidR="008B122E" w:rsidRPr="008B122E" w:rsidRDefault="008B122E" w:rsidP="008B122E">
      <w:pPr>
        <w:spacing w:line="600" w:lineRule="exact"/>
        <w:ind w:right="1202"/>
        <w:rPr>
          <w:rFonts w:ascii="微軟正黑體" w:eastAsia="微軟正黑體" w:hAnsi="微軟正黑體"/>
          <w:sz w:val="40"/>
          <w:szCs w:val="40"/>
        </w:rPr>
      </w:pPr>
      <w:r w:rsidRPr="008B122E">
        <w:rPr>
          <w:rFonts w:ascii="微軟正黑體" w:eastAsia="微軟正黑體" w:hAnsi="微軟正黑體" w:hint="eastAsia"/>
          <w:sz w:val="40"/>
          <w:szCs w:val="40"/>
        </w:rPr>
        <w:t>參、電傳工作面臨的挑戰</w:t>
      </w:r>
    </w:p>
    <w:p w:rsidR="008B122E" w:rsidRPr="008B122E" w:rsidRDefault="008B122E" w:rsidP="008B122E">
      <w:pPr>
        <w:spacing w:line="600" w:lineRule="exact"/>
        <w:ind w:right="1202"/>
        <w:rPr>
          <w:rFonts w:ascii="微軟正黑體" w:eastAsia="微軟正黑體" w:hAnsi="微軟正黑體"/>
          <w:sz w:val="40"/>
          <w:szCs w:val="40"/>
        </w:rPr>
      </w:pPr>
      <w:r w:rsidRPr="008B122E">
        <w:rPr>
          <w:rFonts w:ascii="微軟正黑體" w:eastAsia="微軟正黑體" w:hAnsi="微軟正黑體" w:hint="eastAsia"/>
          <w:sz w:val="40"/>
          <w:szCs w:val="40"/>
        </w:rPr>
        <w:t>肆、他國電傳工作有關規定</w:t>
      </w:r>
    </w:p>
    <w:p w:rsidR="008B122E" w:rsidRPr="008B122E" w:rsidRDefault="008B122E" w:rsidP="008B122E">
      <w:pPr>
        <w:spacing w:line="600" w:lineRule="exact"/>
        <w:ind w:right="1202"/>
        <w:rPr>
          <w:rFonts w:ascii="微軟正黑體" w:eastAsia="微軟正黑體" w:hAnsi="微軟正黑體"/>
          <w:sz w:val="40"/>
          <w:szCs w:val="40"/>
        </w:rPr>
      </w:pPr>
      <w:r w:rsidRPr="008B122E">
        <w:rPr>
          <w:rFonts w:ascii="微軟正黑體" w:eastAsia="微軟正黑體" w:hAnsi="微軟正黑體" w:hint="eastAsia"/>
          <w:sz w:val="40"/>
          <w:szCs w:val="40"/>
        </w:rPr>
        <w:t>伍、政策挑戰</w:t>
      </w:r>
    </w:p>
    <w:p w:rsidR="005713A9" w:rsidRPr="00A076B5" w:rsidRDefault="008B122E" w:rsidP="008B122E">
      <w:pPr>
        <w:spacing w:line="600" w:lineRule="exact"/>
        <w:ind w:right="1202"/>
        <w:rPr>
          <w:rFonts w:ascii="微軟正黑體" w:eastAsia="微軟正黑體" w:hAnsi="微軟正黑體"/>
          <w:sz w:val="40"/>
          <w:szCs w:val="40"/>
        </w:rPr>
      </w:pPr>
      <w:r w:rsidRPr="008B122E">
        <w:rPr>
          <w:rFonts w:ascii="微軟正黑體" w:eastAsia="微軟正黑體" w:hAnsi="微軟正黑體" w:hint="eastAsia"/>
          <w:sz w:val="40"/>
          <w:szCs w:val="40"/>
        </w:rPr>
        <w:t>陸、結論</w:t>
      </w:r>
    </w:p>
    <w:p w:rsidR="005713A9" w:rsidRDefault="005713A9" w:rsidP="005713A9">
      <w:pPr>
        <w:spacing w:line="600" w:lineRule="exact"/>
        <w:ind w:right="1202"/>
        <w:rPr>
          <w:rFonts w:ascii="微軟正黑體" w:eastAsia="微軟正黑體" w:hAnsi="微軟正黑體"/>
          <w:b/>
        </w:rPr>
      </w:pPr>
    </w:p>
    <w:p w:rsidR="008B122E" w:rsidRDefault="008B122E" w:rsidP="005713A9">
      <w:pPr>
        <w:spacing w:line="600" w:lineRule="exact"/>
        <w:ind w:right="1202"/>
        <w:rPr>
          <w:rFonts w:ascii="微軟正黑體" w:eastAsia="微軟正黑體" w:hAnsi="微軟正黑體"/>
          <w:b/>
        </w:rPr>
      </w:pPr>
    </w:p>
    <w:p w:rsidR="005713A9" w:rsidRDefault="005713A9" w:rsidP="005713A9">
      <w:pPr>
        <w:snapToGrid w:val="0"/>
        <w:spacing w:line="400" w:lineRule="exact"/>
        <w:ind w:left="1"/>
        <w:jc w:val="center"/>
        <w:rPr>
          <w:rFonts w:ascii="微軟正黑體" w:eastAsia="微軟正黑體" w:hAnsi="微軟正黑體"/>
          <w:b/>
          <w:sz w:val="36"/>
          <w:szCs w:val="36"/>
        </w:rPr>
      </w:pPr>
      <w:r>
        <w:rPr>
          <w:rFonts w:ascii="微軟正黑體" w:eastAsia="微軟正黑體" w:hAnsi="微軟正黑體" w:hint="eastAsia"/>
          <w:b/>
          <w:sz w:val="36"/>
          <w:szCs w:val="36"/>
        </w:rPr>
        <w:t>摘  要</w:t>
      </w:r>
    </w:p>
    <w:p w:rsidR="005713A9" w:rsidRDefault="005713A9" w:rsidP="003F3E97">
      <w:pPr>
        <w:spacing w:line="360" w:lineRule="exact"/>
        <w:ind w:right="1202"/>
        <w:rPr>
          <w:rFonts w:ascii="微軟正黑體" w:eastAsia="微軟正黑體" w:hAnsi="微軟正黑體"/>
          <w:b/>
        </w:rPr>
      </w:pPr>
    </w:p>
    <w:p w:rsidR="001D1D4E" w:rsidRPr="00C306F8" w:rsidRDefault="001D1D4E" w:rsidP="001D1D4E">
      <w:pPr>
        <w:autoSpaceDE w:val="0"/>
        <w:autoSpaceDN w:val="0"/>
        <w:adjustRightInd w:val="0"/>
        <w:spacing w:beforeLines="100" w:before="240" w:line="400" w:lineRule="exact"/>
        <w:ind w:firstLine="482"/>
        <w:jc w:val="both"/>
        <w:rPr>
          <w:rFonts w:ascii="微軟正黑體" w:eastAsia="微軟正黑體" w:hAnsi="微軟正黑體"/>
          <w:color w:val="000000"/>
        </w:rPr>
      </w:pPr>
      <w:r w:rsidRPr="00C306F8">
        <w:rPr>
          <w:rFonts w:ascii="微軟正黑體" w:eastAsia="微軟正黑體" w:hAnsi="微軟正黑體" w:hint="eastAsia"/>
          <w:color w:val="000000"/>
        </w:rPr>
        <w:t>電傳工作起源甚早，而其發展與資通訊科技的進步關係密切。國際社會是從遠距</w:t>
      </w:r>
      <w:r w:rsidRPr="00C306F8">
        <w:rPr>
          <w:rFonts w:ascii="微軟正黑體" w:eastAsia="微軟正黑體" w:hAnsi="微軟正黑體"/>
          <w:color w:val="000000"/>
        </w:rPr>
        <w:t>(或在家)工作的角度來看待電傳工作，認為遠距(或在家)工作所可能產生的問題或多或少也會發生在電傳工作上，例如工作與生活時間不易區隔、離群索居、增加尤其是婦女家庭照顧的壓力、缺乏完整的勞動與社會保障</w:t>
      </w:r>
      <w:r w:rsidRPr="00195CF4">
        <w:rPr>
          <w:rFonts w:ascii="微軟正黑體" w:eastAsia="微軟正黑體" w:hAnsi="微軟正黑體" w:hint="eastAsia"/>
        </w:rPr>
        <w:t>，</w:t>
      </w:r>
      <w:r w:rsidRPr="00C306F8">
        <w:rPr>
          <w:rFonts w:ascii="微軟正黑體" w:eastAsia="微軟正黑體" w:hAnsi="微軟正黑體"/>
          <w:color w:val="000000"/>
        </w:rPr>
        <w:t>和無法透過集體力量爭取勞動條件與權益等等。</w:t>
      </w:r>
    </w:p>
    <w:p w:rsidR="001D1D4E" w:rsidRDefault="001D1D4E" w:rsidP="001D1D4E">
      <w:pPr>
        <w:autoSpaceDE w:val="0"/>
        <w:autoSpaceDN w:val="0"/>
        <w:adjustRightInd w:val="0"/>
        <w:spacing w:beforeLines="30" w:before="72" w:line="400" w:lineRule="exact"/>
        <w:ind w:firstLine="482"/>
        <w:jc w:val="both"/>
        <w:rPr>
          <w:rFonts w:ascii="微軟正黑體" w:eastAsia="微軟正黑體" w:hAnsi="微軟正黑體"/>
          <w:color w:val="000000"/>
        </w:rPr>
      </w:pPr>
      <w:r w:rsidRPr="00C306F8">
        <w:rPr>
          <w:rFonts w:ascii="微軟正黑體" w:eastAsia="微軟正黑體" w:hAnsi="微軟正黑體" w:hint="eastAsia"/>
          <w:color w:val="000000"/>
        </w:rPr>
        <w:t>由於電傳工作者可能是受僱的身分，也可能是個人承攬、獨立或眾包的身分，因而在個別國家所受到待遇也有所不同。無論是就業身分為何，電傳工作權</w:t>
      </w:r>
      <w:r w:rsidRPr="00C306F8">
        <w:rPr>
          <w:rFonts w:ascii="微軟正黑體" w:eastAsia="微軟正黑體" w:hAnsi="微軟正黑體"/>
          <w:color w:val="000000"/>
        </w:rPr>
        <w:t>(Right to telework)和離線權(Right to disconnect)都應該加以保障；同時，如何避免性別不平等和保障職業安全衛生，也都應該予以重視。尤其對於非受僱的電傳工作者，強化失業期間所得安全保障與教育訓練，更是不可或缺的。</w:t>
      </w:r>
    </w:p>
    <w:p w:rsidR="001D1D4E" w:rsidRPr="00C306F8" w:rsidRDefault="001D1D4E" w:rsidP="001D1D4E">
      <w:pPr>
        <w:autoSpaceDE w:val="0"/>
        <w:autoSpaceDN w:val="0"/>
        <w:adjustRightInd w:val="0"/>
        <w:spacing w:beforeLines="30" w:before="72" w:line="400" w:lineRule="exact"/>
        <w:ind w:firstLine="482"/>
        <w:jc w:val="both"/>
        <w:rPr>
          <w:rFonts w:ascii="微軟正黑體" w:eastAsia="微軟正黑體" w:hAnsi="微軟正黑體"/>
          <w:color w:val="000000"/>
        </w:rPr>
      </w:pPr>
    </w:p>
    <w:p w:rsidR="005713A9" w:rsidRPr="001D1D4E" w:rsidRDefault="001D1D4E" w:rsidP="001D1D4E">
      <w:pPr>
        <w:spacing w:line="400" w:lineRule="exact"/>
        <w:ind w:right="-1"/>
        <w:rPr>
          <w:rFonts w:ascii="微軟正黑體" w:eastAsia="微軟正黑體" w:hAnsi="微軟正黑體"/>
        </w:rPr>
      </w:pPr>
      <w:r w:rsidRPr="00C306F8">
        <w:rPr>
          <w:rFonts w:ascii="微軟正黑體" w:eastAsia="微軟正黑體" w:hAnsi="微軟正黑體" w:hint="eastAsia"/>
          <w:color w:val="000000"/>
        </w:rPr>
        <w:t>關鍵詞：電傳工作、遠距工作、離線權、勞動與社會權益</w:t>
      </w:r>
      <w:r>
        <w:rPr>
          <w:rFonts w:ascii="微軟正黑體" w:eastAsia="微軟正黑體" w:hAnsi="微軟正黑體" w:hint="eastAsia"/>
          <w:color w:val="000000"/>
        </w:rPr>
        <w:t>。</w:t>
      </w:r>
    </w:p>
    <w:p w:rsidR="00FE586D" w:rsidRPr="00AE4E91" w:rsidRDefault="00FE586D" w:rsidP="00FE586D">
      <w:pPr>
        <w:autoSpaceDE w:val="0"/>
        <w:autoSpaceDN w:val="0"/>
        <w:adjustRightInd w:val="0"/>
        <w:spacing w:line="400" w:lineRule="exact"/>
        <w:ind w:firstLine="482"/>
        <w:jc w:val="center"/>
        <w:rPr>
          <w:rFonts w:ascii="微軟正黑體" w:eastAsia="微軟正黑體" w:hAnsi="微軟正黑體"/>
          <w:b/>
          <w:color w:val="000000"/>
          <w:kern w:val="0"/>
          <w:lang w:bidi="hi-IN"/>
        </w:rPr>
      </w:pPr>
      <w:bookmarkStart w:id="25" w:name="_Toc20921250"/>
      <w:bookmarkStart w:id="26" w:name="_Toc21116536"/>
      <w:bookmarkStart w:id="27" w:name="_Toc21118910"/>
      <w:bookmarkStart w:id="28" w:name="_Toc21164987"/>
      <w:r w:rsidRPr="00AE4E91">
        <w:rPr>
          <w:rFonts w:ascii="微軟正黑體" w:eastAsia="微軟正黑體" w:hAnsi="微軟正黑體"/>
          <w:b/>
          <w:color w:val="000000"/>
          <w:sz w:val="32"/>
          <w:szCs w:val="32"/>
        </w:rPr>
        <w:lastRenderedPageBreak/>
        <w:t>壹、前言</w:t>
      </w:r>
      <w:bookmarkEnd w:id="25"/>
      <w:bookmarkEnd w:id="26"/>
      <w:bookmarkEnd w:id="27"/>
      <w:bookmarkEnd w:id="28"/>
    </w:p>
    <w:p w:rsidR="00FE586D" w:rsidRPr="00C306F8" w:rsidRDefault="00FE586D" w:rsidP="00FE586D">
      <w:pPr>
        <w:spacing w:beforeLines="150" w:before="360" w:line="400" w:lineRule="exact"/>
        <w:ind w:firstLine="482"/>
        <w:jc w:val="both"/>
        <w:rPr>
          <w:rFonts w:ascii="微軟正黑體" w:eastAsia="微軟正黑體" w:hAnsi="微軟正黑體"/>
          <w:color w:val="000000"/>
        </w:rPr>
      </w:pPr>
      <w:bookmarkStart w:id="29" w:name="_Toc324030116"/>
      <w:bookmarkStart w:id="30" w:name="_Toc328419495"/>
      <w:bookmarkStart w:id="31" w:name="_Toc339632655"/>
      <w:bookmarkStart w:id="32" w:name="_Toc339633527"/>
      <w:bookmarkStart w:id="33" w:name="_Toc344152028"/>
      <w:bookmarkStart w:id="34" w:name="_Toc344169604"/>
      <w:bookmarkStart w:id="35" w:name="_Toc12403297"/>
      <w:bookmarkStart w:id="36" w:name="_Toc12406063"/>
      <w:bookmarkStart w:id="37" w:name="_Toc131185418"/>
      <w:bookmarkStart w:id="38" w:name="_Toc257121685"/>
      <w:bookmarkStart w:id="39" w:name="_Toc20921251"/>
      <w:bookmarkStart w:id="40" w:name="_Toc21116537"/>
      <w:bookmarkStart w:id="41" w:name="_Toc21118911"/>
      <w:bookmarkStart w:id="42" w:name="_Toc21164988"/>
      <w:r w:rsidRPr="00C306F8">
        <w:rPr>
          <w:rFonts w:ascii="微軟正黑體" w:eastAsia="微軟正黑體" w:hAnsi="微軟正黑體" w:hint="eastAsia"/>
          <w:color w:val="000000"/>
        </w:rPr>
        <w:t>「電傳工作」</w:t>
      </w:r>
      <w:r w:rsidRPr="00C306F8">
        <w:rPr>
          <w:rFonts w:ascii="微軟正黑體" w:eastAsia="微軟正黑體" w:hAnsi="微軟正黑體"/>
          <w:color w:val="000000"/>
        </w:rPr>
        <w:t>(Tele-work)最早是被稱為「電子通勤」(Tele-commute)，而「電子通勤」一詞據信是在1972 年就被創造出來，當時主要是受惠於通信科技的發展與運用；而後到了</w:t>
      </w:r>
      <w:r>
        <w:rPr>
          <w:rFonts w:ascii="微軟正黑體" w:eastAsia="微軟正黑體" w:hAnsi="微軟正黑體" w:hint="eastAsia"/>
          <w:color w:val="000000"/>
        </w:rPr>
        <w:t>1</w:t>
      </w:r>
      <w:r w:rsidRPr="00C306F8">
        <w:rPr>
          <w:rFonts w:ascii="微軟正黑體" w:eastAsia="微軟正黑體" w:hAnsi="微軟正黑體"/>
          <w:color w:val="000000"/>
        </w:rPr>
        <w:t>980</w:t>
      </w:r>
      <w:r>
        <w:rPr>
          <w:rFonts w:ascii="微軟正黑體" w:eastAsia="微軟正黑體" w:hAnsi="微軟正黑體"/>
          <w:color w:val="000000"/>
        </w:rPr>
        <w:t>年代，由於攜帶式電腦和全球資訊網</w:t>
      </w:r>
      <w:r>
        <w:rPr>
          <w:rFonts w:ascii="微軟正黑體" w:eastAsia="微軟正黑體" w:hAnsi="微軟正黑體" w:hint="eastAsia"/>
          <w:color w:val="000000"/>
        </w:rPr>
        <w:t>(</w:t>
      </w:r>
      <w:r w:rsidRPr="00C306F8">
        <w:rPr>
          <w:rFonts w:ascii="微軟正黑體" w:eastAsia="微軟正黑體" w:hAnsi="微軟正黑體"/>
          <w:color w:val="000000"/>
        </w:rPr>
        <w:t>world wide web</w:t>
      </w:r>
      <w:r>
        <w:rPr>
          <w:rFonts w:ascii="微軟正黑體" w:eastAsia="微軟正黑體" w:hAnsi="微軟正黑體" w:hint="eastAsia"/>
          <w:color w:val="000000"/>
        </w:rPr>
        <w:t>)</w:t>
      </w:r>
      <w:r w:rsidRPr="00C306F8">
        <w:rPr>
          <w:rFonts w:ascii="微軟正黑體" w:eastAsia="微軟正黑體" w:hAnsi="微軟正黑體"/>
          <w:color w:val="000000"/>
        </w:rPr>
        <w:t>的問世，資訊</w:t>
      </w:r>
      <w:r>
        <w:rPr>
          <w:rFonts w:ascii="微軟正黑體" w:eastAsia="微軟正黑體" w:hAnsi="微軟正黑體"/>
          <w:color w:val="000000"/>
        </w:rPr>
        <w:t>得以在不同的個人之間快速流通與傳遞，「電傳工作」更是快速地發展(King,</w:t>
      </w:r>
      <w:r>
        <w:rPr>
          <w:rFonts w:ascii="微軟正黑體" w:eastAsia="微軟正黑體" w:hAnsi="微軟正黑體" w:hint="eastAsia"/>
          <w:color w:val="000000"/>
        </w:rPr>
        <w:t xml:space="preserve"> </w:t>
      </w:r>
      <w:r w:rsidRPr="00C306F8">
        <w:rPr>
          <w:rFonts w:ascii="微軟正黑體" w:eastAsia="微軟正黑體" w:hAnsi="微軟正黑體"/>
          <w:color w:val="000000"/>
        </w:rPr>
        <w:t>2020)</w:t>
      </w:r>
      <w:r>
        <w:rPr>
          <w:rFonts w:ascii="微軟正黑體" w:eastAsia="微軟正黑體" w:hAnsi="微軟正黑體" w:hint="eastAsia"/>
          <w:color w:val="000000"/>
        </w:rPr>
        <w:t>。</w:t>
      </w:r>
      <w:r w:rsidRPr="00C306F8">
        <w:rPr>
          <w:rFonts w:ascii="微軟正黑體" w:eastAsia="微軟正黑體" w:hAnsi="微軟正黑體"/>
          <w:color w:val="000000"/>
        </w:rPr>
        <w:t>換言之，「電傳工作」或「電子通勤」的發展與資通訊科技的發展與進步具有密切的關聯性。</w:t>
      </w:r>
    </w:p>
    <w:p w:rsidR="00FE586D" w:rsidRPr="00C306F8" w:rsidRDefault="00FE586D" w:rsidP="00FE586D">
      <w:pPr>
        <w:spacing w:beforeLines="30" w:before="72" w:line="400" w:lineRule="exact"/>
        <w:ind w:firstLine="482"/>
        <w:jc w:val="both"/>
        <w:rPr>
          <w:rFonts w:ascii="微軟正黑體" w:eastAsia="微軟正黑體" w:hAnsi="微軟正黑體"/>
          <w:color w:val="000000"/>
        </w:rPr>
      </w:pPr>
      <w:r w:rsidRPr="00C306F8">
        <w:rPr>
          <w:rFonts w:ascii="微軟正黑體" w:eastAsia="微軟正黑體" w:hAnsi="微軟正黑體" w:hint="eastAsia"/>
          <w:color w:val="000000"/>
        </w:rPr>
        <w:t>發展至今，「電傳工作」已經成為遠距</w:t>
      </w:r>
      <w:r>
        <w:rPr>
          <w:rFonts w:ascii="微軟正黑體" w:eastAsia="微軟正黑體" w:hAnsi="微軟正黑體" w:hint="eastAsia"/>
          <w:color w:val="000000"/>
        </w:rPr>
        <w:t>(或在家)</w:t>
      </w:r>
      <w:r w:rsidRPr="00C306F8">
        <w:rPr>
          <w:rFonts w:ascii="微軟正黑體" w:eastAsia="微軟正黑體" w:hAnsi="微軟正黑體" w:hint="eastAsia"/>
          <w:color w:val="000000"/>
        </w:rPr>
        <w:t>工作</w:t>
      </w:r>
      <w:r>
        <w:rPr>
          <w:rFonts w:ascii="微軟正黑體" w:eastAsia="微軟正黑體" w:hAnsi="微軟正黑體" w:hint="eastAsia"/>
          <w:color w:val="000000"/>
        </w:rPr>
        <w:t>(</w:t>
      </w:r>
      <w:r w:rsidRPr="00C306F8">
        <w:rPr>
          <w:rFonts w:ascii="微軟正黑體" w:eastAsia="微軟正黑體" w:hAnsi="微軟正黑體"/>
          <w:color w:val="000000"/>
        </w:rPr>
        <w:t>Work from home</w:t>
      </w:r>
      <w:r>
        <w:rPr>
          <w:rFonts w:ascii="微軟正黑體" w:eastAsia="微軟正黑體" w:hAnsi="微軟正黑體" w:hint="eastAsia"/>
          <w:color w:val="000000"/>
        </w:rPr>
        <w:t>)</w:t>
      </w:r>
      <w:r>
        <w:rPr>
          <w:rFonts w:ascii="微軟正黑體" w:eastAsia="微軟正黑體" w:hAnsi="微軟正黑體"/>
          <w:color w:val="000000"/>
        </w:rPr>
        <w:t>中非常重要的一項類型。根據國際勞工組織</w:t>
      </w:r>
      <w:r>
        <w:rPr>
          <w:rFonts w:ascii="微軟正黑體" w:eastAsia="微軟正黑體" w:hAnsi="微軟正黑體" w:hint="eastAsia"/>
          <w:color w:val="000000"/>
        </w:rPr>
        <w:t>(</w:t>
      </w:r>
      <w:r w:rsidRPr="00C306F8">
        <w:rPr>
          <w:rFonts w:ascii="微軟正黑體" w:eastAsia="微軟正黑體" w:hAnsi="微軟正黑體"/>
          <w:color w:val="000000"/>
        </w:rPr>
        <w:t>International Labour Organization</w:t>
      </w:r>
      <w:r>
        <w:rPr>
          <w:rFonts w:ascii="微軟正黑體" w:eastAsia="微軟正黑體" w:hAnsi="微軟正黑體" w:hint="eastAsia"/>
          <w:color w:val="000000"/>
        </w:rPr>
        <w:t>)</w:t>
      </w:r>
      <w:r>
        <w:rPr>
          <w:rFonts w:ascii="微軟正黑體" w:eastAsia="微軟正黑體" w:hAnsi="微軟正黑體"/>
          <w:color w:val="000000"/>
        </w:rPr>
        <w:t>的報告，遠距</w:t>
      </w:r>
      <w:r>
        <w:rPr>
          <w:rFonts w:ascii="微軟正黑體" w:eastAsia="微軟正黑體" w:hAnsi="微軟正黑體" w:hint="eastAsia"/>
          <w:color w:val="000000"/>
        </w:rPr>
        <w:t>(</w:t>
      </w:r>
      <w:r>
        <w:rPr>
          <w:rFonts w:ascii="微軟正黑體" w:eastAsia="微軟正黑體" w:hAnsi="微軟正黑體"/>
          <w:color w:val="000000"/>
        </w:rPr>
        <w:t>或在家</w:t>
      </w:r>
      <w:r>
        <w:rPr>
          <w:rFonts w:ascii="微軟正黑體" w:eastAsia="微軟正黑體" w:hAnsi="微軟正黑體" w:hint="eastAsia"/>
          <w:color w:val="000000"/>
        </w:rPr>
        <w:t>)</w:t>
      </w:r>
      <w:r w:rsidRPr="00C306F8">
        <w:rPr>
          <w:rFonts w:ascii="微軟正黑體" w:eastAsia="微軟正黑體" w:hAnsi="微軟正黑體"/>
          <w:color w:val="000000"/>
        </w:rPr>
        <w:t>工作包括以下三種不同的類型</w:t>
      </w:r>
      <w:r>
        <w:rPr>
          <w:rFonts w:ascii="微軟正黑體" w:eastAsia="微軟正黑體" w:hAnsi="微軟正黑體" w:hint="eastAsia"/>
          <w:color w:val="000000"/>
        </w:rPr>
        <w:t>(</w:t>
      </w:r>
      <w:r w:rsidRPr="00C306F8">
        <w:rPr>
          <w:rFonts w:ascii="微軟正黑體" w:eastAsia="微軟正黑體" w:hAnsi="微軟正黑體"/>
          <w:color w:val="000000"/>
        </w:rPr>
        <w:t>ILO, 2020a</w:t>
      </w:r>
      <w:r>
        <w:rPr>
          <w:rFonts w:ascii="微軟正黑體" w:eastAsia="微軟正黑體" w:hAnsi="微軟正黑體" w:hint="eastAsia"/>
          <w:color w:val="000000"/>
        </w:rPr>
        <w:t>)：</w:t>
      </w:r>
    </w:p>
    <w:p w:rsidR="00FE586D" w:rsidRDefault="00FE586D" w:rsidP="00BD50E5">
      <w:pPr>
        <w:numPr>
          <w:ilvl w:val="0"/>
          <w:numId w:val="37"/>
        </w:numPr>
        <w:spacing w:beforeLines="30" w:before="72" w:line="400" w:lineRule="exact"/>
        <w:ind w:left="567" w:hanging="567"/>
        <w:jc w:val="both"/>
        <w:rPr>
          <w:rFonts w:ascii="微軟正黑體" w:eastAsia="微軟正黑體" w:hAnsi="微軟正黑體"/>
          <w:color w:val="000000"/>
        </w:rPr>
      </w:pPr>
      <w:r>
        <w:rPr>
          <w:rFonts w:ascii="微軟正黑體" w:eastAsia="微軟正黑體" w:hAnsi="微軟正黑體" w:hint="eastAsia"/>
          <w:color w:val="000000"/>
        </w:rPr>
        <w:t>生產性家庭工作(</w:t>
      </w:r>
      <w:r w:rsidRPr="00C306F8">
        <w:rPr>
          <w:rFonts w:ascii="微軟正黑體" w:eastAsia="微軟正黑體" w:hAnsi="微軟正黑體"/>
          <w:color w:val="000000"/>
        </w:rPr>
        <w:t>Industrial home work</w:t>
      </w:r>
      <w:r>
        <w:rPr>
          <w:rFonts w:ascii="微軟正黑體" w:eastAsia="微軟正黑體" w:hAnsi="微軟正黑體" w:hint="eastAsia"/>
          <w:color w:val="000000"/>
        </w:rPr>
        <w:t>)</w:t>
      </w:r>
      <w:r w:rsidRPr="00C306F8">
        <w:rPr>
          <w:rFonts w:ascii="微軟正黑體" w:eastAsia="微軟正黑體" w:hAnsi="微軟正黑體"/>
          <w:color w:val="000000"/>
        </w:rPr>
        <w:t>：係指商品由家庭勞工從事生產，不論是生產其中一部分或全部；還包括手工生產，如工藝品的製作。</w:t>
      </w:r>
    </w:p>
    <w:p w:rsidR="00FE586D" w:rsidRDefault="00FE586D" w:rsidP="00BD50E5">
      <w:pPr>
        <w:numPr>
          <w:ilvl w:val="0"/>
          <w:numId w:val="37"/>
        </w:numPr>
        <w:spacing w:beforeLines="30" w:before="72" w:line="400" w:lineRule="exact"/>
        <w:ind w:left="567" w:hanging="567"/>
        <w:jc w:val="both"/>
        <w:rPr>
          <w:rFonts w:ascii="微軟正黑體" w:eastAsia="微軟正黑體" w:hAnsi="微軟正黑體"/>
          <w:color w:val="000000"/>
        </w:rPr>
      </w:pPr>
      <w:r>
        <w:rPr>
          <w:rFonts w:ascii="微軟正黑體" w:eastAsia="微軟正黑體" w:hAnsi="微軟正黑體" w:hint="eastAsia"/>
          <w:color w:val="000000"/>
        </w:rPr>
        <w:t>電傳工作(</w:t>
      </w:r>
      <w:r w:rsidRPr="00335724">
        <w:rPr>
          <w:rFonts w:ascii="微軟正黑體" w:eastAsia="微軟正黑體" w:hAnsi="微軟正黑體"/>
          <w:color w:val="000000"/>
        </w:rPr>
        <w:t>Telework</w:t>
      </w:r>
      <w:r>
        <w:rPr>
          <w:rFonts w:ascii="微軟正黑體" w:eastAsia="微軟正黑體" w:hAnsi="微軟正黑體" w:hint="eastAsia"/>
          <w:color w:val="000000"/>
        </w:rPr>
        <w:t>)</w:t>
      </w:r>
      <w:r w:rsidRPr="00335724">
        <w:rPr>
          <w:rFonts w:ascii="微軟正黑體" w:eastAsia="微軟正黑體" w:hAnsi="微軟正黑體"/>
          <w:color w:val="000000"/>
        </w:rPr>
        <w:t>：係指勞工在遠距利用資訊和通信科技來執行他們的工作。不過，根據國際勞工組織第177號家庭工作公約(</w:t>
      </w:r>
      <w:r>
        <w:rPr>
          <w:rFonts w:ascii="微軟正黑體" w:eastAsia="微軟正黑體" w:hAnsi="微軟正黑體"/>
          <w:color w:val="000000"/>
        </w:rPr>
        <w:t>The Home Work Convention, 1996)和建議書</w:t>
      </w:r>
      <w:r>
        <w:rPr>
          <w:rFonts w:ascii="微軟正黑體" w:eastAsia="微軟正黑體" w:hAnsi="微軟正黑體" w:hint="eastAsia"/>
          <w:color w:val="000000"/>
        </w:rPr>
        <w:t>(</w:t>
      </w:r>
      <w:r w:rsidRPr="00335724">
        <w:rPr>
          <w:rFonts w:ascii="微軟正黑體" w:eastAsia="微軟正黑體" w:hAnsi="微軟正黑體"/>
          <w:color w:val="000000"/>
        </w:rPr>
        <w:t>第184</w:t>
      </w:r>
      <w:r>
        <w:rPr>
          <w:rFonts w:ascii="微軟正黑體" w:eastAsia="微軟正黑體" w:hAnsi="微軟正黑體"/>
          <w:color w:val="000000"/>
        </w:rPr>
        <w:t>號</w:t>
      </w:r>
      <w:r>
        <w:rPr>
          <w:rFonts w:ascii="微軟正黑體" w:eastAsia="微軟正黑體" w:hAnsi="微軟正黑體" w:hint="eastAsia"/>
          <w:color w:val="000000"/>
        </w:rPr>
        <w:t>)</w:t>
      </w:r>
      <w:r>
        <w:rPr>
          <w:rFonts w:ascii="微軟正黑體" w:eastAsia="微軟正黑體" w:hAnsi="微軟正黑體"/>
          <w:color w:val="000000"/>
        </w:rPr>
        <w:t>，國際勞工組織認為，電傳工作者只限於定期或永久在家中</w:t>
      </w:r>
      <w:r>
        <w:rPr>
          <w:rFonts w:ascii="微軟正黑體" w:eastAsia="微軟正黑體" w:hAnsi="微軟正黑體" w:hint="eastAsia"/>
          <w:color w:val="000000"/>
        </w:rPr>
        <w:t>(</w:t>
      </w:r>
      <w:r>
        <w:rPr>
          <w:rFonts w:ascii="微軟正黑體" w:eastAsia="微軟正黑體" w:hAnsi="微軟正黑體"/>
          <w:color w:val="000000"/>
        </w:rPr>
        <w:t>或他們選擇的地點</w:t>
      </w:r>
      <w:r>
        <w:rPr>
          <w:rFonts w:ascii="微軟正黑體" w:eastAsia="微軟正黑體" w:hAnsi="微軟正黑體" w:hint="eastAsia"/>
          <w:color w:val="000000"/>
        </w:rPr>
        <w:t>)</w:t>
      </w:r>
      <w:r w:rsidRPr="00335724">
        <w:rPr>
          <w:rFonts w:ascii="微軟正黑體" w:eastAsia="微軟正黑體" w:hAnsi="微軟正黑體"/>
          <w:color w:val="000000"/>
        </w:rPr>
        <w:t>工作的人員。</w:t>
      </w:r>
    </w:p>
    <w:p w:rsidR="00FE586D" w:rsidRPr="00335724" w:rsidRDefault="00FE586D" w:rsidP="00BD50E5">
      <w:pPr>
        <w:numPr>
          <w:ilvl w:val="0"/>
          <w:numId w:val="37"/>
        </w:numPr>
        <w:spacing w:beforeLines="30" w:before="72" w:line="400" w:lineRule="exact"/>
        <w:ind w:left="567" w:hanging="567"/>
        <w:jc w:val="both"/>
        <w:rPr>
          <w:rFonts w:ascii="微軟正黑體" w:eastAsia="微軟正黑體" w:hAnsi="微軟正黑體"/>
          <w:color w:val="000000"/>
        </w:rPr>
      </w:pPr>
      <w:r w:rsidRPr="00335724">
        <w:rPr>
          <w:rFonts w:ascii="微軟正黑體" w:eastAsia="微軟正黑體" w:hAnsi="微軟正黑體" w:hint="eastAsia"/>
          <w:color w:val="000000"/>
        </w:rPr>
        <w:t>以家為據點的數位平台工作(</w:t>
      </w:r>
      <w:r w:rsidRPr="00335724">
        <w:rPr>
          <w:rFonts w:ascii="微軟正黑體" w:eastAsia="微軟正黑體" w:hAnsi="微軟正黑體"/>
          <w:color w:val="000000"/>
        </w:rPr>
        <w:t>Home-based digital platform work</w:t>
      </w:r>
      <w:r w:rsidRPr="00335724">
        <w:rPr>
          <w:rFonts w:ascii="微軟正黑體" w:eastAsia="微軟正黑體" w:hAnsi="微軟正黑體" w:hint="eastAsia"/>
          <w:color w:val="000000"/>
        </w:rPr>
        <w:t>)</w:t>
      </w:r>
      <w:r w:rsidRPr="00335724">
        <w:rPr>
          <w:rFonts w:ascii="微軟正黑體" w:eastAsia="微軟正黑體" w:hAnsi="微軟正黑體"/>
          <w:color w:val="000000"/>
        </w:rPr>
        <w:t>：係指由「眾包工作者」(Crowd-workers)根據企業或中介機構的要求執行服務性的工作；這些勞工若有自主性，會被國家法律定義為獨立工作者。</w:t>
      </w:r>
    </w:p>
    <w:p w:rsidR="00FE586D" w:rsidRPr="00C306F8" w:rsidRDefault="00FE586D" w:rsidP="00FE586D">
      <w:pPr>
        <w:spacing w:beforeLines="30" w:before="72" w:line="400" w:lineRule="exact"/>
        <w:ind w:firstLine="482"/>
        <w:jc w:val="both"/>
        <w:rPr>
          <w:rFonts w:ascii="微軟正黑體" w:eastAsia="微軟正黑體" w:hAnsi="微軟正黑體"/>
          <w:color w:val="000000"/>
        </w:rPr>
      </w:pPr>
      <w:r w:rsidRPr="00C306F8">
        <w:rPr>
          <w:rFonts w:ascii="微軟正黑體" w:eastAsia="微軟正黑體" w:hAnsi="微軟正黑體" w:hint="eastAsia"/>
          <w:color w:val="000000"/>
        </w:rPr>
        <w:t>根據國際勞工組織估計，</w:t>
      </w:r>
      <w:r w:rsidRPr="00C306F8">
        <w:rPr>
          <w:rFonts w:ascii="微軟正黑體" w:eastAsia="微軟正黑體" w:hAnsi="微軟正黑體"/>
          <w:color w:val="000000"/>
        </w:rPr>
        <w:t>2019年全球大約有2.6</w:t>
      </w:r>
      <w:r>
        <w:rPr>
          <w:rFonts w:ascii="微軟正黑體" w:eastAsia="微軟正黑體" w:hAnsi="微軟正黑體"/>
          <w:color w:val="000000"/>
        </w:rPr>
        <w:t>億以家庭為據點的遠距</w:t>
      </w:r>
      <w:r>
        <w:rPr>
          <w:rFonts w:ascii="微軟正黑體" w:eastAsia="微軟正黑體" w:hAnsi="微軟正黑體" w:hint="eastAsia"/>
          <w:color w:val="000000"/>
        </w:rPr>
        <w:t>(</w:t>
      </w:r>
      <w:r>
        <w:rPr>
          <w:rFonts w:ascii="微軟正黑體" w:eastAsia="微軟正黑體" w:hAnsi="微軟正黑體"/>
          <w:color w:val="000000"/>
        </w:rPr>
        <w:t>或在家</w:t>
      </w:r>
      <w:r>
        <w:rPr>
          <w:rFonts w:ascii="微軟正黑體" w:eastAsia="微軟正黑體" w:hAnsi="微軟正黑體" w:hint="eastAsia"/>
          <w:color w:val="000000"/>
        </w:rPr>
        <w:t>)</w:t>
      </w:r>
      <w:r w:rsidRPr="00C306F8">
        <w:rPr>
          <w:rFonts w:ascii="微軟正黑體" w:eastAsia="微軟正黑體" w:hAnsi="微軟正黑體"/>
          <w:color w:val="000000"/>
        </w:rPr>
        <w:t>工作勞工，</w:t>
      </w:r>
      <w:r w:rsidRPr="00195CF4">
        <w:rPr>
          <w:rFonts w:ascii="微軟正黑體" w:eastAsia="微軟正黑體" w:hAnsi="微軟正黑體" w:hint="eastAsia"/>
          <w:kern w:val="0"/>
        </w:rPr>
        <w:t>占</w:t>
      </w:r>
      <w:r w:rsidRPr="00195CF4">
        <w:rPr>
          <w:rFonts w:ascii="微軟正黑體" w:eastAsia="微軟正黑體" w:hAnsi="微軟正黑體"/>
        </w:rPr>
        <w:t>全球就業人數的7.9％。當然，這是在</w:t>
      </w:r>
      <w:r w:rsidRPr="00195CF4">
        <w:rPr>
          <w:rFonts w:ascii="微軟正黑體" w:eastAsia="微軟正黑體" w:hAnsi="微軟正黑體" w:hint="eastAsia"/>
        </w:rPr>
        <w:t>新冠肺炎(</w:t>
      </w:r>
      <w:r w:rsidRPr="00195CF4">
        <w:rPr>
          <w:rFonts w:ascii="微軟正黑體" w:eastAsia="微軟正黑體" w:hAnsi="微軟正黑體"/>
        </w:rPr>
        <w:t>COVID-19</w:t>
      </w:r>
      <w:r w:rsidRPr="00195CF4">
        <w:rPr>
          <w:rFonts w:ascii="微軟正黑體" w:eastAsia="微軟正黑體" w:hAnsi="微軟正黑體" w:hint="eastAsia"/>
        </w:rPr>
        <w:t>)</w:t>
      </w:r>
      <w:r w:rsidRPr="00195CF4">
        <w:rPr>
          <w:rFonts w:ascii="微軟正黑體" w:eastAsia="微軟正黑體" w:hAnsi="微軟正黑體"/>
        </w:rPr>
        <w:t>大流行之前的數據。據估計，2020年以家庭為據點</w:t>
      </w:r>
      <w:r w:rsidRPr="00195CF4">
        <w:rPr>
          <w:rFonts w:ascii="微軟正黑體" w:eastAsia="微軟正黑體" w:hAnsi="微軟正黑體" w:hint="eastAsia"/>
          <w:kern w:val="0"/>
        </w:rPr>
        <w:t>的</w:t>
      </w:r>
      <w:r w:rsidRPr="00195CF4">
        <w:rPr>
          <w:rFonts w:ascii="微軟正黑體" w:eastAsia="微軟正黑體" w:hAnsi="微軟正黑體"/>
        </w:rPr>
        <w:t>勞</w:t>
      </w:r>
      <w:r w:rsidRPr="00C306F8">
        <w:rPr>
          <w:rFonts w:ascii="微軟正黑體" w:eastAsia="微軟正黑體" w:hAnsi="微軟正黑體"/>
          <w:color w:val="000000"/>
        </w:rPr>
        <w:t>工數量將遠遠超過2019</w:t>
      </w:r>
      <w:r>
        <w:rPr>
          <w:rFonts w:ascii="微軟正黑體" w:eastAsia="微軟正黑體" w:hAnsi="微軟正黑體"/>
          <w:color w:val="000000"/>
        </w:rPr>
        <w:t>年的數字。在為數眾多的遠距</w:t>
      </w:r>
      <w:r>
        <w:rPr>
          <w:rFonts w:ascii="微軟正黑體" w:eastAsia="微軟正黑體" w:hAnsi="微軟正黑體" w:hint="eastAsia"/>
          <w:color w:val="000000"/>
        </w:rPr>
        <w:t>(</w:t>
      </w:r>
      <w:r>
        <w:rPr>
          <w:rFonts w:ascii="微軟正黑體" w:eastAsia="微軟正黑體" w:hAnsi="微軟正黑體"/>
          <w:color w:val="000000"/>
        </w:rPr>
        <w:t>或在家</w:t>
      </w:r>
      <w:r>
        <w:rPr>
          <w:rFonts w:ascii="微軟正黑體" w:eastAsia="微軟正黑體" w:hAnsi="微軟正黑體" w:hint="eastAsia"/>
          <w:color w:val="000000"/>
        </w:rPr>
        <w:t>)</w:t>
      </w:r>
      <w:r>
        <w:rPr>
          <w:rFonts w:ascii="微軟正黑體" w:eastAsia="微軟正黑體" w:hAnsi="微軟正黑體"/>
          <w:color w:val="000000"/>
        </w:rPr>
        <w:t>工作勞工之中，大體上包括受僱者或個人承攬者兩種類型。</w:t>
      </w:r>
      <w:r>
        <w:rPr>
          <w:rFonts w:ascii="微軟正黑體" w:eastAsia="微軟正黑體" w:hAnsi="微軟正黑體" w:hint="eastAsia"/>
          <w:color w:val="000000"/>
        </w:rPr>
        <w:t>(</w:t>
      </w:r>
      <w:r w:rsidRPr="00C306F8">
        <w:rPr>
          <w:rFonts w:ascii="微軟正黑體" w:eastAsia="微軟正黑體" w:hAnsi="微軟正黑體"/>
          <w:color w:val="000000"/>
        </w:rPr>
        <w:t>ILOa, 2020</w:t>
      </w:r>
      <w:r>
        <w:rPr>
          <w:rFonts w:ascii="微軟正黑體" w:eastAsia="微軟正黑體" w:hAnsi="微軟正黑體" w:hint="eastAsia"/>
          <w:color w:val="000000"/>
        </w:rPr>
        <w:t>)</w:t>
      </w:r>
    </w:p>
    <w:p w:rsidR="00FE586D" w:rsidRPr="00C306F8" w:rsidRDefault="00FE586D" w:rsidP="00FE586D">
      <w:pPr>
        <w:spacing w:beforeLines="30" w:before="72" w:line="400" w:lineRule="exact"/>
        <w:ind w:firstLine="482"/>
        <w:jc w:val="both"/>
        <w:rPr>
          <w:rFonts w:ascii="微軟正黑體" w:eastAsia="微軟正黑體" w:hAnsi="微軟正黑體"/>
          <w:color w:val="000000"/>
        </w:rPr>
      </w:pPr>
      <w:r w:rsidRPr="00C306F8">
        <w:rPr>
          <w:rFonts w:ascii="微軟正黑體" w:eastAsia="微軟正黑體" w:hAnsi="微軟正黑體" w:hint="eastAsia"/>
          <w:color w:val="000000"/>
        </w:rPr>
        <w:t>根據前述國際勞工組織的分類，生產性家庭工作就是一般俗稱的「家庭代工」，而電傳工作與以家為據點的數位平台工作則多是在遠端利用資訊和通信技術來執行他們的工作。就本文探討主題，或許可以將電傳工作與以家為據點的數位平台工</w:t>
      </w:r>
      <w:r>
        <w:rPr>
          <w:rFonts w:ascii="微軟正黑體" w:eastAsia="微軟正黑體" w:hAnsi="微軟正黑體" w:hint="eastAsia"/>
          <w:color w:val="000000"/>
        </w:rPr>
        <w:t>作通稱為廣義的「電傳工作」，而其就業型態包括受僱者或個人承攬者(或稱獨立工作者、眾包工作者或自營作業者)</w:t>
      </w:r>
      <w:r w:rsidRPr="00C306F8">
        <w:rPr>
          <w:rFonts w:ascii="微軟正黑體" w:eastAsia="微軟正黑體" w:hAnsi="微軟正黑體" w:hint="eastAsia"/>
          <w:color w:val="000000"/>
        </w:rPr>
        <w:t>兩種類型。</w:t>
      </w:r>
    </w:p>
    <w:p w:rsidR="00FE586D" w:rsidRDefault="00FE586D" w:rsidP="00FE586D">
      <w:pPr>
        <w:spacing w:beforeLines="30" w:before="72" w:line="400" w:lineRule="exact"/>
        <w:ind w:firstLine="482"/>
        <w:jc w:val="both"/>
        <w:rPr>
          <w:rFonts w:ascii="微軟正黑體" w:eastAsia="微軟正黑體" w:hAnsi="微軟正黑體"/>
          <w:color w:val="000000"/>
        </w:rPr>
      </w:pPr>
      <w:r w:rsidRPr="00C306F8">
        <w:rPr>
          <w:rFonts w:ascii="微軟正黑體" w:eastAsia="微軟正黑體" w:hAnsi="微軟正黑體" w:hint="eastAsia"/>
          <w:color w:val="000000"/>
        </w:rPr>
        <w:t>據此，本文將就廣義「電傳工作」的角度，來探討電傳工作發展概況，以及目前國際社會對於電傳工作者勞動與社會保障議題關注的重點，以期做為我國</w:t>
      </w:r>
      <w:r w:rsidRPr="008F6F47">
        <w:rPr>
          <w:rFonts w:ascii="微軟正黑體" w:eastAsia="微軟正黑體" w:hAnsi="微軟正黑體" w:hint="eastAsia"/>
          <w:color w:val="000000"/>
        </w:rPr>
        <w:t>有</w:t>
      </w:r>
      <w:r w:rsidRPr="00C306F8">
        <w:rPr>
          <w:rFonts w:ascii="微軟正黑體" w:eastAsia="微軟正黑體" w:hAnsi="微軟正黑體" w:hint="eastAsia"/>
          <w:color w:val="000000"/>
        </w:rPr>
        <w:t>關政策制訂的參考依據。</w:t>
      </w:r>
    </w:p>
    <w:p w:rsidR="00FE586D" w:rsidRDefault="00FE586D" w:rsidP="00FE586D">
      <w:pPr>
        <w:spacing w:line="400" w:lineRule="exact"/>
        <w:jc w:val="both"/>
        <w:rPr>
          <w:rFonts w:ascii="微軟正黑體" w:eastAsia="微軟正黑體" w:hAnsi="微軟正黑體"/>
          <w:color w:val="000000"/>
        </w:rPr>
      </w:pPr>
    </w:p>
    <w:p w:rsidR="00FE586D" w:rsidRDefault="00FE586D" w:rsidP="00FE586D">
      <w:pPr>
        <w:spacing w:line="400" w:lineRule="exact"/>
        <w:jc w:val="both"/>
        <w:rPr>
          <w:rFonts w:ascii="微軟正黑體" w:eastAsia="微軟正黑體" w:hAnsi="微軟正黑體"/>
          <w:color w:val="000000"/>
        </w:rPr>
      </w:pPr>
    </w:p>
    <w:p w:rsidR="00FE586D" w:rsidRDefault="00FE586D" w:rsidP="00FE586D">
      <w:pPr>
        <w:spacing w:line="400" w:lineRule="exact"/>
        <w:jc w:val="both"/>
        <w:rPr>
          <w:rFonts w:ascii="微軟正黑體" w:eastAsia="微軟正黑體" w:hAnsi="微軟正黑體"/>
          <w:color w:val="000000"/>
        </w:rPr>
      </w:pPr>
    </w:p>
    <w:p w:rsidR="00FE586D" w:rsidRDefault="00FE586D" w:rsidP="00FE586D">
      <w:pPr>
        <w:spacing w:line="400" w:lineRule="exact"/>
        <w:jc w:val="center"/>
        <w:rPr>
          <w:rFonts w:ascii="微軟正黑體" w:eastAsia="微軟正黑體" w:hAnsi="微軟正黑體"/>
          <w:b/>
          <w:color w:val="000000"/>
          <w:kern w:val="0"/>
          <w:sz w:val="32"/>
          <w:szCs w:val="32"/>
        </w:rPr>
      </w:pPr>
      <w:r w:rsidRPr="007A7650">
        <w:rPr>
          <w:rFonts w:ascii="微軟正黑體" w:eastAsia="微軟正黑體" w:hAnsi="微軟正黑體"/>
          <w:b/>
          <w:color w:val="000000"/>
          <w:sz w:val="32"/>
          <w:szCs w:val="32"/>
        </w:rPr>
        <w:lastRenderedPageBreak/>
        <w:t>貳</w:t>
      </w:r>
      <w:r w:rsidRPr="007A7650">
        <w:rPr>
          <w:rFonts w:ascii="微軟正黑體" w:eastAsia="微軟正黑體" w:hAnsi="微軟正黑體"/>
          <w:b/>
          <w:color w:val="000000"/>
          <w:kern w:val="0"/>
          <w:sz w:val="32"/>
          <w:szCs w:val="32"/>
        </w:rPr>
        <w:t>、</w:t>
      </w:r>
      <w:bookmarkEnd w:id="29"/>
      <w:bookmarkEnd w:id="30"/>
      <w:bookmarkEnd w:id="31"/>
      <w:bookmarkEnd w:id="32"/>
      <w:bookmarkEnd w:id="33"/>
      <w:bookmarkEnd w:id="34"/>
      <w:bookmarkEnd w:id="35"/>
      <w:bookmarkEnd w:id="36"/>
      <w:r w:rsidRPr="00C306F8">
        <w:rPr>
          <w:rFonts w:ascii="微軟正黑體" w:eastAsia="微軟正黑體" w:hAnsi="微軟正黑體" w:hint="eastAsia"/>
          <w:b/>
          <w:color w:val="000000"/>
          <w:kern w:val="0"/>
          <w:sz w:val="32"/>
          <w:szCs w:val="32"/>
        </w:rPr>
        <w:t>電傳工作發展概況</w:t>
      </w:r>
      <w:bookmarkStart w:id="43" w:name="_Toc20921252"/>
      <w:bookmarkStart w:id="44" w:name="_Toc21116538"/>
      <w:bookmarkStart w:id="45" w:name="_Toc21118912"/>
      <w:bookmarkStart w:id="46" w:name="_Toc21164989"/>
      <w:bookmarkEnd w:id="37"/>
      <w:bookmarkEnd w:id="38"/>
      <w:bookmarkEnd w:id="39"/>
      <w:bookmarkEnd w:id="40"/>
      <w:bookmarkEnd w:id="41"/>
      <w:bookmarkEnd w:id="42"/>
    </w:p>
    <w:bookmarkEnd w:id="43"/>
    <w:bookmarkEnd w:id="44"/>
    <w:bookmarkEnd w:id="45"/>
    <w:bookmarkEnd w:id="46"/>
    <w:p w:rsidR="00FE586D" w:rsidRPr="00C306F8" w:rsidRDefault="00FE586D" w:rsidP="00A75ACE">
      <w:pPr>
        <w:spacing w:beforeLines="150" w:before="360"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在人類歷史上，遠距</w:t>
      </w:r>
      <w:r w:rsidRPr="00C306F8">
        <w:rPr>
          <w:rFonts w:ascii="微軟正黑體" w:eastAsia="微軟正黑體" w:hAnsi="微軟正黑體"/>
          <w:color w:val="000000"/>
          <w:kern w:val="0"/>
        </w:rPr>
        <w:t>(或在家)工作一直是個常態。即便一直到20世紀，大多數生產都是以家庭為基礎的，家庭生產的商品通常用來自己消費或增加收入，這樣的生產模式一般稱之為「手工業」(Cottage industry)。隨著工業化的發展，遠距(或在家)工作並沒有消</w:t>
      </w:r>
      <w:r>
        <w:rPr>
          <w:rFonts w:ascii="微軟正黑體" w:eastAsia="微軟正黑體" w:hAnsi="微軟正黑體"/>
          <w:color w:val="000000"/>
          <w:kern w:val="0"/>
        </w:rPr>
        <w:t>失，而是被融入在企業生產和服務體系中，企業以外包給「家庭勞工」</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Domestic worker</w:t>
      </w:r>
      <w:r>
        <w:rPr>
          <w:rFonts w:ascii="微軟正黑體" w:eastAsia="微軟正黑體" w:hAnsi="微軟正黑體" w:hint="eastAsia"/>
          <w:color w:val="000000"/>
          <w:kern w:val="0"/>
        </w:rPr>
        <w:t>)</w:t>
      </w:r>
      <w:r>
        <w:rPr>
          <w:rFonts w:ascii="微軟正黑體" w:eastAsia="微軟正黑體" w:hAnsi="微軟正黑體"/>
          <w:color w:val="000000"/>
          <w:kern w:val="0"/>
        </w:rPr>
        <w:t>的方式繼續運作。</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ILO, 2020a</w:t>
      </w:r>
      <w:r>
        <w:rPr>
          <w:rFonts w:ascii="微軟正黑體" w:eastAsia="微軟正黑體" w:hAnsi="微軟正黑體" w:hint="eastAsia"/>
          <w:color w:val="000000"/>
          <w:kern w:val="0"/>
        </w:rPr>
        <w:t>)</w:t>
      </w:r>
    </w:p>
    <w:p w:rsidR="00FE586D" w:rsidRPr="00C306F8" w:rsidRDefault="00FE586D" w:rsidP="00FE586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在</w:t>
      </w:r>
      <w:r w:rsidRPr="00C306F8">
        <w:rPr>
          <w:rFonts w:ascii="微軟正黑體" w:eastAsia="微軟正黑體" w:hAnsi="微軟正黑體"/>
          <w:color w:val="000000"/>
          <w:kern w:val="0"/>
        </w:rPr>
        <w:t>20世紀初期，法國每</w:t>
      </w:r>
      <w:r>
        <w:rPr>
          <w:rFonts w:ascii="微軟正黑體" w:eastAsia="微軟正黑體" w:hAnsi="微軟正黑體" w:hint="eastAsia"/>
          <w:color w:val="000000"/>
          <w:kern w:val="0"/>
        </w:rPr>
        <w:t>3</w:t>
      </w:r>
      <w:r>
        <w:rPr>
          <w:rFonts w:ascii="微軟正黑體" w:eastAsia="微軟正黑體" w:hAnsi="微軟正黑體"/>
          <w:color w:val="000000"/>
          <w:kern w:val="0"/>
        </w:rPr>
        <w:t>名婦女中就有</w:t>
      </w:r>
      <w:r>
        <w:rPr>
          <w:rFonts w:ascii="微軟正黑體" w:eastAsia="微軟正黑體" w:hAnsi="微軟正黑體" w:hint="eastAsia"/>
          <w:color w:val="000000"/>
          <w:kern w:val="0"/>
        </w:rPr>
        <w:t>1</w:t>
      </w:r>
      <w:r w:rsidRPr="00C306F8">
        <w:rPr>
          <w:rFonts w:ascii="微軟正黑體" w:eastAsia="微軟正黑體" w:hAnsi="微軟正黑體"/>
          <w:color w:val="000000"/>
          <w:kern w:val="0"/>
        </w:rPr>
        <w:t>個是家庭勞工，生產服裝和一系列其他消費品。隨著經濟結構的變化，家庭工作融入了服務業。在1940年代和1950年代的美國，迅速發展的直郵行業(Direct mail industry，或稱直接郵寄商業郵件行業)大部分內容都是依靠家庭勞工的打字工作來完成；在1980年代，保險業使用家庭勞工來幫助處理保險理賠工作。儘管北美和歐洲的生產性家庭工作有所減少，但它並沒有消失，在義大利高級時裝行業中就依舊存在。大多數生產性家庭工作都在發展中國家；僅在印度，據估計大約有3,700萬家庭</w:t>
      </w:r>
      <w:r>
        <w:rPr>
          <w:rFonts w:ascii="微軟正黑體" w:eastAsia="微軟正黑體" w:hAnsi="微軟正黑體" w:hint="eastAsia"/>
          <w:color w:val="000000"/>
          <w:kern w:val="0"/>
        </w:rPr>
        <w:t>勞工(</w:t>
      </w:r>
      <w:r w:rsidRPr="00195CF4">
        <w:rPr>
          <w:rFonts w:ascii="微軟正黑體" w:eastAsia="微軟正黑體" w:hAnsi="微軟正黑體" w:hint="eastAsia"/>
          <w:kern w:val="0"/>
        </w:rPr>
        <w:t>占</w:t>
      </w:r>
      <w:r w:rsidRPr="00C306F8">
        <w:rPr>
          <w:rFonts w:ascii="微軟正黑體" w:eastAsia="微軟正黑體" w:hAnsi="微軟正黑體" w:hint="eastAsia"/>
          <w:color w:val="000000"/>
          <w:kern w:val="0"/>
        </w:rPr>
        <w:t>總就業人數的</w:t>
      </w:r>
      <w:r w:rsidRPr="00C306F8">
        <w:rPr>
          <w:rFonts w:ascii="微軟正黑體" w:eastAsia="微軟正黑體" w:hAnsi="微軟正黑體"/>
          <w:color w:val="000000"/>
          <w:kern w:val="0"/>
        </w:rPr>
        <w:t>8.5</w:t>
      </w:r>
      <w:r>
        <w:rPr>
          <w:rFonts w:ascii="微軟正黑體" w:eastAsia="微軟正黑體" w:hAnsi="微軟正黑體"/>
          <w:color w:val="000000"/>
          <w:kern w:val="0"/>
        </w:rPr>
        <w:t>％</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，包括獨立工匠和家庭勞工。與在家工作一般，電傳工作是一個比以家庭為基礎工作較狹窄的概念，因為它僅適用於在遠距執行工作的勞工。與</w:t>
      </w:r>
      <w:r>
        <w:rPr>
          <w:rFonts w:ascii="微軟正黑體" w:eastAsia="微軟正黑體" w:hAnsi="微軟正黑體"/>
          <w:color w:val="000000"/>
          <w:kern w:val="0"/>
        </w:rPr>
        <w:t>以往生產性和文書的家庭工作一般，電傳工作已經被視為可以允許女性</w:t>
      </w:r>
      <w:r>
        <w:rPr>
          <w:rFonts w:ascii="微軟正黑體" w:eastAsia="微軟正黑體" w:hAnsi="微軟正黑體" w:hint="eastAsia"/>
          <w:color w:val="000000"/>
          <w:kern w:val="0"/>
        </w:rPr>
        <w:t>(</w:t>
      </w:r>
      <w:r>
        <w:rPr>
          <w:rFonts w:ascii="微軟正黑體" w:eastAsia="微軟正黑體" w:hAnsi="微軟正黑體"/>
          <w:color w:val="000000"/>
          <w:kern w:val="0"/>
        </w:rPr>
        <w:t>和一些男性</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兼顧工作與家庭的一種手段。(ILO, 2021)</w:t>
      </w:r>
    </w:p>
    <w:p w:rsidR="00FE586D" w:rsidRPr="00C306F8" w:rsidRDefault="00FE586D" w:rsidP="00FE586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儘管電傳工作受到了廣泛關注，但在</w:t>
      </w:r>
      <w:r w:rsidRPr="00C306F8">
        <w:rPr>
          <w:rFonts w:ascii="微軟正黑體" w:eastAsia="微軟正黑體" w:hAnsi="微軟正黑體"/>
          <w:color w:val="000000"/>
          <w:kern w:val="0"/>
        </w:rPr>
        <w:t>COVID-19大流行之前，大多數員工從事電傳工作多是偶一為之。一般而言，電傳工作係以管理人員和專業人員為主。在法國，有3％的受僱員工每週僅</w:t>
      </w:r>
      <w:r>
        <w:rPr>
          <w:rFonts w:ascii="微軟正黑體" w:eastAsia="微軟正黑體" w:hAnsi="微軟正黑體" w:hint="eastAsia"/>
          <w:color w:val="000000"/>
          <w:kern w:val="0"/>
        </w:rPr>
        <w:t>1</w:t>
      </w:r>
      <w:r w:rsidRPr="00C306F8">
        <w:rPr>
          <w:rFonts w:ascii="微軟正黑體" w:eastAsia="微軟正黑體" w:hAnsi="微軟正黑體"/>
          <w:color w:val="000000"/>
          <w:kern w:val="0"/>
        </w:rPr>
        <w:t>天從事電傳工作，其中只有0.9</w:t>
      </w:r>
      <w:r>
        <w:rPr>
          <w:rFonts w:ascii="微軟正黑體" w:eastAsia="微軟正黑體" w:hAnsi="微軟正黑體"/>
          <w:color w:val="000000"/>
          <w:kern w:val="0"/>
        </w:rPr>
        <w:t>％的人需要每週</w:t>
      </w:r>
      <w:r>
        <w:rPr>
          <w:rFonts w:ascii="微軟正黑體" w:eastAsia="微軟正黑體" w:hAnsi="微軟正黑體" w:hint="eastAsia"/>
          <w:color w:val="000000"/>
          <w:kern w:val="0"/>
        </w:rPr>
        <w:t>3</w:t>
      </w:r>
      <w:r w:rsidRPr="00C306F8">
        <w:rPr>
          <w:rFonts w:ascii="微軟正黑體" w:eastAsia="微軟正黑體" w:hAnsi="微軟正黑體"/>
          <w:color w:val="000000"/>
          <w:kern w:val="0"/>
        </w:rPr>
        <w:t>天或以上從事電傳工作。同樣地，在美國，雖然2016年有43％的受僱員工遠距(或在家)工作，但2011年至2018年之間只有15％的工作時間是在家工作的(ILO, 2021)</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2014年，德國只有12％的勞工每週至少1天從事電傳工作，而匈牙利只有1 ％的勞工從事電傳工作；而在2015年，這兩個國家幾乎有30</w:t>
      </w:r>
      <w:r>
        <w:rPr>
          <w:rFonts w:ascii="微軟正黑體" w:eastAsia="微軟正黑體" w:hAnsi="微軟正黑體"/>
          <w:color w:val="000000"/>
          <w:kern w:val="0"/>
        </w:rPr>
        <w:t>％的勞工是偶爾從事電傳工作</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Eurofund &amp; ILO, 2017</w:t>
      </w:r>
      <w:r>
        <w:rPr>
          <w:rFonts w:ascii="微軟正黑體" w:eastAsia="微軟正黑體" w:hAnsi="微軟正黑體" w:hint="eastAsia"/>
          <w:color w:val="000000"/>
          <w:kern w:val="0"/>
        </w:rPr>
        <w:t>)。</w:t>
      </w:r>
    </w:p>
    <w:p w:rsidR="00FE586D" w:rsidRPr="00C306F8" w:rsidRDefault="00FE586D" w:rsidP="00FE586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經常性和非經常性電傳工作間的差異再次顯示，除技術要求外，電傳工作還存在著大量非技術性的障礙，大多數可以遠距</w:t>
      </w:r>
      <w:r w:rsidRPr="00C306F8">
        <w:rPr>
          <w:rFonts w:ascii="微軟正黑體" w:eastAsia="微軟正黑體" w:hAnsi="微軟正黑體"/>
          <w:color w:val="000000"/>
          <w:kern w:val="0"/>
        </w:rPr>
        <w:t>(或在家)完成至少一些</w:t>
      </w:r>
      <w:r>
        <w:rPr>
          <w:rFonts w:ascii="微軟正黑體" w:eastAsia="微軟正黑體" w:hAnsi="微軟正黑體"/>
          <w:color w:val="000000"/>
          <w:kern w:val="0"/>
        </w:rPr>
        <w:t>工作任務的勞工可能會選擇不這樣做，譬如家中缺乏合適的工作環境。</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Hensvik, Le Barbanchon and Rathelot, 2020</w:t>
      </w:r>
      <w:r>
        <w:rPr>
          <w:rFonts w:ascii="微軟正黑體" w:eastAsia="微軟正黑體" w:hAnsi="微軟正黑體" w:hint="eastAsia"/>
          <w:color w:val="000000"/>
          <w:kern w:val="0"/>
        </w:rPr>
        <w:t>)</w:t>
      </w:r>
    </w:p>
    <w:p w:rsidR="00FE586D" w:rsidRDefault="00FE586D" w:rsidP="00FE586D">
      <w:pPr>
        <w:spacing w:beforeLines="30" w:before="72" w:line="400" w:lineRule="exact"/>
        <w:jc w:val="both"/>
        <w:rPr>
          <w:rFonts w:ascii="微軟正黑體" w:eastAsia="微軟正黑體" w:hAnsi="微軟正黑體"/>
          <w:color w:val="000000"/>
          <w:kern w:val="0"/>
        </w:rPr>
      </w:pPr>
      <w:r>
        <w:rPr>
          <w:rFonts w:ascii="微軟正黑體" w:eastAsia="微軟正黑體" w:hAnsi="微軟正黑體" w:hint="eastAsia"/>
          <w:color w:val="000000"/>
          <w:kern w:val="0"/>
        </w:rPr>
        <w:t xml:space="preserve">    </w:t>
      </w:r>
      <w:r w:rsidRPr="00C306F8">
        <w:rPr>
          <w:rFonts w:ascii="微軟正黑體" w:eastAsia="微軟正黑體" w:hAnsi="微軟正黑體" w:hint="eastAsia"/>
          <w:color w:val="000000"/>
          <w:kern w:val="0"/>
        </w:rPr>
        <w:t>工作的未來發展較預定的時間提早到來；在</w:t>
      </w:r>
      <w:r w:rsidRPr="00C306F8">
        <w:rPr>
          <w:rFonts w:ascii="微軟正黑體" w:eastAsia="微軟正黑體" w:hAnsi="微軟正黑體"/>
          <w:color w:val="000000"/>
          <w:kern w:val="0"/>
        </w:rPr>
        <w:t>COVID-19危機發生前，遠距工作的想法浮出水面，但進展得並不快速。然而，COVID-19大流行改變了這一趨勢，由於企業採取電傳工作來維持其運營，許多行業數以千萬計的員工移轉到家中工作，導致從事電傳工作的勞工人數和比率大量增加。在日本，2018年只有不到1,000家機構提供遠端照護，到2020年7月，則超過了16,000</w:t>
      </w:r>
      <w:r>
        <w:rPr>
          <w:rFonts w:ascii="微軟正黑體" w:eastAsia="微軟正黑體" w:hAnsi="微軟正黑體"/>
          <w:color w:val="000000"/>
          <w:kern w:val="0"/>
        </w:rPr>
        <w:t>家。</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Sneader and Singhal, 2021</w:t>
      </w:r>
      <w:r>
        <w:rPr>
          <w:rFonts w:ascii="微軟正黑體" w:eastAsia="微軟正黑體" w:hAnsi="微軟正黑體" w:hint="eastAsia"/>
          <w:color w:val="000000"/>
          <w:kern w:val="0"/>
        </w:rPr>
        <w:t>)</w:t>
      </w:r>
    </w:p>
    <w:p w:rsidR="00FE586D" w:rsidRDefault="00FE586D" w:rsidP="00FE586D">
      <w:pPr>
        <w:spacing w:beforeLines="30" w:before="72" w:line="400" w:lineRule="exact"/>
        <w:jc w:val="both"/>
        <w:rPr>
          <w:rFonts w:ascii="微軟正黑體" w:eastAsia="微軟正黑體" w:hAnsi="微軟正黑體"/>
          <w:color w:val="000000"/>
          <w:kern w:val="0"/>
        </w:rPr>
      </w:pPr>
    </w:p>
    <w:p w:rsidR="00FE586D" w:rsidRPr="00C306F8" w:rsidRDefault="00FE586D" w:rsidP="00FE586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lastRenderedPageBreak/>
        <w:t>許多公司透過遠距</w:t>
      </w:r>
      <w:r w:rsidRPr="00C306F8">
        <w:rPr>
          <w:rFonts w:ascii="微軟正黑體" w:eastAsia="微軟正黑體" w:hAnsi="微軟正黑體"/>
          <w:color w:val="000000"/>
          <w:kern w:val="0"/>
        </w:rPr>
        <w:t>(或在家)工作來因應疫情危機，顯示在危機前電傳工作的使用相對是有限的。以美國為例，在2020年4月接受調查的1,500名招聘經理中，有94％表示他們的某些員工在危機期間採用了電傳工作</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Ozimek, 2020</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在另一項針對美國人的調查中，2020年4月接受調查的25,000名受訪者中，有34</w:t>
      </w:r>
      <w:r>
        <w:rPr>
          <w:rFonts w:ascii="微軟正黑體" w:eastAsia="微軟正黑體" w:hAnsi="微軟正黑體"/>
          <w:color w:val="000000"/>
          <w:kern w:val="0"/>
        </w:rPr>
        <w:t>％受僱員工表示是在從事電傳工作</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Brynjolfsson et. al., 2020</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在危機期間，勞工通常被迫進行電傳工作。儘管從長遠來看，許多人可能會繼續從事電傳工作，但是只要電傳工作的規範和其他障</w:t>
      </w:r>
      <w:r w:rsidRPr="00C306F8">
        <w:rPr>
          <w:rFonts w:ascii="微軟正黑體" w:eastAsia="微軟正黑體" w:hAnsi="微軟正黑體" w:hint="eastAsia"/>
          <w:color w:val="000000"/>
          <w:kern w:val="0"/>
        </w:rPr>
        <w:t>礙持續存在，許多人未必想從事電傳工作。</w:t>
      </w:r>
    </w:p>
    <w:p w:rsidR="00FE586D" w:rsidRPr="00C306F8" w:rsidRDefault="00FE586D" w:rsidP="00FE586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就某種程度而言，諸如缺乏資通訊</w:t>
      </w:r>
      <w:r w:rsidRPr="00C306F8">
        <w:rPr>
          <w:rFonts w:ascii="微軟正黑體" w:eastAsia="微軟正黑體" w:hAnsi="微軟正黑體"/>
          <w:color w:val="000000"/>
          <w:kern w:val="0"/>
        </w:rPr>
        <w:t>(ICT)技能、管理效率低落或需要親身參與的工作任務等因素會阻止電傳工作的運用。透過跨國家或跨企業的差異比較，可以進一步瞭解</w:t>
      </w:r>
      <w:r>
        <w:rPr>
          <w:rFonts w:ascii="微軟正黑體" w:eastAsia="微軟正黑體" w:hAnsi="微軟正黑體"/>
          <w:color w:val="000000"/>
          <w:kern w:val="0"/>
        </w:rPr>
        <w:t>，若要擴大電傳工作的範圍，管理措施或公共政策要如何調整或補強。</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Galasso &amp; Foucaul, 2020</w:t>
      </w:r>
      <w:r>
        <w:rPr>
          <w:rFonts w:ascii="微軟正黑體" w:eastAsia="微軟正黑體" w:hAnsi="微軟正黑體" w:hint="eastAsia"/>
          <w:color w:val="000000"/>
          <w:kern w:val="0"/>
        </w:rPr>
        <w:t>)</w:t>
      </w:r>
    </w:p>
    <w:p w:rsidR="00FE586D" w:rsidRPr="007A0273" w:rsidRDefault="00FE586D" w:rsidP="00FE586D">
      <w:pPr>
        <w:spacing w:beforeLines="30" w:before="72" w:line="400" w:lineRule="exact"/>
        <w:ind w:firstLine="482"/>
        <w:jc w:val="both"/>
        <w:rPr>
          <w:rFonts w:ascii="微軟正黑體" w:eastAsia="微軟正黑體" w:hAnsi="微軟正黑體"/>
          <w:color w:val="C00000"/>
          <w:kern w:val="0"/>
        </w:rPr>
      </w:pPr>
      <w:r w:rsidRPr="00C306F8">
        <w:rPr>
          <w:rFonts w:ascii="微軟正黑體" w:eastAsia="微軟正黑體" w:hAnsi="微軟正黑體" w:hint="eastAsia"/>
          <w:color w:val="000000"/>
          <w:kern w:val="0"/>
        </w:rPr>
        <w:t>值得注意地是，可以在家中執行某些任務的工作不盡然完全適合以電傳工作方式來完成。例如，在瑞典，</w:t>
      </w:r>
      <w:r w:rsidRPr="00C306F8">
        <w:rPr>
          <w:rFonts w:ascii="微軟正黑體" w:eastAsia="微軟正黑體" w:hAnsi="微軟正黑體"/>
          <w:color w:val="000000"/>
          <w:kern w:val="0"/>
        </w:rPr>
        <w:t>2015年有57.2％的人從事過一些電傳工作，但是在COVID-19封城期間，目前只有30.7％的人是在從事電傳工作。除了產業結構外，還應考慮其他因素，如文化、管理作為、數位</w:t>
      </w:r>
      <w:r>
        <w:rPr>
          <w:rFonts w:ascii="微軟正黑體" w:eastAsia="微軟正黑體" w:hAnsi="微軟正黑體"/>
          <w:color w:val="000000"/>
          <w:kern w:val="0"/>
        </w:rPr>
        <w:t>基礎設施、技能或勞動力的年齡結構</w:t>
      </w:r>
      <w:r w:rsidRPr="00195CF4">
        <w:rPr>
          <w:rFonts w:ascii="微軟正黑體" w:eastAsia="微軟正黑體" w:hAnsi="微軟正黑體" w:hint="eastAsia"/>
          <w:kern w:val="0"/>
        </w:rPr>
        <w:t>等，</w:t>
      </w:r>
      <w:r w:rsidRPr="00195CF4">
        <w:rPr>
          <w:rFonts w:ascii="微軟正黑體" w:eastAsia="微軟正黑體" w:hAnsi="微軟正黑體"/>
          <w:kern w:val="0"/>
        </w:rPr>
        <w:t>可能</w:t>
      </w:r>
      <w:r>
        <w:rPr>
          <w:rFonts w:ascii="微軟正黑體" w:eastAsia="微軟正黑體" w:hAnsi="微軟正黑體"/>
          <w:color w:val="000000"/>
          <w:kern w:val="0"/>
        </w:rPr>
        <w:t>會導致不同國家之間的差異。</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Boeri, Caiumi and Paccagnella, 2020</w:t>
      </w:r>
      <w:r>
        <w:rPr>
          <w:rFonts w:ascii="微軟正黑體" w:eastAsia="微軟正黑體" w:hAnsi="微軟正黑體" w:hint="eastAsia"/>
          <w:color w:val="000000"/>
          <w:kern w:val="0"/>
        </w:rPr>
        <w:t>)</w:t>
      </w:r>
    </w:p>
    <w:p w:rsidR="00FE586D" w:rsidRPr="00C306F8" w:rsidRDefault="00FE586D" w:rsidP="00FE586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就跨部門比較而言，電傳工作範圍的差異也很大。電傳工作在知識密集</w:t>
      </w:r>
      <w:r w:rsidRPr="00C306F8">
        <w:rPr>
          <w:rFonts w:ascii="微軟正黑體" w:eastAsia="微軟正黑體" w:hAnsi="微軟正黑體"/>
          <w:color w:val="000000"/>
          <w:kern w:val="0"/>
        </w:rPr>
        <w:t>(knowledge-intensive)的服務業最常見，如專業和ICT服務業，而在製造業和知識密集程度不高的服務業比較不常見，例如批發、零售和運輸服務業等。這些差異可能至少反映了工作要求的不同，因為知識密集行業中許多高技能工作可以使用筆記型電腦遠端完成，而製造業或住宿業等許多工作則需要親身參與。同樣地，許多公共服務工作，「親身參與」是完成工作的重要因素，例如衛生和社會工作。有趣的是，從事農業、建築、採礦</w:t>
      </w:r>
      <w:r w:rsidRPr="00C306F8">
        <w:rPr>
          <w:rFonts w:ascii="微軟正黑體" w:eastAsia="微軟正黑體" w:hAnsi="微軟正黑體" w:hint="eastAsia"/>
          <w:color w:val="000000"/>
          <w:kern w:val="0"/>
        </w:rPr>
        <w:t>、電力或供水工作的人們中，有相當一部分採用了電傳工作。儘管當前數據無法按行業和職業進行細分，但未來的工作可能會闡明這些行業中那些工作需要密集的電傳工作。</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Sneader and Singhal, 2021</w:t>
      </w:r>
      <w:r>
        <w:rPr>
          <w:rFonts w:ascii="微軟正黑體" w:eastAsia="微軟正黑體" w:hAnsi="微軟正黑體" w:hint="eastAsia"/>
          <w:color w:val="000000"/>
          <w:kern w:val="0"/>
        </w:rPr>
        <w:t>)</w:t>
      </w:r>
    </w:p>
    <w:p w:rsidR="00FE586D" w:rsidRDefault="00A65F2D" w:rsidP="00A65F2D">
      <w:pPr>
        <w:spacing w:beforeLines="30" w:before="72" w:line="400" w:lineRule="exact"/>
        <w:rPr>
          <w:rFonts w:ascii="微軟正黑體" w:eastAsia="微軟正黑體" w:hAnsi="微軟正黑體"/>
          <w:color w:val="000000"/>
          <w:kern w:val="0"/>
        </w:rPr>
      </w:pPr>
      <w:r>
        <w:rPr>
          <w:rFonts w:ascii="微軟正黑體" w:eastAsia="微軟正黑體" w:hAnsi="微軟正黑體" w:hint="eastAsia"/>
          <w:color w:val="000000"/>
          <w:kern w:val="0"/>
        </w:rPr>
        <w:t xml:space="preserve">    </w:t>
      </w:r>
      <w:r w:rsidR="00FE586D" w:rsidRPr="00C306F8">
        <w:rPr>
          <w:rFonts w:ascii="微軟正黑體" w:eastAsia="微軟正黑體" w:hAnsi="微軟正黑體" w:hint="eastAsia"/>
          <w:color w:val="000000"/>
          <w:kern w:val="0"/>
        </w:rPr>
        <w:t>不同職業電傳工作的潛力各不相</w:t>
      </w:r>
      <w:r w:rsidR="00FE586D">
        <w:rPr>
          <w:rFonts w:ascii="微軟正黑體" w:eastAsia="微軟正黑體" w:hAnsi="微軟正黑體" w:hint="eastAsia"/>
          <w:color w:val="000000"/>
          <w:kern w:val="0"/>
        </w:rPr>
        <w:t>同。按技能內容對職業進行分組，電傳工作是高技能職業(例如管理人員和專業人員)</w:t>
      </w:r>
      <w:r w:rsidR="00FE586D" w:rsidRPr="00C306F8">
        <w:rPr>
          <w:rFonts w:ascii="微軟正黑體" w:eastAsia="微軟正黑體" w:hAnsi="微軟正黑體" w:hint="eastAsia"/>
          <w:color w:val="000000"/>
          <w:kern w:val="0"/>
        </w:rPr>
        <w:t>中最常見的現象，顯示許多傾向於遠端完成的職業都需要高技能。然而，持續數位化的發展可能會進一步擴大遠端完成任務的範圍。在中、低技能的勞工中，包括許多需要親身參與工作的職業，例如個人照護、生產或銷售等人員，電傳工作程度是較低的。然而，某些中、低技術職業中，電傳工作其實是相當頻繁的，特別是數位化技術程度較高的農業勞工，這意味著有相</w:t>
      </w:r>
      <w:r w:rsidR="00FE586D" w:rsidRPr="00195CF4">
        <w:rPr>
          <w:rFonts w:ascii="微軟正黑體" w:eastAsia="微軟正黑體" w:hAnsi="微軟正黑體" w:hint="eastAsia"/>
          <w:kern w:val="0"/>
        </w:rPr>
        <w:t>當</w:t>
      </w:r>
      <w:r w:rsidR="00FE586D" w:rsidRPr="00C306F8">
        <w:rPr>
          <w:rFonts w:ascii="微軟正黑體" w:eastAsia="微軟正黑體" w:hAnsi="微軟正黑體" w:hint="eastAsia"/>
          <w:color w:val="000000"/>
          <w:kern w:val="0"/>
        </w:rPr>
        <w:t>比率的自營作業者是從事電傳工作。但是，總體而言，相較於中、低技能的職業，電傳工作在高技能人員中的比</w:t>
      </w:r>
      <w:r w:rsidRPr="00C306F8">
        <w:rPr>
          <w:rFonts w:ascii="微軟正黑體" w:eastAsia="微軟正黑體" w:hAnsi="微軟正黑體" w:hint="eastAsia"/>
          <w:color w:val="000000"/>
          <w:kern w:val="0"/>
        </w:rPr>
        <w:t>率還是比較高</w:t>
      </w:r>
      <w:r>
        <w:rPr>
          <w:rFonts w:ascii="微軟正黑體" w:eastAsia="微軟正黑體" w:hAnsi="微軟正黑體" w:hint="eastAsia"/>
          <w:color w:val="000000"/>
          <w:kern w:val="0"/>
        </w:rPr>
        <w:t>的。(</w:t>
      </w:r>
      <w:r w:rsidRPr="00C306F8">
        <w:rPr>
          <w:rFonts w:ascii="微軟正黑體" w:eastAsia="微軟正黑體" w:hAnsi="微軟正黑體"/>
          <w:color w:val="000000"/>
          <w:kern w:val="0"/>
        </w:rPr>
        <w:t>Sneader and Singhal, 2021</w:t>
      </w:r>
      <w:r>
        <w:rPr>
          <w:rFonts w:ascii="微軟正黑體" w:eastAsia="微軟正黑體" w:hAnsi="微軟正黑體" w:hint="eastAsia"/>
          <w:color w:val="000000"/>
          <w:kern w:val="0"/>
        </w:rPr>
        <w:t>)</w:t>
      </w:r>
    </w:p>
    <w:p w:rsidR="00A65F2D" w:rsidRDefault="00A65F2D" w:rsidP="00A65F2D">
      <w:pPr>
        <w:spacing w:beforeLines="30" w:before="72" w:line="400" w:lineRule="exact"/>
        <w:rPr>
          <w:rFonts w:ascii="微軟正黑體" w:eastAsia="微軟正黑體" w:hAnsi="微軟正黑體"/>
          <w:color w:val="000000"/>
          <w:kern w:val="0"/>
        </w:rPr>
      </w:pPr>
    </w:p>
    <w:p w:rsidR="00A65F2D" w:rsidRDefault="00A65F2D" w:rsidP="00A65F2D">
      <w:pPr>
        <w:spacing w:beforeLines="30" w:before="72" w:line="400" w:lineRule="exact"/>
        <w:rPr>
          <w:rFonts w:ascii="微軟正黑體" w:eastAsia="微軟正黑體" w:hAnsi="微軟正黑體"/>
          <w:color w:val="000000"/>
          <w:kern w:val="0"/>
        </w:rPr>
      </w:pP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lastRenderedPageBreak/>
        <w:t>由於職業包括一系列不同的工作任務，其中有些工作任務可以遠端完成，而某些任務可能需要親身參與或投入才能完成，因此許多無法完全透過電傳方式完成的職業仍然適合定期或偶爾進行電傳工作，例如銷售人員或老師在家裡處理行政工作時，可能需要花幾天的時間與客戶和學生</w:t>
      </w:r>
      <w:r>
        <w:rPr>
          <w:rFonts w:ascii="微軟正黑體" w:eastAsia="微軟正黑體" w:hAnsi="微軟正黑體" w:hint="eastAsia"/>
          <w:color w:val="000000"/>
          <w:kern w:val="0"/>
        </w:rPr>
        <w:t>面對面地交流，需要進行實驗的實驗室研究人員可以在家中撰寫論文。(</w:t>
      </w:r>
      <w:r w:rsidRPr="00C306F8">
        <w:rPr>
          <w:rFonts w:ascii="微軟正黑體" w:eastAsia="微軟正黑體" w:hAnsi="微軟正黑體"/>
          <w:color w:val="000000"/>
          <w:kern w:val="0"/>
        </w:rPr>
        <w:t>Sneader and Singhal,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根據現有數據顯示，</w:t>
      </w:r>
      <w:r>
        <w:rPr>
          <w:rFonts w:ascii="微軟正黑體" w:eastAsia="微軟正黑體" w:hAnsi="微軟正黑體"/>
          <w:color w:val="000000"/>
          <w:kern w:val="0"/>
        </w:rPr>
        <w:t>2011</w:t>
      </w:r>
      <w:r w:rsidRPr="00C306F8">
        <w:rPr>
          <w:rFonts w:ascii="微軟正黑體" w:eastAsia="微軟正黑體" w:hAnsi="微軟正黑體"/>
          <w:color w:val="000000"/>
          <w:kern w:val="0"/>
        </w:rPr>
        <w:t>年至</w:t>
      </w:r>
      <w:r>
        <w:rPr>
          <w:rFonts w:ascii="微軟正黑體" w:eastAsia="微軟正黑體" w:hAnsi="微軟正黑體"/>
          <w:color w:val="000000"/>
          <w:kern w:val="0"/>
        </w:rPr>
        <w:t>2013年間，歐</w:t>
      </w:r>
      <w:r>
        <w:rPr>
          <w:rFonts w:ascii="微軟正黑體" w:eastAsia="微軟正黑體" w:hAnsi="微軟正黑體" w:hint="eastAsia"/>
          <w:color w:val="000000"/>
          <w:kern w:val="0"/>
        </w:rPr>
        <w:t>盟</w:t>
      </w:r>
      <w:r>
        <w:rPr>
          <w:rFonts w:ascii="微軟正黑體" w:eastAsia="微軟正黑體" w:hAnsi="微軟正黑體"/>
          <w:color w:val="000000"/>
          <w:kern w:val="0"/>
        </w:rPr>
        <w:t>28</w:t>
      </w:r>
      <w:r w:rsidRPr="00C306F8">
        <w:rPr>
          <w:rFonts w:ascii="微軟正黑體" w:eastAsia="微軟正黑體" w:hAnsi="微軟正黑體"/>
          <w:color w:val="000000"/>
          <w:kern w:val="0"/>
        </w:rPr>
        <w:t xml:space="preserve">國家區域的自營作業者在 </w:t>
      </w:r>
      <w:r>
        <w:rPr>
          <w:rFonts w:ascii="微軟正黑體" w:eastAsia="微軟正黑體" w:hAnsi="微軟正黑體"/>
          <w:color w:val="000000"/>
          <w:kern w:val="0"/>
        </w:rPr>
        <w:t>18</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64</w:t>
      </w:r>
      <w:r>
        <w:rPr>
          <w:rFonts w:ascii="微軟正黑體" w:eastAsia="微軟正黑體" w:hAnsi="微軟正黑體"/>
          <w:color w:val="000000"/>
          <w:kern w:val="0"/>
        </w:rPr>
        <w:t>歲就業人口中的比率下降</w:t>
      </w:r>
      <w:r>
        <w:rPr>
          <w:rFonts w:ascii="微軟正黑體" w:eastAsia="微軟正黑體" w:hAnsi="微軟正黑體" w:hint="eastAsia"/>
          <w:color w:val="000000"/>
          <w:kern w:val="0"/>
        </w:rPr>
        <w:t>了</w:t>
      </w:r>
      <w:r w:rsidRPr="00C306F8">
        <w:rPr>
          <w:rFonts w:ascii="微軟正黑體" w:eastAsia="微軟正黑體" w:hAnsi="微軟正黑體"/>
          <w:color w:val="000000"/>
          <w:kern w:val="0"/>
        </w:rPr>
        <w:t>0.5%。這在一定程度上反映了農業部門的重要性下降，因為自營作業者在農業部門就業中所占的比率很高。就職業而言，自營作業者在技術人員和助理專業人員的所有工作中所占的比重越來越大。各國之間也存在一些差異，德國、荷蘭和英國的自營作業者占總就業人數的比率呈現長期上升的趨勢。</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OECD, 2016</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最常見的自營作業者</w:t>
      </w:r>
      <w:r w:rsidRPr="008F6F47">
        <w:rPr>
          <w:rFonts w:ascii="微軟正黑體" w:eastAsia="微軟正黑體" w:hAnsi="微軟正黑體" w:hint="eastAsia"/>
          <w:color w:val="000000"/>
        </w:rPr>
        <w:t>有</w:t>
      </w:r>
      <w:r>
        <w:rPr>
          <w:rFonts w:ascii="微軟正黑體" w:eastAsia="微軟正黑體" w:hAnsi="微軟正黑體" w:hint="eastAsia"/>
          <w:color w:val="000000"/>
          <w:kern w:val="0"/>
        </w:rPr>
        <w:t>關數據並沒有區分那些是將獨立工作做為主要或唯一活動的獨立工作者(自由工作者、個人承攬者)，而那些又是自認為自己是自由工作者但同時也是受僱者(</w:t>
      </w:r>
      <w:r w:rsidRPr="00C306F8">
        <w:rPr>
          <w:rFonts w:ascii="微軟正黑體" w:eastAsia="微軟正黑體" w:hAnsi="微軟正黑體" w:hint="eastAsia"/>
          <w:color w:val="000000"/>
          <w:kern w:val="0"/>
        </w:rPr>
        <w:t>多樣化工作者，</w:t>
      </w:r>
      <w:r w:rsidRPr="00C306F8">
        <w:rPr>
          <w:rFonts w:ascii="微軟正黑體" w:eastAsia="微軟正黑體" w:hAnsi="微軟正黑體"/>
          <w:color w:val="000000"/>
          <w:kern w:val="0"/>
        </w:rPr>
        <w:t>Diversified workers</w:t>
      </w:r>
      <w:r>
        <w:rPr>
          <w:rFonts w:ascii="微軟正黑體" w:eastAsia="微軟正黑體" w:hAnsi="微軟正黑體" w:hint="eastAsia"/>
          <w:color w:val="000000"/>
          <w:kern w:val="0"/>
        </w:rPr>
        <w:t>)</w:t>
      </w:r>
      <w:r>
        <w:rPr>
          <w:rFonts w:ascii="微軟正黑體" w:eastAsia="微軟正黑體" w:hAnsi="微軟正黑體"/>
          <w:color w:val="000000"/>
          <w:kern w:val="0"/>
        </w:rPr>
        <w:t>或是那些有雇主並定期或臨時從事自由工作</w:t>
      </w:r>
      <w:r>
        <w:rPr>
          <w:rFonts w:ascii="微軟正黑體" w:eastAsia="微軟正黑體" w:hAnsi="微軟正黑體" w:hint="eastAsia"/>
          <w:color w:val="000000"/>
          <w:kern w:val="0"/>
        </w:rPr>
        <w:t>(</w:t>
      </w:r>
      <w:r>
        <w:rPr>
          <w:rFonts w:ascii="微軟正黑體" w:eastAsia="微軟正黑體" w:hAnsi="微軟正黑體"/>
          <w:color w:val="000000"/>
          <w:kern w:val="0"/>
        </w:rPr>
        <w:t>兼職或臨時工</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的人。</w:t>
      </w:r>
      <w:r>
        <w:rPr>
          <w:rFonts w:ascii="微軟正黑體" w:eastAsia="微軟正黑體" w:hAnsi="微軟正黑體"/>
          <w:color w:val="000000"/>
          <w:kern w:val="0"/>
        </w:rPr>
        <w:t>2014</w:t>
      </w:r>
      <w:r w:rsidRPr="00C306F8">
        <w:rPr>
          <w:rFonts w:ascii="微軟正黑體" w:eastAsia="微軟正黑體" w:hAnsi="微軟正黑體"/>
          <w:color w:val="000000"/>
          <w:kern w:val="0"/>
        </w:rPr>
        <w:t>年至</w:t>
      </w:r>
      <w:r>
        <w:rPr>
          <w:rFonts w:ascii="微軟正黑體" w:eastAsia="微軟正黑體" w:hAnsi="微軟正黑體"/>
          <w:color w:val="000000"/>
          <w:kern w:val="0"/>
        </w:rPr>
        <w:t>2015</w:t>
      </w:r>
      <w:r w:rsidRPr="00C306F8">
        <w:rPr>
          <w:rFonts w:ascii="微軟正黑體" w:eastAsia="微軟正黑體" w:hAnsi="微軟正黑體"/>
          <w:color w:val="000000"/>
          <w:kern w:val="0"/>
        </w:rPr>
        <w:t>年間，美國多樣化工作者占總就業人數的比</w:t>
      </w:r>
      <w:r w:rsidRPr="00195CF4">
        <w:rPr>
          <w:rFonts w:ascii="微軟正黑體" w:eastAsia="微軟正黑體" w:hAnsi="微軟正黑體" w:hint="eastAsia"/>
          <w:kern w:val="0"/>
        </w:rPr>
        <w:t>率</w:t>
      </w:r>
      <w:r w:rsidRPr="00C306F8">
        <w:rPr>
          <w:rFonts w:ascii="微軟正黑體" w:eastAsia="微軟正黑體" w:hAnsi="微軟正黑體"/>
          <w:color w:val="000000"/>
          <w:kern w:val="0"/>
        </w:rPr>
        <w:t>從</w:t>
      </w:r>
      <w:r>
        <w:rPr>
          <w:rFonts w:ascii="微軟正黑體" w:eastAsia="微軟正黑體" w:hAnsi="微軟正黑體"/>
          <w:color w:val="000000"/>
          <w:kern w:val="0"/>
        </w:rPr>
        <w:t>6%</w:t>
      </w:r>
      <w:r w:rsidRPr="00C306F8">
        <w:rPr>
          <w:rFonts w:ascii="微軟正黑體" w:eastAsia="微軟正黑體" w:hAnsi="微軟正黑體"/>
          <w:color w:val="000000"/>
          <w:kern w:val="0"/>
        </w:rPr>
        <w:t>增加到9%</w:t>
      </w:r>
      <w:r>
        <w:rPr>
          <w:rFonts w:ascii="微軟正黑體" w:eastAsia="微軟正黑體" w:hAnsi="微軟正黑體"/>
          <w:color w:val="000000"/>
          <w:kern w:val="0"/>
        </w:rPr>
        <w:t>，而其他型態的獨立工作比率在此期間卻是減少的。</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Mishel, 2015</w:t>
      </w:r>
      <w:r>
        <w:rPr>
          <w:rFonts w:ascii="微軟正黑體" w:eastAsia="微軟正黑體" w:hAnsi="微軟正黑體" w:hint="eastAsia"/>
          <w:color w:val="000000"/>
          <w:kern w:val="0"/>
        </w:rPr>
        <w:t>)</w:t>
      </w:r>
    </w:p>
    <w:p w:rsidR="00A65F2D" w:rsidRPr="00C306F8" w:rsidRDefault="00A65F2D" w:rsidP="0087041A">
      <w:pPr>
        <w:spacing w:beforeLines="250" w:before="600" w:line="400" w:lineRule="exact"/>
        <w:jc w:val="center"/>
        <w:rPr>
          <w:rFonts w:ascii="微軟正黑體" w:eastAsia="微軟正黑體" w:hAnsi="微軟正黑體"/>
          <w:b/>
          <w:color w:val="000000"/>
          <w:sz w:val="32"/>
          <w:szCs w:val="32"/>
        </w:rPr>
      </w:pPr>
      <w:r w:rsidRPr="0069340C">
        <w:rPr>
          <w:rFonts w:ascii="微軟正黑體" w:eastAsia="微軟正黑體" w:hAnsi="微軟正黑體" w:hint="eastAsia"/>
          <w:b/>
          <w:color w:val="000000"/>
          <w:sz w:val="32"/>
          <w:szCs w:val="32"/>
        </w:rPr>
        <w:t>參、電傳工作面臨的挑戰</w:t>
      </w:r>
    </w:p>
    <w:p w:rsidR="00A65F2D" w:rsidRPr="00C306F8" w:rsidRDefault="00A65F2D" w:rsidP="00A65F2D">
      <w:pPr>
        <w:spacing w:beforeLines="150" w:before="360"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根據麥肯錫全球研究所的估計，全球超過</w:t>
      </w:r>
      <w:r w:rsidRPr="00C306F8">
        <w:rPr>
          <w:rFonts w:ascii="微軟正黑體" w:eastAsia="微軟正黑體" w:hAnsi="微軟正黑體"/>
          <w:color w:val="000000"/>
          <w:kern w:val="0"/>
        </w:rPr>
        <w:t>20</w:t>
      </w:r>
      <w:r>
        <w:rPr>
          <w:rFonts w:ascii="微軟正黑體" w:eastAsia="微軟正黑體" w:hAnsi="微軟正黑體"/>
          <w:color w:val="000000"/>
          <w:kern w:val="0"/>
        </w:rPr>
        <w:t>％的勞動力</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其中大部分從事金融保險和IT</w:t>
      </w:r>
      <w:r>
        <w:rPr>
          <w:rFonts w:ascii="微軟正黑體" w:eastAsia="微軟正黑體" w:hAnsi="微軟正黑體"/>
          <w:color w:val="000000"/>
          <w:kern w:val="0"/>
        </w:rPr>
        <w:t>等行業的高技能工作</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可以大部分時間不在辦公室工作，並且可以發揮一樣的效率。並非每位有能力的人都願意遠距工作；即便如此，這卻是幾世代中一次的(once-in-several-generations)改變。之所以發生這種情況，不僅僅是因為COVID-19</w:t>
      </w:r>
      <w:r>
        <w:rPr>
          <w:rFonts w:ascii="微軟正黑體" w:eastAsia="微軟正黑體" w:hAnsi="微軟正黑體"/>
          <w:color w:val="000000"/>
          <w:kern w:val="0"/>
        </w:rPr>
        <w:t>危機的發生，還因為是自動化和數位化進步的結果。</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Sneader and Singhal,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即便是在</w:t>
      </w:r>
      <w:r w:rsidRPr="00195CF4">
        <w:rPr>
          <w:rFonts w:ascii="微軟正黑體" w:eastAsia="微軟正黑體" w:hAnsi="微軟正黑體"/>
          <w:kern w:val="0"/>
        </w:rPr>
        <w:t>COVID-19</w:t>
      </w:r>
      <w:r w:rsidRPr="00C306F8">
        <w:rPr>
          <w:rFonts w:ascii="微軟正黑體" w:eastAsia="微軟正黑體" w:hAnsi="微軟正黑體" w:hint="eastAsia"/>
          <w:color w:val="000000"/>
          <w:kern w:val="0"/>
        </w:rPr>
        <w:t>大流行發生之前，勞動力的訓練與發展就應該是重要的。麥肯錫在</w:t>
      </w:r>
      <w:r w:rsidRPr="00C306F8">
        <w:rPr>
          <w:rFonts w:ascii="微軟正黑體" w:eastAsia="微軟正黑體" w:hAnsi="微軟正黑體"/>
          <w:color w:val="000000"/>
          <w:kern w:val="0"/>
        </w:rPr>
        <w:t>2019年5月進行的調查中，接受調查的高階管理階層和經理人員中，近90</w:t>
      </w:r>
      <w:r>
        <w:rPr>
          <w:rFonts w:ascii="微軟正黑體" w:eastAsia="微軟正黑體" w:hAnsi="微軟正黑體"/>
          <w:color w:val="000000"/>
          <w:kern w:val="0"/>
        </w:rPr>
        <w:t>％表示他們的公司在未來</w:t>
      </w:r>
      <w:r>
        <w:rPr>
          <w:rFonts w:ascii="微軟正黑體" w:eastAsia="微軟正黑體" w:hAnsi="微軟正黑體" w:hint="eastAsia"/>
          <w:color w:val="000000"/>
          <w:kern w:val="0"/>
        </w:rPr>
        <w:t>5</w:t>
      </w:r>
      <w:r w:rsidRPr="00C306F8">
        <w:rPr>
          <w:rFonts w:ascii="微軟正黑體" w:eastAsia="微軟正黑體" w:hAnsi="微軟正黑體"/>
          <w:color w:val="000000"/>
          <w:kern w:val="0"/>
        </w:rPr>
        <w:t>年內面臨技能缺口或預計會出現技能缺口。但</w:t>
      </w:r>
      <w:r>
        <w:rPr>
          <w:rFonts w:ascii="微軟正黑體" w:eastAsia="微軟正黑體" w:hAnsi="微軟正黑體"/>
          <w:color w:val="000000"/>
          <w:kern w:val="0"/>
        </w:rPr>
        <w:t>是，只有三分之一的公司表示他們準備應對這一問題。</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Sneader and Singhal,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根據麥肯錫《全球技能再訓練調查》</w:t>
      </w:r>
      <w:r>
        <w:rPr>
          <w:rFonts w:ascii="微軟正黑體" w:eastAsia="微軟正黑體" w:hAnsi="微軟正黑體" w:hint="eastAsia"/>
          <w:color w:val="000000"/>
          <w:kern w:val="0"/>
        </w:rPr>
        <w:t>，解決技能落差的急迫性是顯而易見地。大多數受訪者表示，技能建構(</w:t>
      </w:r>
      <w:r w:rsidRPr="00C306F8">
        <w:rPr>
          <w:rFonts w:ascii="微軟正黑體" w:eastAsia="微軟正黑體" w:hAnsi="微軟正黑體"/>
          <w:color w:val="000000"/>
          <w:kern w:val="0"/>
        </w:rPr>
        <w:t>Skill building</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是消除所有勞工</w:t>
      </w:r>
      <w:r>
        <w:rPr>
          <w:rFonts w:ascii="微軟正黑體" w:eastAsia="微軟正黑體" w:hAnsi="微軟正黑體" w:hint="eastAsia"/>
          <w:color w:val="000000"/>
          <w:kern w:val="0"/>
        </w:rPr>
        <w:t>(</w:t>
      </w:r>
      <w:r>
        <w:rPr>
          <w:rFonts w:ascii="微軟正黑體" w:eastAsia="微軟正黑體" w:hAnsi="微軟正黑體"/>
          <w:color w:val="000000"/>
          <w:kern w:val="0"/>
        </w:rPr>
        <w:t>包括僱用、承攬勞工</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技能落差的最佳方法。調查結果也顯示，技能訓練方向也發生了變化，訓練開始著重於社交和情感方面的技能</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Social and emotional skills</w:t>
      </w:r>
      <w:r>
        <w:rPr>
          <w:rFonts w:ascii="微軟正黑體" w:eastAsia="微軟正黑體" w:hAnsi="微軟正黑體" w:hint="eastAsia"/>
          <w:color w:val="000000"/>
          <w:kern w:val="0"/>
        </w:rPr>
        <w:t>)</w:t>
      </w:r>
      <w:r>
        <w:rPr>
          <w:rFonts w:ascii="微軟正黑體" w:eastAsia="微軟正黑體" w:hAnsi="微軟正黑體"/>
          <w:color w:val="000000"/>
          <w:kern w:val="0"/>
        </w:rPr>
        <w:t>的訓練，例如同理心</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empathy</w:t>
      </w:r>
      <w:r>
        <w:rPr>
          <w:rFonts w:ascii="微軟正黑體" w:eastAsia="微軟正黑體" w:hAnsi="微軟正黑體" w:hint="eastAsia"/>
          <w:color w:val="000000"/>
          <w:kern w:val="0"/>
        </w:rPr>
        <w:t>)</w:t>
      </w:r>
      <w:r>
        <w:rPr>
          <w:rFonts w:ascii="微軟正黑體" w:eastAsia="微軟正黑體" w:hAnsi="微軟正黑體"/>
          <w:color w:val="000000"/>
          <w:kern w:val="0"/>
        </w:rPr>
        <w:t>、領導才能</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leadership</w:t>
      </w:r>
      <w:r>
        <w:rPr>
          <w:rFonts w:ascii="微軟正黑體" w:eastAsia="微軟正黑體" w:hAnsi="微軟正黑體" w:hint="eastAsia"/>
          <w:color w:val="000000"/>
          <w:kern w:val="0"/>
        </w:rPr>
        <w:t>)</w:t>
      </w:r>
      <w:r>
        <w:rPr>
          <w:rFonts w:ascii="微軟正黑體" w:eastAsia="微軟正黑體" w:hAnsi="微軟正黑體"/>
          <w:color w:val="000000"/>
          <w:kern w:val="0"/>
        </w:rPr>
        <w:t>和適應能力</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adaptability</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。但是，不管所涉及的技能是什麼，技能轉換的成功秘訣在於：支持技能建構的大規模計畫性工作，</w:t>
      </w:r>
      <w:r w:rsidRPr="00C306F8">
        <w:rPr>
          <w:rFonts w:ascii="微軟正黑體" w:eastAsia="微軟正黑體" w:hAnsi="微軟正黑體" w:hint="eastAsia"/>
          <w:color w:val="000000"/>
          <w:kern w:val="0"/>
        </w:rPr>
        <w:t>使員工得以適應當前職務變革之所需或轉換到新</w:t>
      </w:r>
      <w:r>
        <w:rPr>
          <w:rFonts w:ascii="微軟正黑體" w:eastAsia="微軟正黑體" w:hAnsi="微軟正黑體" w:hint="eastAsia"/>
          <w:color w:val="000000"/>
          <w:kern w:val="0"/>
        </w:rPr>
        <w:t>的職務。當公司遵循支持技能轉換的措施時，成功幾乎是可以保證的。(</w:t>
      </w:r>
      <w:r w:rsidRPr="00C306F8">
        <w:rPr>
          <w:rFonts w:ascii="微軟正黑體" w:eastAsia="微軟正黑體" w:hAnsi="微軟正黑體"/>
          <w:color w:val="000000"/>
          <w:kern w:val="0"/>
        </w:rPr>
        <w:t>McKinsey Global Publishing,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lastRenderedPageBreak/>
        <w:t>前述調查詢問了公司優先考慮通過技能再訓練提升的</w:t>
      </w:r>
      <w:r>
        <w:rPr>
          <w:rFonts w:ascii="微軟正黑體" w:eastAsia="微軟正黑體" w:hAnsi="微軟正黑體" w:hint="eastAsia"/>
          <w:color w:val="000000"/>
          <w:kern w:val="0"/>
        </w:rPr>
        <w:t>25</w:t>
      </w:r>
      <w:r w:rsidRPr="00C306F8">
        <w:rPr>
          <w:rFonts w:ascii="微軟正黑體" w:eastAsia="微軟正黑體" w:hAnsi="微軟正黑體" w:hint="eastAsia"/>
          <w:color w:val="000000"/>
          <w:kern w:val="0"/>
        </w:rPr>
        <w:t>項特定技能，一半以上的受訪者表示，他們將重點放在培養領導力、批判性思維和決策與專案管理技能上。與</w:t>
      </w:r>
      <w:r w:rsidRPr="00C306F8">
        <w:rPr>
          <w:rFonts w:ascii="微軟正黑體" w:eastAsia="微軟正黑體" w:hAnsi="微軟正黑體"/>
          <w:color w:val="000000"/>
          <w:kern w:val="0"/>
        </w:rPr>
        <w:t>2019年的結果相比，受訪者反映有兩大技能是關注最多的，包括社交和情感技能</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Social and emotional skulls</w:t>
      </w:r>
      <w:r>
        <w:rPr>
          <w:rFonts w:ascii="微軟正黑體" w:eastAsia="微軟正黑體" w:hAnsi="微軟正黑體" w:hint="eastAsia"/>
          <w:color w:val="000000"/>
          <w:kern w:val="0"/>
        </w:rPr>
        <w:t>)</w:t>
      </w:r>
      <w:r>
        <w:rPr>
          <w:rFonts w:ascii="微軟正黑體" w:eastAsia="微軟正黑體" w:hAnsi="微軟正黑體"/>
          <w:color w:val="000000"/>
          <w:kern w:val="0"/>
        </w:rPr>
        <w:t>和進階認知技能</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Advanced cognitive skills</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。自</w:t>
      </w:r>
      <w:r w:rsidRPr="00195CF4">
        <w:rPr>
          <w:rFonts w:ascii="微軟正黑體" w:eastAsia="微軟正黑體" w:hAnsi="微軟正黑體"/>
          <w:kern w:val="0"/>
        </w:rPr>
        <w:t>COVID-19</w:t>
      </w:r>
      <w:r>
        <w:rPr>
          <w:rFonts w:ascii="微軟正黑體" w:eastAsia="微軟正黑體" w:hAnsi="微軟正黑體"/>
          <w:color w:val="000000"/>
          <w:kern w:val="0"/>
        </w:rPr>
        <w:t>大流行開始以來，基本的數位技能</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Digital skills</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也已成為公司的優先項目。值得注意的是，行業之間也存在一些差異。例如，在工業部門，基本數位技能則相對</w:t>
      </w:r>
      <w:r w:rsidRPr="00C306F8">
        <w:rPr>
          <w:rFonts w:ascii="微軟正黑體" w:eastAsia="微軟正黑體" w:hAnsi="微軟正黑體" w:hint="eastAsia"/>
          <w:color w:val="000000"/>
          <w:kern w:val="0"/>
        </w:rPr>
        <w:t>不重要，技術設計、機械工程與維護則是優先項目。而在公共</w:t>
      </w:r>
      <w:r>
        <w:rPr>
          <w:rFonts w:ascii="微軟正黑體" w:eastAsia="微軟正黑體" w:hAnsi="微軟正黑體" w:hint="eastAsia"/>
          <w:color w:val="000000"/>
          <w:kern w:val="0"/>
        </w:rPr>
        <w:t>和社會部門與醫療保健和製藥產業，人際溝通與同理心則是優先項目。(</w:t>
      </w:r>
      <w:r w:rsidRPr="00C306F8">
        <w:rPr>
          <w:rFonts w:ascii="微軟正黑體" w:eastAsia="微軟正黑體" w:hAnsi="微軟正黑體"/>
          <w:color w:val="000000"/>
          <w:kern w:val="0"/>
        </w:rPr>
        <w:t>McKinsey Global Publishing,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color w:val="000000"/>
          <w:kern w:val="0"/>
        </w:rPr>
        <w:t>由於非受僱的電傳工作者更有可能擁有數個工作和收入來源，傳統勞動市場制度的角色和意義正在受到挑戰。法定工作時間、最低工資、失業保險、稅賦和福利仍然以傳統和獨特的勞雇關係的概念為模式。此外，隨著獨立工作變得越來越普遍，越來越多的勞工可能不受到團體協約的保障。他們也可能沒有資格享受為受僱者提供的失業保險、老年年金和健康保險，並且在獲得信貸方面面臨困難。目前，在34個OECD國家中，有 19 個國家的自營作業者沒有資格領取失業給付，有10個沒有資格獲得職業傷病補償。即使符合條件，許多國家的自營作業者所獲得的給付也</w:t>
      </w:r>
      <w:r w:rsidRPr="00C306F8">
        <w:rPr>
          <w:rFonts w:ascii="微軟正黑體" w:eastAsia="微軟正黑體" w:hAnsi="微軟正黑體" w:hint="eastAsia"/>
          <w:color w:val="000000"/>
          <w:kern w:val="0"/>
        </w:rPr>
        <w:t>較少或是加保不是強制的，例如保險給付、疾病</w:t>
      </w:r>
      <w:r w:rsidRPr="00C306F8">
        <w:rPr>
          <w:rFonts w:ascii="微軟正黑體" w:eastAsia="微軟正黑體" w:hAnsi="微軟正黑體"/>
          <w:color w:val="000000"/>
          <w:kern w:val="0"/>
        </w:rPr>
        <w:t>/生育、失業和老年/失能/</w:t>
      </w:r>
      <w:r>
        <w:rPr>
          <w:rFonts w:ascii="微軟正黑體" w:eastAsia="微軟正黑體" w:hAnsi="微軟正黑體"/>
          <w:color w:val="000000"/>
          <w:kern w:val="0"/>
        </w:rPr>
        <w:t>遺屬給付是常見的情況。</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OECD, 2015a</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職業結構區分為高技能和低技能工作的兩極化，以及各種非典型就業型態的兩極化，可能進一步導致工資結構區分為高薪和低薪工作的兩極化發展。在某些國家，對中階技能勞工需求的減少加劇了對低薪工作的競爭，從而壓低了低所得勞工的工資水準。在此同時，由於對具有高階技能勞工的需求增加，處於高所得勞工的工資水準有所上升。這些發展可能會進一步導致工作貧窮</w:t>
      </w:r>
      <w:r w:rsidRPr="00C306F8">
        <w:rPr>
          <w:rFonts w:ascii="微軟正黑體" w:eastAsia="微軟正黑體" w:hAnsi="微軟正黑體"/>
          <w:color w:val="000000"/>
          <w:kern w:val="0"/>
        </w:rPr>
        <w:t>(in-work poverty)</w:t>
      </w:r>
      <w:r>
        <w:rPr>
          <w:rFonts w:ascii="微軟正黑體" w:eastAsia="微軟正黑體" w:hAnsi="微軟正黑體"/>
          <w:color w:val="000000"/>
          <w:kern w:val="0"/>
        </w:rPr>
        <w:t>的風險和低薪的持續發展。</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OECD, 2015a; 2015b</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面對這些發展，需要調整勞動市場和技能政策與稅賦和福利</w:t>
      </w:r>
      <w:r>
        <w:rPr>
          <w:rFonts w:ascii="微軟正黑體" w:eastAsia="微軟正黑體" w:hAnsi="微軟正黑體" w:hint="eastAsia"/>
          <w:color w:val="000000"/>
          <w:kern w:val="0"/>
        </w:rPr>
        <w:t>計畫</w:t>
      </w:r>
      <w:r w:rsidRPr="00C306F8">
        <w:rPr>
          <w:rFonts w:ascii="微軟正黑體" w:eastAsia="微軟正黑體" w:hAnsi="微軟正黑體" w:hint="eastAsia"/>
          <w:color w:val="000000"/>
          <w:kern w:val="0"/>
        </w:rPr>
        <w:t>，以促進技能調適和勞動</w:t>
      </w:r>
      <w:r>
        <w:rPr>
          <w:rFonts w:ascii="微軟正黑體" w:eastAsia="微軟正黑體" w:hAnsi="微軟正黑體" w:hint="eastAsia"/>
          <w:color w:val="000000"/>
          <w:kern w:val="0"/>
        </w:rPr>
        <w:t>力移動，同時確保工作</w:t>
      </w:r>
      <w:r w:rsidRPr="00195CF4">
        <w:rPr>
          <w:rFonts w:ascii="微軟正黑體" w:eastAsia="微軟正黑體" w:hAnsi="微軟正黑體"/>
          <w:kern w:val="0"/>
        </w:rPr>
        <w:t>—</w:t>
      </w:r>
      <w:r>
        <w:rPr>
          <w:rFonts w:ascii="微軟正黑體" w:eastAsia="微軟正黑體" w:hAnsi="微軟正黑體" w:hint="eastAsia"/>
          <w:color w:val="000000"/>
          <w:kern w:val="0"/>
        </w:rPr>
        <w:t>即便是低薪的工作</w:t>
      </w:r>
      <w:r w:rsidRPr="00195CF4">
        <w:rPr>
          <w:rFonts w:ascii="微軟正黑體" w:eastAsia="微軟正黑體" w:hAnsi="微軟正黑體" w:hint="eastAsia"/>
          <w:kern w:val="0"/>
        </w:rPr>
        <w:t>，亦</w:t>
      </w:r>
      <w:r>
        <w:rPr>
          <w:rFonts w:ascii="微軟正黑體" w:eastAsia="微軟正黑體" w:hAnsi="微軟正黑體" w:hint="eastAsia"/>
          <w:color w:val="000000"/>
          <w:kern w:val="0"/>
        </w:rPr>
        <w:t>有足夠的收入來擺脫貧窮。(</w:t>
      </w:r>
      <w:r w:rsidRPr="00C306F8">
        <w:rPr>
          <w:rFonts w:ascii="微軟正黑體" w:eastAsia="微軟正黑體" w:hAnsi="微軟正黑體"/>
          <w:color w:val="000000"/>
          <w:kern w:val="0"/>
        </w:rPr>
        <w:t>Berger and Frey,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遠距</w:t>
      </w:r>
      <w:r w:rsidRPr="00C306F8">
        <w:rPr>
          <w:rFonts w:ascii="微軟正黑體" w:eastAsia="微軟正黑體" w:hAnsi="微軟正黑體"/>
          <w:color w:val="000000"/>
          <w:kern w:val="0"/>
        </w:rPr>
        <w:t>(或在家)工作勞工是一個異類，其成員從貧窮的生產性家庭勞工到高技能的電傳工作人員不等，但所有人都必須面對遠距(或在家)工作的影響。在印度和墨西哥，由於家庭勞工多從事生產性家庭工作，而家庭工作所得是低於非</w:t>
      </w:r>
      <w:r>
        <w:rPr>
          <w:rFonts w:ascii="微軟正黑體" w:eastAsia="微軟正黑體" w:hAnsi="微軟正黑體"/>
          <w:color w:val="000000"/>
          <w:kern w:val="0"/>
        </w:rPr>
        <w:t>以家庭為據點勞工的所得，因而偏向於低所得水準。有一部分家庭勞工</w:t>
      </w:r>
      <w:r>
        <w:rPr>
          <w:rFonts w:ascii="微軟正黑體" w:eastAsia="微軟正黑體" w:hAnsi="微軟正黑體" w:hint="eastAsia"/>
          <w:color w:val="000000"/>
          <w:kern w:val="0"/>
        </w:rPr>
        <w:t>(</w:t>
      </w:r>
      <w:r>
        <w:rPr>
          <w:rFonts w:ascii="微軟正黑體" w:eastAsia="微軟正黑體" w:hAnsi="微軟正黑體"/>
          <w:color w:val="000000"/>
          <w:kern w:val="0"/>
        </w:rPr>
        <w:t>在英國最為明顯</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是屬於專業和管理的電傳工作者，他們的所得要比非以</w:t>
      </w:r>
      <w:r>
        <w:rPr>
          <w:rFonts w:ascii="微軟正黑體" w:eastAsia="微軟正黑體" w:hAnsi="微軟正黑體"/>
          <w:color w:val="000000"/>
          <w:kern w:val="0"/>
        </w:rPr>
        <w:t>家庭為據點勞工的所得要多許多。</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ILO, 2021</w:t>
      </w:r>
      <w:r>
        <w:rPr>
          <w:rFonts w:ascii="微軟正黑體" w:eastAsia="微軟正黑體" w:hAnsi="微軟正黑體" w:hint="eastAsia"/>
          <w:color w:val="000000"/>
          <w:kern w:val="0"/>
        </w:rPr>
        <w:t>)</w:t>
      </w:r>
    </w:p>
    <w:p w:rsidR="00A65F2D"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工作時間的彈性是勞工選擇遠距</w:t>
      </w:r>
      <w:r w:rsidRPr="00C306F8">
        <w:rPr>
          <w:rFonts w:ascii="微軟正黑體" w:eastAsia="微軟正黑體" w:hAnsi="微軟正黑體"/>
          <w:color w:val="000000"/>
          <w:kern w:val="0"/>
        </w:rPr>
        <w:t>(或在家)工作的重要原因，這也許是遠距(或在家)工作的最大好處。家庭勞工的平均工作時數比不在家工作的人短，但他們工作時間是不確定。對於電傳工作者而言，主要問題是工作時間與個人和家庭時間之間的界線是模糊的。</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ILO,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lastRenderedPageBreak/>
        <w:t>對於非受僱的電傳工作者而言，社會保障部分相對不足。在某些情況下，他們被歸類為自營作業者，因此不受特定法律的保障。結果，在一些國家，與不在家工作的人相比，家庭勞工社會保障的覆蓋率只有達</w:t>
      </w:r>
      <w:r w:rsidRPr="00C306F8">
        <w:rPr>
          <w:rFonts w:ascii="微軟正黑體" w:eastAsia="微軟正黑體" w:hAnsi="微軟正黑體"/>
          <w:color w:val="000000"/>
          <w:kern w:val="0"/>
        </w:rPr>
        <w:t>40個百分點。</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ILO,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在職業安全和衛生方面，對於非受僱的電傳工作者而言，增加的風險與內容審核工作</w:t>
      </w:r>
      <w:r w:rsidRPr="008F6F47">
        <w:rPr>
          <w:rFonts w:ascii="微軟正黑體" w:eastAsia="微軟正黑體" w:hAnsi="微軟正黑體" w:hint="eastAsia"/>
          <w:color w:val="000000"/>
        </w:rPr>
        <w:t>有</w:t>
      </w:r>
      <w:r w:rsidRPr="00C306F8">
        <w:rPr>
          <w:rFonts w:ascii="微軟正黑體" w:eastAsia="微軟正黑體" w:hAnsi="微軟正黑體" w:hint="eastAsia"/>
          <w:color w:val="000000"/>
          <w:kern w:val="0"/>
        </w:rPr>
        <w:t>關：篩選暴力或色情內容的數位資料。像其他家庭勞工一樣，電傳工作者也面臨著人體工程學上的危險，這種危</w:t>
      </w:r>
      <w:r>
        <w:rPr>
          <w:rFonts w:ascii="微軟正黑體" w:eastAsia="微軟正黑體" w:hAnsi="微軟正黑體" w:hint="eastAsia"/>
          <w:color w:val="000000"/>
          <w:kern w:val="0"/>
        </w:rPr>
        <w:t>險可能導致肌肉骨骼疾病，以及由於社會隔離而產生的社會心理風險。(</w:t>
      </w:r>
      <w:r w:rsidRPr="00C306F8">
        <w:rPr>
          <w:rFonts w:ascii="微軟正黑體" w:eastAsia="微軟正黑體" w:hAnsi="微軟正黑體"/>
          <w:color w:val="000000"/>
          <w:kern w:val="0"/>
        </w:rPr>
        <w:t>ILO, 2020b</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根據</w:t>
      </w:r>
      <w:r w:rsidRPr="00C306F8">
        <w:rPr>
          <w:rFonts w:ascii="微軟正黑體" w:eastAsia="微軟正黑體" w:hAnsi="微軟正黑體"/>
          <w:color w:val="000000"/>
          <w:kern w:val="0"/>
        </w:rPr>
        <w:t>Eurofound和ILO</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2017</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在15個國家進行的一項最新研究發現，遠距(或在家)工作的人中有41％認為自己壓力很大，而在工作場所工作的人中只有25％認為自己壓力很大。</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電傳和遠距</w:t>
      </w:r>
      <w:r w:rsidRPr="00C306F8">
        <w:rPr>
          <w:rFonts w:ascii="微軟正黑體" w:eastAsia="微軟正黑體" w:hAnsi="微軟正黑體"/>
          <w:color w:val="000000"/>
          <w:kern w:val="0"/>
        </w:rPr>
        <w:t>(或在家)工作可能會導致感到孤立、工作時間延長和工作與家庭生活之間的界限模糊。彈性的工作時間可能會導致過度的工作時間或沒有休息時間，並且可能會持續一整夜，從而導致失眠</w:t>
      </w:r>
      <w:r w:rsidRPr="008F6F47">
        <w:rPr>
          <w:rFonts w:ascii="微軟正黑體" w:eastAsia="微軟正黑體" w:hAnsi="微軟正黑體" w:hint="eastAsia"/>
          <w:color w:val="000000"/>
        </w:rPr>
        <w:t>有</w:t>
      </w:r>
      <w:r w:rsidRPr="00C306F8">
        <w:rPr>
          <w:rFonts w:ascii="微軟正黑體" w:eastAsia="微軟正黑體" w:hAnsi="微軟正黑體"/>
          <w:color w:val="000000"/>
          <w:kern w:val="0"/>
        </w:rPr>
        <w:t>關風險的發生。遠距(或在家)工作時，在有償工作和個人生活之間劃出界限可能特別困難。尤其是對於承擔家庭無償工作主</w:t>
      </w:r>
      <w:r>
        <w:rPr>
          <w:rFonts w:ascii="微軟正黑體" w:eastAsia="微軟正黑體" w:hAnsi="微軟正黑體"/>
          <w:color w:val="000000"/>
          <w:kern w:val="0"/>
        </w:rPr>
        <w:t>要責任的婦女而言，包括為家庭成員提供照料和家務勞動，更是如此。</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ILO, 2020b</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為了降低這些風險並保護這些勞工的心理健康和幸福，可以採取各種職業安全與衛生措施；從高階到基層管理階層的承諾和支持</w:t>
      </w:r>
      <w:r w:rsidRPr="00195CF4">
        <w:rPr>
          <w:rFonts w:ascii="微軟正黑體" w:eastAsia="微軟正黑體" w:hAnsi="微軟正黑體" w:hint="eastAsia"/>
          <w:kern w:val="0"/>
        </w:rPr>
        <w:t>，</w:t>
      </w:r>
      <w:r w:rsidRPr="00C306F8">
        <w:rPr>
          <w:rFonts w:ascii="微軟正黑體" w:eastAsia="微軟正黑體" w:hAnsi="微軟正黑體" w:hint="eastAsia"/>
          <w:color w:val="000000"/>
          <w:kern w:val="0"/>
        </w:rPr>
        <w:t>對於確保和實施此類措施至關重要。考慮到全職電傳工作會帶來社會隔離的風險，應盡一切努力幫助電傳工作人員與主管、同事和整個組織保持聯繫。各方都</w:t>
      </w:r>
      <w:r>
        <w:rPr>
          <w:rFonts w:ascii="微軟正黑體" w:eastAsia="微軟正黑體" w:hAnsi="微軟正黑體" w:hint="eastAsia"/>
          <w:color w:val="000000"/>
          <w:kern w:val="0"/>
        </w:rPr>
        <w:t>需要對勞工的預期成果、任務、工作條件、接觸時間和如何監控和進度(沒有過多的報告要求)</w:t>
      </w:r>
      <w:r w:rsidRPr="00C306F8">
        <w:rPr>
          <w:rFonts w:ascii="微軟正黑體" w:eastAsia="微軟正黑體" w:hAnsi="微軟正黑體" w:hint="eastAsia"/>
          <w:color w:val="000000"/>
          <w:kern w:val="0"/>
        </w:rPr>
        <w:t>有明確的期望；例如，必須制定明確的基本規則，確定何時或何時沒有勞工上班，然後遵守這些規則。即使期望值很明確，對於勞工來說，建立自己個人策略以有效管理個人工作與生活之間的界限仍然至關重要。這應包括一個不受干擾的專用工作空間，並具有在指定休息和個人生活時間內拒絕工作的能力。</w:t>
      </w:r>
      <w:r w:rsidRPr="00C306F8">
        <w:rPr>
          <w:rFonts w:ascii="微軟正黑體" w:eastAsia="微軟正黑體" w:hAnsi="微軟正黑體"/>
          <w:color w:val="000000"/>
          <w:kern w:val="0"/>
        </w:rPr>
        <w:t xml:space="preserve"> (Boeri, Caiumi and Paccagnella, 2020)</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建立良好的溝通體系以確保勞工的安全、健康和福祉不受影響，也很重要。雇主可以提供勞工電話、網絡或電子郵件等緊急聯繫方式，並安排有關健康狀況的定期更新。此外，可以為勞工提供員工協助方案，以討論他們的問題，並獲得支持服務。</w:t>
      </w:r>
      <w:r>
        <w:rPr>
          <w:rFonts w:ascii="微軟正黑體" w:eastAsia="微軟正黑體" w:hAnsi="微軟正黑體"/>
          <w:color w:val="000000"/>
          <w:kern w:val="0"/>
        </w:rPr>
        <w:t xml:space="preserve">(Boeri, Caiumi and </w:t>
      </w:r>
      <w:r w:rsidRPr="00C306F8">
        <w:rPr>
          <w:rFonts w:ascii="微軟正黑體" w:eastAsia="微軟正黑體" w:hAnsi="微軟正黑體"/>
          <w:color w:val="000000"/>
          <w:kern w:val="0"/>
        </w:rPr>
        <w:t>Paccagnella, 2020)</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智利於</w:t>
      </w:r>
      <w:r w:rsidRPr="00C306F8">
        <w:rPr>
          <w:rFonts w:ascii="微軟正黑體" w:eastAsia="微軟正黑體" w:hAnsi="微軟正黑體"/>
          <w:color w:val="000000"/>
          <w:kern w:val="0"/>
        </w:rPr>
        <w:t>2020年3月通過的第11號法律賦予電傳勞工在24小時內至少連續12個小時斷線的權利(Right to disconnect)。雇主不能要求勞工在離線期間、休息日或假日期間，對其電話、命令或其他要求做出回應。此外，用人單位必須告知電傳勞工與其工作有關的職業風險、預防措施和工作程序；雇主還必須訓練勞工與其工作任務有關的職</w:t>
      </w:r>
      <w:r>
        <w:rPr>
          <w:rFonts w:ascii="微軟正黑體" w:eastAsia="微軟正黑體" w:hAnsi="微軟正黑體"/>
          <w:color w:val="000000"/>
          <w:kern w:val="0"/>
        </w:rPr>
        <w:t>業安全與衛生措施。</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ILO, 2020b</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隨著</w:t>
      </w:r>
      <w:r w:rsidRPr="00C306F8">
        <w:rPr>
          <w:rFonts w:ascii="微軟正黑體" w:eastAsia="微軟正黑體" w:hAnsi="微軟正黑體"/>
          <w:color w:val="000000"/>
          <w:kern w:val="0"/>
        </w:rPr>
        <w:t>COVID-19隔離和限制措施的實施，當鼓勵勞工在可能的情況下在家工作，家庭暴力，尤其是針對婦女和兒童的家庭暴力的風險可能會增加。針對流行病影響的研究</w:t>
      </w:r>
      <w:r w:rsidRPr="00C306F8">
        <w:rPr>
          <w:rFonts w:ascii="微軟正黑體" w:eastAsia="微軟正黑體" w:hAnsi="微軟正黑體"/>
          <w:color w:val="000000"/>
          <w:kern w:val="0"/>
        </w:rPr>
        <w:lastRenderedPageBreak/>
        <w:t>顯示，在行動受限的情況下，對婦女的暴力行為趨於增加。因此，2019年國際勞工組織通過《暴力與騷擾公約》</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Violence and Harassment Convention，第190</w:t>
      </w:r>
      <w:r>
        <w:rPr>
          <w:rFonts w:ascii="微軟正黑體" w:eastAsia="微軟正黑體" w:hAnsi="微軟正黑體"/>
          <w:color w:val="000000"/>
          <w:kern w:val="0"/>
        </w:rPr>
        <w:t>號</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，呼籲會員國應認知到家庭暴力的影響，並</w:t>
      </w:r>
      <w:r>
        <w:rPr>
          <w:rFonts w:ascii="微軟正黑體" w:eastAsia="微軟正黑體" w:hAnsi="微軟正黑體"/>
          <w:color w:val="000000"/>
          <w:kern w:val="0"/>
        </w:rPr>
        <w:t>在合理可行的範圍內，採取適當措施減輕其對工作世界的影響。</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ILO, 2020b</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對於電傳工作者而言，由於工作地點分散和被隔離在自己的家中，如何組織是一項長期的挑戰。在某些國家</w:t>
      </w:r>
      <w:r w:rsidRPr="00C306F8">
        <w:rPr>
          <w:rFonts w:ascii="微軟正黑體" w:eastAsia="微軟正黑體" w:hAnsi="微軟正黑體"/>
          <w:color w:val="000000"/>
          <w:kern w:val="0"/>
        </w:rPr>
        <w:t>/地區，電傳工作者存在著籌組工會的法律障礙，例如，因為他們被歸類為自營作業者，或者因為其職業分類不適用勞動法規之故。</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ILO,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與不在家工作的人相比，電傳工作者獲得訓練的機會較少，這可能會影響他們的職涯前景。根據數據資料顯示，電傳工作者不太可能利用到訓練機會，訓練是非正式的，通常是在他們自己的主動下進行的，而且要自行負擔費用。</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ILO, 2021</w:t>
      </w:r>
      <w:r>
        <w:rPr>
          <w:rFonts w:ascii="微軟正黑體" w:eastAsia="微軟正黑體" w:hAnsi="微軟正黑體" w:hint="eastAsia"/>
          <w:color w:val="000000"/>
          <w:kern w:val="0"/>
        </w:rPr>
        <w:t>)</w:t>
      </w:r>
    </w:p>
    <w:p w:rsidR="00A65F2D" w:rsidRPr="00C306F8" w:rsidRDefault="00A65F2D" w:rsidP="00A65F2D">
      <w:pPr>
        <w:spacing w:beforeLines="30" w:before="72" w:line="400" w:lineRule="exact"/>
        <w:ind w:firstLine="482"/>
        <w:jc w:val="both"/>
        <w:rPr>
          <w:rFonts w:ascii="微軟正黑體" w:eastAsia="微軟正黑體" w:hAnsi="微軟正黑體"/>
          <w:color w:val="000000"/>
          <w:kern w:val="0"/>
        </w:rPr>
      </w:pPr>
      <w:r w:rsidRPr="00C306F8">
        <w:rPr>
          <w:rFonts w:ascii="微軟正黑體" w:eastAsia="微軟正黑體" w:hAnsi="微軟正黑體" w:hint="eastAsia"/>
          <w:color w:val="000000"/>
          <w:kern w:val="0"/>
        </w:rPr>
        <w:t>根據日本研究發現，眾包工作者</w:t>
      </w:r>
      <w:r w:rsidRPr="00C306F8">
        <w:rPr>
          <w:rFonts w:ascii="微軟正黑體" w:eastAsia="微軟正黑體" w:hAnsi="微軟正黑體"/>
          <w:color w:val="000000"/>
          <w:kern w:val="0"/>
        </w:rPr>
        <w:t>(電傳工作者)具有下列的特徵</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Nishimura, 2021)</w:t>
      </w:r>
      <w:r>
        <w:rPr>
          <w:rFonts w:ascii="微軟正黑體" w:eastAsia="微軟正黑體" w:hAnsi="微軟正黑體" w:hint="eastAsia"/>
          <w:color w:val="000000"/>
          <w:kern w:val="0"/>
        </w:rPr>
        <w:t>：</w:t>
      </w:r>
    </w:p>
    <w:p w:rsidR="00A65F2D" w:rsidRPr="00FF4EC6" w:rsidRDefault="00A65F2D" w:rsidP="00A65F2D">
      <w:pPr>
        <w:spacing w:beforeLines="30" w:before="72" w:line="400" w:lineRule="exact"/>
        <w:ind w:left="480" w:hangingChars="200" w:hanging="480"/>
        <w:jc w:val="both"/>
        <w:rPr>
          <w:rFonts w:ascii="微軟正黑體" w:eastAsia="微軟正黑體" w:hAnsi="微軟正黑體"/>
          <w:kern w:val="0"/>
        </w:rPr>
      </w:pPr>
      <w:r w:rsidRPr="00FF4EC6">
        <w:rPr>
          <w:rFonts w:ascii="微軟正黑體" w:eastAsia="微軟正黑體" w:hAnsi="微軟正黑體" w:hint="eastAsia"/>
          <w:kern w:val="0"/>
        </w:rPr>
        <w:t>一、「高度稀少」</w:t>
      </w:r>
      <w:r w:rsidRPr="00FF4EC6">
        <w:rPr>
          <w:rFonts w:ascii="微軟正黑體" w:eastAsia="微軟正黑體" w:hAnsi="微軟正黑體"/>
          <w:kern w:val="0"/>
        </w:rPr>
        <w:t>(high-scarcity)的眾包工作者</w:t>
      </w:r>
      <w:r w:rsidRPr="00FF4EC6">
        <w:rPr>
          <w:rFonts w:ascii="微軟正黑體" w:eastAsia="微軟正黑體" w:hAnsi="微軟正黑體" w:hint="eastAsia"/>
          <w:kern w:val="0"/>
        </w:rPr>
        <w:t>(</w:t>
      </w:r>
      <w:r w:rsidRPr="00FF4EC6">
        <w:rPr>
          <w:rFonts w:ascii="微軟正黑體" w:eastAsia="微軟正黑體" w:hAnsi="微軟正黑體"/>
          <w:kern w:val="0"/>
        </w:rPr>
        <w:t>執行他人難以模仿的工作</w:t>
      </w:r>
      <w:r w:rsidRPr="00FF4EC6">
        <w:rPr>
          <w:rFonts w:ascii="微軟正黑體" w:eastAsia="微軟正黑體" w:hAnsi="微軟正黑體" w:hint="eastAsia"/>
          <w:kern w:val="0"/>
        </w:rPr>
        <w:t>)</w:t>
      </w:r>
      <w:r>
        <w:rPr>
          <w:rFonts w:ascii="新細明體" w:hAnsi="新細明體" w:hint="eastAsia"/>
          <w:kern w:val="0"/>
        </w:rPr>
        <w:t>：</w:t>
      </w:r>
      <w:r w:rsidRPr="00FF4EC6">
        <w:rPr>
          <w:rFonts w:ascii="微軟正黑體" w:eastAsia="微軟正黑體" w:hAnsi="微軟正黑體"/>
          <w:kern w:val="0"/>
        </w:rPr>
        <w:t>主要是男性，其中許多是家計的主要負擔者。他們從事「辦公室工作</w:t>
      </w:r>
      <w:r w:rsidRPr="00FF4EC6">
        <w:rPr>
          <w:rFonts w:ascii="微軟正黑體" w:eastAsia="微軟正黑體" w:hAnsi="微軟正黑體" w:hint="eastAsia"/>
        </w:rPr>
        <w:t>有</w:t>
      </w:r>
      <w:r w:rsidRPr="00FF4EC6">
        <w:rPr>
          <w:rFonts w:ascii="微軟正黑體" w:eastAsia="微軟正黑體" w:hAnsi="微軟正黑體"/>
          <w:kern w:val="0"/>
        </w:rPr>
        <w:t>關」(Office-related)以外的工作，例如「設計/影音製作</w:t>
      </w:r>
      <w:r w:rsidRPr="00FF4EC6">
        <w:rPr>
          <w:rFonts w:ascii="微軟正黑體" w:eastAsia="微軟正黑體" w:hAnsi="微軟正黑體" w:hint="eastAsia"/>
        </w:rPr>
        <w:t>有</w:t>
      </w:r>
      <w:r w:rsidRPr="00FF4EC6">
        <w:rPr>
          <w:rFonts w:ascii="微軟正黑體" w:eastAsia="微軟正黑體" w:hAnsi="微軟正黑體"/>
          <w:kern w:val="0"/>
        </w:rPr>
        <w:t>關」或「專業工作</w:t>
      </w:r>
      <w:r w:rsidRPr="00FF4EC6">
        <w:rPr>
          <w:rFonts w:ascii="微軟正黑體" w:eastAsia="微軟正黑體" w:hAnsi="微軟正黑體" w:hint="eastAsia"/>
        </w:rPr>
        <w:t>有</w:t>
      </w:r>
      <w:r w:rsidRPr="00FF4EC6">
        <w:rPr>
          <w:rFonts w:ascii="微軟正黑體" w:eastAsia="微軟正黑體" w:hAnsi="微軟正黑體"/>
          <w:kern w:val="0"/>
        </w:rPr>
        <w:t>關」。他們的工作報酬遠高於「低度稀少」(low-scarcity)的眾包工作者；對工作的滿意度也很高。在如何獲得技能方面，他們傾向於以在某個地方和以某種方式獲得眾包工作的必要技能，其中有用的技能通常在企業中獲得。</w:t>
      </w:r>
    </w:p>
    <w:p w:rsidR="00A65F2D" w:rsidRPr="00FF4EC6" w:rsidRDefault="00A65F2D" w:rsidP="00A65F2D">
      <w:pPr>
        <w:spacing w:beforeLines="30" w:before="72" w:line="400" w:lineRule="exact"/>
        <w:ind w:left="480" w:hangingChars="200" w:hanging="480"/>
        <w:jc w:val="both"/>
        <w:rPr>
          <w:rFonts w:ascii="微軟正黑體" w:eastAsia="微軟正黑體" w:hAnsi="微軟正黑體"/>
          <w:kern w:val="0"/>
        </w:rPr>
      </w:pPr>
      <w:r w:rsidRPr="00FF4EC6">
        <w:rPr>
          <w:rFonts w:ascii="微軟正黑體" w:eastAsia="微軟正黑體" w:hAnsi="微軟正黑體" w:hint="eastAsia"/>
          <w:kern w:val="0"/>
        </w:rPr>
        <w:t>二、「低度稀少」的眾包工作者</w:t>
      </w:r>
      <w:r w:rsidRPr="00195CF4">
        <w:rPr>
          <w:rFonts w:ascii="新細明體" w:hAnsi="新細明體" w:hint="eastAsia"/>
          <w:kern w:val="0"/>
        </w:rPr>
        <w:t>：</w:t>
      </w:r>
      <w:r w:rsidRPr="00195CF4">
        <w:rPr>
          <w:rFonts w:ascii="微軟正黑體" w:eastAsia="微軟正黑體" w:hAnsi="微軟正黑體"/>
          <w:kern w:val="0"/>
        </w:rPr>
        <w:t>主要</w:t>
      </w:r>
      <w:r w:rsidRPr="00FF4EC6">
        <w:rPr>
          <w:rFonts w:ascii="微軟正黑體" w:eastAsia="微軟正黑體" w:hAnsi="微軟正黑體" w:hint="eastAsia"/>
          <w:kern w:val="0"/>
        </w:rPr>
        <w:t>是女性，她們不是家計的主要負擔者。許多女性將眾包做為副業</w:t>
      </w:r>
      <w:r w:rsidRPr="00FF4EC6">
        <w:rPr>
          <w:rFonts w:ascii="微軟正黑體" w:eastAsia="微軟正黑體" w:hAnsi="微軟正黑體"/>
          <w:kern w:val="0"/>
        </w:rPr>
        <w:t>(Side job)，將從事眾包工作做為補充家庭收入的手段。他們的大部分工作都</w:t>
      </w:r>
      <w:r w:rsidRPr="00195CF4">
        <w:rPr>
          <w:rFonts w:ascii="微軟正黑體" w:eastAsia="微軟正黑體" w:hAnsi="微軟正黑體" w:hint="eastAsia"/>
          <w:kern w:val="0"/>
        </w:rPr>
        <w:t>為</w:t>
      </w:r>
      <w:r w:rsidRPr="00FF4EC6">
        <w:rPr>
          <w:rFonts w:ascii="微軟正黑體" w:eastAsia="微軟正黑體" w:hAnsi="微軟正黑體"/>
          <w:kern w:val="0"/>
        </w:rPr>
        <w:t>「辦公室工作</w:t>
      </w:r>
      <w:r w:rsidRPr="00FF4EC6">
        <w:rPr>
          <w:rFonts w:ascii="微軟正黑體" w:eastAsia="微軟正黑體" w:hAnsi="微軟正黑體" w:hint="eastAsia"/>
        </w:rPr>
        <w:t>有</w:t>
      </w:r>
      <w:r w:rsidRPr="00FF4EC6">
        <w:rPr>
          <w:rFonts w:ascii="微軟正黑體" w:eastAsia="微軟正黑體" w:hAnsi="微軟正黑體"/>
          <w:kern w:val="0"/>
        </w:rPr>
        <w:t>關」，大約90%的人收入每年不到100萬日元。與「高度稀少」的眾包工作者相比，收入滿意度和工作價值的感受較低。他們往往對整體工作方式的滿意度較低。工作所需技能的獲得不盡然要在特定地方工作才能獲得。</w:t>
      </w:r>
    </w:p>
    <w:p w:rsidR="00A65F2D" w:rsidRDefault="00A65F2D" w:rsidP="00A65F2D">
      <w:pPr>
        <w:spacing w:beforeLines="30" w:before="72" w:line="400" w:lineRule="exact"/>
        <w:rPr>
          <w:rFonts w:ascii="微軟正黑體" w:eastAsia="微軟正黑體" w:hAnsi="微軟正黑體"/>
          <w:color w:val="000000"/>
          <w:kern w:val="0"/>
        </w:rPr>
      </w:pPr>
      <w:r>
        <w:rPr>
          <w:rFonts w:ascii="微軟正黑體" w:eastAsia="微軟正黑體" w:hAnsi="微軟正黑體" w:hint="eastAsia"/>
          <w:color w:val="000000"/>
          <w:kern w:val="0"/>
        </w:rPr>
        <w:t xml:space="preserve">    上述發現指出，眾包工作者是一個異質群體，至少存在兩種類型(</w:t>
      </w:r>
      <w:r w:rsidRPr="00C306F8">
        <w:rPr>
          <w:rFonts w:ascii="微軟正黑體" w:eastAsia="微軟正黑體" w:hAnsi="微軟正黑體" w:hint="eastAsia"/>
          <w:color w:val="000000"/>
          <w:kern w:val="0"/>
        </w:rPr>
        <w:t>請見表</w:t>
      </w:r>
      <w:r w:rsidRPr="00C306F8">
        <w:rPr>
          <w:rFonts w:ascii="微軟正黑體" w:eastAsia="微軟正黑體" w:hAnsi="微軟正黑體"/>
          <w:color w:val="000000"/>
          <w:kern w:val="0"/>
        </w:rPr>
        <w:t>1</w:t>
      </w:r>
      <w:r>
        <w:rPr>
          <w:rFonts w:ascii="微軟正黑體" w:eastAsia="微軟正黑體" w:hAnsi="微軟正黑體" w:hint="eastAsia"/>
          <w:color w:val="000000"/>
          <w:kern w:val="0"/>
        </w:rPr>
        <w:t>)</w:t>
      </w:r>
      <w:r w:rsidRPr="00C306F8">
        <w:rPr>
          <w:rFonts w:ascii="微軟正黑體" w:eastAsia="微軟正黑體" w:hAnsi="微軟正黑體"/>
          <w:color w:val="000000"/>
          <w:kern w:val="0"/>
        </w:rPr>
        <w:t>。一種可以歸類為「補充家庭收入」(household income-supplementing)的眾包工作者</w:t>
      </w:r>
      <w:r w:rsidRPr="00195CF4">
        <w:rPr>
          <w:rFonts w:ascii="微軟正黑體" w:eastAsia="微軟正黑體" w:hAnsi="微軟正黑體" w:hint="eastAsia"/>
          <w:kern w:val="0"/>
        </w:rPr>
        <w:t>，</w:t>
      </w:r>
      <w:r w:rsidRPr="00C306F8">
        <w:rPr>
          <w:rFonts w:ascii="微軟正黑體" w:eastAsia="微軟正黑體" w:hAnsi="微軟正黑體"/>
          <w:color w:val="000000"/>
          <w:kern w:val="0"/>
        </w:rPr>
        <w:t>其中許多是女性。她們從事的工作，多數只需要一般性的能力就可以完成、報酬往往偏低，工作滿意度也往往偏低。另一種可以歸類為「獨立」(independent)的眾包工作者</w:t>
      </w:r>
      <w:r w:rsidRPr="00195CF4">
        <w:rPr>
          <w:rFonts w:ascii="微軟正黑體" w:eastAsia="微軟正黑體" w:hAnsi="微軟正黑體" w:hint="eastAsia"/>
          <w:kern w:val="0"/>
        </w:rPr>
        <w:t>，</w:t>
      </w:r>
      <w:r w:rsidRPr="00C306F8">
        <w:rPr>
          <w:rFonts w:ascii="微軟正黑體" w:eastAsia="微軟正黑體" w:hAnsi="微軟正黑體"/>
          <w:color w:val="000000"/>
          <w:kern w:val="0"/>
        </w:rPr>
        <w:t>這個群體主要由男性組成，從事需要專業技能的工作，一般可以獲得相對較高的報酬。他們往往對眾包的工作方式感到滿意，對自己的收入也有一定程度的滿意度</w:t>
      </w:r>
      <w:r>
        <w:rPr>
          <w:rFonts w:ascii="微軟正黑體" w:eastAsia="微軟正黑體" w:hAnsi="微軟正黑體" w:hint="eastAsia"/>
          <w:color w:val="000000"/>
          <w:kern w:val="0"/>
        </w:rPr>
        <w:t>。</w:t>
      </w:r>
    </w:p>
    <w:p w:rsidR="00A65F2D" w:rsidRDefault="00A65F2D" w:rsidP="00A65F2D">
      <w:pPr>
        <w:spacing w:beforeLines="30" w:before="72" w:line="400" w:lineRule="exact"/>
        <w:rPr>
          <w:rFonts w:ascii="微軟正黑體" w:eastAsia="微軟正黑體" w:hAnsi="微軟正黑體"/>
          <w:color w:val="000000"/>
          <w:kern w:val="0"/>
        </w:rPr>
      </w:pPr>
      <w:r>
        <w:rPr>
          <w:rFonts w:ascii="微軟正黑體" w:eastAsia="微軟正黑體" w:hAnsi="微軟正黑體" w:hint="eastAsia"/>
          <w:color w:val="000000"/>
          <w:kern w:val="0"/>
        </w:rPr>
        <w:t xml:space="preserve">    </w:t>
      </w:r>
      <w:r w:rsidRPr="00C306F8">
        <w:rPr>
          <w:rFonts w:ascii="微軟正黑體" w:eastAsia="微軟正黑體" w:hAnsi="微軟正黑體" w:hint="eastAsia"/>
          <w:color w:val="000000"/>
          <w:kern w:val="0"/>
        </w:rPr>
        <w:t>從「補充家庭收入」的眾包工作者的滿意度來看，顯然有一定數量的眾包工作者可能不情願地選擇了這種工作方式。無論如何，可以說，有的眾包工作者從事專業性工作，對收入和工作方式比較滿意，有的從事簡單的工作，對收入則不盡滿意。</w:t>
      </w:r>
    </w:p>
    <w:p w:rsidR="00A65F2D" w:rsidRDefault="00A65F2D" w:rsidP="00A65F2D">
      <w:pPr>
        <w:spacing w:beforeLines="30" w:before="72" w:line="400" w:lineRule="exact"/>
        <w:rPr>
          <w:rFonts w:ascii="微軟正黑體" w:eastAsia="微軟正黑體" w:hAnsi="微軟正黑體"/>
          <w:color w:val="000000"/>
          <w:kern w:val="0"/>
        </w:rPr>
      </w:pPr>
    </w:p>
    <w:p w:rsidR="00A65F2D" w:rsidRDefault="00A65F2D" w:rsidP="00A65F2D">
      <w:pPr>
        <w:spacing w:beforeLines="30" w:before="72" w:line="400" w:lineRule="exact"/>
        <w:rPr>
          <w:rFonts w:ascii="微軟正黑體" w:eastAsia="微軟正黑體" w:hAnsi="微軟正黑體"/>
          <w:color w:val="000000"/>
          <w:kern w:val="0"/>
        </w:rPr>
      </w:pPr>
    </w:p>
    <w:p w:rsidR="0087041A" w:rsidRPr="00C25AF3" w:rsidRDefault="0087041A" w:rsidP="0087041A">
      <w:pPr>
        <w:widowControl/>
        <w:snapToGrid w:val="0"/>
        <w:spacing w:beforeLines="100" w:before="240" w:afterLines="30" w:after="72" w:line="400" w:lineRule="exact"/>
        <w:jc w:val="center"/>
        <w:rPr>
          <w:rFonts w:ascii="微軟正黑體" w:eastAsia="微軟正黑體" w:hAnsi="微軟正黑體"/>
          <w:color w:val="221E1F"/>
          <w:kern w:val="0"/>
        </w:rPr>
      </w:pPr>
      <w:r w:rsidRPr="00C25AF3">
        <w:rPr>
          <w:rFonts w:ascii="微軟正黑體" w:eastAsia="微軟正黑體" w:hAnsi="微軟正黑體" w:hint="eastAsia"/>
          <w:color w:val="221E1F"/>
          <w:kern w:val="0"/>
        </w:rPr>
        <w:lastRenderedPageBreak/>
        <w:t xml:space="preserve">表1 </w:t>
      </w:r>
      <w:r>
        <w:rPr>
          <w:rFonts w:ascii="微軟正黑體" w:eastAsia="微軟正黑體" w:hAnsi="微軟正黑體" w:hint="eastAsia"/>
          <w:color w:val="221E1F"/>
          <w:kern w:val="0"/>
        </w:rPr>
        <w:t xml:space="preserve"> </w:t>
      </w:r>
      <w:r w:rsidRPr="00C25AF3">
        <w:rPr>
          <w:rFonts w:ascii="微軟正黑體" w:eastAsia="微軟正黑體" w:hAnsi="微軟正黑體"/>
          <w:color w:val="221E1F"/>
          <w:kern w:val="0"/>
        </w:rPr>
        <w:t>兩種類型的眾包工作者</w:t>
      </w:r>
    </w:p>
    <w:tbl>
      <w:tblPr>
        <w:tblW w:w="0" w:type="auto"/>
        <w:jc w:val="center"/>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3119"/>
        <w:gridCol w:w="3201"/>
      </w:tblGrid>
      <w:tr w:rsidR="00D213AA" w:rsidRPr="00D213AA" w:rsidTr="00D213AA">
        <w:trPr>
          <w:trHeight w:val="658"/>
          <w:jc w:val="center"/>
        </w:trPr>
        <w:tc>
          <w:tcPr>
            <w:tcW w:w="2070" w:type="dxa"/>
            <w:shd w:val="clear" w:color="auto" w:fill="4BACC6" w:themeFill="accent5"/>
            <w:vAlign w:val="center"/>
          </w:tcPr>
          <w:p w:rsidR="0087041A" w:rsidRPr="00D213AA" w:rsidRDefault="0087041A" w:rsidP="00402620">
            <w:pPr>
              <w:widowControl/>
              <w:snapToGrid w:val="0"/>
              <w:spacing w:line="360" w:lineRule="exact"/>
              <w:jc w:val="center"/>
              <w:rPr>
                <w:rFonts w:ascii="微軟正黑體" w:eastAsia="微軟正黑體" w:hAnsi="微軟正黑體"/>
                <w:b/>
                <w:color w:val="FFFFFF" w:themeColor="background1"/>
                <w:kern w:val="0"/>
              </w:rPr>
            </w:pPr>
          </w:p>
        </w:tc>
        <w:tc>
          <w:tcPr>
            <w:tcW w:w="3119" w:type="dxa"/>
            <w:shd w:val="clear" w:color="auto" w:fill="4BACC6" w:themeFill="accent5"/>
            <w:vAlign w:val="center"/>
          </w:tcPr>
          <w:p w:rsidR="0087041A" w:rsidRPr="00D213AA" w:rsidRDefault="0087041A" w:rsidP="00402620">
            <w:pPr>
              <w:widowControl/>
              <w:snapToGrid w:val="0"/>
              <w:spacing w:line="360" w:lineRule="exact"/>
              <w:jc w:val="center"/>
              <w:rPr>
                <w:rFonts w:ascii="微軟正黑體" w:eastAsia="微軟正黑體" w:hAnsi="微軟正黑體"/>
                <w:b/>
                <w:color w:val="FFFFFF" w:themeColor="background1"/>
                <w:kern w:val="0"/>
              </w:rPr>
            </w:pPr>
            <w:r w:rsidRPr="00D213AA">
              <w:rPr>
                <w:rFonts w:ascii="微軟正黑體" w:eastAsia="微軟正黑體" w:hAnsi="微軟正黑體"/>
                <w:b/>
                <w:color w:val="FFFFFF" w:themeColor="background1"/>
                <w:kern w:val="0"/>
              </w:rPr>
              <w:t>獨立</w:t>
            </w:r>
            <w:r w:rsidRPr="00D213AA">
              <w:rPr>
                <w:rFonts w:ascii="微軟正黑體" w:eastAsia="微軟正黑體" w:hAnsi="微軟正黑體"/>
                <w:b/>
                <w:bCs/>
                <w:color w:val="FFFFFF" w:themeColor="background1"/>
                <w:kern w:val="0"/>
              </w:rPr>
              <w:t>眾包工作者</w:t>
            </w:r>
          </w:p>
        </w:tc>
        <w:tc>
          <w:tcPr>
            <w:tcW w:w="3201" w:type="dxa"/>
            <w:shd w:val="clear" w:color="auto" w:fill="4BACC6" w:themeFill="accent5"/>
            <w:vAlign w:val="center"/>
          </w:tcPr>
          <w:p w:rsidR="0087041A" w:rsidRPr="00D213AA" w:rsidRDefault="0087041A" w:rsidP="00402620">
            <w:pPr>
              <w:widowControl/>
              <w:snapToGrid w:val="0"/>
              <w:spacing w:line="360" w:lineRule="exact"/>
              <w:jc w:val="center"/>
              <w:rPr>
                <w:rFonts w:ascii="微軟正黑體" w:eastAsia="微軟正黑體" w:hAnsi="微軟正黑體"/>
                <w:b/>
                <w:color w:val="FFFFFF" w:themeColor="background1"/>
                <w:kern w:val="0"/>
              </w:rPr>
            </w:pPr>
            <w:r w:rsidRPr="00D213AA">
              <w:rPr>
                <w:rFonts w:ascii="微軟正黑體" w:eastAsia="微軟正黑體" w:hAnsi="微軟正黑體"/>
                <w:b/>
                <w:color w:val="FFFFFF" w:themeColor="background1"/>
                <w:kern w:val="0"/>
              </w:rPr>
              <w:t>補充家庭收入</w:t>
            </w:r>
            <w:r w:rsidRPr="00D213AA">
              <w:rPr>
                <w:rFonts w:ascii="微軟正黑體" w:eastAsia="微軟正黑體" w:hAnsi="微軟正黑體"/>
                <w:b/>
                <w:bCs/>
                <w:color w:val="FFFFFF" w:themeColor="background1"/>
                <w:kern w:val="0"/>
              </w:rPr>
              <w:t>眾包工作者</w:t>
            </w:r>
          </w:p>
        </w:tc>
      </w:tr>
      <w:tr w:rsidR="0087041A" w:rsidRPr="00FA47BC" w:rsidTr="00402620">
        <w:trPr>
          <w:trHeight w:val="658"/>
          <w:jc w:val="center"/>
        </w:trPr>
        <w:tc>
          <w:tcPr>
            <w:tcW w:w="2070" w:type="dxa"/>
            <w:shd w:val="clear" w:color="auto" w:fill="auto"/>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性別</w:t>
            </w:r>
          </w:p>
        </w:tc>
        <w:tc>
          <w:tcPr>
            <w:tcW w:w="3119" w:type="dxa"/>
            <w:shd w:val="clear" w:color="auto" w:fill="auto"/>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hint="eastAsia"/>
                <w:color w:val="221E1F"/>
                <w:kern w:val="0"/>
              </w:rPr>
              <w:t>多數</w:t>
            </w:r>
            <w:r w:rsidRPr="00FA47BC">
              <w:rPr>
                <w:rFonts w:ascii="微軟正黑體" w:eastAsia="微軟正黑體" w:hAnsi="微軟正黑體"/>
                <w:color w:val="221E1F"/>
                <w:kern w:val="0"/>
              </w:rPr>
              <w:t>是男性</w:t>
            </w:r>
          </w:p>
        </w:tc>
        <w:tc>
          <w:tcPr>
            <w:tcW w:w="3201" w:type="dxa"/>
            <w:shd w:val="clear" w:color="auto" w:fill="auto"/>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hint="eastAsia"/>
                <w:color w:val="221E1F"/>
                <w:kern w:val="0"/>
              </w:rPr>
              <w:t>多數</w:t>
            </w:r>
            <w:r w:rsidRPr="00FA47BC">
              <w:rPr>
                <w:rFonts w:ascii="微軟正黑體" w:eastAsia="微軟正黑體" w:hAnsi="微軟正黑體"/>
                <w:color w:val="221E1F"/>
                <w:kern w:val="0"/>
              </w:rPr>
              <w:t>是女性</w:t>
            </w:r>
          </w:p>
        </w:tc>
      </w:tr>
      <w:tr w:rsidR="0087041A" w:rsidRPr="00FA47BC" w:rsidTr="00D213AA">
        <w:trPr>
          <w:trHeight w:val="658"/>
          <w:jc w:val="center"/>
        </w:trPr>
        <w:tc>
          <w:tcPr>
            <w:tcW w:w="2070" w:type="dxa"/>
            <w:shd w:val="clear" w:color="auto" w:fill="DAEEF3" w:themeFill="accent5" w:themeFillTint="33"/>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從事工作的</w:t>
            </w:r>
            <w:r w:rsidRPr="00FA47BC">
              <w:rPr>
                <w:rFonts w:ascii="微軟正黑體" w:eastAsia="微軟正黑體" w:hAnsi="微軟正黑體" w:hint="eastAsia"/>
                <w:color w:val="221E1F"/>
                <w:kern w:val="0"/>
              </w:rPr>
              <w:t>特徵</w:t>
            </w:r>
          </w:p>
        </w:tc>
        <w:tc>
          <w:tcPr>
            <w:tcW w:w="3119" w:type="dxa"/>
            <w:shd w:val="clear" w:color="auto" w:fill="DAEEF3" w:themeFill="accent5" w:themeFillTint="33"/>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需要一定程度的</w:t>
            </w:r>
            <w:r w:rsidRPr="00FA47BC">
              <w:rPr>
                <w:rFonts w:ascii="微軟正黑體" w:eastAsia="微軟正黑體" w:hAnsi="微軟正黑體" w:hint="eastAsia"/>
                <w:color w:val="221E1F"/>
                <w:kern w:val="0"/>
              </w:rPr>
              <w:t>訓練</w:t>
            </w:r>
            <w:r w:rsidRPr="00FA47BC">
              <w:rPr>
                <w:rFonts w:ascii="微軟正黑體" w:eastAsia="微軟正黑體" w:hAnsi="微軟正黑體"/>
                <w:color w:val="221E1F"/>
                <w:kern w:val="0"/>
              </w:rPr>
              <w:t>和/或準備的工作</w:t>
            </w:r>
          </w:p>
        </w:tc>
        <w:tc>
          <w:tcPr>
            <w:tcW w:w="3201" w:type="dxa"/>
            <w:shd w:val="clear" w:color="auto" w:fill="DAEEF3" w:themeFill="accent5" w:themeFillTint="33"/>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不需要培訓和/或準備的工作</w:t>
            </w:r>
          </w:p>
        </w:tc>
      </w:tr>
      <w:tr w:rsidR="0087041A" w:rsidRPr="00FA47BC" w:rsidTr="00402620">
        <w:trPr>
          <w:trHeight w:val="658"/>
          <w:jc w:val="center"/>
        </w:trPr>
        <w:tc>
          <w:tcPr>
            <w:tcW w:w="2070" w:type="dxa"/>
            <w:shd w:val="clear" w:color="auto" w:fill="auto"/>
            <w:vAlign w:val="center"/>
          </w:tcPr>
          <w:p w:rsidR="0087041A" w:rsidRPr="00FA47BC" w:rsidRDefault="0087041A" w:rsidP="00402620">
            <w:pPr>
              <w:widowControl/>
              <w:snapToGrid w:val="0"/>
              <w:spacing w:line="360" w:lineRule="exact"/>
              <w:jc w:val="center"/>
              <w:rPr>
                <w:rFonts w:ascii="微軟正黑體" w:eastAsia="微軟正黑體" w:hAnsi="微軟正黑體"/>
                <w:color w:val="221E1F"/>
                <w:kern w:val="0"/>
              </w:rPr>
            </w:pPr>
            <w:r w:rsidRPr="00FA47BC">
              <w:rPr>
                <w:rFonts w:ascii="微軟正黑體" w:eastAsia="微軟正黑體" w:hAnsi="微軟正黑體"/>
                <w:color w:val="221E1F"/>
                <w:kern w:val="0"/>
              </w:rPr>
              <w:t>獲得必要技能</w:t>
            </w:r>
          </w:p>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的地方</w:t>
            </w:r>
          </w:p>
        </w:tc>
        <w:tc>
          <w:tcPr>
            <w:tcW w:w="3119" w:type="dxa"/>
            <w:shd w:val="clear" w:color="auto" w:fill="auto"/>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在</w:t>
            </w:r>
            <w:r w:rsidRPr="00FA47BC">
              <w:rPr>
                <w:rFonts w:ascii="微軟正黑體" w:eastAsia="微軟正黑體" w:hAnsi="微軟正黑體" w:hint="eastAsia"/>
                <w:color w:val="221E1F"/>
                <w:kern w:val="0"/>
              </w:rPr>
              <w:t>企業</w:t>
            </w:r>
            <w:r w:rsidRPr="00FA47BC">
              <w:rPr>
                <w:rFonts w:ascii="微軟正黑體" w:eastAsia="微軟正黑體" w:hAnsi="微軟正黑體"/>
                <w:color w:val="221E1F"/>
                <w:kern w:val="0"/>
              </w:rPr>
              <w:t>的經歷</w:t>
            </w:r>
          </w:p>
        </w:tc>
        <w:tc>
          <w:tcPr>
            <w:tcW w:w="3201" w:type="dxa"/>
            <w:shd w:val="clear" w:color="auto" w:fill="auto"/>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無特別</w:t>
            </w:r>
            <w:r w:rsidRPr="00FA47BC">
              <w:rPr>
                <w:rFonts w:ascii="微軟正黑體" w:eastAsia="微軟正黑體" w:hAnsi="微軟正黑體" w:hint="eastAsia"/>
                <w:color w:val="221E1F"/>
                <w:kern w:val="0"/>
              </w:rPr>
              <w:t>的地方</w:t>
            </w:r>
          </w:p>
        </w:tc>
      </w:tr>
      <w:tr w:rsidR="0087041A" w:rsidRPr="00FA47BC" w:rsidTr="00D213AA">
        <w:trPr>
          <w:trHeight w:val="658"/>
          <w:jc w:val="center"/>
        </w:trPr>
        <w:tc>
          <w:tcPr>
            <w:tcW w:w="2070" w:type="dxa"/>
            <w:shd w:val="clear" w:color="auto" w:fill="DAEEF3" w:themeFill="accent5" w:themeFillTint="33"/>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滿意程度</w:t>
            </w:r>
          </w:p>
        </w:tc>
        <w:tc>
          <w:tcPr>
            <w:tcW w:w="3119" w:type="dxa"/>
            <w:shd w:val="clear" w:color="auto" w:fill="DAEEF3" w:themeFill="accent5" w:themeFillTint="33"/>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滿意</w:t>
            </w:r>
          </w:p>
        </w:tc>
        <w:tc>
          <w:tcPr>
            <w:tcW w:w="3201" w:type="dxa"/>
            <w:shd w:val="clear" w:color="auto" w:fill="DAEEF3" w:themeFill="accent5" w:themeFillTint="33"/>
            <w:vAlign w:val="center"/>
          </w:tcPr>
          <w:p w:rsidR="0087041A" w:rsidRPr="00FA47BC" w:rsidRDefault="0087041A" w:rsidP="00402620">
            <w:pPr>
              <w:widowControl/>
              <w:snapToGrid w:val="0"/>
              <w:spacing w:line="360" w:lineRule="exact"/>
              <w:jc w:val="center"/>
              <w:rPr>
                <w:rFonts w:ascii="微軟正黑體" w:eastAsia="微軟正黑體" w:hAnsi="微軟正黑體"/>
                <w:kern w:val="0"/>
              </w:rPr>
            </w:pPr>
            <w:r w:rsidRPr="00FA47BC">
              <w:rPr>
                <w:rFonts w:ascii="微軟正黑體" w:eastAsia="微軟正黑體" w:hAnsi="微軟正黑體"/>
                <w:color w:val="221E1F"/>
                <w:kern w:val="0"/>
              </w:rPr>
              <w:t>不</w:t>
            </w:r>
            <w:r w:rsidRPr="00FA47BC">
              <w:rPr>
                <w:rFonts w:ascii="微軟正黑體" w:eastAsia="微軟正黑體" w:hAnsi="微軟正黑體" w:hint="eastAsia"/>
                <w:color w:val="221E1F"/>
                <w:kern w:val="0"/>
              </w:rPr>
              <w:t>盡</w:t>
            </w:r>
            <w:r w:rsidRPr="00FA47BC">
              <w:rPr>
                <w:rFonts w:ascii="微軟正黑體" w:eastAsia="微軟正黑體" w:hAnsi="微軟正黑體"/>
                <w:color w:val="221E1F"/>
                <w:kern w:val="0"/>
              </w:rPr>
              <w:t>滿意</w:t>
            </w:r>
          </w:p>
        </w:tc>
      </w:tr>
    </w:tbl>
    <w:p w:rsidR="0087041A" w:rsidRPr="00C25AF3" w:rsidRDefault="0087041A" w:rsidP="0087041A">
      <w:pPr>
        <w:spacing w:line="400" w:lineRule="exact"/>
        <w:ind w:leftChars="177" w:left="425"/>
        <w:jc w:val="both"/>
        <w:rPr>
          <w:rFonts w:ascii="微軟正黑體" w:eastAsia="微軟正黑體" w:hAnsi="微軟正黑體"/>
          <w:color w:val="000000"/>
          <w:kern w:val="0"/>
          <w:sz w:val="20"/>
          <w:szCs w:val="20"/>
        </w:rPr>
      </w:pPr>
      <w:r w:rsidRPr="00C25AF3">
        <w:rPr>
          <w:rFonts w:ascii="微軟正黑體" w:eastAsia="微軟正黑體" w:hAnsi="微軟正黑體" w:hint="eastAsia"/>
          <w:color w:val="000000"/>
          <w:kern w:val="0"/>
          <w:sz w:val="20"/>
          <w:szCs w:val="20"/>
        </w:rPr>
        <w:t>資料來源：</w:t>
      </w:r>
      <w:r w:rsidRPr="00C25AF3">
        <w:rPr>
          <w:rFonts w:ascii="微軟正黑體" w:eastAsia="微軟正黑體" w:hAnsi="微軟正黑體"/>
          <w:color w:val="000000"/>
          <w:kern w:val="0"/>
          <w:sz w:val="20"/>
          <w:szCs w:val="20"/>
        </w:rPr>
        <w:t>Nishimura</w:t>
      </w:r>
      <w:r w:rsidRPr="00C25AF3">
        <w:rPr>
          <w:rFonts w:ascii="微軟正黑體" w:eastAsia="微軟正黑體" w:hAnsi="微軟正黑體" w:hint="eastAsia"/>
          <w:color w:val="000000"/>
          <w:kern w:val="0"/>
          <w:sz w:val="20"/>
          <w:szCs w:val="20"/>
        </w:rPr>
        <w:t>(</w:t>
      </w:r>
      <w:r w:rsidRPr="00C25AF3">
        <w:rPr>
          <w:rFonts w:ascii="微軟正黑體" w:eastAsia="微軟正黑體" w:hAnsi="微軟正黑體"/>
          <w:color w:val="000000"/>
          <w:kern w:val="0"/>
          <w:sz w:val="20"/>
          <w:szCs w:val="20"/>
        </w:rPr>
        <w:t>2021</w:t>
      </w:r>
      <w:r w:rsidRPr="00C25AF3">
        <w:rPr>
          <w:rFonts w:ascii="微軟正黑體" w:eastAsia="微軟正黑體" w:hAnsi="微軟正黑體" w:hint="eastAsia"/>
          <w:color w:val="000000"/>
          <w:kern w:val="0"/>
          <w:sz w:val="20"/>
          <w:szCs w:val="20"/>
        </w:rPr>
        <w:t>)。</w:t>
      </w:r>
    </w:p>
    <w:p w:rsidR="0087041A" w:rsidRDefault="0087041A" w:rsidP="0087041A">
      <w:pPr>
        <w:spacing w:beforeLines="100" w:before="240" w:line="400" w:lineRule="exact"/>
        <w:jc w:val="both"/>
        <w:rPr>
          <w:rFonts w:ascii="微軟正黑體" w:eastAsia="微軟正黑體" w:hAnsi="微軟正黑體"/>
          <w:color w:val="000000"/>
          <w:kern w:val="0"/>
        </w:rPr>
      </w:pPr>
      <w:r>
        <w:rPr>
          <w:rFonts w:ascii="微軟正黑體" w:eastAsia="微軟正黑體" w:hAnsi="微軟正黑體" w:hint="eastAsia"/>
          <w:color w:val="000000"/>
          <w:kern w:val="0"/>
        </w:rPr>
        <w:t xml:space="preserve">    </w:t>
      </w:r>
      <w:r w:rsidRPr="002B13E0">
        <w:rPr>
          <w:rFonts w:ascii="微軟正黑體" w:eastAsia="微軟正黑體" w:hAnsi="微軟正黑體" w:hint="eastAsia"/>
          <w:color w:val="000000"/>
          <w:kern w:val="0"/>
        </w:rPr>
        <w:t>許多「高度稀少」的眾包工作者表示，幫助他們完成工作所需的技能是透過在企業的經驗獲得的。同樣地，對「低度稀少」的眾包工作者而言，最常見的技能獲得來源也是在企業的經驗。由此可知，企業是眾包工作者獲得工作所需技能重要來源。</w:t>
      </w:r>
      <w:r>
        <w:rPr>
          <w:rFonts w:ascii="微軟正黑體" w:eastAsia="微軟正黑體" w:hAnsi="微軟正黑體" w:hint="eastAsia"/>
          <w:color w:val="000000"/>
          <w:kern w:val="0"/>
        </w:rPr>
        <w:t>即便是對自僱型工作者而言，在企業獲得的技能和經驗也會很有助益。(</w:t>
      </w:r>
      <w:r>
        <w:rPr>
          <w:rFonts w:ascii="微軟正黑體" w:eastAsia="微軟正黑體" w:hAnsi="微軟正黑體"/>
          <w:color w:val="000000"/>
          <w:kern w:val="0"/>
        </w:rPr>
        <w:t>Nishimura, 2021</w:t>
      </w:r>
      <w:r>
        <w:rPr>
          <w:rFonts w:ascii="微軟正黑體" w:eastAsia="微軟正黑體" w:hAnsi="微軟正黑體" w:hint="eastAsia"/>
          <w:color w:val="000000"/>
          <w:kern w:val="0"/>
        </w:rPr>
        <w:t>)</w:t>
      </w:r>
    </w:p>
    <w:p w:rsidR="0087041A" w:rsidRPr="00C306F8" w:rsidRDefault="0087041A" w:rsidP="0087041A">
      <w:pPr>
        <w:spacing w:beforeLines="250" w:before="600" w:line="400" w:lineRule="exact"/>
        <w:ind w:firstLine="482"/>
        <w:jc w:val="center"/>
        <w:rPr>
          <w:rFonts w:ascii="微軟正黑體" w:eastAsia="微軟正黑體" w:hAnsi="微軟正黑體"/>
          <w:b/>
          <w:color w:val="000000"/>
          <w:sz w:val="32"/>
          <w:szCs w:val="32"/>
        </w:rPr>
      </w:pPr>
      <w:r>
        <w:rPr>
          <w:rFonts w:ascii="微軟正黑體" w:eastAsia="微軟正黑體" w:hAnsi="微軟正黑體" w:hint="eastAsia"/>
          <w:b/>
          <w:color w:val="000000"/>
          <w:sz w:val="32"/>
          <w:szCs w:val="32"/>
        </w:rPr>
        <w:t>肆</w:t>
      </w:r>
      <w:r w:rsidRPr="00D80B8E">
        <w:rPr>
          <w:rFonts w:ascii="微軟正黑體" w:eastAsia="微軟正黑體" w:hAnsi="微軟正黑體"/>
          <w:b/>
          <w:color w:val="000000"/>
          <w:sz w:val="32"/>
          <w:szCs w:val="32"/>
        </w:rPr>
        <w:t>、</w:t>
      </w:r>
      <w:r>
        <w:rPr>
          <w:rFonts w:ascii="微軟正黑體" w:eastAsia="微軟正黑體" w:hAnsi="微軟正黑體" w:hint="eastAsia"/>
          <w:b/>
          <w:color w:val="000000"/>
          <w:sz w:val="32"/>
          <w:szCs w:val="32"/>
        </w:rPr>
        <w:t>他國</w:t>
      </w:r>
      <w:r w:rsidRPr="0069340C">
        <w:rPr>
          <w:rFonts w:ascii="微軟正黑體" w:eastAsia="微軟正黑體" w:hAnsi="微軟正黑體" w:hint="eastAsia"/>
          <w:b/>
          <w:color w:val="000000"/>
          <w:sz w:val="32"/>
          <w:szCs w:val="32"/>
        </w:rPr>
        <w:t>電傳工作</w:t>
      </w:r>
      <w:r w:rsidRPr="008F6F47">
        <w:rPr>
          <w:rFonts w:ascii="微軟正黑體" w:eastAsia="微軟正黑體" w:hAnsi="微軟正黑體" w:hint="eastAsia"/>
          <w:b/>
          <w:color w:val="000000"/>
          <w:sz w:val="32"/>
          <w:szCs w:val="32"/>
        </w:rPr>
        <w:t>有</w:t>
      </w:r>
      <w:r w:rsidRPr="0069340C">
        <w:rPr>
          <w:rFonts w:ascii="微軟正黑體" w:eastAsia="微軟正黑體" w:hAnsi="微軟正黑體" w:hint="eastAsia"/>
          <w:b/>
          <w:color w:val="000000"/>
          <w:sz w:val="32"/>
          <w:szCs w:val="32"/>
        </w:rPr>
        <w:t>關規定</w:t>
      </w:r>
    </w:p>
    <w:p w:rsidR="0087041A" w:rsidRPr="00195CF4" w:rsidRDefault="0087041A" w:rsidP="00D213AA">
      <w:pPr>
        <w:spacing w:beforeLines="150" w:before="360" w:afterLines="50" w:after="120" w:line="400" w:lineRule="exact"/>
        <w:jc w:val="both"/>
        <w:rPr>
          <w:rFonts w:ascii="微軟正黑體" w:eastAsia="微軟正黑體" w:hAnsi="微軟正黑體"/>
          <w:sz w:val="28"/>
          <w:szCs w:val="28"/>
        </w:rPr>
      </w:pPr>
      <w:r w:rsidRPr="00195CF4">
        <w:rPr>
          <w:rFonts w:ascii="微軟正黑體" w:eastAsia="微軟正黑體" w:hAnsi="微軟正黑體" w:hint="eastAsia"/>
          <w:b/>
          <w:sz w:val="28"/>
          <w:szCs w:val="28"/>
        </w:rPr>
        <w:t>一、荷蘭</w:t>
      </w:r>
    </w:p>
    <w:p w:rsidR="0087041A" w:rsidRPr="0069340C" w:rsidRDefault="0087041A" w:rsidP="0087041A">
      <w:pPr>
        <w:spacing w:line="400" w:lineRule="exact"/>
        <w:ind w:firstLineChars="177" w:firstLine="425"/>
        <w:jc w:val="both"/>
        <w:rPr>
          <w:rFonts w:ascii="微軟正黑體" w:eastAsia="微軟正黑體" w:hAnsi="微軟正黑體"/>
          <w:color w:val="000000"/>
        </w:rPr>
      </w:pPr>
      <w:r w:rsidRPr="0069340C">
        <w:rPr>
          <w:rFonts w:ascii="微軟正黑體" w:eastAsia="微軟正黑體" w:hAnsi="微軟正黑體" w:hint="eastAsia"/>
          <w:color w:val="000000"/>
        </w:rPr>
        <w:t>荷蘭電傳工作者主要是公務人員、僱傭關係的勞工和獨立工作者，目前沒有關於電傳工作的專門立法。</w:t>
      </w:r>
      <w:r w:rsidRPr="0069340C">
        <w:rPr>
          <w:rFonts w:ascii="微軟正黑體" w:eastAsia="微軟正黑體" w:hAnsi="微軟正黑體"/>
          <w:color w:val="000000"/>
        </w:rPr>
        <w:t>1998年荷蘭《勞動條件法》主要係保障員工的勞動條件，而這項法律同樣適用於一般勞工和從事電傳工作的受僱勞工。因此，在這方面，電傳工作員工與非電傳工作的員工在工作條件方面受到同樣的保護。(徐國淦等，2017)</w:t>
      </w:r>
    </w:p>
    <w:p w:rsidR="00A65F2D" w:rsidRDefault="0087041A" w:rsidP="0087041A">
      <w:pPr>
        <w:spacing w:beforeLines="30" w:before="72" w:line="400" w:lineRule="exact"/>
        <w:rPr>
          <w:rFonts w:ascii="微軟正黑體" w:eastAsia="微軟正黑體" w:hAnsi="微軟正黑體"/>
          <w:color w:val="000000"/>
        </w:rPr>
      </w:pPr>
      <w:r w:rsidRPr="0069340C">
        <w:rPr>
          <w:rFonts w:ascii="微軟正黑體" w:eastAsia="微軟正黑體" w:hAnsi="微軟正黑體"/>
          <w:color w:val="000000"/>
        </w:rPr>
        <w:t xml:space="preserve">    自2000年以來，荷蘭政府透過稅賦優惠方法鼓勵雇主提供電傳工作。2006年，荷蘭議會同意減免雇主在家中使用網路和勞工進行電傳工作的電話費用。2003年9月，荷蘭勞工基金會起草了一項關於電傳工作的議案，該議案包括如何將電傳工作納入團體協約的建議，並提供有關電傳工作法規的資訊；該議案還提供了如何在現有團體協約中安排電傳工作的範例。(徐國淦等，2017)</w:t>
      </w:r>
    </w:p>
    <w:p w:rsidR="0087041A" w:rsidRDefault="0087041A" w:rsidP="0087041A">
      <w:pPr>
        <w:spacing w:beforeLines="30" w:before="72" w:line="400" w:lineRule="exact"/>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Pr="0069340C">
        <w:rPr>
          <w:rFonts w:ascii="微軟正黑體" w:eastAsia="微軟正黑體" w:hAnsi="微軟正黑體" w:hint="eastAsia"/>
          <w:color w:val="000000"/>
        </w:rPr>
        <w:t>荷蘭政府特別強調電傳工作係解決交通擁堵的可能方案，以及協助由於健康問題而無法工作的勞工重新融入的工具。根據荷蘭社會事務和就業部（</w:t>
      </w:r>
      <w:r w:rsidRPr="0069340C">
        <w:rPr>
          <w:rFonts w:ascii="微軟正黑體" w:eastAsia="微軟正黑體" w:hAnsi="微軟正黑體"/>
          <w:color w:val="000000"/>
        </w:rPr>
        <w:t>Ministry of van Sociale Zaken en Werkgelegenheid，SZW）的看法，電傳工作是讓身心障礙者重新工作和融入社會的創新方式；電傳工作可以讓身心障礙者能夠仍然參與工作，避免專業知識的流失。(徐國淦等，2017)</w:t>
      </w:r>
    </w:p>
    <w:p w:rsidR="0087041A" w:rsidRPr="0069340C" w:rsidRDefault="0087041A" w:rsidP="0087041A">
      <w:pPr>
        <w:spacing w:beforeLines="30" w:before="72" w:line="400" w:lineRule="exact"/>
        <w:jc w:val="both"/>
        <w:rPr>
          <w:rFonts w:ascii="微軟正黑體" w:eastAsia="微軟正黑體" w:hAnsi="微軟正黑體"/>
          <w:color w:val="000000"/>
        </w:rPr>
      </w:pPr>
    </w:p>
    <w:p w:rsidR="0087041A" w:rsidRPr="00195CF4" w:rsidRDefault="0087041A" w:rsidP="0087041A">
      <w:pPr>
        <w:spacing w:beforeLines="50" w:before="120" w:afterLines="50" w:after="120" w:line="400" w:lineRule="exact"/>
        <w:jc w:val="both"/>
        <w:rPr>
          <w:rFonts w:ascii="微軟正黑體" w:eastAsia="微軟正黑體" w:hAnsi="微軟正黑體"/>
          <w:sz w:val="28"/>
          <w:szCs w:val="28"/>
        </w:rPr>
      </w:pPr>
      <w:r w:rsidRPr="00195CF4">
        <w:rPr>
          <w:rFonts w:ascii="微軟正黑體" w:eastAsia="微軟正黑體" w:hAnsi="微軟正黑體" w:hint="eastAsia"/>
          <w:b/>
          <w:sz w:val="28"/>
          <w:szCs w:val="28"/>
        </w:rPr>
        <w:lastRenderedPageBreak/>
        <w:t>二、美國</w:t>
      </w:r>
    </w:p>
    <w:p w:rsidR="0087041A" w:rsidRPr="0069340C" w:rsidRDefault="0087041A" w:rsidP="0087041A">
      <w:pPr>
        <w:spacing w:beforeLines="30" w:before="72" w:line="400" w:lineRule="exact"/>
        <w:ind w:firstLineChars="177" w:firstLine="425"/>
        <w:jc w:val="both"/>
        <w:rPr>
          <w:rFonts w:ascii="微軟正黑體" w:eastAsia="微軟正黑體" w:hAnsi="微軟正黑體"/>
          <w:color w:val="000000"/>
        </w:rPr>
      </w:pPr>
      <w:r w:rsidRPr="0069340C">
        <w:rPr>
          <w:rFonts w:ascii="微軟正黑體" w:eastAsia="微軟正黑體" w:hAnsi="微軟正黑體" w:hint="eastAsia"/>
          <w:color w:val="000000"/>
        </w:rPr>
        <w:t>美國於</w:t>
      </w:r>
      <w:r w:rsidRPr="0069340C">
        <w:rPr>
          <w:rFonts w:ascii="微軟正黑體" w:eastAsia="微軟正黑體" w:hAnsi="微軟正黑體"/>
          <w:color w:val="000000"/>
        </w:rPr>
        <w:t>2010年通過與實施《電傳工作加強法》（Telework Enhancement Act），該法為美國政府機構提供了一個框架，讓電傳工作至少成為政府員工的選項之一。該法</w:t>
      </w:r>
      <w:r w:rsidRPr="00195CF4">
        <w:rPr>
          <w:rFonts w:ascii="微軟正黑體" w:eastAsia="微軟正黑體" w:hAnsi="微軟正黑體" w:hint="eastAsia"/>
        </w:rPr>
        <w:t>是</w:t>
      </w:r>
      <w:r w:rsidRPr="0069340C">
        <w:rPr>
          <w:rFonts w:ascii="微軟正黑體" w:eastAsia="微軟正黑體" w:hAnsi="微軟正黑體"/>
          <w:color w:val="000000"/>
        </w:rPr>
        <w:t>讓聯邦政府可以透過電傳工作來管理其員工</w:t>
      </w:r>
      <w:r w:rsidRPr="00195CF4">
        <w:rPr>
          <w:rFonts w:ascii="微軟正黑體" w:eastAsia="微軟正黑體" w:hAnsi="微軟正黑體" w:hint="eastAsia"/>
        </w:rPr>
        <w:t>，</w:t>
      </w:r>
      <w:r w:rsidRPr="0069340C">
        <w:rPr>
          <w:rFonts w:ascii="微軟正黑體" w:eastAsia="微軟正黑體" w:hAnsi="微軟正黑體"/>
          <w:color w:val="000000"/>
        </w:rPr>
        <w:t>進而獲得更大彈性的關鍵因素，以下是《電傳工作加強法》幾項特點與重要規定</w:t>
      </w:r>
      <w:r>
        <w:rPr>
          <w:rFonts w:ascii="微軟正黑體" w:eastAsia="微軟正黑體" w:hAnsi="微軟正黑體" w:hint="eastAsia"/>
          <w:color w:val="000000"/>
        </w:rPr>
        <w:t>(</w:t>
      </w:r>
      <w:r>
        <w:rPr>
          <w:rFonts w:ascii="微軟正黑體" w:eastAsia="微軟正黑體" w:hAnsi="微軟正黑體"/>
          <w:color w:val="000000"/>
        </w:rPr>
        <w:t>USOPM, 2011</w:t>
      </w:r>
      <w:r>
        <w:rPr>
          <w:rFonts w:ascii="微軟正黑體" w:eastAsia="微軟正黑體" w:hAnsi="微軟正黑體" w:hint="eastAsia"/>
          <w:color w:val="000000"/>
        </w:rPr>
        <w:t>)</w:t>
      </w:r>
      <w:r w:rsidRPr="0069340C">
        <w:rPr>
          <w:rFonts w:ascii="微軟正黑體" w:eastAsia="微軟正黑體" w:hAnsi="微軟正黑體"/>
          <w:color w:val="000000"/>
        </w:rPr>
        <w:t>：</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要求每個行政機構制訂政策，讓符合資格與條件的員工能夠進行電傳工作。</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適用於所有聯邦行政機構。</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適用於符合美國法典第</w:t>
      </w:r>
      <w:r w:rsidRPr="0069340C">
        <w:rPr>
          <w:rFonts w:ascii="微軟正黑體" w:eastAsia="微軟正黑體" w:hAnsi="微軟正黑體"/>
          <w:color w:val="000000"/>
        </w:rPr>
        <w:t xml:space="preserve">2105條規定的聯邦受僱人員。 </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為電傳工作提供法定定義。</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要求受僱人員和經理之間簽訂書面協議，做為參與電傳工作的條件。</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Pr>
          <w:rFonts w:ascii="微軟正黑體" w:eastAsia="微軟正黑體" w:hAnsi="微軟正黑體" w:hint="eastAsia"/>
          <w:color w:val="000000"/>
        </w:rPr>
        <w:t>要求每個行政機構將電傳工作納入其運作連續性計劃(</w:t>
      </w:r>
      <w:r w:rsidRPr="0069340C">
        <w:rPr>
          <w:rFonts w:ascii="微軟正黑體" w:eastAsia="微軟正黑體" w:hAnsi="微軟正黑體"/>
          <w:color w:val="000000"/>
        </w:rPr>
        <w:t>Continuity of Operations, COOP</w:t>
      </w:r>
      <w:r>
        <w:rPr>
          <w:rFonts w:ascii="微軟正黑體" w:eastAsia="微軟正黑體" w:hAnsi="微軟正黑體" w:hint="eastAsia"/>
          <w:color w:val="000000"/>
        </w:rPr>
        <w:t>)</w:t>
      </w:r>
      <w:r w:rsidRPr="0069340C">
        <w:rPr>
          <w:rFonts w:ascii="微軟正黑體" w:eastAsia="微軟正黑體" w:hAnsi="微軟正黑體"/>
          <w:color w:val="000000"/>
        </w:rPr>
        <w:t>計畫方案。</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Pr>
          <w:rFonts w:ascii="微軟正黑體" w:eastAsia="微軟正黑體" w:hAnsi="微軟正黑體" w:hint="eastAsia"/>
          <w:color w:val="000000"/>
        </w:rPr>
        <w:t>要求機構指派電傳工作管理官員(</w:t>
      </w:r>
      <w:r w:rsidRPr="0069340C">
        <w:rPr>
          <w:rFonts w:ascii="微軟正黑體" w:eastAsia="微軟正黑體" w:hAnsi="微軟正黑體"/>
          <w:color w:val="000000"/>
        </w:rPr>
        <w:t>Telework Managing Officer, TMO</w:t>
      </w:r>
      <w:r>
        <w:rPr>
          <w:rFonts w:ascii="微軟正黑體" w:eastAsia="微軟正黑體" w:hAnsi="微軟正黑體" w:hint="eastAsia"/>
          <w:color w:val="000000"/>
        </w:rPr>
        <w:t>)</w:t>
      </w:r>
      <w:r w:rsidRPr="0069340C">
        <w:rPr>
          <w:rFonts w:ascii="微軟正黑體" w:eastAsia="微軟正黑體" w:hAnsi="微軟正黑體"/>
          <w:color w:val="000000"/>
        </w:rPr>
        <w:t>。</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要求受僱人員和管理人員必需完成互動式電傳工作訓練。</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列示電傳工作政策指導和報告的責任和期望。</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Pr>
          <w:rFonts w:ascii="微軟正黑體" w:eastAsia="微軟正黑體" w:hAnsi="微軟正黑體" w:hint="eastAsia"/>
          <w:color w:val="000000"/>
        </w:rPr>
        <w:t>要求每個行政機構與人事管理辦公室(</w:t>
      </w:r>
      <w:r w:rsidRPr="0069340C">
        <w:rPr>
          <w:rFonts w:ascii="微軟正黑體" w:eastAsia="微軟正黑體" w:hAnsi="微軟正黑體"/>
          <w:color w:val="000000"/>
        </w:rPr>
        <w:t>Office of Personnel Management, OPM</w:t>
      </w:r>
      <w:r>
        <w:rPr>
          <w:rFonts w:ascii="微軟正黑體" w:eastAsia="微軟正黑體" w:hAnsi="微軟正黑體" w:hint="eastAsia"/>
          <w:color w:val="000000"/>
        </w:rPr>
        <w:t>)</w:t>
      </w:r>
      <w:r w:rsidRPr="0069340C">
        <w:rPr>
          <w:rFonts w:ascii="微軟正黑體" w:eastAsia="微軟正黑體" w:hAnsi="微軟正黑體"/>
          <w:color w:val="000000"/>
        </w:rPr>
        <w:t>合作，以滿足強制性數據蒐集和報告要求。</w:t>
      </w:r>
    </w:p>
    <w:p w:rsidR="0087041A" w:rsidRPr="0069340C" w:rsidRDefault="0087041A" w:rsidP="002C3729">
      <w:pPr>
        <w:numPr>
          <w:ilvl w:val="0"/>
          <w:numId w:val="38"/>
        </w:numPr>
        <w:spacing w:beforeLines="30" w:before="72" w:line="400" w:lineRule="exact"/>
        <w:ind w:left="964" w:hanging="680"/>
        <w:jc w:val="both"/>
        <w:rPr>
          <w:rFonts w:ascii="微軟正黑體" w:eastAsia="微軟正黑體" w:hAnsi="微軟正黑體"/>
          <w:color w:val="000000"/>
        </w:rPr>
      </w:pPr>
      <w:r w:rsidRPr="0069340C">
        <w:rPr>
          <w:rFonts w:ascii="微軟正黑體" w:eastAsia="微軟正黑體" w:hAnsi="微軟正黑體" w:hint="eastAsia"/>
          <w:color w:val="000000"/>
        </w:rPr>
        <w:t>提供行政</w:t>
      </w:r>
      <w:r w:rsidRPr="00195CF4">
        <w:rPr>
          <w:rFonts w:ascii="微軟正黑體" w:eastAsia="微軟正黑體" w:hAnsi="微軟正黑體" w:hint="eastAsia"/>
        </w:rPr>
        <w:t>機構</w:t>
      </w:r>
      <w:r w:rsidRPr="0069340C">
        <w:rPr>
          <w:rFonts w:ascii="微軟正黑體" w:eastAsia="微軟正黑體" w:hAnsi="微軟正黑體" w:hint="eastAsia"/>
          <w:color w:val="000000"/>
        </w:rPr>
        <w:t>向各</w:t>
      </w:r>
      <w:r>
        <w:rPr>
          <w:rFonts w:ascii="微軟正黑體" w:eastAsia="微軟正黑體" w:hAnsi="微軟正黑體" w:hint="eastAsia"/>
          <w:color w:val="000000"/>
        </w:rPr>
        <w:t>機構諮詢</w:t>
      </w:r>
      <w:r w:rsidRPr="00195CF4">
        <w:rPr>
          <w:rFonts w:ascii="微軟正黑體" w:eastAsia="微軟正黑體" w:hAnsi="微軟正黑體" w:hint="eastAsia"/>
        </w:rPr>
        <w:t>獲得</w:t>
      </w:r>
      <w:r>
        <w:rPr>
          <w:rFonts w:ascii="微軟正黑體" w:eastAsia="微軟正黑體" w:hAnsi="微軟正黑體" w:hint="eastAsia"/>
          <w:color w:val="000000"/>
        </w:rPr>
        <w:t>指導和支持的機會，這些</w:t>
      </w:r>
      <w:r w:rsidRPr="00730B56">
        <w:rPr>
          <w:rFonts w:ascii="微軟正黑體" w:eastAsia="微軟正黑體" w:hAnsi="微軟正黑體" w:hint="eastAsia"/>
          <w:color w:val="000000"/>
        </w:rPr>
        <w:t>接受</w:t>
      </w:r>
      <w:r>
        <w:rPr>
          <w:rFonts w:ascii="微軟正黑體" w:eastAsia="微軟正黑體" w:hAnsi="微軟正黑體" w:hint="eastAsia"/>
          <w:color w:val="000000"/>
        </w:rPr>
        <w:t>諮詢的機構包括人事管理辦公室(</w:t>
      </w:r>
      <w:r w:rsidRPr="0069340C">
        <w:rPr>
          <w:rFonts w:ascii="微軟正黑體" w:eastAsia="微軟正黑體" w:hAnsi="微軟正黑體"/>
          <w:color w:val="000000"/>
        </w:rPr>
        <w:t>OPM</w:t>
      </w:r>
      <w:r>
        <w:rPr>
          <w:rFonts w:ascii="微軟正黑體" w:eastAsia="微軟正黑體" w:hAnsi="微軟正黑體" w:hint="eastAsia"/>
          <w:color w:val="000000"/>
        </w:rPr>
        <w:t>)</w:t>
      </w:r>
      <w:r>
        <w:rPr>
          <w:rFonts w:ascii="微軟正黑體" w:eastAsia="微軟正黑體" w:hAnsi="微軟正黑體"/>
          <w:color w:val="000000"/>
        </w:rPr>
        <w:t>、總務署</w:t>
      </w:r>
      <w:r>
        <w:rPr>
          <w:rFonts w:ascii="微軟正黑體" w:eastAsia="微軟正黑體" w:hAnsi="微軟正黑體" w:hint="eastAsia"/>
          <w:color w:val="000000"/>
        </w:rPr>
        <w:t>(</w:t>
      </w:r>
      <w:r w:rsidRPr="0069340C">
        <w:rPr>
          <w:rFonts w:ascii="微軟正黑體" w:eastAsia="微軟正黑體" w:hAnsi="微軟正黑體"/>
          <w:color w:val="000000"/>
        </w:rPr>
        <w:t>General Service Administration, GSA</w:t>
      </w:r>
      <w:r>
        <w:rPr>
          <w:rFonts w:ascii="微軟正黑體" w:eastAsia="微軟正黑體" w:hAnsi="微軟正黑體" w:hint="eastAsia"/>
          <w:color w:val="000000"/>
        </w:rPr>
        <w:t>)</w:t>
      </w:r>
      <w:r>
        <w:rPr>
          <w:rFonts w:ascii="微軟正黑體" w:eastAsia="微軟正黑體" w:hAnsi="微軟正黑體"/>
          <w:color w:val="000000"/>
        </w:rPr>
        <w:t>、管理和預算辦公室</w:t>
      </w:r>
      <w:r>
        <w:rPr>
          <w:rFonts w:ascii="微軟正黑體" w:eastAsia="微軟正黑體" w:hAnsi="微軟正黑體" w:hint="eastAsia"/>
          <w:color w:val="000000"/>
        </w:rPr>
        <w:t>(</w:t>
      </w:r>
      <w:r w:rsidRPr="0069340C">
        <w:rPr>
          <w:rFonts w:ascii="微軟正黑體" w:eastAsia="微軟正黑體" w:hAnsi="微軟正黑體"/>
          <w:color w:val="000000"/>
        </w:rPr>
        <w:t>Office of Management and Budget, OMB</w:t>
      </w:r>
      <w:r>
        <w:rPr>
          <w:rFonts w:ascii="微軟正黑體" w:eastAsia="微軟正黑體" w:hAnsi="微軟正黑體" w:hint="eastAsia"/>
          <w:color w:val="000000"/>
        </w:rPr>
        <w:t>)</w:t>
      </w:r>
      <w:r>
        <w:rPr>
          <w:rFonts w:ascii="微軟正黑體" w:eastAsia="微軟正黑體" w:hAnsi="微軟正黑體"/>
          <w:color w:val="000000"/>
        </w:rPr>
        <w:t>、國土安全部</w:t>
      </w:r>
      <w:r>
        <w:rPr>
          <w:rFonts w:ascii="微軟正黑體" w:eastAsia="微軟正黑體" w:hAnsi="微軟正黑體" w:hint="eastAsia"/>
          <w:color w:val="000000"/>
        </w:rPr>
        <w:t>(</w:t>
      </w:r>
      <w:r w:rsidRPr="0069340C">
        <w:rPr>
          <w:rFonts w:ascii="微軟正黑體" w:eastAsia="微軟正黑體" w:hAnsi="微軟正黑體"/>
          <w:color w:val="000000"/>
        </w:rPr>
        <w:t>Department of Homeland Security, DHS</w:t>
      </w:r>
      <w:r>
        <w:rPr>
          <w:rFonts w:ascii="微軟正黑體" w:eastAsia="微軟正黑體" w:hAnsi="微軟正黑體" w:hint="eastAsia"/>
          <w:color w:val="000000"/>
        </w:rPr>
        <w:t>)</w:t>
      </w:r>
      <w:r>
        <w:rPr>
          <w:rFonts w:ascii="微軟正黑體" w:eastAsia="微軟正黑體" w:hAnsi="微軟正黑體"/>
          <w:color w:val="000000"/>
        </w:rPr>
        <w:t>、聯邦緊急管理機構</w:t>
      </w:r>
      <w:r>
        <w:rPr>
          <w:rFonts w:ascii="微軟正黑體" w:eastAsia="微軟正黑體" w:hAnsi="微軟正黑體" w:hint="eastAsia"/>
          <w:color w:val="000000"/>
        </w:rPr>
        <w:t>(</w:t>
      </w:r>
      <w:r w:rsidRPr="0069340C">
        <w:rPr>
          <w:rFonts w:ascii="微軟正黑體" w:eastAsia="微軟正黑體" w:hAnsi="微軟正黑體"/>
          <w:color w:val="000000"/>
        </w:rPr>
        <w:t>Federal Emergency Management Agency, FEMA</w:t>
      </w:r>
      <w:r>
        <w:rPr>
          <w:rFonts w:ascii="微軟正黑體" w:eastAsia="微軟正黑體" w:hAnsi="微軟正黑體" w:hint="eastAsia"/>
          <w:color w:val="000000"/>
        </w:rPr>
        <w:t>)</w:t>
      </w:r>
      <w:r>
        <w:rPr>
          <w:rFonts w:ascii="微軟正黑體" w:eastAsia="微軟正黑體" w:hAnsi="微軟正黑體"/>
          <w:color w:val="000000"/>
        </w:rPr>
        <w:t>、國家檔案和記錄署</w:t>
      </w:r>
      <w:r>
        <w:rPr>
          <w:rFonts w:ascii="微軟正黑體" w:eastAsia="微軟正黑體" w:hAnsi="微軟正黑體" w:hint="eastAsia"/>
          <w:color w:val="000000"/>
        </w:rPr>
        <w:t>(</w:t>
      </w:r>
      <w:r w:rsidRPr="0069340C">
        <w:rPr>
          <w:rFonts w:ascii="微軟正黑體" w:eastAsia="微軟正黑體" w:hAnsi="微軟正黑體"/>
          <w:color w:val="000000"/>
        </w:rPr>
        <w:t>National Archives and Records Administration, NARA</w:t>
      </w:r>
      <w:r>
        <w:rPr>
          <w:rFonts w:ascii="微軟正黑體" w:eastAsia="微軟正黑體" w:hAnsi="微軟正黑體" w:hint="eastAsia"/>
          <w:color w:val="000000"/>
        </w:rPr>
        <w:t>)</w:t>
      </w:r>
      <w:r>
        <w:rPr>
          <w:rFonts w:ascii="微軟正黑體" w:eastAsia="微軟正黑體" w:hAnsi="微軟正黑體"/>
          <w:color w:val="000000"/>
        </w:rPr>
        <w:t>和國家標準與技術研究中心</w:t>
      </w:r>
      <w:r>
        <w:rPr>
          <w:rFonts w:ascii="微軟正黑體" w:eastAsia="微軟正黑體" w:hAnsi="微軟正黑體" w:hint="eastAsia"/>
          <w:color w:val="000000"/>
        </w:rPr>
        <w:t>(</w:t>
      </w:r>
      <w:r w:rsidRPr="0069340C">
        <w:rPr>
          <w:rFonts w:ascii="微軟正黑體" w:eastAsia="微軟正黑體" w:hAnsi="微軟正黑體"/>
          <w:color w:val="000000"/>
        </w:rPr>
        <w:t>National Institute of Standards and Technology, NIST</w:t>
      </w:r>
      <w:r>
        <w:rPr>
          <w:rFonts w:ascii="微軟正黑體" w:eastAsia="微軟正黑體" w:hAnsi="微軟正黑體" w:hint="eastAsia"/>
          <w:color w:val="000000"/>
        </w:rPr>
        <w:t>)</w:t>
      </w:r>
      <w:r w:rsidRPr="0069340C">
        <w:rPr>
          <w:rFonts w:ascii="微軟正黑體" w:eastAsia="微軟正黑體" w:hAnsi="微軟正黑體"/>
          <w:color w:val="000000"/>
        </w:rPr>
        <w:t>。</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Pr>
          <w:rFonts w:ascii="微軟正黑體" w:eastAsia="微軟正黑體" w:hAnsi="微軟正黑體" w:hint="eastAsia"/>
          <w:color w:val="000000"/>
        </w:rPr>
        <w:t>要求人事管理辦公室(</w:t>
      </w:r>
      <w:r w:rsidRPr="0069340C">
        <w:rPr>
          <w:rFonts w:ascii="微軟正黑體" w:eastAsia="微軟正黑體" w:hAnsi="微軟正黑體"/>
          <w:color w:val="000000"/>
        </w:rPr>
        <w:t>OPM</w:t>
      </w:r>
      <w:r>
        <w:rPr>
          <w:rFonts w:ascii="微軟正黑體" w:eastAsia="微軟正黑體" w:hAnsi="微軟正黑體" w:hint="eastAsia"/>
          <w:color w:val="000000"/>
        </w:rPr>
        <w:t>)</w:t>
      </w:r>
      <w:r w:rsidRPr="0069340C">
        <w:rPr>
          <w:rFonts w:ascii="微軟正黑體" w:eastAsia="微軟正黑體" w:hAnsi="微軟正黑體"/>
          <w:color w:val="000000"/>
        </w:rPr>
        <w:t>設置與維運聯邦政府電傳工作網站。</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提供聯邦政府機構框架，以便能透過更好的技術、擴大電傳工作的運用。</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支持政府機構努力實現重要目標，例如延攬和留任更具生產力聯邦受僱人員。</w:t>
      </w:r>
    </w:p>
    <w:p w:rsidR="0087041A" w:rsidRPr="0069340C" w:rsidRDefault="0087041A" w:rsidP="002C3729">
      <w:pPr>
        <w:numPr>
          <w:ilvl w:val="0"/>
          <w:numId w:val="38"/>
        </w:numPr>
        <w:spacing w:beforeLines="30" w:before="72" w:line="400" w:lineRule="exact"/>
        <w:ind w:left="709" w:hanging="425"/>
        <w:jc w:val="both"/>
        <w:rPr>
          <w:rFonts w:ascii="微軟正黑體" w:eastAsia="微軟正黑體" w:hAnsi="微軟正黑體"/>
          <w:color w:val="000000"/>
        </w:rPr>
      </w:pPr>
      <w:r w:rsidRPr="0069340C">
        <w:rPr>
          <w:rFonts w:ascii="微軟正黑體" w:eastAsia="微軟正黑體" w:hAnsi="微軟正黑體" w:hint="eastAsia"/>
          <w:color w:val="000000"/>
        </w:rPr>
        <w:t>強化聯邦政府受僱人員的工作與生活平衡。</w:t>
      </w:r>
    </w:p>
    <w:p w:rsidR="0087041A" w:rsidRDefault="0087041A" w:rsidP="0087041A">
      <w:pPr>
        <w:spacing w:beforeLines="30" w:before="72" w:line="400" w:lineRule="exact"/>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Pr="0069340C">
        <w:rPr>
          <w:rFonts w:ascii="微軟正黑體" w:eastAsia="微軟正黑體" w:hAnsi="微軟正黑體" w:hint="eastAsia"/>
          <w:color w:val="000000"/>
        </w:rPr>
        <w:t>若根據美國《電傳工作加強法》的定義，所謂電傳工作是利用通訊和</w:t>
      </w:r>
      <w:r w:rsidRPr="0069340C">
        <w:rPr>
          <w:rFonts w:ascii="微軟正黑體" w:eastAsia="微軟正黑體" w:hAnsi="微軟正黑體"/>
          <w:color w:val="000000"/>
        </w:rPr>
        <w:t>/或電腦技術部分或全部替代日常通勤的工作。由於電傳工作有助於減少日常的通勤，電傳工作對於身心障礙勞工就業產生實質上的效益，美國電傳工作者的比率確實呈現成長的態勢。(Jones, 2015)</w:t>
      </w:r>
    </w:p>
    <w:p w:rsidR="002C3729" w:rsidRPr="0069340C" w:rsidRDefault="002C3729" w:rsidP="0087041A">
      <w:pPr>
        <w:spacing w:beforeLines="30" w:before="72" w:line="400" w:lineRule="exact"/>
        <w:jc w:val="both"/>
        <w:rPr>
          <w:rFonts w:ascii="微軟正黑體" w:eastAsia="微軟正黑體" w:hAnsi="微軟正黑體"/>
          <w:color w:val="000000"/>
        </w:rPr>
      </w:pPr>
    </w:p>
    <w:p w:rsidR="0087041A" w:rsidRPr="0069340C" w:rsidRDefault="0087041A" w:rsidP="0087041A">
      <w:pPr>
        <w:spacing w:beforeLines="30" w:before="72" w:line="400" w:lineRule="exact"/>
        <w:jc w:val="both"/>
        <w:rPr>
          <w:rFonts w:ascii="微軟正黑體" w:eastAsia="微軟正黑體" w:hAnsi="微軟正黑體"/>
          <w:color w:val="000000"/>
        </w:rPr>
      </w:pPr>
      <w:r>
        <w:rPr>
          <w:rFonts w:ascii="微軟正黑體" w:eastAsia="微軟正黑體" w:hAnsi="微軟正黑體" w:hint="eastAsia"/>
          <w:color w:val="000000"/>
        </w:rPr>
        <w:lastRenderedPageBreak/>
        <w:t xml:space="preserve">    </w:t>
      </w:r>
      <w:r w:rsidRPr="0069340C">
        <w:rPr>
          <w:rFonts w:ascii="微軟正黑體" w:eastAsia="微軟正黑體" w:hAnsi="微軟正黑體" w:hint="eastAsia"/>
          <w:color w:val="000000"/>
        </w:rPr>
        <w:t>由於《電傳工作加強法》只適用於政府部門，只能從有關案例來瞭解政府部門或其他單位如何依據《電傳工作加強法》來落實和管理電傳工作。</w:t>
      </w:r>
    </w:p>
    <w:p w:rsidR="0087041A" w:rsidRPr="0069340C" w:rsidRDefault="0087041A" w:rsidP="0087041A">
      <w:pPr>
        <w:spacing w:beforeLines="30" w:before="72" w:line="400" w:lineRule="exact"/>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Pr="0069340C">
        <w:rPr>
          <w:rFonts w:ascii="微軟正黑體" w:eastAsia="微軟正黑體" w:hAnsi="微軟正黑體" w:hint="eastAsia"/>
          <w:color w:val="000000"/>
        </w:rPr>
        <w:t>根據有關案</w:t>
      </w:r>
      <w:r>
        <w:rPr>
          <w:rFonts w:ascii="微軟正黑體" w:eastAsia="微軟正黑體" w:hAnsi="微軟正黑體" w:hint="eastAsia"/>
          <w:color w:val="000000"/>
        </w:rPr>
        <w:t>例可知，電傳工作的推動與電傳工作者的管理必須考量到以下幾項重點</w:t>
      </w:r>
      <w:r w:rsidRPr="0069340C">
        <w:rPr>
          <w:rFonts w:ascii="微軟正黑體" w:eastAsia="微軟正黑體" w:hAnsi="微軟正黑體"/>
          <w:color w:val="000000"/>
        </w:rPr>
        <w:t>(University Of North Florida, 2017)</w:t>
      </w:r>
      <w:r>
        <w:rPr>
          <w:rFonts w:ascii="微軟正黑體" w:eastAsia="微軟正黑體" w:hAnsi="微軟正黑體" w:hint="eastAsia"/>
          <w:color w:val="000000"/>
        </w:rPr>
        <w:t>：</w:t>
      </w:r>
    </w:p>
    <w:p w:rsidR="0087041A" w:rsidRDefault="0087041A" w:rsidP="002C3729">
      <w:pPr>
        <w:numPr>
          <w:ilvl w:val="0"/>
          <w:numId w:val="66"/>
        </w:numPr>
        <w:spacing w:beforeLines="30" w:before="72" w:line="400" w:lineRule="exact"/>
        <w:ind w:hanging="436"/>
        <w:jc w:val="both"/>
        <w:rPr>
          <w:rFonts w:ascii="微軟正黑體" w:eastAsia="微軟正黑體" w:hAnsi="微軟正黑體"/>
          <w:color w:val="000000"/>
        </w:rPr>
      </w:pPr>
      <w:r w:rsidRPr="0069340C">
        <w:rPr>
          <w:rFonts w:ascii="微軟正黑體" w:eastAsia="微軟正黑體" w:hAnsi="微軟正黑體" w:hint="eastAsia"/>
          <w:color w:val="000000"/>
        </w:rPr>
        <w:t>確立電傳工作者的資格與條件：當員工的工作職務不太需要直接的監督和面對面的互動</w:t>
      </w:r>
      <w:r w:rsidRPr="00195CF4">
        <w:rPr>
          <w:rFonts w:ascii="微軟正黑體" w:eastAsia="微軟正黑體" w:hAnsi="微軟正黑體" w:hint="eastAsia"/>
        </w:rPr>
        <w:t>，</w:t>
      </w:r>
      <w:r w:rsidRPr="0069340C">
        <w:rPr>
          <w:rFonts w:ascii="微軟正黑體" w:eastAsia="微軟正黑體" w:hAnsi="微軟正黑體" w:hint="eastAsia"/>
          <w:color w:val="000000"/>
        </w:rPr>
        <w:t>或面對面的互動可以透過適當的時間安排就可以達成者，在經過主管和首長核准之後，就具有從事電傳工作的資格與條件。除此之外，員工的人格特質有時也必須要列入考量。</w:t>
      </w:r>
    </w:p>
    <w:p w:rsidR="0087041A" w:rsidRPr="0069340C" w:rsidRDefault="0087041A" w:rsidP="002C3729">
      <w:pPr>
        <w:numPr>
          <w:ilvl w:val="0"/>
          <w:numId w:val="66"/>
        </w:numPr>
        <w:spacing w:beforeLines="30" w:before="72" w:line="400" w:lineRule="exact"/>
        <w:ind w:hanging="436"/>
        <w:jc w:val="both"/>
        <w:rPr>
          <w:rFonts w:ascii="微軟正黑體" w:eastAsia="微軟正黑體" w:hAnsi="微軟正黑體"/>
          <w:color w:val="000000"/>
        </w:rPr>
      </w:pPr>
      <w:r w:rsidRPr="0069340C">
        <w:rPr>
          <w:rFonts w:ascii="微軟正黑體" w:eastAsia="微軟正黑體" w:hAnsi="微軟正黑體" w:hint="eastAsia"/>
          <w:color w:val="000000"/>
        </w:rPr>
        <w:t>從事電傳工作的受僱勞工受到《公平勞動基準法》和《勞工補償法》的適用與保障；若勞工是工會會員，也會受到團體協約的保障。</w:t>
      </w:r>
    </w:p>
    <w:p w:rsidR="0087041A" w:rsidRPr="0069340C" w:rsidRDefault="0087041A" w:rsidP="002C3729">
      <w:pPr>
        <w:numPr>
          <w:ilvl w:val="0"/>
          <w:numId w:val="66"/>
        </w:numPr>
        <w:spacing w:beforeLines="30" w:before="72" w:line="400" w:lineRule="exact"/>
        <w:ind w:hanging="436"/>
        <w:jc w:val="both"/>
        <w:rPr>
          <w:rFonts w:ascii="微軟正黑體" w:eastAsia="微軟正黑體" w:hAnsi="微軟正黑體"/>
          <w:color w:val="000000"/>
        </w:rPr>
      </w:pPr>
      <w:r w:rsidRPr="0069340C">
        <w:rPr>
          <w:rFonts w:ascii="微軟正黑體" w:eastAsia="微軟正黑體" w:hAnsi="微軟正黑體" w:hint="eastAsia"/>
          <w:color w:val="000000"/>
        </w:rPr>
        <w:t>員工經核准從事電傳工作，除非員工經核准可以使用機關或單位的設備，無論是家庭辦公室設置和有關設備購置的費用，都必須要由員工自行負擔。</w:t>
      </w:r>
    </w:p>
    <w:p w:rsidR="0087041A" w:rsidRDefault="0087041A" w:rsidP="002C3729">
      <w:pPr>
        <w:numPr>
          <w:ilvl w:val="0"/>
          <w:numId w:val="66"/>
        </w:numPr>
        <w:spacing w:beforeLines="30" w:before="72" w:line="400" w:lineRule="exact"/>
        <w:ind w:hanging="436"/>
        <w:jc w:val="both"/>
        <w:rPr>
          <w:rFonts w:ascii="微軟正黑體" w:eastAsia="微軟正黑體" w:hAnsi="微軟正黑體"/>
          <w:color w:val="000000"/>
        </w:rPr>
      </w:pPr>
      <w:r w:rsidRPr="0069340C">
        <w:rPr>
          <w:rFonts w:ascii="微軟正黑體" w:eastAsia="微軟正黑體" w:hAnsi="微軟正黑體" w:hint="eastAsia"/>
          <w:color w:val="000000"/>
        </w:rPr>
        <w:t>員工經核准從事電傳工作，必須要與機關或單位訂定電傳工作協議。電傳工作協議會就員工所需要遵守的有關規定、電傳工作時數與時間</w:t>
      </w:r>
      <w:r w:rsidRPr="00195CF4">
        <w:rPr>
          <w:rFonts w:ascii="微軟正黑體" w:eastAsia="微軟正黑體" w:hAnsi="微軟正黑體" w:hint="eastAsia"/>
        </w:rPr>
        <w:t>，</w:t>
      </w:r>
      <w:r w:rsidRPr="0069340C">
        <w:rPr>
          <w:rFonts w:ascii="微軟正黑體" w:eastAsia="微軟正黑體" w:hAnsi="微軟正黑體" w:hint="eastAsia"/>
          <w:color w:val="000000"/>
        </w:rPr>
        <w:t>和工作內容與內務加以明文的規定。</w:t>
      </w:r>
    </w:p>
    <w:p w:rsidR="0087041A" w:rsidRPr="0069340C" w:rsidRDefault="0087041A" w:rsidP="002C3729">
      <w:pPr>
        <w:numPr>
          <w:ilvl w:val="0"/>
          <w:numId w:val="66"/>
        </w:numPr>
        <w:spacing w:beforeLines="30" w:before="72" w:line="400" w:lineRule="exact"/>
        <w:ind w:hanging="436"/>
        <w:jc w:val="both"/>
        <w:rPr>
          <w:rFonts w:ascii="微軟正黑體" w:eastAsia="微軟正黑體" w:hAnsi="微軟正黑體"/>
          <w:color w:val="000000"/>
        </w:rPr>
      </w:pPr>
      <w:r w:rsidRPr="0069340C">
        <w:rPr>
          <w:rFonts w:ascii="微軟正黑體" w:eastAsia="微軟正黑體" w:hAnsi="微軟正黑體" w:hint="eastAsia"/>
          <w:color w:val="000000"/>
        </w:rPr>
        <w:t>在從事電傳工作期間，主管會定期或不定期進行訪視，員工不得拒絕。而主管訪視的重點，除瞭解員工工作狀況外，家庭辦公室的工作條件與環境也是瞭解的重點。</w:t>
      </w:r>
    </w:p>
    <w:p w:rsidR="0087041A" w:rsidRDefault="0087041A" w:rsidP="0087041A">
      <w:pPr>
        <w:spacing w:beforeLines="30" w:before="72" w:line="400" w:lineRule="exact"/>
        <w:rPr>
          <w:rFonts w:ascii="微軟正黑體" w:eastAsia="微軟正黑體" w:hAnsi="微軟正黑體"/>
          <w:color w:val="000000"/>
        </w:rPr>
      </w:pPr>
      <w:r>
        <w:rPr>
          <w:rFonts w:ascii="微軟正黑體" w:eastAsia="微軟正黑體" w:hAnsi="微軟正黑體" w:hint="eastAsia"/>
          <w:color w:val="000000"/>
        </w:rPr>
        <w:t xml:space="preserve">    </w:t>
      </w:r>
      <w:r w:rsidRPr="0069340C">
        <w:rPr>
          <w:rFonts w:ascii="微軟正黑體" w:eastAsia="微軟正黑體" w:hAnsi="微軟正黑體" w:hint="eastAsia"/>
          <w:color w:val="000000"/>
        </w:rPr>
        <w:t>根據有關案例顯示，電傳工作不能做為解決育嬰或照顧家人的替代性方法。員工要從事電傳工作，反而必須要考量到在家工作時是否會受到外界的干擾。若電傳工作無法達成一定程度的生產力或績效目標，員工要想從事電傳工作應該會有其困難</w:t>
      </w:r>
      <w:r>
        <w:rPr>
          <w:rFonts w:ascii="微軟正黑體" w:eastAsia="微軟正黑體" w:hAnsi="微軟正黑體" w:hint="eastAsia"/>
          <w:color w:val="000000"/>
        </w:rPr>
        <w:t>。</w:t>
      </w:r>
    </w:p>
    <w:p w:rsidR="0087041A" w:rsidRPr="00620BE0" w:rsidRDefault="0087041A" w:rsidP="0087041A">
      <w:pPr>
        <w:spacing w:beforeLines="250" w:before="600" w:line="400" w:lineRule="exact"/>
        <w:jc w:val="center"/>
        <w:rPr>
          <w:rFonts w:ascii="微軟正黑體" w:eastAsia="微軟正黑體" w:hAnsi="微軟正黑體"/>
          <w:b/>
          <w:color w:val="000000"/>
          <w:sz w:val="20"/>
          <w:szCs w:val="20"/>
        </w:rPr>
      </w:pPr>
      <w:r>
        <w:rPr>
          <w:rFonts w:ascii="微軟正黑體" w:eastAsia="微軟正黑體" w:hAnsi="微軟正黑體" w:hint="eastAsia"/>
          <w:b/>
          <w:color w:val="000000"/>
          <w:kern w:val="0"/>
          <w:sz w:val="32"/>
          <w:szCs w:val="32"/>
        </w:rPr>
        <w:t>伍</w:t>
      </w:r>
      <w:r w:rsidRPr="00620BE0">
        <w:rPr>
          <w:rFonts w:ascii="微軟正黑體" w:eastAsia="微軟正黑體" w:hAnsi="微軟正黑體"/>
          <w:b/>
          <w:color w:val="000000"/>
          <w:kern w:val="0"/>
          <w:sz w:val="32"/>
          <w:szCs w:val="32"/>
        </w:rPr>
        <w:t>、</w:t>
      </w:r>
      <w:r>
        <w:rPr>
          <w:rFonts w:ascii="微軟正黑體" w:eastAsia="微軟正黑體" w:hAnsi="微軟正黑體" w:hint="eastAsia"/>
          <w:b/>
          <w:color w:val="000000"/>
          <w:sz w:val="32"/>
          <w:szCs w:val="32"/>
        </w:rPr>
        <w:t>政策挑戰</w:t>
      </w:r>
    </w:p>
    <w:p w:rsidR="0087041A" w:rsidRPr="0069340C" w:rsidRDefault="0087041A" w:rsidP="0087041A">
      <w:pPr>
        <w:spacing w:beforeLines="150" w:before="360" w:line="400" w:lineRule="exact"/>
        <w:ind w:firstLine="482"/>
        <w:jc w:val="both"/>
        <w:rPr>
          <w:rFonts w:ascii="微軟正黑體" w:eastAsia="微軟正黑體" w:hAnsi="微軟正黑體"/>
          <w:color w:val="000000"/>
        </w:rPr>
      </w:pPr>
      <w:r w:rsidRPr="0069340C">
        <w:rPr>
          <w:rFonts w:ascii="微軟正黑體" w:eastAsia="微軟正黑體" w:hAnsi="微軟正黑體" w:hint="eastAsia"/>
          <w:color w:val="000000"/>
        </w:rPr>
        <w:t>由於面對面交流是重要的，尤其是對於</w:t>
      </w:r>
      <w:r w:rsidRPr="00195CF4">
        <w:rPr>
          <w:rFonts w:ascii="微軟正黑體" w:eastAsia="微軟正黑體" w:hAnsi="微軟正黑體" w:hint="eastAsia"/>
        </w:rPr>
        <w:t>複</w:t>
      </w:r>
      <w:r w:rsidRPr="0069340C">
        <w:rPr>
          <w:rFonts w:ascii="微軟正黑體" w:eastAsia="微軟正黑體" w:hAnsi="微軟正黑體" w:hint="eastAsia"/>
          <w:color w:val="000000"/>
        </w:rPr>
        <w:t>雜的工作任務和創新而言，太多的電傳工作會降低勞工的效率和長期生產力的增長。因此，政策應確保電傳工作只是一種選項，這是為了避免電傳工作遭受濫用。對</w:t>
      </w:r>
      <w:r w:rsidRPr="0069340C">
        <w:rPr>
          <w:rFonts w:ascii="微軟正黑體" w:eastAsia="微軟正黑體" w:hAnsi="微軟正黑體"/>
          <w:color w:val="000000"/>
        </w:rPr>
        <w:t>ICT</w:t>
      </w:r>
      <w:r>
        <w:rPr>
          <w:rFonts w:ascii="微軟正黑體" w:eastAsia="微軟正黑體" w:hAnsi="微軟正黑體"/>
          <w:color w:val="000000"/>
        </w:rPr>
        <w:t>產業中</w:t>
      </w:r>
      <w:r w:rsidRPr="00195CF4">
        <w:rPr>
          <w:rFonts w:ascii="微軟正黑體" w:eastAsia="微軟正黑體" w:hAnsi="微軟正黑體" w:hint="eastAsia"/>
        </w:rPr>
        <w:t>，</w:t>
      </w:r>
      <w:r>
        <w:rPr>
          <w:rFonts w:ascii="微軟正黑體" w:eastAsia="微軟正黑體" w:hAnsi="微軟正黑體"/>
          <w:color w:val="000000"/>
        </w:rPr>
        <w:t>企業家精神群聚高度重視和高科技企業高度集中的區域</w:t>
      </w:r>
      <w:r>
        <w:rPr>
          <w:rFonts w:ascii="微軟正黑體" w:eastAsia="微軟正黑體" w:hAnsi="微軟正黑體" w:hint="eastAsia"/>
          <w:color w:val="000000"/>
        </w:rPr>
        <w:t>(</w:t>
      </w:r>
      <w:r>
        <w:rPr>
          <w:rFonts w:ascii="微軟正黑體" w:eastAsia="微軟正黑體" w:hAnsi="微軟正黑體"/>
          <w:color w:val="000000"/>
        </w:rPr>
        <w:t>例如矽谷</w:t>
      </w:r>
      <w:r>
        <w:rPr>
          <w:rFonts w:ascii="微軟正黑體" w:eastAsia="微軟正黑體" w:hAnsi="微軟正黑體" w:hint="eastAsia"/>
          <w:color w:val="000000"/>
        </w:rPr>
        <w:t>)</w:t>
      </w:r>
      <w:r w:rsidRPr="0069340C">
        <w:rPr>
          <w:rFonts w:ascii="微軟正黑體" w:eastAsia="微軟正黑體" w:hAnsi="微軟正黑體"/>
          <w:color w:val="000000"/>
        </w:rPr>
        <w:t>，以及在學術界扮演重要角色的實驗室和單位，都強烈表示共處一室、面對面溝通對於創新的重要性。勞工個人的喜好或獨立工作的能力也各不相同，某些勞工可能會從電傳工作中獲得或多或少的滿足感。因此，重要的是，為了要節省辦公空間的成本時，當公司實施電傳工作的同時，應該要評估</w:t>
      </w:r>
      <w:r>
        <w:rPr>
          <w:rFonts w:ascii="微軟正黑體" w:eastAsia="微軟正黑體" w:hAnsi="微軟正黑體" w:hint="eastAsia"/>
          <w:color w:val="000000"/>
        </w:rPr>
        <w:t>如何避免減損人際交往的機會。(</w:t>
      </w:r>
      <w:r w:rsidRPr="0069340C">
        <w:rPr>
          <w:rFonts w:ascii="微軟正黑體" w:eastAsia="微軟正黑體" w:hAnsi="微軟正黑體"/>
          <w:color w:val="000000"/>
        </w:rPr>
        <w:t>Financial Times, 2020</w:t>
      </w:r>
      <w:r>
        <w:rPr>
          <w:rFonts w:ascii="微軟正黑體" w:eastAsia="微軟正黑體" w:hAnsi="微軟正黑體" w:hint="eastAsia"/>
          <w:color w:val="000000"/>
        </w:rPr>
        <w:t>)</w:t>
      </w:r>
    </w:p>
    <w:p w:rsidR="0087041A" w:rsidRPr="0069340C" w:rsidRDefault="0087041A" w:rsidP="0087041A">
      <w:pPr>
        <w:spacing w:beforeLines="30" w:before="72" w:line="400" w:lineRule="exact"/>
        <w:ind w:firstLine="482"/>
        <w:jc w:val="both"/>
        <w:rPr>
          <w:rFonts w:ascii="微軟正黑體" w:eastAsia="微軟正黑體" w:hAnsi="微軟正黑體"/>
          <w:color w:val="000000"/>
        </w:rPr>
      </w:pPr>
      <w:r w:rsidRPr="0069340C">
        <w:rPr>
          <w:rFonts w:ascii="微軟正黑體" w:eastAsia="微軟正黑體" w:hAnsi="微軟正黑體" w:hint="eastAsia"/>
          <w:color w:val="000000"/>
        </w:rPr>
        <w:t>勞工電傳工作的能力也可能取決於他們的技能。不同勞工群體之間的技能落差，再加上需要高技能的工作似乎最容易從事電傳工作，意味著電傳工</w:t>
      </w:r>
      <w:r>
        <w:rPr>
          <w:rFonts w:ascii="微軟正黑體" w:eastAsia="微軟正黑體" w:hAnsi="微軟正黑體" w:hint="eastAsia"/>
          <w:color w:val="000000"/>
        </w:rPr>
        <w:t>作範圍的擴大可能加劇</w:t>
      </w:r>
      <w:r>
        <w:rPr>
          <w:rFonts w:ascii="微軟正黑體" w:eastAsia="微軟正黑體" w:hAnsi="微軟正黑體" w:hint="eastAsia"/>
          <w:color w:val="000000"/>
        </w:rPr>
        <w:lastRenderedPageBreak/>
        <w:t>工作條件方面的差距。據此，提高弱勢勞工群體(例如低技能</w:t>
      </w:r>
      <w:r w:rsidRPr="00195CF4">
        <w:rPr>
          <w:rFonts w:ascii="微軟正黑體" w:eastAsia="微軟正黑體" w:hAnsi="微軟正黑體" w:hint="eastAsia"/>
        </w:rPr>
        <w:t>、</w:t>
      </w:r>
      <w:r>
        <w:rPr>
          <w:rFonts w:ascii="微軟正黑體" w:eastAsia="微軟正黑體" w:hAnsi="微軟正黑體" w:hint="eastAsia"/>
          <w:color w:val="000000"/>
        </w:rPr>
        <w:t>中高齡勞工)</w:t>
      </w:r>
      <w:r w:rsidRPr="0069340C">
        <w:rPr>
          <w:rFonts w:ascii="微軟正黑體" w:eastAsia="微軟正黑體" w:hAnsi="微軟正黑體" w:hint="eastAsia"/>
          <w:color w:val="000000"/>
        </w:rPr>
        <w:t>電傳工作能力的政策，可能有助於避免他們進一步落後，並避免被排除在電傳工作所提供的福祉之外。</w:t>
      </w:r>
      <w:r w:rsidRPr="0069340C">
        <w:rPr>
          <w:rFonts w:ascii="微軟正黑體" w:eastAsia="微軟正黑體" w:hAnsi="微軟正黑體"/>
          <w:color w:val="000000"/>
        </w:rPr>
        <w:t>(OECD, 2020)</w:t>
      </w:r>
    </w:p>
    <w:p w:rsidR="0087041A" w:rsidRPr="0069340C" w:rsidRDefault="0087041A" w:rsidP="0087041A">
      <w:pPr>
        <w:spacing w:beforeLines="30" w:before="72" w:line="400" w:lineRule="exact"/>
        <w:ind w:firstLine="482"/>
        <w:jc w:val="both"/>
        <w:rPr>
          <w:rFonts w:ascii="微軟正黑體" w:eastAsia="微軟正黑體" w:hAnsi="微軟正黑體"/>
          <w:color w:val="000000"/>
        </w:rPr>
      </w:pPr>
      <w:r w:rsidRPr="0069340C">
        <w:rPr>
          <w:rFonts w:ascii="微軟正黑體" w:eastAsia="微軟正黑體" w:hAnsi="微軟正黑體" w:hint="eastAsia"/>
          <w:color w:val="000000"/>
        </w:rPr>
        <w:t>電傳工作可能會侵蝕工作時間安排並導致「隱藏性加班」成為常態，因為電傳工作管理人員重視的是產出結果，而不是花費在工作上的時間。因此，選擇是否進行電傳工作和進行電傳工作的能力對於提高生產力至關重要。根據針對客服中心的一項研究顯示，自願性從事電傳工作勞工的生產力是那些被迫從事電傳工作勞工生產力的將近兩倍。但是，讓勞工自己選擇從事電傳工作並不能保證能達到電傳工作的最佳水準，因為從長遠來看，勞工在做出決策時不太可能充分考慮對電傳工作的負面影響。</w:t>
      </w:r>
      <w:r>
        <w:rPr>
          <w:rFonts w:ascii="微軟正黑體" w:eastAsia="微軟正黑體" w:hAnsi="微軟正黑體" w:hint="eastAsia"/>
          <w:color w:val="000000"/>
        </w:rPr>
        <w:t>(</w:t>
      </w:r>
      <w:r>
        <w:rPr>
          <w:rFonts w:ascii="微軟正黑體" w:eastAsia="微軟正黑體" w:hAnsi="微軟正黑體"/>
          <w:color w:val="000000"/>
        </w:rPr>
        <w:t>OECD, 2020</w:t>
      </w:r>
      <w:r>
        <w:rPr>
          <w:rFonts w:ascii="微軟正黑體" w:eastAsia="微軟正黑體" w:hAnsi="微軟正黑體" w:hint="eastAsia"/>
          <w:color w:val="000000"/>
        </w:rPr>
        <w:t>)</w:t>
      </w:r>
    </w:p>
    <w:p w:rsidR="0087041A" w:rsidRPr="0069340C" w:rsidRDefault="0087041A" w:rsidP="0087041A">
      <w:pPr>
        <w:spacing w:beforeLines="30" w:before="72" w:line="400" w:lineRule="exact"/>
        <w:ind w:firstLine="482"/>
        <w:jc w:val="both"/>
        <w:rPr>
          <w:rFonts w:ascii="微軟正黑體" w:eastAsia="微軟正黑體" w:hAnsi="微軟正黑體"/>
          <w:color w:val="000000"/>
        </w:rPr>
      </w:pPr>
      <w:r w:rsidRPr="0069340C">
        <w:rPr>
          <w:rFonts w:ascii="微軟正黑體" w:eastAsia="微軟正黑體" w:hAnsi="微軟正黑體" w:hint="eastAsia"/>
          <w:color w:val="000000"/>
        </w:rPr>
        <w:t>勞工的適應能力和因勞工滿意度提高而帶來的效率提高，在很大程度上取決於電傳工作時的工作條件，例如</w:t>
      </w:r>
      <w:r w:rsidRPr="0069340C">
        <w:rPr>
          <w:rFonts w:ascii="微軟正黑體" w:eastAsia="微軟正黑體" w:hAnsi="微軟正黑體"/>
          <w:color w:val="000000"/>
        </w:rPr>
        <w:t>ICT設備、工作空間或甚至托兒協助方面等。據此，可能需要針對電傳工作調整支持性的基礎設施，例如，可能需要在離家更近的地方提供托兒服務。事實上，在COVID-19大流行期間從事電傳工作時，工作與家務和照料職責的雙重壓力還是可能落在婦女或單親父母身上</w:t>
      </w:r>
      <w:r>
        <w:rPr>
          <w:rFonts w:ascii="微軟正黑體" w:eastAsia="微軟正黑體" w:hAnsi="微軟正黑體" w:hint="eastAsia"/>
          <w:color w:val="000000"/>
        </w:rPr>
        <w:t>(</w:t>
      </w:r>
      <w:r w:rsidRPr="0069340C">
        <w:rPr>
          <w:rFonts w:ascii="微軟正黑體" w:eastAsia="微軟正黑體" w:hAnsi="微軟正黑體"/>
          <w:color w:val="000000"/>
        </w:rPr>
        <w:t>Donadio, 2020</w:t>
      </w:r>
      <w:r>
        <w:rPr>
          <w:rFonts w:ascii="微軟正黑體" w:eastAsia="微軟正黑體" w:hAnsi="微軟正黑體" w:hint="eastAsia"/>
          <w:color w:val="000000"/>
        </w:rPr>
        <w:t>)。</w:t>
      </w:r>
      <w:r w:rsidRPr="0069340C">
        <w:rPr>
          <w:rFonts w:ascii="微軟正黑體" w:eastAsia="微軟正黑體" w:hAnsi="微軟正黑體"/>
          <w:color w:val="000000"/>
        </w:rPr>
        <w:t>由於電傳工作者遠距(或在家)工作的比率較高，若不提供適當的托兒協助，特別是對女性而言，可能會阻礙職涯發展，甚至可能進一步影響到性別平等的發</w:t>
      </w:r>
      <w:r w:rsidRPr="0069340C">
        <w:rPr>
          <w:rFonts w:ascii="微軟正黑體" w:eastAsia="微軟正黑體" w:hAnsi="微軟正黑體" w:hint="eastAsia"/>
          <w:color w:val="000000"/>
        </w:rPr>
        <w:t>展</w:t>
      </w:r>
      <w:r>
        <w:rPr>
          <w:rFonts w:ascii="微軟正黑體" w:eastAsia="微軟正黑體" w:hAnsi="微軟正黑體" w:hint="eastAsia"/>
          <w:color w:val="000000"/>
        </w:rPr>
        <w:t>(</w:t>
      </w:r>
      <w:r w:rsidRPr="0069340C">
        <w:rPr>
          <w:rFonts w:ascii="微軟正黑體" w:eastAsia="微軟正黑體" w:hAnsi="微軟正黑體"/>
          <w:color w:val="000000"/>
        </w:rPr>
        <w:t>Alon et. al, 2020</w:t>
      </w:r>
      <w:r>
        <w:rPr>
          <w:rFonts w:ascii="微軟正黑體" w:eastAsia="微軟正黑體" w:hAnsi="微軟正黑體" w:hint="eastAsia"/>
          <w:color w:val="000000"/>
        </w:rPr>
        <w:t>)。</w:t>
      </w:r>
    </w:p>
    <w:p w:rsidR="0087041A" w:rsidRPr="0069340C" w:rsidRDefault="0087041A" w:rsidP="0087041A">
      <w:pPr>
        <w:spacing w:beforeLines="30" w:before="72" w:line="400" w:lineRule="exact"/>
        <w:ind w:firstLine="482"/>
        <w:jc w:val="both"/>
        <w:rPr>
          <w:rFonts w:ascii="微軟正黑體" w:eastAsia="微軟正黑體" w:hAnsi="微軟正黑體"/>
          <w:color w:val="000000"/>
        </w:rPr>
      </w:pPr>
      <w:r w:rsidRPr="0069340C">
        <w:rPr>
          <w:rFonts w:ascii="微軟正黑體" w:eastAsia="微軟正黑體" w:hAnsi="微軟正黑體" w:hint="eastAsia"/>
          <w:color w:val="000000"/>
        </w:rPr>
        <w:t>最後，政策應支持為公司和</w:t>
      </w:r>
      <w:r w:rsidRPr="00195CF4">
        <w:rPr>
          <w:rFonts w:ascii="微軟正黑體" w:eastAsia="微軟正黑體" w:hAnsi="微軟正黑體" w:hint="eastAsia"/>
        </w:rPr>
        <w:t>勞</w:t>
      </w:r>
      <w:r w:rsidRPr="0069340C">
        <w:rPr>
          <w:rFonts w:ascii="微軟正黑體" w:eastAsia="微軟正黑體" w:hAnsi="微軟正黑體" w:hint="eastAsia"/>
          <w:color w:val="000000"/>
        </w:rPr>
        <w:t>工提供快速、可靠和安全的</w:t>
      </w:r>
      <w:r w:rsidRPr="0069340C">
        <w:rPr>
          <w:rFonts w:ascii="微軟正黑體" w:eastAsia="微軟正黑體" w:hAnsi="微軟正黑體"/>
          <w:color w:val="000000"/>
        </w:rPr>
        <w:t>ICT基礎設施和使用權限。ICT基礎設施的提供往往因地而異，而ICT基礎設施是實現電傳工作重要的先備條件，而其質量對電傳工作的效率至關重要。此外，它還需要滿足安全性和隱私要求，從</w:t>
      </w:r>
      <w:r>
        <w:rPr>
          <w:rFonts w:ascii="微軟正黑體" w:eastAsia="微軟正黑體" w:hAnsi="微軟正黑體"/>
          <w:color w:val="000000"/>
        </w:rPr>
        <w:t>保護免受網絡攻擊到建立透明性標準，確保從勞工蒐集數據的透明性。</w:t>
      </w:r>
      <w:r>
        <w:rPr>
          <w:rFonts w:ascii="微軟正黑體" w:eastAsia="微軟正黑體" w:hAnsi="微軟正黑體" w:hint="eastAsia"/>
          <w:color w:val="000000"/>
        </w:rPr>
        <w:t>(</w:t>
      </w:r>
      <w:r w:rsidRPr="0069340C">
        <w:rPr>
          <w:rFonts w:ascii="微軟正黑體" w:eastAsia="微軟正黑體" w:hAnsi="微軟正黑體"/>
          <w:color w:val="000000"/>
        </w:rPr>
        <w:t>Viete and Erdsiek, 2018</w:t>
      </w:r>
      <w:r>
        <w:rPr>
          <w:rFonts w:ascii="微軟正黑體" w:eastAsia="微軟正黑體" w:hAnsi="微軟正黑體" w:hint="eastAsia"/>
          <w:color w:val="000000"/>
        </w:rPr>
        <w:t>)</w:t>
      </w:r>
    </w:p>
    <w:p w:rsidR="0087041A" w:rsidRPr="0069340C" w:rsidRDefault="0087041A" w:rsidP="0087041A">
      <w:pPr>
        <w:spacing w:beforeLines="30" w:before="72" w:line="400" w:lineRule="exact"/>
        <w:ind w:firstLine="482"/>
        <w:jc w:val="both"/>
        <w:rPr>
          <w:rFonts w:ascii="微軟正黑體" w:eastAsia="微軟正黑體" w:hAnsi="微軟正黑體"/>
          <w:color w:val="000000"/>
        </w:rPr>
      </w:pPr>
      <w:r w:rsidRPr="0069340C">
        <w:rPr>
          <w:rFonts w:ascii="微軟正黑體" w:eastAsia="微軟正黑體" w:hAnsi="微軟正黑體" w:hint="eastAsia"/>
          <w:color w:val="000000"/>
        </w:rPr>
        <w:t>前述政策的主要目標是在最大限度地提高電傳工作的生產力，同時保護勞工免受負面影響和確保長期的創新。除了提高生產力外，這些政策還可以為其他一系列政策領域帶來更多好處，例如促進性別平等、改善農村地區的工作機會、減少城市地區的交通擁堵和住房成本</w:t>
      </w:r>
      <w:r w:rsidRPr="00195CF4">
        <w:rPr>
          <w:rFonts w:ascii="微軟正黑體" w:eastAsia="微軟正黑體" w:hAnsi="微軟正黑體" w:hint="eastAsia"/>
        </w:rPr>
        <w:t>，</w:t>
      </w:r>
      <w:r w:rsidRPr="0069340C">
        <w:rPr>
          <w:rFonts w:ascii="微軟正黑體" w:eastAsia="微軟正黑體" w:hAnsi="微軟正黑體" w:hint="eastAsia"/>
          <w:color w:val="000000"/>
        </w:rPr>
        <w:t>與改善工作與生活的平衡。</w:t>
      </w:r>
    </w:p>
    <w:p w:rsidR="0087041A" w:rsidRPr="0069340C" w:rsidRDefault="0087041A" w:rsidP="0087041A">
      <w:pPr>
        <w:spacing w:beforeLines="30" w:before="72" w:line="400" w:lineRule="exact"/>
        <w:ind w:firstLine="482"/>
        <w:jc w:val="both"/>
        <w:rPr>
          <w:rFonts w:ascii="微軟正黑體" w:eastAsia="微軟正黑體" w:hAnsi="微軟正黑體"/>
          <w:color w:val="000000"/>
        </w:rPr>
      </w:pPr>
      <w:r>
        <w:rPr>
          <w:rFonts w:ascii="微軟正黑體" w:eastAsia="微軟正黑體" w:hAnsi="微軟正黑體" w:hint="eastAsia"/>
          <w:color w:val="000000"/>
        </w:rPr>
        <w:t>有關政策涉及三</w:t>
      </w:r>
      <w:r w:rsidRPr="0069340C">
        <w:rPr>
          <w:rFonts w:ascii="微軟正黑體" w:eastAsia="微軟正黑體" w:hAnsi="微軟正黑體" w:hint="eastAsia"/>
          <w:color w:val="000000"/>
        </w:rPr>
        <w:t>個主要領域：支持補充性投資</w:t>
      </w:r>
      <w:r w:rsidRPr="0069340C">
        <w:rPr>
          <w:rFonts w:ascii="微軟正黑體" w:eastAsia="微軟正黑體" w:hAnsi="微軟正黑體"/>
          <w:color w:val="000000"/>
        </w:rPr>
        <w:t>(Support complementary investment)、幫助克服文化和法律障礙(Surmount cultural and legal hurdles)和減輕潛在的副作用(Mitigate potential side effects)。</w:t>
      </w:r>
    </w:p>
    <w:p w:rsidR="0087041A" w:rsidRPr="0069340C" w:rsidRDefault="0087041A" w:rsidP="0087041A">
      <w:pPr>
        <w:spacing w:beforeLines="50" w:before="120" w:afterLines="50" w:after="120" w:line="400" w:lineRule="exact"/>
        <w:rPr>
          <w:rFonts w:ascii="微軟正黑體" w:eastAsia="微軟正黑體" w:hAnsi="微軟正黑體"/>
          <w:b/>
          <w:color w:val="000000"/>
          <w:sz w:val="28"/>
          <w:szCs w:val="28"/>
        </w:rPr>
      </w:pPr>
      <w:r w:rsidRPr="0069340C">
        <w:rPr>
          <w:rFonts w:ascii="微軟正黑體" w:eastAsia="微軟正黑體" w:hAnsi="微軟正黑體" w:hint="eastAsia"/>
          <w:b/>
          <w:color w:val="000000"/>
          <w:sz w:val="28"/>
          <w:szCs w:val="28"/>
        </w:rPr>
        <w:t>一、支持補充性投資</w:t>
      </w:r>
    </w:p>
    <w:p w:rsidR="0087041A" w:rsidRPr="0069340C" w:rsidRDefault="0087041A" w:rsidP="0087041A">
      <w:pPr>
        <w:spacing w:beforeLines="30" w:before="72" w:line="400" w:lineRule="exact"/>
        <w:ind w:firstLine="480"/>
        <w:jc w:val="both"/>
        <w:rPr>
          <w:rFonts w:ascii="微軟正黑體" w:eastAsia="微軟正黑體" w:hAnsi="微軟正黑體"/>
          <w:color w:val="000000"/>
        </w:rPr>
      </w:pPr>
      <w:r w:rsidRPr="0069340C">
        <w:rPr>
          <w:rFonts w:ascii="微軟正黑體" w:eastAsia="微軟正黑體" w:hAnsi="微軟正黑體" w:hint="eastAsia"/>
          <w:color w:val="000000"/>
        </w:rPr>
        <w:t>鼓勵對資通訊基礎設施的投資，例如，透過光纖或寬頻網絡取代速度較慢的數位用戶迴路家族</w:t>
      </w:r>
      <w:r w:rsidRPr="0069340C">
        <w:rPr>
          <w:rFonts w:ascii="微軟正黑體" w:eastAsia="微軟正黑體" w:hAnsi="微軟正黑體"/>
          <w:color w:val="000000"/>
        </w:rPr>
        <w:t>(x Digital Subscriber Line，</w:t>
      </w:r>
      <w:r>
        <w:rPr>
          <w:rFonts w:ascii="微軟正黑體" w:eastAsia="微軟正黑體" w:hAnsi="微軟正黑體"/>
          <w:color w:val="000000"/>
        </w:rPr>
        <w:t>xDSL)</w:t>
      </w:r>
      <w:r w:rsidRPr="0069340C">
        <w:rPr>
          <w:rFonts w:ascii="微軟正黑體" w:eastAsia="微軟正黑體" w:hAnsi="微軟正黑體"/>
          <w:color w:val="000000"/>
        </w:rPr>
        <w:t>，強化資通訊基礎設施的能力和韌性，並透過高速寬頻的普及來縮小地區差異。</w:t>
      </w:r>
    </w:p>
    <w:p w:rsidR="0087041A" w:rsidRPr="0069340C" w:rsidRDefault="0087041A" w:rsidP="0087041A">
      <w:pPr>
        <w:spacing w:beforeLines="30" w:before="72" w:line="400" w:lineRule="exact"/>
        <w:ind w:firstLine="480"/>
        <w:jc w:val="both"/>
        <w:rPr>
          <w:rFonts w:ascii="微軟正黑體" w:eastAsia="微軟正黑體" w:hAnsi="微軟正黑體"/>
          <w:color w:val="000000"/>
        </w:rPr>
      </w:pPr>
      <w:r w:rsidRPr="0069340C">
        <w:rPr>
          <w:rFonts w:ascii="微軟正黑體" w:eastAsia="微軟正黑體" w:hAnsi="微軟正黑體" w:hint="eastAsia"/>
          <w:color w:val="000000"/>
        </w:rPr>
        <w:t>為促進電傳工作並消除社會和地區差異，鼓勵對相關技能的投資，尤</w:t>
      </w:r>
      <w:r>
        <w:rPr>
          <w:rFonts w:ascii="微軟正黑體" w:eastAsia="微軟正黑體" w:hAnsi="微軟正黑體" w:hint="eastAsia"/>
          <w:color w:val="000000"/>
        </w:rPr>
        <w:t>其是對電傳工作能力較弱的勞工。由於許多已經具備電傳工作所需技能(</w:t>
      </w:r>
      <w:r w:rsidRPr="0069340C">
        <w:rPr>
          <w:rFonts w:ascii="微軟正黑體" w:eastAsia="微軟正黑體" w:hAnsi="微軟正黑體" w:hint="eastAsia"/>
          <w:color w:val="000000"/>
        </w:rPr>
        <w:t>例如在知識密集型服務中</w:t>
      </w:r>
      <w:r>
        <w:rPr>
          <w:rFonts w:ascii="微軟正黑體" w:eastAsia="微軟正黑體" w:hAnsi="微軟正黑體" w:hint="eastAsia"/>
          <w:color w:val="000000"/>
        </w:rPr>
        <w:t>)</w:t>
      </w:r>
      <w:r w:rsidRPr="0069340C">
        <w:rPr>
          <w:rFonts w:ascii="微軟正黑體" w:eastAsia="微軟正黑體" w:hAnsi="微軟正黑體" w:hint="eastAsia"/>
          <w:color w:val="000000"/>
        </w:rPr>
        <w:t>的</w:t>
      </w:r>
      <w:r w:rsidRPr="0069340C">
        <w:rPr>
          <w:rFonts w:ascii="微軟正黑體" w:eastAsia="微軟正黑體" w:hAnsi="微軟正黑體" w:hint="eastAsia"/>
          <w:color w:val="000000"/>
        </w:rPr>
        <w:lastRenderedPageBreak/>
        <w:t>勞工主要集中在城市地區，因此，透過提高農村地區勞工的技術能力可以大幅度提高人才的供給；</w:t>
      </w:r>
      <w:r w:rsidRPr="0087041A">
        <w:rPr>
          <w:rFonts w:ascii="微軟正黑體" w:eastAsia="微軟正黑體" w:hAnsi="微軟正黑體" w:hint="eastAsia"/>
        </w:rPr>
        <w:t>及</w:t>
      </w:r>
      <w:r w:rsidRPr="0069340C">
        <w:rPr>
          <w:rFonts w:ascii="微軟正黑體" w:eastAsia="微軟正黑體" w:hAnsi="微軟正黑體" w:hint="eastAsia"/>
          <w:color w:val="000000"/>
        </w:rPr>
        <w:t>鼓勵特別適合提供大城市無法企</w:t>
      </w:r>
      <w:r>
        <w:rPr>
          <w:rFonts w:ascii="微軟正黑體" w:eastAsia="微軟正黑體" w:hAnsi="微軟正黑體" w:hint="eastAsia"/>
          <w:color w:val="000000"/>
        </w:rPr>
        <w:t>及的</w:t>
      </w:r>
      <w:r w:rsidRPr="00195CF4">
        <w:rPr>
          <w:rFonts w:ascii="微軟正黑體" w:eastAsia="微軟正黑體" w:hAnsi="微軟正黑體" w:hint="eastAsia"/>
        </w:rPr>
        <w:t>線上教育</w:t>
      </w:r>
      <w:r>
        <w:rPr>
          <w:rFonts w:ascii="微軟正黑體" w:eastAsia="微軟正黑體" w:hAnsi="微軟正黑體" w:hint="eastAsia"/>
          <w:color w:val="000000"/>
        </w:rPr>
        <w:t>訓練機會(</w:t>
      </w:r>
      <w:r w:rsidRPr="0069340C">
        <w:rPr>
          <w:rFonts w:ascii="微軟正黑體" w:eastAsia="微軟正黑體" w:hAnsi="微軟正黑體"/>
          <w:color w:val="000000"/>
        </w:rPr>
        <w:t>Clancy, 2020</w:t>
      </w:r>
      <w:r>
        <w:rPr>
          <w:rFonts w:ascii="微軟正黑體" w:eastAsia="微軟正黑體" w:hAnsi="微軟正黑體" w:hint="eastAsia"/>
          <w:color w:val="000000"/>
        </w:rPr>
        <w:t>)。同時，可以</w:t>
      </w:r>
      <w:r w:rsidRPr="0069340C">
        <w:rPr>
          <w:rFonts w:ascii="微軟正黑體" w:eastAsia="微軟正黑體" w:hAnsi="微軟正黑體" w:hint="eastAsia"/>
          <w:color w:val="000000"/>
        </w:rPr>
        <w:t>透過宣傳活動來</w:t>
      </w:r>
      <w:r>
        <w:rPr>
          <w:rFonts w:ascii="微軟正黑體" w:eastAsia="微軟正黑體" w:hAnsi="微軟正黑體" w:hint="eastAsia"/>
          <w:color w:val="000000"/>
        </w:rPr>
        <w:t>達到</w:t>
      </w:r>
      <w:r w:rsidRPr="0069340C">
        <w:rPr>
          <w:rFonts w:ascii="微軟正黑體" w:eastAsia="微軟正黑體" w:hAnsi="微軟正黑體" w:hint="eastAsia"/>
          <w:color w:val="000000"/>
        </w:rPr>
        <w:t>最佳管理作為</w:t>
      </w:r>
      <w:r>
        <w:rPr>
          <w:rFonts w:ascii="微軟正黑體" w:eastAsia="微軟正黑體" w:hAnsi="微軟正黑體" w:hint="eastAsia"/>
          <w:color w:val="000000"/>
        </w:rPr>
        <w:t>共享的目的(</w:t>
      </w:r>
      <w:r w:rsidRPr="0069340C">
        <w:rPr>
          <w:rFonts w:ascii="微軟正黑體" w:eastAsia="微軟正黑體" w:hAnsi="微軟正黑體"/>
          <w:color w:val="000000"/>
        </w:rPr>
        <w:t>Atkinson et.al., 2020</w:t>
      </w:r>
      <w:r>
        <w:rPr>
          <w:rFonts w:ascii="微軟正黑體" w:eastAsia="微軟正黑體" w:hAnsi="微軟正黑體" w:hint="eastAsia"/>
          <w:color w:val="000000"/>
        </w:rPr>
        <w:t>)。</w:t>
      </w:r>
    </w:p>
    <w:p w:rsidR="0087041A" w:rsidRPr="0069340C" w:rsidRDefault="0087041A" w:rsidP="0087041A">
      <w:pPr>
        <w:spacing w:beforeLines="50" w:before="120" w:afterLines="50" w:after="120" w:line="400" w:lineRule="exact"/>
        <w:rPr>
          <w:rFonts w:ascii="微軟正黑體" w:eastAsia="微軟正黑體" w:hAnsi="微軟正黑體"/>
          <w:b/>
          <w:color w:val="000000"/>
          <w:sz w:val="28"/>
          <w:szCs w:val="28"/>
        </w:rPr>
      </w:pPr>
      <w:r w:rsidRPr="0069340C">
        <w:rPr>
          <w:rFonts w:ascii="微軟正黑體" w:eastAsia="微軟正黑體" w:hAnsi="微軟正黑體" w:hint="eastAsia"/>
          <w:b/>
          <w:color w:val="000000"/>
          <w:sz w:val="28"/>
          <w:szCs w:val="28"/>
        </w:rPr>
        <w:t>二、克服文化和法律障礙</w:t>
      </w:r>
    </w:p>
    <w:p w:rsidR="0087041A" w:rsidRPr="0069340C" w:rsidRDefault="0087041A" w:rsidP="0087041A">
      <w:pPr>
        <w:spacing w:beforeLines="30" w:before="72" w:line="400" w:lineRule="exact"/>
        <w:ind w:firstLine="480"/>
        <w:jc w:val="both"/>
        <w:rPr>
          <w:rFonts w:ascii="微軟正黑體" w:eastAsia="微軟正黑體" w:hAnsi="微軟正黑體"/>
          <w:color w:val="000000"/>
        </w:rPr>
      </w:pPr>
      <w:r w:rsidRPr="0069340C">
        <w:rPr>
          <w:rFonts w:ascii="微軟正黑體" w:eastAsia="微軟正黑體" w:hAnsi="微軟正黑體" w:hint="eastAsia"/>
          <w:color w:val="000000"/>
        </w:rPr>
        <w:t>固守傳統的工作時間安排會影響到電傳工作的導入，對此，可以針對適合的職業推廣每週電傳工作數小時等的「電傳工作權」</w:t>
      </w:r>
      <w:r w:rsidRPr="0069340C">
        <w:rPr>
          <w:rFonts w:ascii="微軟正黑體" w:eastAsia="微軟正黑體" w:hAnsi="微軟正黑體"/>
          <w:color w:val="000000"/>
        </w:rPr>
        <w:t>(right to telework)概念。於團體協約中訂定電傳工作架構條款，對於促進電傳工作可以發揮關鍵作用。可以參考法國和比利</w:t>
      </w:r>
      <w:r w:rsidRPr="00195CF4">
        <w:rPr>
          <w:rFonts w:ascii="微軟正黑體" w:eastAsia="微軟正黑體" w:hAnsi="微軟正黑體" w:hint="eastAsia"/>
        </w:rPr>
        <w:t>時</w:t>
      </w:r>
      <w:r w:rsidRPr="0069340C">
        <w:rPr>
          <w:rFonts w:ascii="微軟正黑體" w:eastAsia="微軟正黑體" w:hAnsi="微軟正黑體"/>
          <w:color w:val="000000"/>
        </w:rPr>
        <w:t>之間的作法，透過雙邊稅收協定促進跨境電傳工作和增加對公司人才的供給；當然，可能需要進行法制的調整，以因應跨境電傳工作者退休金和醫療保健方面的特殊情況(OECD, 2020)</w:t>
      </w:r>
      <w:r w:rsidRPr="00140F01">
        <w:rPr>
          <w:rFonts w:ascii="微軟正黑體" w:eastAsia="微軟正黑體" w:hAnsi="微軟正黑體" w:hint="eastAsia"/>
          <w:color w:val="000000"/>
        </w:rPr>
        <w:t>。</w:t>
      </w:r>
      <w:r w:rsidRPr="00195CF4">
        <w:rPr>
          <w:rFonts w:ascii="微軟正黑體" w:eastAsia="微軟正黑體" w:hAnsi="微軟正黑體" w:hint="eastAsia"/>
        </w:rPr>
        <w:t>此外，</w:t>
      </w:r>
      <w:r w:rsidRPr="0069340C">
        <w:rPr>
          <w:rFonts w:ascii="微軟正黑體" w:eastAsia="微軟正黑體" w:hAnsi="微軟正黑體"/>
          <w:color w:val="000000"/>
        </w:rPr>
        <w:t>使公部門</w:t>
      </w:r>
      <w:r>
        <w:rPr>
          <w:rFonts w:ascii="微軟正黑體" w:eastAsia="微軟正黑體" w:hAnsi="微軟正黑體"/>
          <w:color w:val="000000"/>
        </w:rPr>
        <w:t>適應遠端工作</w:t>
      </w:r>
      <w:r w:rsidRPr="00195CF4">
        <w:rPr>
          <w:rFonts w:ascii="微軟正黑體" w:eastAsia="微軟正黑體" w:hAnsi="微軟正黑體" w:hint="eastAsia"/>
        </w:rPr>
        <w:t>，</w:t>
      </w:r>
      <w:r>
        <w:rPr>
          <w:rFonts w:ascii="微軟正黑體" w:eastAsia="微軟正黑體" w:hAnsi="微軟正黑體"/>
          <w:color w:val="000000"/>
        </w:rPr>
        <w:t>可以展現電傳工作的好處，並可以減輕官僚體系的負擔</w:t>
      </w:r>
      <w:r>
        <w:rPr>
          <w:rFonts w:ascii="微軟正黑體" w:eastAsia="微軟正黑體" w:hAnsi="微軟正黑體" w:hint="eastAsia"/>
          <w:color w:val="000000"/>
        </w:rPr>
        <w:t>(</w:t>
      </w:r>
      <w:r w:rsidRPr="0069340C">
        <w:rPr>
          <w:rFonts w:ascii="微軟正黑體" w:eastAsia="微軟正黑體" w:hAnsi="微軟正黑體"/>
          <w:color w:val="000000"/>
        </w:rPr>
        <w:t>Atkinson et.al., 2020</w:t>
      </w:r>
      <w:r>
        <w:rPr>
          <w:rFonts w:ascii="微軟正黑體" w:eastAsia="微軟正黑體" w:hAnsi="微軟正黑體" w:hint="eastAsia"/>
          <w:color w:val="000000"/>
        </w:rPr>
        <w:t>)。</w:t>
      </w:r>
    </w:p>
    <w:p w:rsidR="0087041A" w:rsidRPr="0069340C" w:rsidRDefault="0087041A" w:rsidP="0087041A">
      <w:pPr>
        <w:spacing w:beforeLines="50" w:before="120" w:afterLines="50" w:after="120" w:line="400" w:lineRule="exact"/>
        <w:rPr>
          <w:rFonts w:ascii="微軟正黑體" w:eastAsia="微軟正黑體" w:hAnsi="微軟正黑體"/>
          <w:b/>
          <w:color w:val="000000"/>
          <w:sz w:val="28"/>
          <w:szCs w:val="28"/>
        </w:rPr>
      </w:pPr>
      <w:r w:rsidRPr="0069340C">
        <w:rPr>
          <w:rFonts w:ascii="微軟正黑體" w:eastAsia="微軟正黑體" w:hAnsi="微軟正黑體" w:hint="eastAsia"/>
          <w:b/>
          <w:color w:val="000000"/>
          <w:sz w:val="28"/>
          <w:szCs w:val="28"/>
        </w:rPr>
        <w:t>三、減輕潛在的副作用</w:t>
      </w:r>
    </w:p>
    <w:p w:rsidR="0087041A" w:rsidRPr="0069340C" w:rsidRDefault="0087041A" w:rsidP="0087041A">
      <w:pPr>
        <w:spacing w:beforeLines="30" w:before="72" w:line="400" w:lineRule="exact"/>
        <w:ind w:firstLine="480"/>
        <w:jc w:val="both"/>
        <w:rPr>
          <w:rFonts w:ascii="微軟正黑體" w:eastAsia="微軟正黑體" w:hAnsi="微軟正黑體"/>
          <w:color w:val="000000"/>
        </w:rPr>
      </w:pPr>
      <w:r w:rsidRPr="0069340C">
        <w:rPr>
          <w:rFonts w:ascii="微軟正黑體" w:eastAsia="微軟正黑體" w:hAnsi="微軟正黑體" w:hint="eastAsia"/>
          <w:color w:val="000000"/>
        </w:rPr>
        <w:t>可以透過創造交流機會來彌補由於缺乏面對面的互動和知識共享而產生的創新風險。例如，推廣共享辦公空間</w:t>
      </w:r>
      <w:r w:rsidRPr="0069340C">
        <w:rPr>
          <w:rFonts w:ascii="微軟正黑體" w:eastAsia="微軟正黑體" w:hAnsi="微軟正黑體"/>
          <w:color w:val="000000"/>
        </w:rPr>
        <w:t>(Co-working space)</w:t>
      </w:r>
      <w:r>
        <w:rPr>
          <w:rFonts w:ascii="微軟正黑體" w:eastAsia="微軟正黑體" w:hAnsi="微軟正黑體"/>
          <w:color w:val="000000"/>
        </w:rPr>
        <w:t>促進創新同時，可以節省通勤時間和減少區域不平等現象。</w:t>
      </w:r>
      <w:r>
        <w:rPr>
          <w:rFonts w:ascii="微軟正黑體" w:eastAsia="微軟正黑體" w:hAnsi="微軟正黑體" w:hint="eastAsia"/>
          <w:color w:val="000000"/>
        </w:rPr>
        <w:t>(</w:t>
      </w:r>
      <w:r w:rsidRPr="0069340C">
        <w:rPr>
          <w:rFonts w:ascii="微軟正黑體" w:eastAsia="微軟正黑體" w:hAnsi="微軟正黑體"/>
          <w:color w:val="000000"/>
        </w:rPr>
        <w:t>Clancy, 2020</w:t>
      </w:r>
      <w:r>
        <w:rPr>
          <w:rFonts w:ascii="微軟正黑體" w:eastAsia="微軟正黑體" w:hAnsi="微軟正黑體" w:hint="eastAsia"/>
          <w:color w:val="000000"/>
        </w:rPr>
        <w:t>)</w:t>
      </w:r>
    </w:p>
    <w:p w:rsidR="0087041A" w:rsidRPr="0069340C" w:rsidRDefault="0087041A" w:rsidP="0087041A">
      <w:pPr>
        <w:spacing w:beforeLines="30" w:before="72" w:line="400" w:lineRule="exact"/>
        <w:ind w:firstLine="480"/>
        <w:jc w:val="both"/>
        <w:rPr>
          <w:rFonts w:ascii="微軟正黑體" w:eastAsia="微軟正黑體" w:hAnsi="微軟正黑體"/>
          <w:color w:val="000000"/>
        </w:rPr>
      </w:pPr>
      <w:r w:rsidRPr="0069340C">
        <w:rPr>
          <w:rFonts w:ascii="微軟正黑體" w:eastAsia="微軟正黑體" w:hAnsi="微軟正黑體" w:hint="eastAsia"/>
          <w:color w:val="000000"/>
        </w:rPr>
        <w:t>透過推動「離線權」</w:t>
      </w:r>
      <w:r w:rsidRPr="0069340C">
        <w:rPr>
          <w:rFonts w:ascii="微軟正黑體" w:eastAsia="微軟正黑體" w:hAnsi="微軟正黑體"/>
          <w:color w:val="000000"/>
        </w:rPr>
        <w:t>(right to disconnect)來因應電傳工作可能會導致「隱藏性加班」的風險。一般而言，為因應「過度」電傳工作的風險，除了讓勞工可以自由選擇是否從事電傳工作外，可能需要訂定其他法規，以避免跨境電傳工作破壞國家勞動基準和工資協議。由於電傳工作會涉及監視員工績效和行為的技術，因此可能有必要對數據保護進行其他監督、以確保隱私權。(OECD, 2020)</w:t>
      </w:r>
    </w:p>
    <w:p w:rsidR="0087041A" w:rsidRDefault="0087041A" w:rsidP="0087041A">
      <w:pPr>
        <w:spacing w:beforeLines="30" w:before="72" w:line="400" w:lineRule="exact"/>
        <w:rPr>
          <w:rFonts w:ascii="微軟正黑體" w:eastAsia="微軟正黑體" w:hAnsi="微軟正黑體"/>
          <w:color w:val="000000"/>
        </w:rPr>
      </w:pPr>
      <w:r>
        <w:rPr>
          <w:rFonts w:ascii="微軟正黑體" w:eastAsia="微軟正黑體" w:hAnsi="微軟正黑體" w:hint="eastAsia"/>
        </w:rPr>
        <w:t xml:space="preserve">    </w:t>
      </w:r>
      <w:r w:rsidRPr="00195CF4">
        <w:rPr>
          <w:rFonts w:ascii="微軟正黑體" w:eastAsia="微軟正黑體" w:hAnsi="微軟正黑體" w:hint="eastAsia"/>
        </w:rPr>
        <w:t>此外，</w:t>
      </w:r>
      <w:r w:rsidRPr="0069340C">
        <w:rPr>
          <w:rFonts w:ascii="微軟正黑體" w:eastAsia="微軟正黑體" w:hAnsi="微軟正黑體" w:hint="eastAsia"/>
          <w:color w:val="000000"/>
        </w:rPr>
        <w:t>應該重新評估支持性基礎設施的提供，例如托兒服務。電傳工作的增加不應導致公司提供的托兒服務減少，但可能需要在離家更近的地方提供托兒服務。在沒有補充性政策以改善支持性基礎設施的情況下，可能會導致電傳工作負擔的增加，尤其是增加兼顧家庭與工作的女性的</w:t>
      </w:r>
      <w:r>
        <w:rPr>
          <w:rFonts w:ascii="微軟正黑體" w:eastAsia="微軟正黑體" w:hAnsi="微軟正黑體" w:hint="eastAsia"/>
          <w:color w:val="000000"/>
        </w:rPr>
        <w:t>負擔。(</w:t>
      </w:r>
      <w:r w:rsidRPr="0069340C">
        <w:rPr>
          <w:rFonts w:ascii="微軟正黑體" w:eastAsia="微軟正黑體" w:hAnsi="微軟正黑體"/>
          <w:color w:val="000000"/>
        </w:rPr>
        <w:t>Alon et.al., 2020</w:t>
      </w:r>
      <w:r>
        <w:rPr>
          <w:rFonts w:ascii="微軟正黑體" w:eastAsia="微軟正黑體" w:hAnsi="微軟正黑體" w:hint="eastAsia"/>
          <w:color w:val="000000"/>
        </w:rPr>
        <w:t>)</w:t>
      </w: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rPr>
      </w:pPr>
    </w:p>
    <w:p w:rsidR="0087041A" w:rsidRPr="0003187A" w:rsidRDefault="0087041A" w:rsidP="0087041A">
      <w:pPr>
        <w:tabs>
          <w:tab w:val="center" w:pos="4535"/>
          <w:tab w:val="right" w:pos="9070"/>
        </w:tabs>
        <w:spacing w:beforeLines="30" w:before="72" w:afterLines="30" w:after="72" w:line="400" w:lineRule="exact"/>
        <w:jc w:val="center"/>
        <w:rPr>
          <w:rFonts w:ascii="微軟正黑體" w:eastAsia="微軟正黑體" w:hAnsi="微軟正黑體"/>
        </w:rPr>
      </w:pPr>
      <w:r w:rsidRPr="0003187A">
        <w:rPr>
          <w:rFonts w:ascii="微軟正黑體" w:eastAsia="微軟正黑體" w:hAnsi="微軟正黑體" w:hint="eastAsia"/>
        </w:rPr>
        <w:lastRenderedPageBreak/>
        <w:t xml:space="preserve">表2 </w:t>
      </w:r>
      <w:r>
        <w:rPr>
          <w:rFonts w:ascii="微軟正黑體" w:eastAsia="微軟正黑體" w:hAnsi="微軟正黑體" w:hint="eastAsia"/>
        </w:rPr>
        <w:t xml:space="preserve"> </w:t>
      </w:r>
      <w:r w:rsidRPr="0003187A">
        <w:rPr>
          <w:rFonts w:ascii="微軟正黑體" w:eastAsia="微軟正黑體" w:hAnsi="微軟正黑體" w:hint="eastAsia"/>
        </w:rPr>
        <w:t>提升電傳工作生產力的有關政策與制度</w:t>
      </w:r>
    </w:p>
    <w:tbl>
      <w:tblPr>
        <w:tblW w:w="0" w:type="auto"/>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842"/>
        <w:gridCol w:w="2268"/>
        <w:gridCol w:w="2410"/>
      </w:tblGrid>
      <w:tr w:rsidR="0087041A" w:rsidRPr="00F51F8B" w:rsidTr="002C3729">
        <w:trPr>
          <w:trHeight w:val="786"/>
          <w:jc w:val="center"/>
        </w:trPr>
        <w:tc>
          <w:tcPr>
            <w:tcW w:w="1967" w:type="dxa"/>
            <w:tcBorders>
              <w:top w:val="thinThickSmallGap" w:sz="12" w:space="0" w:color="auto"/>
              <w:left w:val="single" w:sz="4" w:space="0" w:color="808080"/>
              <w:bottom w:val="thinThickSmallGap" w:sz="12" w:space="0" w:color="auto"/>
            </w:tcBorders>
            <w:shd w:val="clear" w:color="auto" w:fill="4BACC6" w:themeFill="accent5"/>
            <w:vAlign w:val="center"/>
          </w:tcPr>
          <w:p w:rsidR="0087041A" w:rsidRPr="002C3729" w:rsidRDefault="0087041A" w:rsidP="00402620">
            <w:pPr>
              <w:snapToGrid w:val="0"/>
              <w:spacing w:line="360" w:lineRule="exact"/>
              <w:jc w:val="center"/>
              <w:rPr>
                <w:rFonts w:ascii="微軟正黑體" w:eastAsia="微軟正黑體" w:hAnsi="微軟正黑體"/>
                <w:b/>
                <w:color w:val="FFFFFF" w:themeColor="background1"/>
              </w:rPr>
            </w:pPr>
            <w:r w:rsidRPr="002C3729">
              <w:rPr>
                <w:rFonts w:ascii="微軟正黑體" w:eastAsia="微軟正黑體" w:hAnsi="微軟正黑體"/>
                <w:b/>
                <w:color w:val="FFFFFF" w:themeColor="background1"/>
              </w:rPr>
              <w:t>宣傳最佳</w:t>
            </w:r>
          </w:p>
          <w:p w:rsidR="0087041A" w:rsidRPr="002C3729" w:rsidRDefault="0087041A" w:rsidP="00402620">
            <w:pPr>
              <w:snapToGrid w:val="0"/>
              <w:spacing w:line="360" w:lineRule="exact"/>
              <w:jc w:val="center"/>
              <w:rPr>
                <w:rFonts w:ascii="微軟正黑體" w:eastAsia="微軟正黑體" w:hAnsi="微軟正黑體"/>
                <w:b/>
                <w:color w:val="FFFFFF" w:themeColor="background1"/>
              </w:rPr>
            </w:pPr>
            <w:r w:rsidRPr="002C3729">
              <w:rPr>
                <w:rFonts w:ascii="微軟正黑體" w:eastAsia="微軟正黑體" w:hAnsi="微軟正黑體"/>
                <w:b/>
                <w:color w:val="FFFFFF" w:themeColor="background1"/>
              </w:rPr>
              <w:t>管理作為</w:t>
            </w:r>
          </w:p>
        </w:tc>
        <w:tc>
          <w:tcPr>
            <w:tcW w:w="1842" w:type="dxa"/>
            <w:tcBorders>
              <w:top w:val="thinThickSmallGap" w:sz="12" w:space="0" w:color="auto"/>
              <w:bottom w:val="thinThickSmallGap" w:sz="12" w:space="0" w:color="auto"/>
            </w:tcBorders>
            <w:shd w:val="clear" w:color="auto" w:fill="4BACC6" w:themeFill="accent5"/>
            <w:vAlign w:val="center"/>
          </w:tcPr>
          <w:p w:rsidR="0087041A" w:rsidRPr="002C3729" w:rsidRDefault="0087041A" w:rsidP="00402620">
            <w:pPr>
              <w:snapToGrid w:val="0"/>
              <w:spacing w:line="360" w:lineRule="exact"/>
              <w:jc w:val="center"/>
              <w:rPr>
                <w:rFonts w:ascii="微軟正黑體" w:eastAsia="微軟正黑體" w:hAnsi="微軟正黑體"/>
                <w:b/>
                <w:color w:val="FFFFFF" w:themeColor="background1"/>
              </w:rPr>
            </w:pPr>
            <w:r w:rsidRPr="002C3729">
              <w:rPr>
                <w:rFonts w:ascii="微軟正黑體" w:eastAsia="微軟正黑體" w:hAnsi="微軟正黑體"/>
                <w:b/>
                <w:color w:val="FFFFFF" w:themeColor="background1"/>
              </w:rPr>
              <w:t>促進電傳工作最佳層次</w:t>
            </w:r>
          </w:p>
        </w:tc>
        <w:tc>
          <w:tcPr>
            <w:tcW w:w="2268" w:type="dxa"/>
            <w:tcBorders>
              <w:top w:val="thinThickSmallGap" w:sz="12" w:space="0" w:color="auto"/>
              <w:bottom w:val="thinThickSmallGap" w:sz="12" w:space="0" w:color="auto"/>
            </w:tcBorders>
            <w:shd w:val="clear" w:color="auto" w:fill="4BACC6" w:themeFill="accent5"/>
            <w:vAlign w:val="center"/>
          </w:tcPr>
          <w:p w:rsidR="0087041A" w:rsidRPr="002C3729" w:rsidRDefault="0087041A" w:rsidP="00402620">
            <w:pPr>
              <w:snapToGrid w:val="0"/>
              <w:spacing w:line="360" w:lineRule="exact"/>
              <w:jc w:val="center"/>
              <w:rPr>
                <w:rFonts w:ascii="微軟正黑體" w:eastAsia="微軟正黑體" w:hAnsi="微軟正黑體"/>
                <w:b/>
                <w:color w:val="FFFFFF" w:themeColor="background1"/>
              </w:rPr>
            </w:pPr>
            <w:r w:rsidRPr="002C3729">
              <w:rPr>
                <w:rFonts w:ascii="微軟正黑體" w:eastAsia="微軟正黑體" w:hAnsi="微軟正黑體"/>
                <w:b/>
                <w:color w:val="FFFFFF" w:themeColor="background1"/>
              </w:rPr>
              <w:t>提供適當的</w:t>
            </w:r>
          </w:p>
          <w:p w:rsidR="0087041A" w:rsidRPr="002C3729" w:rsidRDefault="0087041A" w:rsidP="00402620">
            <w:pPr>
              <w:snapToGrid w:val="0"/>
              <w:spacing w:line="360" w:lineRule="exact"/>
              <w:jc w:val="center"/>
              <w:rPr>
                <w:rFonts w:ascii="微軟正黑體" w:eastAsia="微軟正黑體" w:hAnsi="微軟正黑體"/>
                <w:b/>
                <w:color w:val="FFFFFF" w:themeColor="background1"/>
              </w:rPr>
            </w:pPr>
            <w:r w:rsidRPr="002C3729">
              <w:rPr>
                <w:rFonts w:ascii="微軟正黑體" w:eastAsia="微軟正黑體" w:hAnsi="微軟正黑體"/>
                <w:b/>
                <w:color w:val="FFFFFF" w:themeColor="background1"/>
              </w:rPr>
              <w:t>遠距工作環境</w:t>
            </w:r>
          </w:p>
        </w:tc>
        <w:tc>
          <w:tcPr>
            <w:tcW w:w="2410" w:type="dxa"/>
            <w:tcBorders>
              <w:top w:val="thinThickSmallGap" w:sz="12" w:space="0" w:color="auto"/>
              <w:bottom w:val="thinThickSmallGap" w:sz="12" w:space="0" w:color="auto"/>
              <w:right w:val="single" w:sz="4" w:space="0" w:color="808080"/>
            </w:tcBorders>
            <w:shd w:val="clear" w:color="auto" w:fill="4BACC6" w:themeFill="accent5"/>
            <w:vAlign w:val="center"/>
          </w:tcPr>
          <w:p w:rsidR="0087041A" w:rsidRPr="002C3729" w:rsidRDefault="0087041A" w:rsidP="00402620">
            <w:pPr>
              <w:snapToGrid w:val="0"/>
              <w:spacing w:line="360" w:lineRule="exact"/>
              <w:jc w:val="center"/>
              <w:rPr>
                <w:rFonts w:ascii="微軟正黑體" w:eastAsia="微軟正黑體" w:hAnsi="微軟正黑體"/>
                <w:b/>
                <w:color w:val="FFFFFF" w:themeColor="background1"/>
              </w:rPr>
            </w:pPr>
            <w:r w:rsidRPr="002C3729">
              <w:rPr>
                <w:rFonts w:ascii="微軟正黑體" w:eastAsia="微軟正黑體" w:hAnsi="微軟正黑體"/>
                <w:b/>
                <w:color w:val="FFFFFF" w:themeColor="background1"/>
              </w:rPr>
              <w:t>提供快速、可靠與</w:t>
            </w:r>
          </w:p>
          <w:p w:rsidR="0087041A" w:rsidRPr="002C3729" w:rsidRDefault="0087041A" w:rsidP="00402620">
            <w:pPr>
              <w:snapToGrid w:val="0"/>
              <w:spacing w:line="360" w:lineRule="exact"/>
              <w:jc w:val="center"/>
              <w:rPr>
                <w:rFonts w:ascii="微軟正黑體" w:eastAsia="微軟正黑體" w:hAnsi="微軟正黑體"/>
                <w:b/>
                <w:color w:val="FFFFFF" w:themeColor="background1"/>
              </w:rPr>
            </w:pPr>
            <w:r w:rsidRPr="002C3729">
              <w:rPr>
                <w:rFonts w:ascii="微軟正黑體" w:eastAsia="微軟正黑體" w:hAnsi="微軟正黑體"/>
                <w:b/>
                <w:color w:val="FFFFFF" w:themeColor="background1"/>
              </w:rPr>
              <w:t>安全的ICT基礎設施</w:t>
            </w:r>
          </w:p>
        </w:tc>
      </w:tr>
      <w:tr w:rsidR="0087041A" w:rsidRPr="00FA47BC" w:rsidTr="00402620">
        <w:trPr>
          <w:jc w:val="center"/>
        </w:trPr>
        <w:tc>
          <w:tcPr>
            <w:tcW w:w="6077" w:type="dxa"/>
            <w:gridSpan w:val="3"/>
            <w:tcBorders>
              <w:top w:val="thinThickSmallGap" w:sz="12" w:space="0" w:color="auto"/>
              <w:left w:val="single" w:sz="4" w:space="0" w:color="808080"/>
              <w:bottom w:val="single" w:sz="4" w:space="0" w:color="808080"/>
              <w:right w:val="single" w:sz="4" w:space="0" w:color="808080"/>
            </w:tcBorders>
            <w:shd w:val="clear" w:color="auto" w:fill="auto"/>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推動電傳工作權與離線權</w:t>
            </w:r>
          </w:p>
        </w:tc>
        <w:tc>
          <w:tcPr>
            <w:tcW w:w="2410" w:type="dxa"/>
            <w:tcBorders>
              <w:top w:val="thinThickSmallGap" w:sz="12" w:space="0" w:color="auto"/>
              <w:left w:val="single" w:sz="4" w:space="0" w:color="808080"/>
              <w:bottom w:val="single" w:sz="4" w:space="0" w:color="808080"/>
              <w:right w:val="single" w:sz="4" w:space="0" w:color="808080"/>
            </w:tcBorders>
            <w:shd w:val="clear" w:color="auto" w:fill="auto"/>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制定資料保護</w:t>
            </w:r>
            <w:r w:rsidRPr="00FA47BC">
              <w:rPr>
                <w:rFonts w:ascii="微軟正黑體" w:eastAsia="微軟正黑體" w:hAnsi="微軟正黑體"/>
              </w:rPr>
              <w:t>規定</w:t>
            </w:r>
            <w:r w:rsidRPr="00FA47BC">
              <w:rPr>
                <w:rFonts w:ascii="微軟正黑體" w:eastAsia="微軟正黑體" w:hAnsi="微軟正黑體" w:hint="eastAsia"/>
              </w:rPr>
              <w:t>，以確保隱私權</w:t>
            </w:r>
          </w:p>
        </w:tc>
      </w:tr>
      <w:tr w:rsidR="0087041A" w:rsidRPr="00FA47BC" w:rsidTr="002C3729">
        <w:trPr>
          <w:jc w:val="center"/>
        </w:trPr>
        <w:tc>
          <w:tcPr>
            <w:tcW w:w="1967" w:type="dxa"/>
            <w:tcBorders>
              <w:top w:val="single" w:sz="4" w:space="0" w:color="808080"/>
              <w:left w:val="single" w:sz="4" w:space="0" w:color="808080"/>
              <w:bottom w:val="single" w:sz="4" w:space="0" w:color="808080"/>
              <w:right w:val="single" w:sz="4" w:space="0" w:color="808080"/>
            </w:tcBorders>
            <w:shd w:val="clear" w:color="auto" w:fill="DAEEF3" w:themeFill="accent5" w:themeFillTint="33"/>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資訊分享與</w:t>
            </w:r>
          </w:p>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管理訓練</w:t>
            </w:r>
          </w:p>
        </w:tc>
        <w:tc>
          <w:tcPr>
            <w:tcW w:w="1842" w:type="dxa"/>
            <w:tcBorders>
              <w:top w:val="single" w:sz="4" w:space="0" w:color="808080"/>
              <w:left w:val="single" w:sz="4" w:space="0" w:color="808080"/>
              <w:bottom w:val="single" w:sz="4" w:space="0" w:color="808080"/>
              <w:right w:val="single" w:sz="4" w:space="0" w:color="808080"/>
            </w:tcBorders>
            <w:shd w:val="clear" w:color="auto" w:fill="DAEEF3" w:themeFill="accent5" w:themeFillTint="33"/>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訂定雙邊</w:t>
            </w:r>
          </w:p>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稅負協議</w:t>
            </w:r>
          </w:p>
        </w:tc>
        <w:tc>
          <w:tcPr>
            <w:tcW w:w="2268" w:type="dxa"/>
            <w:tcBorders>
              <w:top w:val="single" w:sz="4" w:space="0" w:color="808080"/>
              <w:left w:val="single" w:sz="4" w:space="0" w:color="808080"/>
              <w:bottom w:val="single" w:sz="4" w:space="0" w:color="808080"/>
              <w:right w:val="single" w:sz="4" w:space="0" w:color="808080"/>
            </w:tcBorders>
            <w:shd w:val="clear" w:color="auto" w:fill="DAEEF3" w:themeFill="accent5" w:themeFillTint="33"/>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鼓勵企業提供津貼</w:t>
            </w:r>
          </w:p>
        </w:tc>
        <w:tc>
          <w:tcPr>
            <w:tcW w:w="2410" w:type="dxa"/>
            <w:tcBorders>
              <w:top w:val="single" w:sz="4" w:space="0" w:color="808080"/>
              <w:left w:val="single" w:sz="4" w:space="0" w:color="808080"/>
              <w:bottom w:val="single" w:sz="4" w:space="0" w:color="808080"/>
              <w:right w:val="single" w:sz="4" w:space="0" w:color="808080"/>
            </w:tcBorders>
            <w:shd w:val="clear" w:color="auto" w:fill="DAEEF3" w:themeFill="accent5" w:themeFillTint="33"/>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提供有關研究如虛擬實境的資金</w:t>
            </w:r>
          </w:p>
        </w:tc>
      </w:tr>
      <w:tr w:rsidR="0087041A" w:rsidRPr="00FA47BC" w:rsidTr="00402620">
        <w:trPr>
          <w:trHeight w:val="625"/>
          <w:jc w:val="center"/>
        </w:trPr>
        <w:tc>
          <w:tcPr>
            <w:tcW w:w="1967" w:type="dxa"/>
            <w:tcBorders>
              <w:top w:val="single" w:sz="4" w:space="0" w:color="808080"/>
              <w:left w:val="single" w:sz="4" w:space="0" w:color="808080"/>
              <w:bottom w:val="single" w:sz="4" w:space="0" w:color="808080"/>
              <w:right w:val="single" w:sz="4" w:space="0" w:color="808080"/>
            </w:tcBorders>
            <w:shd w:val="clear" w:color="auto" w:fill="auto"/>
            <w:vAlign w:val="center"/>
          </w:tcPr>
          <w:p w:rsidR="0087041A" w:rsidRPr="00195CF4" w:rsidRDefault="0087041A" w:rsidP="00402620">
            <w:pPr>
              <w:snapToGrid w:val="0"/>
              <w:spacing w:line="360" w:lineRule="exact"/>
              <w:jc w:val="center"/>
              <w:rPr>
                <w:rFonts w:ascii="微軟正黑體" w:eastAsia="微軟正黑體" w:hAnsi="微軟正黑體"/>
              </w:rPr>
            </w:pPr>
            <w:r w:rsidRPr="00195CF4">
              <w:rPr>
                <w:rFonts w:ascii="微軟正黑體" w:eastAsia="微軟正黑體" w:hAnsi="微軟正黑體" w:hint="eastAsia"/>
              </w:rPr>
              <w:t>-</w:t>
            </w:r>
          </w:p>
        </w:tc>
        <w:tc>
          <w:tcPr>
            <w:tcW w:w="6520" w:type="dxa"/>
            <w:gridSpan w:val="3"/>
            <w:tcBorders>
              <w:top w:val="single" w:sz="4" w:space="0" w:color="808080"/>
              <w:left w:val="single" w:sz="4" w:space="0" w:color="808080"/>
              <w:bottom w:val="single" w:sz="4" w:space="0" w:color="808080"/>
              <w:right w:val="single" w:sz="4" w:space="0" w:color="808080"/>
            </w:tcBorders>
            <w:shd w:val="clear" w:color="auto" w:fill="auto"/>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鼓勵</w:t>
            </w:r>
            <w:r w:rsidRPr="00FA47BC">
              <w:rPr>
                <w:rFonts w:ascii="微軟正黑體" w:eastAsia="微軟正黑體" w:hAnsi="微軟正黑體"/>
              </w:rPr>
              <w:t>ICT基礎設施</w:t>
            </w:r>
            <w:r w:rsidRPr="00FA47BC">
              <w:rPr>
                <w:rFonts w:ascii="微軟正黑體" w:eastAsia="微軟正黑體" w:hAnsi="微軟正黑體" w:hint="eastAsia"/>
              </w:rPr>
              <w:t>和升級的投資</w:t>
            </w:r>
          </w:p>
        </w:tc>
      </w:tr>
      <w:tr w:rsidR="0087041A" w:rsidRPr="00FA47BC" w:rsidTr="002C3729">
        <w:trPr>
          <w:jc w:val="center"/>
        </w:trPr>
        <w:tc>
          <w:tcPr>
            <w:tcW w:w="1967" w:type="dxa"/>
            <w:tcBorders>
              <w:top w:val="single" w:sz="4" w:space="0" w:color="808080"/>
              <w:left w:val="single" w:sz="4" w:space="0" w:color="808080"/>
              <w:bottom w:val="single" w:sz="4" w:space="0" w:color="808080"/>
              <w:right w:val="single" w:sz="4" w:space="0" w:color="808080"/>
            </w:tcBorders>
            <w:shd w:val="clear" w:color="auto" w:fill="DAEEF3" w:themeFill="accent5" w:themeFillTint="33"/>
            <w:vAlign w:val="center"/>
          </w:tcPr>
          <w:p w:rsidR="0087041A" w:rsidRPr="00195CF4" w:rsidRDefault="0087041A" w:rsidP="00402620">
            <w:pPr>
              <w:snapToGrid w:val="0"/>
              <w:spacing w:line="360" w:lineRule="exact"/>
              <w:jc w:val="center"/>
              <w:rPr>
                <w:rFonts w:ascii="微軟正黑體" w:eastAsia="微軟正黑體" w:hAnsi="微軟正黑體"/>
              </w:rPr>
            </w:pPr>
            <w:r w:rsidRPr="00195CF4">
              <w:rPr>
                <w:rFonts w:ascii="微軟正黑體" w:eastAsia="微軟正黑體" w:hAnsi="微軟正黑體" w:hint="eastAsia"/>
              </w:rPr>
              <w:t>-</w:t>
            </w:r>
          </w:p>
        </w:tc>
        <w:tc>
          <w:tcPr>
            <w:tcW w:w="1842" w:type="dxa"/>
            <w:tcBorders>
              <w:top w:val="single" w:sz="4" w:space="0" w:color="808080"/>
              <w:left w:val="single" w:sz="4" w:space="0" w:color="808080"/>
              <w:bottom w:val="single" w:sz="4" w:space="0" w:color="808080"/>
              <w:right w:val="single" w:sz="4" w:space="0" w:color="808080"/>
            </w:tcBorders>
            <w:shd w:val="clear" w:color="auto" w:fill="DAEEF3" w:themeFill="accent5" w:themeFillTint="33"/>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鼓勵公部門投入電傳工作與遠端工作</w:t>
            </w:r>
          </w:p>
        </w:tc>
        <w:tc>
          <w:tcPr>
            <w:tcW w:w="2268" w:type="dxa"/>
            <w:tcBorders>
              <w:top w:val="single" w:sz="4" w:space="0" w:color="808080"/>
              <w:left w:val="single" w:sz="4" w:space="0" w:color="808080"/>
              <w:bottom w:val="single" w:sz="4" w:space="0" w:color="808080"/>
              <w:right w:val="single" w:sz="4" w:space="0" w:color="808080"/>
            </w:tcBorders>
            <w:shd w:val="clear" w:color="auto" w:fill="DAEEF3" w:themeFill="accent5" w:themeFillTint="33"/>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重新評估如托兒等支持性基礎設施的便利性</w:t>
            </w:r>
          </w:p>
        </w:tc>
        <w:tc>
          <w:tcPr>
            <w:tcW w:w="2410" w:type="dxa"/>
            <w:tcBorders>
              <w:top w:val="single" w:sz="4" w:space="0" w:color="808080"/>
              <w:left w:val="single" w:sz="4" w:space="0" w:color="808080"/>
              <w:bottom w:val="single" w:sz="4" w:space="0" w:color="808080"/>
              <w:right w:val="single" w:sz="4" w:space="0" w:color="808080"/>
            </w:tcBorders>
            <w:shd w:val="clear" w:color="auto" w:fill="DAEEF3" w:themeFill="accent5" w:themeFillTint="33"/>
            <w:vAlign w:val="center"/>
          </w:tcPr>
          <w:p w:rsidR="0087041A" w:rsidRPr="00195CF4" w:rsidRDefault="0087041A" w:rsidP="00402620">
            <w:pPr>
              <w:snapToGrid w:val="0"/>
              <w:spacing w:line="360" w:lineRule="exact"/>
              <w:jc w:val="center"/>
              <w:rPr>
                <w:rFonts w:ascii="微軟正黑體" w:eastAsia="微軟正黑體" w:hAnsi="微軟正黑體"/>
              </w:rPr>
            </w:pPr>
            <w:r w:rsidRPr="00195CF4">
              <w:rPr>
                <w:rFonts w:ascii="微軟正黑體" w:eastAsia="微軟正黑體" w:hAnsi="微軟正黑體" w:hint="eastAsia"/>
              </w:rPr>
              <w:t>-</w:t>
            </w:r>
          </w:p>
        </w:tc>
      </w:tr>
      <w:tr w:rsidR="0087041A" w:rsidRPr="00FA47BC" w:rsidTr="00402620">
        <w:trPr>
          <w:trHeight w:val="624"/>
          <w:jc w:val="center"/>
        </w:trPr>
        <w:tc>
          <w:tcPr>
            <w:tcW w:w="1967" w:type="dxa"/>
            <w:tcBorders>
              <w:top w:val="single" w:sz="4" w:space="0" w:color="808080"/>
              <w:left w:val="single" w:sz="4" w:space="0" w:color="808080"/>
              <w:bottom w:val="single" w:sz="4" w:space="0" w:color="808080"/>
              <w:right w:val="single" w:sz="4" w:space="0" w:color="808080"/>
            </w:tcBorders>
            <w:shd w:val="clear" w:color="auto" w:fill="auto"/>
            <w:vAlign w:val="center"/>
          </w:tcPr>
          <w:p w:rsidR="0087041A" w:rsidRPr="00195CF4" w:rsidRDefault="0087041A" w:rsidP="00402620">
            <w:pPr>
              <w:snapToGrid w:val="0"/>
              <w:spacing w:line="360" w:lineRule="exact"/>
              <w:jc w:val="center"/>
              <w:rPr>
                <w:rFonts w:ascii="微軟正黑體" w:eastAsia="微軟正黑體" w:hAnsi="微軟正黑體"/>
              </w:rPr>
            </w:pPr>
            <w:r w:rsidRPr="00195CF4">
              <w:rPr>
                <w:rFonts w:ascii="微軟正黑體" w:eastAsia="微軟正黑體" w:hAnsi="微軟正黑體" w:hint="eastAsia"/>
              </w:rPr>
              <w:t>-</w:t>
            </w:r>
          </w:p>
        </w:tc>
        <w:tc>
          <w:tcPr>
            <w:tcW w:w="4110" w:type="dxa"/>
            <w:gridSpan w:val="2"/>
            <w:tcBorders>
              <w:top w:val="single" w:sz="4" w:space="0" w:color="808080"/>
              <w:left w:val="single" w:sz="4" w:space="0" w:color="808080"/>
              <w:bottom w:val="single" w:sz="4" w:space="0" w:color="808080"/>
              <w:right w:val="single" w:sz="4" w:space="0" w:color="808080"/>
            </w:tcBorders>
            <w:shd w:val="clear" w:color="auto" w:fill="auto"/>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rPr>
              <w:t>推廣共享辦公室</w:t>
            </w:r>
          </w:p>
        </w:tc>
        <w:tc>
          <w:tcPr>
            <w:tcW w:w="24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87041A" w:rsidRPr="00195CF4" w:rsidRDefault="0087041A" w:rsidP="00402620">
            <w:pPr>
              <w:snapToGrid w:val="0"/>
              <w:spacing w:line="360" w:lineRule="exact"/>
              <w:jc w:val="center"/>
              <w:rPr>
                <w:rFonts w:ascii="微軟正黑體" w:eastAsia="微軟正黑體" w:hAnsi="微軟正黑體"/>
              </w:rPr>
            </w:pPr>
            <w:r w:rsidRPr="00195CF4">
              <w:rPr>
                <w:rFonts w:ascii="微軟正黑體" w:eastAsia="微軟正黑體" w:hAnsi="微軟正黑體" w:hint="eastAsia"/>
              </w:rPr>
              <w:t>-</w:t>
            </w:r>
          </w:p>
        </w:tc>
      </w:tr>
      <w:tr w:rsidR="0087041A" w:rsidRPr="00FA47BC" w:rsidTr="002C3729">
        <w:trPr>
          <w:trHeight w:val="624"/>
          <w:jc w:val="center"/>
        </w:trPr>
        <w:tc>
          <w:tcPr>
            <w:tcW w:w="1967" w:type="dxa"/>
            <w:tcBorders>
              <w:top w:val="single" w:sz="4" w:space="0" w:color="808080"/>
              <w:left w:val="single" w:sz="4" w:space="0" w:color="808080"/>
              <w:bottom w:val="thickThinSmallGap" w:sz="12" w:space="0" w:color="auto"/>
              <w:right w:val="single" w:sz="4" w:space="0" w:color="808080"/>
            </w:tcBorders>
            <w:shd w:val="clear" w:color="auto" w:fill="DAEEF3" w:themeFill="accent5" w:themeFillTint="33"/>
            <w:vAlign w:val="center"/>
          </w:tcPr>
          <w:p w:rsidR="0087041A" w:rsidRPr="00195CF4" w:rsidRDefault="0087041A" w:rsidP="00402620">
            <w:pPr>
              <w:snapToGrid w:val="0"/>
              <w:spacing w:line="360" w:lineRule="exact"/>
              <w:jc w:val="center"/>
              <w:rPr>
                <w:rFonts w:ascii="微軟正黑體" w:eastAsia="微軟正黑體" w:hAnsi="微軟正黑體"/>
              </w:rPr>
            </w:pPr>
            <w:r w:rsidRPr="00195CF4">
              <w:rPr>
                <w:rFonts w:ascii="微軟正黑體" w:eastAsia="微軟正黑體" w:hAnsi="微軟正黑體" w:hint="eastAsia"/>
              </w:rPr>
              <w:t>-</w:t>
            </w:r>
          </w:p>
        </w:tc>
        <w:tc>
          <w:tcPr>
            <w:tcW w:w="4110" w:type="dxa"/>
            <w:gridSpan w:val="2"/>
            <w:tcBorders>
              <w:top w:val="single" w:sz="4" w:space="0" w:color="808080"/>
              <w:left w:val="single" w:sz="4" w:space="0" w:color="808080"/>
              <w:bottom w:val="thickThinSmallGap" w:sz="12" w:space="0" w:color="auto"/>
              <w:right w:val="single" w:sz="4" w:space="0" w:color="808080"/>
            </w:tcBorders>
            <w:shd w:val="clear" w:color="auto" w:fill="DAEEF3" w:themeFill="accent5" w:themeFillTint="33"/>
            <w:vAlign w:val="center"/>
          </w:tcPr>
          <w:p w:rsidR="0087041A" w:rsidRPr="00FA47BC" w:rsidRDefault="0087041A" w:rsidP="00402620">
            <w:pPr>
              <w:snapToGrid w:val="0"/>
              <w:spacing w:line="360" w:lineRule="exact"/>
              <w:jc w:val="center"/>
              <w:rPr>
                <w:rFonts w:ascii="微軟正黑體" w:eastAsia="微軟正黑體" w:hAnsi="微軟正黑體"/>
              </w:rPr>
            </w:pPr>
            <w:r w:rsidRPr="00FA47BC">
              <w:rPr>
                <w:rFonts w:ascii="微軟正黑體" w:eastAsia="微軟正黑體" w:hAnsi="微軟正黑體" w:hint="eastAsia"/>
              </w:rPr>
              <w:t>促進如線上學習有關技能的投資</w:t>
            </w:r>
          </w:p>
        </w:tc>
        <w:tc>
          <w:tcPr>
            <w:tcW w:w="2410" w:type="dxa"/>
            <w:tcBorders>
              <w:top w:val="single" w:sz="4" w:space="0" w:color="808080"/>
              <w:left w:val="single" w:sz="4" w:space="0" w:color="808080"/>
              <w:bottom w:val="thickThinSmallGap" w:sz="12" w:space="0" w:color="auto"/>
              <w:right w:val="single" w:sz="4" w:space="0" w:color="808080"/>
            </w:tcBorders>
            <w:shd w:val="clear" w:color="auto" w:fill="DAEEF3" w:themeFill="accent5" w:themeFillTint="33"/>
            <w:vAlign w:val="center"/>
          </w:tcPr>
          <w:p w:rsidR="0087041A" w:rsidRPr="00195CF4" w:rsidRDefault="0087041A" w:rsidP="00402620">
            <w:pPr>
              <w:snapToGrid w:val="0"/>
              <w:spacing w:line="360" w:lineRule="exact"/>
              <w:jc w:val="center"/>
              <w:rPr>
                <w:rFonts w:ascii="微軟正黑體" w:eastAsia="微軟正黑體" w:hAnsi="微軟正黑體"/>
              </w:rPr>
            </w:pPr>
            <w:r w:rsidRPr="00195CF4">
              <w:rPr>
                <w:rFonts w:ascii="微軟正黑體" w:eastAsia="微軟正黑體" w:hAnsi="微軟正黑體" w:hint="eastAsia"/>
              </w:rPr>
              <w:t>-</w:t>
            </w:r>
          </w:p>
        </w:tc>
      </w:tr>
    </w:tbl>
    <w:p w:rsidR="0087041A" w:rsidRPr="00C25AF3" w:rsidRDefault="0087041A" w:rsidP="0087041A">
      <w:pPr>
        <w:spacing w:line="400" w:lineRule="exact"/>
        <w:jc w:val="both"/>
        <w:rPr>
          <w:rFonts w:ascii="微軟正黑體" w:eastAsia="微軟正黑體" w:hAnsi="微軟正黑體"/>
          <w:color w:val="000000"/>
          <w:kern w:val="0"/>
          <w:sz w:val="20"/>
          <w:szCs w:val="20"/>
        </w:rPr>
      </w:pPr>
      <w:r>
        <w:rPr>
          <w:rFonts w:ascii="微軟正黑體" w:eastAsia="微軟正黑體" w:hAnsi="微軟正黑體" w:hint="eastAsia"/>
          <w:color w:val="000000"/>
          <w:kern w:val="0"/>
          <w:sz w:val="20"/>
          <w:szCs w:val="20"/>
        </w:rPr>
        <w:t xml:space="preserve">   </w:t>
      </w:r>
      <w:r w:rsidRPr="00C25AF3">
        <w:rPr>
          <w:rFonts w:ascii="微軟正黑體" w:eastAsia="微軟正黑體" w:hAnsi="微軟正黑體" w:hint="eastAsia"/>
          <w:color w:val="000000"/>
          <w:kern w:val="0"/>
          <w:sz w:val="20"/>
          <w:szCs w:val="20"/>
        </w:rPr>
        <w:t>資料來源：</w:t>
      </w:r>
      <w:r>
        <w:rPr>
          <w:rFonts w:ascii="微軟正黑體" w:eastAsia="微軟正黑體" w:hAnsi="微軟正黑體" w:hint="eastAsia"/>
          <w:color w:val="000000"/>
          <w:kern w:val="0"/>
          <w:sz w:val="20"/>
          <w:szCs w:val="20"/>
        </w:rPr>
        <w:t>OECD</w:t>
      </w:r>
      <w:r w:rsidRPr="00C25AF3">
        <w:rPr>
          <w:rFonts w:ascii="微軟正黑體" w:eastAsia="微軟正黑體" w:hAnsi="微軟正黑體" w:hint="eastAsia"/>
          <w:color w:val="000000"/>
          <w:kern w:val="0"/>
          <w:sz w:val="20"/>
          <w:szCs w:val="20"/>
        </w:rPr>
        <w:t>(</w:t>
      </w:r>
      <w:r>
        <w:rPr>
          <w:rFonts w:ascii="微軟正黑體" w:eastAsia="微軟正黑體" w:hAnsi="微軟正黑體"/>
          <w:color w:val="000000"/>
          <w:kern w:val="0"/>
          <w:sz w:val="20"/>
          <w:szCs w:val="20"/>
        </w:rPr>
        <w:t>202</w:t>
      </w:r>
      <w:r>
        <w:rPr>
          <w:rFonts w:ascii="微軟正黑體" w:eastAsia="微軟正黑體" w:hAnsi="微軟正黑體" w:hint="eastAsia"/>
          <w:color w:val="000000"/>
          <w:kern w:val="0"/>
          <w:sz w:val="20"/>
          <w:szCs w:val="20"/>
        </w:rPr>
        <w:t>0</w:t>
      </w:r>
      <w:r w:rsidRPr="00C25AF3">
        <w:rPr>
          <w:rFonts w:ascii="微軟正黑體" w:eastAsia="微軟正黑體" w:hAnsi="微軟正黑體" w:hint="eastAsia"/>
          <w:color w:val="000000"/>
          <w:kern w:val="0"/>
          <w:sz w:val="20"/>
          <w:szCs w:val="20"/>
        </w:rPr>
        <w:t>)。</w:t>
      </w:r>
    </w:p>
    <w:p w:rsidR="0087041A" w:rsidRPr="0003187A" w:rsidRDefault="0087041A" w:rsidP="0087041A">
      <w:pPr>
        <w:spacing w:beforeLines="250" w:before="600" w:line="400" w:lineRule="exact"/>
        <w:jc w:val="center"/>
        <w:rPr>
          <w:rFonts w:ascii="微軟正黑體" w:eastAsia="微軟正黑體" w:hAnsi="微軟正黑體"/>
          <w:b/>
          <w:color w:val="000000"/>
          <w:kern w:val="0"/>
          <w:sz w:val="32"/>
          <w:szCs w:val="32"/>
        </w:rPr>
      </w:pPr>
      <w:r w:rsidRPr="0003187A">
        <w:rPr>
          <w:rFonts w:ascii="微軟正黑體" w:eastAsia="微軟正黑體" w:hAnsi="微軟正黑體" w:hint="eastAsia"/>
          <w:b/>
          <w:color w:val="000000"/>
          <w:kern w:val="0"/>
          <w:sz w:val="32"/>
          <w:szCs w:val="32"/>
        </w:rPr>
        <w:t>陸、結論</w:t>
      </w:r>
    </w:p>
    <w:p w:rsidR="0087041A" w:rsidRPr="0003187A" w:rsidRDefault="0087041A" w:rsidP="002C3729">
      <w:pPr>
        <w:spacing w:beforeLines="150" w:before="360" w:line="400" w:lineRule="exact"/>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Pr="0003187A">
        <w:rPr>
          <w:rFonts w:ascii="微軟正黑體" w:eastAsia="微軟正黑體" w:hAnsi="微軟正黑體" w:hint="eastAsia"/>
          <w:color w:val="000000"/>
        </w:rPr>
        <w:t>對大多數遠距</w:t>
      </w:r>
      <w:r w:rsidRPr="0003187A">
        <w:rPr>
          <w:rFonts w:ascii="微軟正黑體" w:eastAsia="微軟正黑體" w:hAnsi="微軟正黑體"/>
          <w:color w:val="000000"/>
        </w:rPr>
        <w:t>(或在家)工作的電傳工作者而言，因為其中許多人的權益長期以來一直是被忽視的，國際</w:t>
      </w:r>
      <w:r w:rsidRPr="00195CF4">
        <w:rPr>
          <w:rFonts w:ascii="微軟正黑體" w:eastAsia="微軟正黑體" w:hAnsi="微軟正黑體" w:hint="eastAsia"/>
        </w:rPr>
        <w:t>勞</w:t>
      </w:r>
      <w:r w:rsidRPr="0003187A">
        <w:rPr>
          <w:rFonts w:ascii="微軟正黑體" w:eastAsia="微軟正黑體" w:hAnsi="微軟正黑體"/>
          <w:color w:val="000000"/>
        </w:rPr>
        <w:t>工組織因而主張家庭工作公約是提高電傳工作者及其他家庭勞工權利的重要一步。由於COVID-19大流行導致遠距(或在家)工作的需求增加，但是許多遠距(或在家)工作者的權益與福祉並未獲得改善，遠距(或在家)工作不應該成為被歧視的理由。此外，需要</w:t>
      </w:r>
      <w:r w:rsidRPr="00195CF4">
        <w:rPr>
          <w:rFonts w:ascii="微軟正黑體" w:eastAsia="微軟正黑體" w:hAnsi="微軟正黑體" w:hint="eastAsia"/>
        </w:rPr>
        <w:t>投入</w:t>
      </w:r>
      <w:r w:rsidRPr="0003187A">
        <w:rPr>
          <w:rFonts w:ascii="微軟正黑體" w:eastAsia="微軟正黑體" w:hAnsi="微軟正黑體"/>
          <w:color w:val="000000"/>
        </w:rPr>
        <w:t>更多的注意力來解決遠距(或在家)對工作與生活平衡的潛在影響，尤其是對需要照顧兒童或其他家屬的電傳工作者及其他家庭勞工而言。有償工作與個人生活之間的潛在重疊可能對電傳工作者及其他家庭</w:t>
      </w:r>
      <w:r>
        <w:rPr>
          <w:rFonts w:ascii="微軟正黑體" w:eastAsia="微軟正黑體" w:hAnsi="微軟正黑體" w:hint="eastAsia"/>
          <w:color w:val="000000"/>
        </w:rPr>
        <w:t>勞工(尤其是女性，她們仍然承擔著與照護有關的主要工作)</w:t>
      </w:r>
      <w:r w:rsidRPr="0003187A">
        <w:rPr>
          <w:rFonts w:ascii="微軟正黑體" w:eastAsia="微軟正黑體" w:hAnsi="微軟正黑體" w:hint="eastAsia"/>
          <w:color w:val="000000"/>
        </w:rPr>
        <w:t>產生負面影響；如果對勞工產生負面影響，自然而然也會對企業產生負面影響。</w:t>
      </w:r>
      <w:r w:rsidRPr="00195CF4">
        <w:rPr>
          <w:rFonts w:ascii="微軟正黑體" w:eastAsia="微軟正黑體" w:hAnsi="微軟正黑體" w:hint="eastAsia"/>
        </w:rPr>
        <w:t>因此，</w:t>
      </w:r>
      <w:r w:rsidRPr="0003187A">
        <w:rPr>
          <w:rFonts w:ascii="微軟正黑體" w:eastAsia="微軟正黑體" w:hAnsi="微軟正黑體" w:hint="eastAsia"/>
          <w:color w:val="000000"/>
        </w:rPr>
        <w:t>透過勞資政三方的社會對話因應這些可能的影響至關重要。根據</w:t>
      </w:r>
      <w:r w:rsidRPr="0003187A">
        <w:rPr>
          <w:rFonts w:ascii="微軟正黑體" w:eastAsia="微軟正黑體" w:hAnsi="微軟正黑體"/>
          <w:color w:val="000000"/>
        </w:rPr>
        <w:t>1996</w:t>
      </w:r>
      <w:r>
        <w:rPr>
          <w:rFonts w:ascii="微軟正黑體" w:eastAsia="微軟正黑體" w:hAnsi="微軟正黑體"/>
          <w:color w:val="000000"/>
        </w:rPr>
        <w:t>年《家庭工作建議書》</w:t>
      </w:r>
      <w:r>
        <w:rPr>
          <w:rFonts w:ascii="微軟正黑體" w:eastAsia="微軟正黑體" w:hAnsi="微軟正黑體" w:hint="eastAsia"/>
          <w:color w:val="000000"/>
        </w:rPr>
        <w:t>(</w:t>
      </w:r>
      <w:r w:rsidRPr="0003187A">
        <w:rPr>
          <w:rFonts w:ascii="微軟正黑體" w:eastAsia="微軟正黑體" w:hAnsi="微軟正黑體"/>
          <w:color w:val="000000"/>
        </w:rPr>
        <w:t>第184</w:t>
      </w:r>
      <w:r>
        <w:rPr>
          <w:rFonts w:ascii="微軟正黑體" w:eastAsia="微軟正黑體" w:hAnsi="微軟正黑體"/>
          <w:color w:val="000000"/>
        </w:rPr>
        <w:t>號</w:t>
      </w:r>
      <w:r>
        <w:rPr>
          <w:rFonts w:ascii="微軟正黑體" w:eastAsia="微軟正黑體" w:hAnsi="微軟正黑體" w:hint="eastAsia"/>
          <w:color w:val="000000"/>
        </w:rPr>
        <w:t>)</w:t>
      </w:r>
      <w:r w:rsidRPr="0003187A">
        <w:rPr>
          <w:rFonts w:ascii="微軟正黑體" w:eastAsia="微軟正黑體" w:hAnsi="微軟正黑體"/>
          <w:color w:val="000000"/>
        </w:rPr>
        <w:t>的要求，社會對話對於遠距(或在家)工作特定的職業安全與衛生措施的實施也至關重要。(ILO, 2021)</w:t>
      </w:r>
    </w:p>
    <w:p w:rsidR="0087041A" w:rsidRPr="0003187A" w:rsidRDefault="0087041A" w:rsidP="0087041A">
      <w:pPr>
        <w:spacing w:beforeLines="30" w:before="72" w:line="400" w:lineRule="exact"/>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Pr="0003187A">
        <w:rPr>
          <w:rFonts w:ascii="微軟正黑體" w:eastAsia="微軟正黑體" w:hAnsi="微軟正黑體" w:hint="eastAsia"/>
          <w:color w:val="000000"/>
        </w:rPr>
        <w:t>當世界受到</w:t>
      </w:r>
      <w:r w:rsidRPr="0003187A">
        <w:rPr>
          <w:rFonts w:ascii="微軟正黑體" w:eastAsia="微軟正黑體" w:hAnsi="微軟正黑體"/>
          <w:color w:val="000000"/>
        </w:rPr>
        <w:t>COVID-19大流行的嚴重衝擊時，世界各地大批勞工幾乎在一夜之間轉向遠距(或在家)工作，以保障他們的工作和生命。毫無疑問地，在今後的歲月裡，遠距(或在家)工作</w:t>
      </w:r>
      <w:r w:rsidRPr="00195CF4">
        <w:rPr>
          <w:rFonts w:ascii="微軟正黑體" w:eastAsia="微軟正黑體" w:hAnsi="微軟正黑體" w:hint="eastAsia"/>
        </w:rPr>
        <w:t>將</w:t>
      </w:r>
      <w:r w:rsidRPr="0003187A">
        <w:rPr>
          <w:rFonts w:ascii="微軟正黑體" w:eastAsia="微軟正黑體" w:hAnsi="微軟正黑體"/>
          <w:color w:val="000000"/>
        </w:rPr>
        <w:t>扮演更重要的角色。因此，無論是對電傳工作者及其他家庭勞工而言，政府、勞工組織和雇主組織應合作遵循第177號公約和第184號建議書的指導，共同努力確保所有電傳工作者及其他家庭勞工從視而不見轉變為尊嚴工作。透過社會對話來因應有關工作生活平衡和生產力的挑戰，那麼企業和勞工的權益都將獲得確保，而雙方的</w:t>
      </w:r>
      <w:r w:rsidRPr="0003187A">
        <w:rPr>
          <w:rFonts w:ascii="微軟正黑體" w:eastAsia="微軟正黑體" w:hAnsi="微軟正黑體"/>
          <w:color w:val="000000"/>
        </w:rPr>
        <w:lastRenderedPageBreak/>
        <w:t>需求也將獲得滿足。</w:t>
      </w:r>
    </w:p>
    <w:p w:rsidR="0087041A" w:rsidRPr="0003187A" w:rsidRDefault="0087041A" w:rsidP="0087041A">
      <w:pPr>
        <w:spacing w:beforeLines="30" w:before="72" w:line="400" w:lineRule="exact"/>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Pr="0003187A">
        <w:rPr>
          <w:rFonts w:ascii="微軟正黑體" w:eastAsia="微軟正黑體" w:hAnsi="微軟正黑體" w:hint="eastAsia"/>
          <w:color w:val="000000"/>
        </w:rPr>
        <w:t>隨著</w:t>
      </w:r>
      <w:r w:rsidRPr="00195CF4">
        <w:rPr>
          <w:rFonts w:ascii="微軟正黑體" w:eastAsia="微軟正黑體" w:hAnsi="微軟正黑體" w:hint="eastAsia"/>
        </w:rPr>
        <w:t>COVID-19</w:t>
      </w:r>
      <w:r w:rsidRPr="0003187A">
        <w:rPr>
          <w:rFonts w:ascii="微軟正黑體" w:eastAsia="微軟正黑體" w:hAnsi="微軟正黑體" w:hint="eastAsia"/>
          <w:color w:val="000000"/>
        </w:rPr>
        <w:t>危機期間和危機發生後電傳與遠距</w:t>
      </w:r>
      <w:r w:rsidRPr="0003187A">
        <w:rPr>
          <w:rFonts w:ascii="微軟正黑體" w:eastAsia="微軟正黑體" w:hAnsi="微軟正黑體"/>
          <w:color w:val="000000"/>
        </w:rPr>
        <w:t>(或在家)</w:t>
      </w:r>
      <w:r>
        <w:rPr>
          <w:rFonts w:ascii="微軟正黑體" w:eastAsia="微軟正黑體" w:hAnsi="微軟正黑體"/>
          <w:color w:val="000000"/>
        </w:rPr>
        <w:t>工作的發展，政府有必要確保家庭勞工</w:t>
      </w:r>
      <w:r>
        <w:rPr>
          <w:rFonts w:ascii="微軟正黑體" w:eastAsia="微軟正黑體" w:hAnsi="微軟正黑體" w:hint="eastAsia"/>
          <w:color w:val="000000"/>
        </w:rPr>
        <w:t>(</w:t>
      </w:r>
      <w:r w:rsidRPr="0003187A">
        <w:rPr>
          <w:rFonts w:ascii="微軟正黑體" w:eastAsia="微軟正黑體" w:hAnsi="微軟正黑體"/>
          <w:color w:val="000000"/>
        </w:rPr>
        <w:t>無論是經由</w:t>
      </w:r>
      <w:r w:rsidRPr="00195CF4">
        <w:rPr>
          <w:rFonts w:ascii="微軟正黑體" w:eastAsia="微軟正黑體" w:hAnsi="微軟正黑體"/>
        </w:rPr>
        <w:t>ICT</w:t>
      </w:r>
      <w:r w:rsidRPr="0003187A">
        <w:rPr>
          <w:rFonts w:ascii="微軟正黑體" w:eastAsia="微軟正黑體" w:hAnsi="微軟正黑體"/>
          <w:color w:val="000000"/>
        </w:rPr>
        <w:t>的</w:t>
      </w:r>
      <w:r>
        <w:rPr>
          <w:rFonts w:ascii="微軟正黑體" w:eastAsia="微軟正黑體" w:hAnsi="微軟正黑體"/>
          <w:color w:val="000000"/>
        </w:rPr>
        <w:t>電傳工作者或傳統生產性的家庭勞工</w:t>
      </w:r>
      <w:r>
        <w:rPr>
          <w:rFonts w:ascii="微軟正黑體" w:eastAsia="微軟正黑體" w:hAnsi="微軟正黑體" w:hint="eastAsia"/>
          <w:color w:val="000000"/>
        </w:rPr>
        <w:t>)</w:t>
      </w:r>
      <w:r w:rsidRPr="0003187A">
        <w:rPr>
          <w:rFonts w:ascii="微軟正黑體" w:eastAsia="微軟正黑體" w:hAnsi="微軟正黑體"/>
          <w:color w:val="000000"/>
        </w:rPr>
        <w:t>享有如同他們在其雇主所在地工作相同的權益和福祉，包括報酬待遇、其他工作條件和社會保障的平等待遇。(ILO, 2021)</w:t>
      </w: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rPr>
      </w:pPr>
    </w:p>
    <w:p w:rsidR="0087041A" w:rsidRDefault="0087041A" w:rsidP="0087041A">
      <w:pPr>
        <w:spacing w:beforeLines="30" w:before="72" w:line="400" w:lineRule="exact"/>
        <w:rPr>
          <w:rFonts w:ascii="微軟正黑體" w:eastAsia="微軟正黑體" w:hAnsi="微軟正黑體"/>
          <w:color w:val="000000"/>
          <w:kern w:val="0"/>
        </w:rPr>
        <w:sectPr w:rsidR="0087041A" w:rsidSect="00801D9C">
          <w:headerReference w:type="default" r:id="rId135"/>
          <w:pgSz w:w="11906" w:h="16838"/>
          <w:pgMar w:top="1134" w:right="1418" w:bottom="1134" w:left="1418" w:header="340" w:footer="340" w:gutter="0"/>
          <w:cols w:space="720"/>
          <w:docGrid w:linePitch="326"/>
        </w:sectPr>
      </w:pPr>
    </w:p>
    <w:p w:rsidR="0087041A" w:rsidRPr="00224180" w:rsidRDefault="0087041A" w:rsidP="000E4ECD">
      <w:pPr>
        <w:spacing w:line="400" w:lineRule="exact"/>
        <w:jc w:val="center"/>
        <w:rPr>
          <w:rFonts w:ascii="微軟正黑體" w:eastAsia="微軟正黑體" w:hAnsi="微軟正黑體"/>
          <w:b/>
          <w:color w:val="000000"/>
          <w:kern w:val="0"/>
          <w:sz w:val="32"/>
          <w:szCs w:val="32"/>
        </w:rPr>
      </w:pPr>
      <w:r w:rsidRPr="00224180">
        <w:rPr>
          <w:rFonts w:ascii="微軟正黑體" w:eastAsia="微軟正黑體" w:hAnsi="微軟正黑體"/>
          <w:b/>
          <w:color w:val="000000"/>
          <w:kern w:val="0"/>
          <w:sz w:val="32"/>
          <w:szCs w:val="32"/>
        </w:rPr>
        <w:lastRenderedPageBreak/>
        <w:t>參考文獻</w:t>
      </w:r>
    </w:p>
    <w:p w:rsidR="0087041A" w:rsidRPr="00224180" w:rsidRDefault="0087041A" w:rsidP="0087041A">
      <w:pPr>
        <w:spacing w:beforeLines="50" w:before="120" w:afterLines="50" w:after="120" w:line="400" w:lineRule="exact"/>
        <w:rPr>
          <w:rFonts w:ascii="微軟正黑體" w:eastAsia="微軟正黑體" w:hAnsi="微軟正黑體"/>
          <w:b/>
          <w:color w:val="000000"/>
          <w:sz w:val="28"/>
          <w:szCs w:val="28"/>
        </w:rPr>
      </w:pPr>
      <w:bookmarkStart w:id="47" w:name="_Hlk21072076"/>
      <w:r w:rsidRPr="00224180">
        <w:rPr>
          <w:rFonts w:ascii="微軟正黑體" w:eastAsia="微軟正黑體" w:hAnsi="微軟正黑體" w:hint="eastAsia"/>
          <w:b/>
          <w:color w:val="000000"/>
          <w:sz w:val="28"/>
          <w:szCs w:val="28"/>
        </w:rPr>
        <w:t>一、</w:t>
      </w:r>
      <w:r w:rsidRPr="00224180">
        <w:rPr>
          <w:rFonts w:ascii="微軟正黑體" w:eastAsia="微軟正黑體" w:hAnsi="微軟正黑體"/>
          <w:b/>
          <w:color w:val="000000"/>
          <w:sz w:val="28"/>
          <w:szCs w:val="28"/>
        </w:rPr>
        <w:t>中文部分</w:t>
      </w:r>
    </w:p>
    <w:bookmarkEnd w:id="47"/>
    <w:p w:rsidR="0087041A" w:rsidRPr="0003187A" w:rsidRDefault="0087041A" w:rsidP="0087041A">
      <w:pPr>
        <w:spacing w:line="400" w:lineRule="exact"/>
        <w:ind w:left="601"/>
        <w:jc w:val="both"/>
        <w:rPr>
          <w:rFonts w:ascii="微軟正黑體" w:eastAsia="微軟正黑體" w:hAnsi="微軟正黑體"/>
          <w:color w:val="000000"/>
        </w:rPr>
      </w:pPr>
      <w:r w:rsidRPr="0003187A">
        <w:rPr>
          <w:rFonts w:ascii="微軟正黑體" w:eastAsia="微軟正黑體" w:hAnsi="微軟正黑體" w:hint="eastAsia"/>
          <w:color w:val="000000"/>
        </w:rPr>
        <w:t>徐國淦等</w:t>
      </w:r>
      <w:r>
        <w:rPr>
          <w:rFonts w:ascii="微軟正黑體" w:eastAsia="微軟正黑體" w:hAnsi="微軟正黑體"/>
          <w:color w:val="000000"/>
        </w:rPr>
        <w:t>(2017)</w:t>
      </w:r>
      <w:r>
        <w:rPr>
          <w:rFonts w:ascii="微軟正黑體" w:eastAsia="微軟正黑體" w:hAnsi="微軟正黑體" w:hint="eastAsia"/>
          <w:color w:val="000000"/>
        </w:rPr>
        <w:t>。&lt;</w:t>
      </w:r>
      <w:r w:rsidRPr="0003187A">
        <w:rPr>
          <w:rFonts w:ascii="微軟正黑體" w:eastAsia="微軟正黑體" w:hAnsi="微軟正黑體"/>
          <w:color w:val="000000"/>
        </w:rPr>
        <w:t>歐盟、美國、日本與我國因應電傳勞動趨勢研究</w:t>
      </w:r>
      <w:r>
        <w:rPr>
          <w:rFonts w:ascii="微軟正黑體" w:eastAsia="微軟正黑體" w:hAnsi="微軟正黑體" w:hint="eastAsia"/>
          <w:color w:val="000000"/>
        </w:rPr>
        <w:t>&gt;，</w:t>
      </w:r>
      <w:r w:rsidRPr="0003187A">
        <w:rPr>
          <w:rFonts w:ascii="微軟正黑體" w:eastAsia="微軟正黑體" w:hAnsi="微軟正黑體"/>
          <w:color w:val="000000"/>
        </w:rPr>
        <w:t>勞動部勞動及職業安全衛生研究所委託研究。</w:t>
      </w:r>
    </w:p>
    <w:p w:rsidR="0087041A" w:rsidRPr="00224180" w:rsidRDefault="0087041A" w:rsidP="0087041A">
      <w:pPr>
        <w:spacing w:beforeLines="50" w:before="120" w:afterLines="50" w:after="120" w:line="400" w:lineRule="exact"/>
        <w:rPr>
          <w:rFonts w:ascii="微軟正黑體" w:eastAsia="微軟正黑體" w:hAnsi="微軟正黑體"/>
          <w:b/>
          <w:color w:val="000000"/>
          <w:sz w:val="28"/>
          <w:szCs w:val="28"/>
        </w:rPr>
      </w:pPr>
      <w:r w:rsidRPr="00224180">
        <w:rPr>
          <w:rFonts w:ascii="微軟正黑體" w:eastAsia="微軟正黑體" w:hAnsi="微軟正黑體" w:hint="eastAsia"/>
          <w:b/>
          <w:color w:val="000000"/>
          <w:sz w:val="28"/>
          <w:szCs w:val="28"/>
        </w:rPr>
        <w:t>二、</w:t>
      </w:r>
      <w:r w:rsidRPr="00224180">
        <w:rPr>
          <w:rFonts w:ascii="微軟正黑體" w:eastAsia="微軟正黑體" w:hAnsi="微軟正黑體"/>
          <w:b/>
          <w:color w:val="000000"/>
          <w:sz w:val="28"/>
          <w:szCs w:val="28"/>
        </w:rPr>
        <w:t>外文部分</w:t>
      </w:r>
    </w:p>
    <w:p w:rsidR="0087041A" w:rsidRPr="0003187A" w:rsidRDefault="0087041A" w:rsidP="00BD50E5">
      <w:pPr>
        <w:numPr>
          <w:ilvl w:val="0"/>
          <w:numId w:val="40"/>
        </w:numPr>
        <w:spacing w:beforeLines="15" w:before="36" w:line="400" w:lineRule="exact"/>
        <w:ind w:left="493" w:hanging="255"/>
        <w:jc w:val="both"/>
        <w:rPr>
          <w:rFonts w:ascii="微軟正黑體" w:eastAsia="微軟正黑體" w:hAnsi="微軟正黑體"/>
          <w:color w:val="000000"/>
        </w:rPr>
      </w:pPr>
      <w:r w:rsidRPr="0003187A">
        <w:rPr>
          <w:rFonts w:ascii="微軟正黑體" w:eastAsia="微軟正黑體" w:hAnsi="微軟正黑體"/>
          <w:color w:val="000000"/>
        </w:rPr>
        <w:t>Alon, T. et al. (2020). “The Impact of COVID-19 on Gender Equality”, NBER Working Paper, No. 26947. Available at http://www.nber.org/papers/w26947.</w:t>
      </w:r>
    </w:p>
    <w:p w:rsidR="0087041A" w:rsidRPr="0003187A" w:rsidRDefault="0087041A" w:rsidP="00BD50E5">
      <w:pPr>
        <w:numPr>
          <w:ilvl w:val="0"/>
          <w:numId w:val="40"/>
        </w:numPr>
        <w:spacing w:beforeLines="15" w:before="36" w:line="400" w:lineRule="exact"/>
        <w:ind w:left="493" w:hanging="255"/>
        <w:jc w:val="both"/>
        <w:rPr>
          <w:rFonts w:ascii="微軟正黑體" w:eastAsia="微軟正黑體" w:hAnsi="微軟正黑體"/>
          <w:color w:val="000000"/>
        </w:rPr>
      </w:pPr>
      <w:r w:rsidRPr="0003187A">
        <w:rPr>
          <w:rFonts w:ascii="微軟正黑體" w:eastAsia="微軟正黑體" w:hAnsi="微軟正黑體"/>
          <w:color w:val="000000"/>
        </w:rPr>
        <w:t>Atkinson, R. et al. (2020). Digital Policy for Physical Distancing: 28 Stimulus Proposals That Will Pay Long-Term Dividends. Information Technology &amp; Innovation Foundation.</w:t>
      </w:r>
    </w:p>
    <w:p w:rsidR="0087041A" w:rsidRPr="0003187A" w:rsidRDefault="0087041A" w:rsidP="00BD50E5">
      <w:pPr>
        <w:numPr>
          <w:ilvl w:val="0"/>
          <w:numId w:val="40"/>
        </w:numPr>
        <w:spacing w:beforeLines="15" w:before="36" w:line="400" w:lineRule="exact"/>
        <w:ind w:left="493" w:hanging="255"/>
        <w:jc w:val="both"/>
        <w:rPr>
          <w:rFonts w:ascii="微軟正黑體" w:eastAsia="微軟正黑體" w:hAnsi="微軟正黑體"/>
          <w:color w:val="000000"/>
        </w:rPr>
      </w:pPr>
      <w:r w:rsidRPr="0003187A">
        <w:rPr>
          <w:rFonts w:ascii="微軟正黑體" w:eastAsia="微軟正黑體" w:hAnsi="微軟正黑體"/>
          <w:color w:val="000000"/>
        </w:rPr>
        <w:t>Berger, T. and C. Frey (2021). “Structural Transformation in the OECD: Digitalization, Deindustrialization and the Future of Work”, OECD Social, Employment and Migration Working Papers, OECD Publishing, Paris.</w:t>
      </w:r>
    </w:p>
    <w:p w:rsidR="0087041A" w:rsidRPr="0003187A" w:rsidRDefault="0087041A" w:rsidP="00BD50E5">
      <w:pPr>
        <w:numPr>
          <w:ilvl w:val="0"/>
          <w:numId w:val="40"/>
        </w:numPr>
        <w:spacing w:beforeLines="15" w:before="36" w:line="400" w:lineRule="exact"/>
        <w:ind w:left="493" w:hanging="255"/>
        <w:jc w:val="both"/>
        <w:rPr>
          <w:rFonts w:ascii="微軟正黑體" w:eastAsia="微軟正黑體" w:hAnsi="微軟正黑體"/>
          <w:color w:val="000000"/>
        </w:rPr>
      </w:pPr>
      <w:r w:rsidRPr="0003187A">
        <w:rPr>
          <w:rFonts w:ascii="微軟正黑體" w:eastAsia="微軟正黑體" w:hAnsi="微軟正黑體"/>
          <w:color w:val="000000"/>
        </w:rPr>
        <w:t>Boeri, T., A. Caiumi and M. Paccagnella (2020). “Mitigating the work-safety trade-off”. Covid Economics: Vetted and Real-Time Papers. Vol. 1/2. pp. 60-66.</w:t>
      </w:r>
    </w:p>
    <w:p w:rsidR="0087041A" w:rsidRPr="0003187A" w:rsidRDefault="0087041A" w:rsidP="00BD50E5">
      <w:pPr>
        <w:numPr>
          <w:ilvl w:val="0"/>
          <w:numId w:val="40"/>
        </w:numPr>
        <w:spacing w:beforeLines="15" w:before="36" w:line="400" w:lineRule="exact"/>
        <w:ind w:left="493" w:hanging="255"/>
        <w:jc w:val="both"/>
        <w:rPr>
          <w:rFonts w:ascii="微軟正黑體" w:eastAsia="微軟正黑體" w:hAnsi="微軟正黑體"/>
          <w:color w:val="000000"/>
        </w:rPr>
      </w:pPr>
      <w:r w:rsidRPr="0003187A">
        <w:rPr>
          <w:rFonts w:ascii="微軟正黑體" w:eastAsia="微軟正黑體" w:hAnsi="微軟正黑體"/>
          <w:color w:val="000000"/>
        </w:rPr>
        <w:t>Brussevich, M., E. Dabla-Norris and S. Khalid (2020). “Who will Bear the Brunt of Lockdown Policies? Evidence from Tele-workability Measures Across Countries”. IMF Working Paper, No. WP/20/88.</w:t>
      </w:r>
    </w:p>
    <w:p w:rsidR="0087041A" w:rsidRPr="0003187A" w:rsidRDefault="0087041A" w:rsidP="00BD50E5">
      <w:pPr>
        <w:numPr>
          <w:ilvl w:val="0"/>
          <w:numId w:val="40"/>
        </w:numPr>
        <w:spacing w:beforeLines="15" w:before="36" w:line="400" w:lineRule="exact"/>
        <w:ind w:left="493" w:hanging="255"/>
        <w:jc w:val="both"/>
        <w:rPr>
          <w:rFonts w:ascii="微軟正黑體" w:eastAsia="微軟正黑體" w:hAnsi="微軟正黑體"/>
          <w:color w:val="000000"/>
        </w:rPr>
      </w:pPr>
      <w:r w:rsidRPr="0003187A">
        <w:rPr>
          <w:rFonts w:ascii="微軟正黑體" w:eastAsia="微軟正黑體" w:hAnsi="微軟正黑體"/>
          <w:color w:val="000000"/>
        </w:rPr>
        <w:t>Brynjolfsson, E. et al. (2020). “COVID-19 and Remote Work: An Early Look at US Data”, NBER Working Paper, No. 27344.</w:t>
      </w:r>
    </w:p>
    <w:p w:rsidR="0087041A" w:rsidRPr="0003187A" w:rsidRDefault="0087041A" w:rsidP="00BD50E5">
      <w:pPr>
        <w:numPr>
          <w:ilvl w:val="0"/>
          <w:numId w:val="40"/>
        </w:numPr>
        <w:spacing w:beforeLines="15" w:before="36" w:line="400" w:lineRule="exact"/>
        <w:ind w:left="493" w:hanging="255"/>
        <w:jc w:val="both"/>
        <w:rPr>
          <w:rFonts w:ascii="微軟正黑體" w:eastAsia="微軟正黑體" w:hAnsi="微軟正黑體"/>
          <w:color w:val="000000"/>
        </w:rPr>
      </w:pPr>
      <w:r w:rsidRPr="0003187A">
        <w:rPr>
          <w:rFonts w:ascii="微軟正黑體" w:eastAsia="微軟正黑體" w:hAnsi="微軟正黑體"/>
          <w:color w:val="000000"/>
        </w:rPr>
        <w:t>Clancy, M. (2020). “The Case for Remote Work”, Economics Working Papers, No. 20007. Iowa State University, Department of Economics. Avaiable at https://lib.dr.iastate.edu/econ_workingpapers/102.</w:t>
      </w:r>
    </w:p>
    <w:p w:rsidR="0087041A" w:rsidRPr="0003187A" w:rsidRDefault="0087041A" w:rsidP="00BD50E5">
      <w:pPr>
        <w:numPr>
          <w:ilvl w:val="0"/>
          <w:numId w:val="40"/>
        </w:numPr>
        <w:spacing w:beforeLines="15" w:before="36" w:line="400" w:lineRule="exact"/>
        <w:ind w:left="493" w:hanging="255"/>
        <w:jc w:val="both"/>
        <w:rPr>
          <w:rFonts w:ascii="微軟正黑體" w:eastAsia="微軟正黑體" w:hAnsi="微軟正黑體"/>
          <w:color w:val="000000"/>
        </w:rPr>
      </w:pPr>
      <w:r w:rsidRPr="0003187A">
        <w:rPr>
          <w:rFonts w:ascii="微軟正黑體" w:eastAsia="微軟正黑體" w:hAnsi="微軟正黑體"/>
          <w:color w:val="000000"/>
        </w:rPr>
        <w:t>Dingel, J.&amp; B. Neiman (2020). “How Many Jobs Can be Done at Home?”. Working Paper 26948. NBER.</w:t>
      </w:r>
    </w:p>
    <w:p w:rsidR="0087041A" w:rsidRDefault="0087041A" w:rsidP="00BD50E5">
      <w:pPr>
        <w:numPr>
          <w:ilvl w:val="0"/>
          <w:numId w:val="40"/>
        </w:numPr>
        <w:spacing w:beforeLines="15" w:before="36" w:line="400" w:lineRule="exact"/>
        <w:ind w:left="493" w:hanging="255"/>
        <w:rPr>
          <w:rFonts w:ascii="微軟正黑體" w:eastAsia="微軟正黑體" w:hAnsi="微軟正黑體"/>
          <w:color w:val="000000"/>
        </w:rPr>
      </w:pPr>
      <w:r w:rsidRPr="0003187A">
        <w:rPr>
          <w:rFonts w:ascii="微軟正黑體" w:eastAsia="微軟正黑體" w:hAnsi="微軟正黑體"/>
          <w:color w:val="000000"/>
        </w:rPr>
        <w:t>Donadio, R. (2020). The Coming Setback for Women in the Workplace, The Atlantic. Available a</w:t>
      </w:r>
      <w:r>
        <w:rPr>
          <w:rFonts w:ascii="微軟正黑體" w:eastAsia="微軟正黑體" w:hAnsi="微軟正黑體"/>
          <w:color w:val="000000"/>
        </w:rPr>
        <w:t>t</w:t>
      </w:r>
      <w:r>
        <w:rPr>
          <w:rFonts w:ascii="微軟正黑體" w:eastAsia="微軟正黑體" w:hAnsi="微軟正黑體" w:hint="eastAsia"/>
          <w:color w:val="000000"/>
        </w:rPr>
        <w:t xml:space="preserve"> </w:t>
      </w:r>
      <w:r w:rsidRPr="0003187A">
        <w:rPr>
          <w:rFonts w:ascii="微軟正黑體" w:eastAsia="微軟正黑體" w:hAnsi="微軟正黑體"/>
          <w:color w:val="000000"/>
        </w:rPr>
        <w:t>https://www.theatlantic.com/international/archive/2020/05/france-women-workplacecoronavirus-pandemic/612136.</w:t>
      </w:r>
    </w:p>
    <w:p w:rsidR="0087041A" w:rsidRPr="000873C6"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873C6">
        <w:rPr>
          <w:rFonts w:ascii="微軟正黑體" w:eastAsia="微軟正黑體" w:hAnsi="微軟正黑體"/>
          <w:color w:val="000000"/>
        </w:rPr>
        <w:t>Eurofound and International Labour Office (2017). Working anytime, anywhere : the effects on the world of work. Publications Office of the European Union. Luxembourg.</w:t>
      </w:r>
    </w:p>
    <w:p w:rsidR="0087041A" w:rsidRPr="0003187A" w:rsidRDefault="0087041A" w:rsidP="00BD50E5">
      <w:pPr>
        <w:numPr>
          <w:ilvl w:val="0"/>
          <w:numId w:val="40"/>
        </w:numPr>
        <w:spacing w:beforeLines="15" w:before="36" w:line="400" w:lineRule="exact"/>
        <w:ind w:left="709" w:hanging="471"/>
        <w:rPr>
          <w:rFonts w:ascii="微軟正黑體" w:eastAsia="微軟正黑體" w:hAnsi="微軟正黑體"/>
          <w:color w:val="000000"/>
        </w:rPr>
      </w:pPr>
      <w:r w:rsidRPr="0003187A">
        <w:rPr>
          <w:rFonts w:ascii="微軟正黑體" w:eastAsia="微軟正黑體" w:hAnsi="微軟正黑體"/>
          <w:color w:val="000000"/>
        </w:rPr>
        <w:lastRenderedPageBreak/>
        <w:t>Financial Times (2020). Coronavirus may create lasting workplace change. Available at https://www.ft.com/content/5801a710-597c-11ea-abe5-8e03987b7b20.</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Galasso,Vincenzo &amp; Foucaul, Martial (2020). Working during COVID-19: Cross-country evidence from real-time survey data. OECD Social. Employment and Migration Working Papers No. 246. 24 July. Available at www.oecd.org.</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Hensvik, L., T. Le Barbanchon and R. Rathelot (2020). “Which Jobs Are Done from Home? Evidence from the American Time Use Survey | IZA - Institute of Labor Economics”. IZA Discussion Paper No. 13138. Available at https://www</w:t>
      </w:r>
      <w:r>
        <w:rPr>
          <w:rFonts w:ascii="微軟正黑體" w:eastAsia="微軟正黑體" w:hAnsi="微軟正黑體"/>
          <w:color w:val="000000"/>
        </w:rPr>
        <w:t>.iza.org/publications/dp/13138.</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ILO (2020a). Working from Home: Estimating the worldwide potential, Policy Brief. April. Available at www.ilo.org.</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ILO (2020b). In the face of a pandemic: Ensuring Safety and Health at Work. Available at www.ilo.org.</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ILO (2021). Working from home: From invisibility to decent work. Available at www.ilo.org.</w:t>
      </w:r>
    </w:p>
    <w:p w:rsidR="0087041A" w:rsidRPr="0003187A" w:rsidRDefault="0087041A" w:rsidP="00BD50E5">
      <w:pPr>
        <w:numPr>
          <w:ilvl w:val="0"/>
          <w:numId w:val="40"/>
        </w:numPr>
        <w:spacing w:beforeLines="15" w:before="36" w:line="400" w:lineRule="exact"/>
        <w:ind w:left="709" w:hanging="471"/>
        <w:rPr>
          <w:rFonts w:ascii="微軟正黑體" w:eastAsia="微軟正黑體" w:hAnsi="微軟正黑體"/>
          <w:color w:val="000000"/>
        </w:rPr>
      </w:pPr>
      <w:r w:rsidRPr="0003187A">
        <w:rPr>
          <w:rFonts w:ascii="微軟正黑體" w:eastAsia="微軟正黑體" w:hAnsi="微軟正黑體"/>
          <w:color w:val="000000"/>
        </w:rPr>
        <w:t>Japan Times (2020). “Use of telecommuting in Tokyo surged from 24% to 63% in two months, survey says”. Available at  https://www.japantimes.co.jp/news/2020/05/16/business/corporatebusiness/use-telecommuting-tokyo-surged-24-63-two-months-surveysays/#.XuoVqGgzZPY.</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 xml:space="preserve">Jones, Jeffrey M (2015). “In U.S., Telecommuting for Work Climbs to 37%”. Gallup. Available at www.gallup.com/poll. </w:t>
      </w:r>
    </w:p>
    <w:p w:rsidR="0087041A" w:rsidRPr="0003187A" w:rsidRDefault="0087041A" w:rsidP="00BD50E5">
      <w:pPr>
        <w:numPr>
          <w:ilvl w:val="0"/>
          <w:numId w:val="40"/>
        </w:numPr>
        <w:spacing w:beforeLines="15" w:before="36" w:line="400" w:lineRule="exact"/>
        <w:ind w:left="709" w:hanging="471"/>
        <w:rPr>
          <w:rFonts w:ascii="微軟正黑體" w:eastAsia="微軟正黑體" w:hAnsi="微軟正黑體"/>
          <w:color w:val="000000"/>
        </w:rPr>
      </w:pPr>
      <w:r w:rsidRPr="0003187A">
        <w:rPr>
          <w:rFonts w:ascii="微軟正黑體" w:eastAsia="微軟正黑體" w:hAnsi="微軟正黑體"/>
          <w:color w:val="000000"/>
        </w:rPr>
        <w:t>King, Brittany K (2020). The History of Telecommuting and How to Best Manage Remote Teams in 2020. Aavilable at https://www.lorman.com/blog/post.</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McKinsey Global Publishing.(2021). Building workforce skills at scale to thrive during and after the COVID-19 crisis. McKinsey &amp; Company.</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Mishel, L (2015). “Despite Freelancers Union/Upwork claim, Freelancing is not becoming Americans’ Main Source of Income”. Economic Policy Institute Briefing Paper No. 415.</w:t>
      </w:r>
    </w:p>
    <w:p w:rsidR="0087041A" w:rsidRPr="0003187A" w:rsidRDefault="0087041A" w:rsidP="00BD50E5">
      <w:pPr>
        <w:numPr>
          <w:ilvl w:val="0"/>
          <w:numId w:val="40"/>
        </w:numPr>
        <w:spacing w:beforeLines="15" w:before="36" w:line="400" w:lineRule="exact"/>
        <w:ind w:left="709" w:hanging="471"/>
        <w:rPr>
          <w:rFonts w:ascii="微軟正黑體" w:eastAsia="微軟正黑體" w:hAnsi="微軟正黑體"/>
          <w:color w:val="000000"/>
        </w:rPr>
      </w:pPr>
      <w:r w:rsidRPr="0003187A">
        <w:rPr>
          <w:rFonts w:ascii="微軟正黑體" w:eastAsia="微軟正黑體" w:hAnsi="微軟正黑體"/>
          <w:color w:val="000000"/>
        </w:rPr>
        <w:t>Morikawa, M. (2020), COVID-19, teleworking, and productivity, VoxEU.org. Available at https://voxeu.org/article/covid-19-teleworking-and-productivity.</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 xml:space="preserve">Nishimura, Itaru (2021). Working Conditions of Crowdworkers: How Working </w:t>
      </w:r>
      <w:r w:rsidRPr="0003187A">
        <w:rPr>
          <w:rFonts w:ascii="微軟正黑體" w:eastAsia="微軟正黑體" w:hAnsi="微軟正黑體"/>
          <w:color w:val="000000"/>
        </w:rPr>
        <w:lastRenderedPageBreak/>
        <w:t>Conditions of Crowdworkers Vary by Job Content. Japan Labor Issues. Vol.5. No.32. pp. 29~40.</w:t>
      </w:r>
    </w:p>
    <w:p w:rsidR="0087041A" w:rsidRPr="0003187A" w:rsidRDefault="0087041A" w:rsidP="00BD50E5">
      <w:pPr>
        <w:numPr>
          <w:ilvl w:val="0"/>
          <w:numId w:val="40"/>
        </w:numPr>
        <w:spacing w:beforeLines="15" w:before="36" w:line="400" w:lineRule="exact"/>
        <w:ind w:left="709" w:hanging="471"/>
        <w:rPr>
          <w:rFonts w:ascii="微軟正黑體" w:eastAsia="微軟正黑體" w:hAnsi="微軟正黑體"/>
          <w:color w:val="000000"/>
        </w:rPr>
      </w:pPr>
      <w:r w:rsidRPr="0003187A">
        <w:rPr>
          <w:rFonts w:ascii="微軟正黑體" w:eastAsia="微軟正黑體" w:hAnsi="微軟正黑體"/>
          <w:color w:val="000000"/>
        </w:rPr>
        <w:t xml:space="preserve">OECD (2015a). In It Together: Why Less Inequality Benefits All, OECD Publishing. Paris. Availaboe at  http://dx.doi.org/10.1787/9789264235120-en. </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OECD (2015b). OECD Employment Outlook 2015. OECD Publishing, Paris. Availaboe at  http://dx.doi.org/10.1787/empl_outlook-2015-en.</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OECD (2016). “Automation and Independent Work in a Digital Economy”. Policy Brief on The Future of Work. OECD Publishing, Paris.</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OECD (2020). Productivity gains from teleworking in the post COVID-19 era: How can public policies make it happen? 7 September. Available at www.oecd.org.</w:t>
      </w:r>
    </w:p>
    <w:p w:rsidR="0087041A" w:rsidRPr="0003187A" w:rsidRDefault="0087041A" w:rsidP="00BD50E5">
      <w:pPr>
        <w:numPr>
          <w:ilvl w:val="0"/>
          <w:numId w:val="40"/>
        </w:numPr>
        <w:spacing w:beforeLines="15" w:before="36" w:line="400" w:lineRule="exact"/>
        <w:ind w:left="709" w:hanging="471"/>
        <w:rPr>
          <w:rFonts w:ascii="微軟正黑體" w:eastAsia="微軟正黑體" w:hAnsi="微軟正黑體"/>
          <w:color w:val="000000"/>
        </w:rPr>
      </w:pPr>
      <w:r w:rsidRPr="0003187A">
        <w:rPr>
          <w:rFonts w:ascii="微軟正黑體" w:eastAsia="微軟正黑體" w:hAnsi="微軟正黑體"/>
          <w:color w:val="000000"/>
        </w:rPr>
        <w:t>Ozimek, A. (2020), The Future of Remote Work, Upwork, https://www.upwork.com/press/economics/the-future-of-remote-work.</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Sneader, Kevin and Singhal, Shubham (2021). The next normal arrives: Trends that will define 2021 and beyond. January. Mckinsey and Company.</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Spiezia, V. and D. Gierten (2021). “New Markets and New Jobs”. OECD Digital Economy Papers. OECD Publishing, Paris.</w:t>
      </w:r>
    </w:p>
    <w:p w:rsidR="0087041A" w:rsidRPr="0003187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University Of North Florida, US (2017). A Telecommuting Guide. Available at https://www.unf.edu.</w:t>
      </w:r>
    </w:p>
    <w:p w:rsidR="0087041A" w:rsidRPr="0003187A" w:rsidRDefault="0087041A" w:rsidP="00BD50E5">
      <w:pPr>
        <w:numPr>
          <w:ilvl w:val="0"/>
          <w:numId w:val="40"/>
        </w:numPr>
        <w:spacing w:beforeLines="15" w:before="36" w:line="400" w:lineRule="exact"/>
        <w:ind w:left="709" w:hanging="471"/>
        <w:rPr>
          <w:rFonts w:ascii="微軟正黑體" w:eastAsia="微軟正黑體" w:hAnsi="微軟正黑體"/>
          <w:color w:val="000000"/>
        </w:rPr>
      </w:pPr>
      <w:r w:rsidRPr="0003187A">
        <w:rPr>
          <w:rFonts w:ascii="微軟正黑體" w:eastAsia="微軟正黑體" w:hAnsi="微軟正黑體"/>
          <w:color w:val="000000"/>
        </w:rPr>
        <w:t>US　Office of Personnel Management (USOPM) (2011). Guide to Telework in the Federal Government. Available at https://www.telework.gov/guidance-legislation/telework-guidance/telework-guide/guide-to-telework-in-the-federal-government.pdf.</w:t>
      </w:r>
    </w:p>
    <w:p w:rsidR="0087041A" w:rsidRPr="0003187A" w:rsidRDefault="0087041A" w:rsidP="00BD50E5">
      <w:pPr>
        <w:numPr>
          <w:ilvl w:val="0"/>
          <w:numId w:val="40"/>
        </w:numPr>
        <w:spacing w:beforeLines="15" w:before="36" w:line="400" w:lineRule="exact"/>
        <w:ind w:left="709" w:hanging="471"/>
        <w:rPr>
          <w:rFonts w:ascii="微軟正黑體" w:eastAsia="微軟正黑體" w:hAnsi="微軟正黑體"/>
          <w:color w:val="000000"/>
        </w:rPr>
      </w:pPr>
      <w:r w:rsidRPr="0003187A">
        <w:rPr>
          <w:rFonts w:ascii="微軟正黑體" w:eastAsia="微軟正黑體" w:hAnsi="微軟正黑體"/>
          <w:color w:val="000000"/>
        </w:rPr>
        <w:t>US Telework Enhancement Act of 2010，Available at https://www.govtrack.us/congress/bills/111/hr1722.</w:t>
      </w:r>
    </w:p>
    <w:p w:rsidR="0087041A" w:rsidRDefault="0087041A" w:rsidP="00BD50E5">
      <w:pPr>
        <w:numPr>
          <w:ilvl w:val="0"/>
          <w:numId w:val="40"/>
        </w:numPr>
        <w:spacing w:beforeLines="15" w:before="36" w:line="400" w:lineRule="exact"/>
        <w:ind w:left="709" w:hanging="471"/>
        <w:jc w:val="both"/>
        <w:rPr>
          <w:rFonts w:ascii="微軟正黑體" w:eastAsia="微軟正黑體" w:hAnsi="微軟正黑體"/>
          <w:color w:val="000000"/>
        </w:rPr>
      </w:pPr>
      <w:r w:rsidRPr="0003187A">
        <w:rPr>
          <w:rFonts w:ascii="微軟正黑體" w:eastAsia="微軟正黑體" w:hAnsi="微軟正黑體"/>
          <w:color w:val="000000"/>
        </w:rPr>
        <w:t xml:space="preserve">Viete, S. and D. Erdsiek (2018). “Trust-Based Work Time and the Productivity Effects of Mobile Information Technologies in the Workplace”, ZEW Discussion Paper No. 18-013. </w:t>
      </w:r>
    </w:p>
    <w:p w:rsidR="0087041A" w:rsidRPr="00AF043F" w:rsidRDefault="0087041A" w:rsidP="0087041A">
      <w:pPr>
        <w:spacing w:beforeLines="15" w:before="36" w:line="400" w:lineRule="exact"/>
        <w:ind w:left="709"/>
        <w:jc w:val="both"/>
        <w:rPr>
          <w:rFonts w:ascii="微軟正黑體" w:eastAsia="微軟正黑體" w:hAnsi="微軟正黑體"/>
          <w:color w:val="000000"/>
        </w:rPr>
      </w:pPr>
      <w:r w:rsidRPr="0003187A">
        <w:rPr>
          <w:rFonts w:ascii="微軟正黑體" w:eastAsia="微軟正黑體" w:hAnsi="微軟正黑體"/>
          <w:color w:val="000000"/>
        </w:rPr>
        <w:t>Available at http://ftp.zew.de/pub/zew-docs/dp/dp18013.pdf</w:t>
      </w:r>
      <w:r>
        <w:rPr>
          <w:rFonts w:ascii="微軟正黑體" w:eastAsia="微軟正黑體" w:hAnsi="微軟正黑體" w:hint="eastAsia"/>
          <w:color w:val="000000"/>
        </w:rPr>
        <w:t>.</w:t>
      </w:r>
    </w:p>
    <w:p w:rsidR="00EF74FA" w:rsidRDefault="00EF74FA" w:rsidP="007B7D9B">
      <w:pPr>
        <w:widowControl/>
        <w:rPr>
          <w:rFonts w:ascii="微軟正黑體" w:eastAsia="微軟正黑體" w:hAnsi="微軟正黑體" w:cstheme="minorHAnsi"/>
          <w:b/>
          <w:kern w:val="0"/>
          <w:sz w:val="28"/>
          <w:szCs w:val="28"/>
        </w:rPr>
        <w:sectPr w:rsidR="00EF74FA" w:rsidSect="000E4ECD">
          <w:pgSz w:w="11906" w:h="16838"/>
          <w:pgMar w:top="1418" w:right="1134" w:bottom="1418" w:left="1134" w:header="340" w:footer="340" w:gutter="0"/>
          <w:cols w:space="720"/>
          <w:docGrid w:linePitch="326"/>
        </w:sectPr>
      </w:pPr>
    </w:p>
    <w:p w:rsidR="007B7D9B" w:rsidRDefault="001F157F" w:rsidP="007B7D9B">
      <w:pPr>
        <w:widowControl/>
        <w:rPr>
          <w:rFonts w:ascii="微軟正黑體" w:eastAsia="微軟正黑體" w:hAnsi="微軟正黑體" w:cstheme="minorHAnsi"/>
          <w:b/>
          <w:kern w:val="0"/>
          <w:sz w:val="28"/>
          <w:szCs w:val="28"/>
        </w:rPr>
        <w:sectPr w:rsidR="007B7D9B" w:rsidSect="000E4ECD">
          <w:pgSz w:w="11906" w:h="16838"/>
          <w:pgMar w:top="1418" w:right="1134" w:bottom="1418" w:left="1134" w:header="340" w:footer="340" w:gutter="0"/>
          <w:cols w:space="720"/>
          <w:docGrid w:linePitch="326"/>
        </w:sectPr>
      </w:pPr>
      <w:r>
        <w:rPr>
          <w:rFonts w:ascii="微軟正黑體" w:eastAsia="微軟正黑體" w:hAnsi="微軟正黑體"/>
          <w:b/>
          <w:noProof/>
          <w:sz w:val="36"/>
          <w:szCs w:val="36"/>
        </w:rPr>
        <w:lastRenderedPageBreak/>
        <mc:AlternateContent>
          <mc:Choice Requires="wps">
            <w:drawing>
              <wp:anchor distT="0" distB="0" distL="114300" distR="114300" simplePos="0" relativeHeight="252656640" behindDoc="0" locked="0" layoutInCell="1" allowOverlap="1" wp14:anchorId="4A6D6434" wp14:editId="61AA0D42">
                <wp:simplePos x="0" y="0"/>
                <wp:positionH relativeFrom="column">
                  <wp:posOffset>-34290</wp:posOffset>
                </wp:positionH>
                <wp:positionV relativeFrom="paragraph">
                  <wp:posOffset>9348470</wp:posOffset>
                </wp:positionV>
                <wp:extent cx="352425" cy="219075"/>
                <wp:effectExtent l="0" t="0" r="9525" b="9525"/>
                <wp:wrapNone/>
                <wp:docPr id="12" name="矩形 12"/>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 o:spid="_x0000_s1026" style="position:absolute;margin-left:-2.7pt;margin-top:736.1pt;width:27.75pt;height:17.25pt;z-index:25265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" fillcolor="white [3212]" stroked="f" strokeweight="2pt"/>
            </w:pict>
          </mc:Fallback>
        </mc:AlternateContent>
      </w:r>
    </w:p>
    <w:p w:rsidR="00AB35C0" w:rsidRDefault="00AB35C0" w:rsidP="00AB35C0">
      <w:pPr>
        <w:widowControl/>
      </w:pPr>
    </w:p>
    <w:p w:rsidR="00AB35C0" w:rsidRPr="008F120E" w:rsidRDefault="00AB35C0" w:rsidP="00AB35C0">
      <w:pPr>
        <w:snapToGrid w:val="0"/>
        <w:spacing w:line="600" w:lineRule="exact"/>
        <w:jc w:val="center"/>
        <w:rPr>
          <w:rFonts w:ascii="微軟正黑體" w:eastAsia="微軟正黑體" w:hAnsi="微軟正黑體"/>
          <w:b/>
          <w:sz w:val="60"/>
          <w:szCs w:val="60"/>
        </w:rPr>
      </w:pPr>
      <w:r w:rsidRPr="00DC612B">
        <w:rPr>
          <w:rFonts w:ascii="微軟正黑體" w:eastAsia="微軟正黑體" w:hAnsi="微軟正黑體"/>
          <w:b/>
          <w:noProof/>
          <w:sz w:val="36"/>
          <w:szCs w:val="36"/>
        </w:rPr>
        <mc:AlternateContent>
          <mc:Choice Requires="wps">
            <w:drawing>
              <wp:anchor distT="0" distB="0" distL="114300" distR="114300" simplePos="0" relativeHeight="252444672" behindDoc="0" locked="0" layoutInCell="1" allowOverlap="1" wp14:anchorId="76210544" wp14:editId="6BD3FFCE">
                <wp:simplePos x="0" y="0"/>
                <wp:positionH relativeFrom="column">
                  <wp:posOffset>730250</wp:posOffset>
                </wp:positionH>
                <wp:positionV relativeFrom="paragraph">
                  <wp:posOffset>-662940</wp:posOffset>
                </wp:positionV>
                <wp:extent cx="45719" cy="11112500"/>
                <wp:effectExtent l="0" t="0" r="0" b="0"/>
                <wp:wrapNone/>
                <wp:docPr id="215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11112500"/>
                        </a:xfrm>
                        <a:prstGeom prst="rect">
                          <a:avLst/>
                        </a:prstGeom>
                        <a:solidFill>
                          <a:schemeClr val="accent4">
                            <a:lumMod val="60000"/>
                            <a:lumOff val="40000"/>
                          </a:schemeClr>
                        </a:solidFill>
                        <a:ln w="9525">
                          <a:noFill/>
                          <a:miter lim="800000"/>
                          <a:headEnd/>
                          <a:tailEnd/>
                        </a:ln>
                      </wps:spPr>
                      <wps:txbx>
                        <w:txbxContent>
                          <w:p w:rsidR="00745375" w:rsidRPr="00DC612B" w:rsidRDefault="00745375" w:rsidP="00AB35C0">
                            <w:pPr>
                              <w:jc w:val="center"/>
                              <w:rPr>
                                <w:rFonts w:ascii="微軟正黑體" w:eastAsia="微軟正黑體" w:hAnsi="微軟正黑體"/>
                                <w:sz w:val="120"/>
                                <w:szCs w:val="12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57.5pt;margin-top:-52.2pt;width:3.6pt;height:8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" fillcolor="#b2a1c7 [1943]" stroked="f">
                <v:textbox>
                  <w:txbxContent>
                    <w:p w:rsidR="00745375" w:rsidRPr="00DC612B" w:rsidRDefault="00745375" w:rsidP="00AB35C0">
                      <w:pPr>
                        <w:jc w:val="center"/>
                        <w:rPr>
                          <w:rFonts w:ascii="微軟正黑體" w:eastAsia="微軟正黑體" w:hAnsi="微軟正黑體"/>
                          <w:sz w:val="120"/>
                          <w:szCs w:val="120"/>
                        </w:rPr>
                      </w:pPr>
                    </w:p>
                  </w:txbxContent>
                </v:textbox>
              </v:shape>
            </w:pict>
          </mc:Fallback>
        </mc:AlternateContent>
      </w:r>
    </w:p>
    <w:p w:rsidR="00AB35C0" w:rsidRDefault="00AB35C0" w:rsidP="00AB35C0">
      <w:pPr>
        <w:snapToGrid w:val="0"/>
        <w:spacing w:line="700" w:lineRule="exact"/>
        <w:ind w:leftChars="590" w:left="1416" w:rightChars="-118" w:right="-283"/>
        <w:jc w:val="center"/>
        <w:rPr>
          <w:rFonts w:ascii="微軟正黑體" w:eastAsia="微軟正黑體" w:hAnsi="微軟正黑體"/>
          <w:b/>
          <w:sz w:val="60"/>
          <w:szCs w:val="60"/>
        </w:rPr>
      </w:pPr>
      <w:r w:rsidRPr="00B35F6C">
        <w:rPr>
          <w:noProof/>
          <w:sz w:val="32"/>
          <w:szCs w:val="32"/>
        </w:rPr>
        <w:drawing>
          <wp:anchor distT="0" distB="0" distL="114300" distR="114300" simplePos="0" relativeHeight="252447744" behindDoc="0" locked="0" layoutInCell="1" allowOverlap="1" wp14:anchorId="3F0976A6" wp14:editId="69199F09">
            <wp:simplePos x="0" y="0"/>
            <wp:positionH relativeFrom="column">
              <wp:posOffset>-702310</wp:posOffset>
            </wp:positionH>
            <wp:positionV relativeFrom="paragraph">
              <wp:posOffset>179070</wp:posOffset>
            </wp:positionV>
            <wp:extent cx="1356360" cy="1258616"/>
            <wp:effectExtent l="0" t="0" r="0" b="0"/>
            <wp:wrapNone/>
            <wp:docPr id="21513" name="圖片 21513" descr="C:\Users\sakula\AppData\Local\Microsoft\Windows\Temporary Internet Files\Content.IE5\5RK88M22\le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kula\AppData\Local\Microsoft\Windows\Temporary Internet Files\Content.IE5\5RK88M22\lectu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942"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35C0" w:rsidRPr="006421C2" w:rsidRDefault="00AB35C0" w:rsidP="00AB35C0">
      <w:pPr>
        <w:snapToGrid w:val="0"/>
        <w:spacing w:line="700" w:lineRule="exact"/>
        <w:ind w:leftChars="590" w:left="1416" w:rightChars="-118" w:right="-283"/>
        <w:jc w:val="center"/>
        <w:rPr>
          <w:rFonts w:ascii="微軟正黑體" w:eastAsia="微軟正黑體" w:hAnsi="微軟正黑體"/>
          <w:b/>
          <w:sz w:val="36"/>
          <w:szCs w:val="36"/>
        </w:rPr>
      </w:pPr>
    </w:p>
    <w:p w:rsidR="00AB35C0" w:rsidRDefault="00AB35C0" w:rsidP="00AB35C0">
      <w:pPr>
        <w:snapToGrid w:val="0"/>
        <w:spacing w:line="400" w:lineRule="exact"/>
        <w:jc w:val="right"/>
        <w:rPr>
          <w:rFonts w:ascii="微軟正黑體" w:eastAsia="微軟正黑體" w:hAnsi="微軟正黑體"/>
          <w:b/>
        </w:rPr>
      </w:pPr>
    </w:p>
    <w:p w:rsidR="00AB35C0" w:rsidRPr="000656C6" w:rsidRDefault="00AB35C0" w:rsidP="00AB35C0">
      <w:pPr>
        <w:snapToGrid w:val="0"/>
        <w:spacing w:line="400" w:lineRule="exact"/>
        <w:ind w:rightChars="-118" w:right="-283"/>
        <w:jc w:val="right"/>
        <w:rPr>
          <w:rFonts w:ascii="微軟正黑體" w:eastAsia="微軟正黑體" w:hAnsi="微軟正黑體"/>
        </w:rPr>
      </w:pPr>
    </w:p>
    <w:p w:rsidR="00AB35C0" w:rsidRDefault="00BC07C2" w:rsidP="00AB35C0">
      <w:pPr>
        <w:snapToGrid w:val="0"/>
        <w:spacing w:line="600" w:lineRule="exact"/>
        <w:jc w:val="right"/>
        <w:rPr>
          <w:rFonts w:ascii="微軟正黑體" w:eastAsia="微軟正黑體" w:hAnsi="微軟正黑體"/>
          <w:b/>
          <w:sz w:val="36"/>
          <w:szCs w:val="36"/>
        </w:rPr>
      </w:pPr>
      <w:r w:rsidRPr="00E01F34">
        <w:rPr>
          <w:rFonts w:ascii="微軟正黑體" w:eastAsia="微軟正黑體" w:hAnsi="微軟正黑體"/>
          <w:b/>
          <w:noProof/>
          <w:sz w:val="36"/>
          <w:szCs w:val="36"/>
        </w:rPr>
        <mc:AlternateContent>
          <mc:Choice Requires="wps">
            <w:drawing>
              <wp:anchor distT="0" distB="0" distL="114300" distR="114300" simplePos="0" relativeHeight="252476416" behindDoc="1" locked="0" layoutInCell="1" allowOverlap="1" wp14:anchorId="3439B61C" wp14:editId="250C2E0F">
                <wp:simplePos x="0" y="0"/>
                <wp:positionH relativeFrom="column">
                  <wp:posOffset>766445</wp:posOffset>
                </wp:positionH>
                <wp:positionV relativeFrom="paragraph">
                  <wp:posOffset>254634</wp:posOffset>
                </wp:positionV>
                <wp:extent cx="5937885" cy="3914775"/>
                <wp:effectExtent l="0" t="0" r="5715" b="9525"/>
                <wp:wrapNone/>
                <wp:docPr id="215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914775"/>
                        </a:xfrm>
                        <a:prstGeom prst="rect">
                          <a:avLst/>
                        </a:prstGeom>
                        <a:solidFill>
                          <a:schemeClr val="accent4">
                            <a:lumMod val="20000"/>
                            <a:lumOff val="80000"/>
                          </a:schemeClr>
                        </a:solidFill>
                        <a:ln w="9525">
                          <a:noFill/>
                          <a:miter lim="800000"/>
                          <a:headEnd/>
                          <a:tailEnd/>
                        </a:ln>
                      </wps:spPr>
                      <wps:txbx>
                        <w:txbxContent>
                          <w:p w:rsidR="00745375" w:rsidRDefault="00745375" w:rsidP="00712C02">
                            <w:pPr>
                              <w:snapToGrid w:val="0"/>
                              <w:spacing w:line="600" w:lineRule="exact"/>
                              <w:ind w:rightChars="225" w:right="540"/>
                              <w:rPr>
                                <w:rFonts w:ascii="微軟正黑體" w:eastAsia="微軟正黑體" w:hAnsi="微軟正黑體"/>
                                <w:b/>
                                <w:sz w:val="40"/>
                                <w:szCs w:val="40"/>
                              </w:rPr>
                            </w:pPr>
                            <w:r w:rsidRPr="00E3502B">
                              <w:rPr>
                                <w:rFonts w:ascii="微軟正黑體" w:eastAsia="微軟正黑體" w:hAnsi="微軟正黑體" w:hint="eastAsia"/>
                                <w:b/>
                                <w:sz w:val="40"/>
                                <w:szCs w:val="40"/>
                              </w:rPr>
                              <w:t>高齡化趨勢下的勞保老年年金財務規劃：</w:t>
                            </w:r>
                            <w:r>
                              <w:rPr>
                                <w:rFonts w:ascii="微軟正黑體" w:eastAsia="微軟正黑體" w:hAnsi="微軟正黑體" w:hint="eastAsia"/>
                                <w:b/>
                                <w:sz w:val="40"/>
                                <w:szCs w:val="40"/>
                              </w:rPr>
                              <w:t xml:space="preserve">借鏡  </w:t>
                            </w:r>
                            <w:r w:rsidRPr="00E3502B">
                              <w:rPr>
                                <w:rFonts w:ascii="微軟正黑體" w:eastAsia="微軟正黑體" w:hAnsi="微軟正黑體" w:hint="eastAsia"/>
                                <w:b/>
                                <w:sz w:val="40"/>
                                <w:szCs w:val="40"/>
                              </w:rPr>
                              <w:t>德國與日本</w:t>
                            </w:r>
                          </w:p>
                          <w:p w:rsidR="00745375" w:rsidRDefault="00745375" w:rsidP="00712C02">
                            <w:pPr>
                              <w:wordWrap w:val="0"/>
                              <w:snapToGrid w:val="0"/>
                              <w:spacing w:line="600" w:lineRule="exact"/>
                              <w:ind w:right="540" w:firstLineChars="500" w:firstLine="1600"/>
                              <w:jc w:val="right"/>
                              <w:rPr>
                                <w:rFonts w:ascii="微軟正黑體" w:eastAsia="微軟正黑體" w:hAnsi="微軟正黑體"/>
                                <w:b/>
                                <w:sz w:val="32"/>
                                <w:szCs w:val="32"/>
                              </w:rPr>
                            </w:pPr>
                            <w:r>
                              <w:rPr>
                                <w:rFonts w:ascii="微軟正黑體" w:eastAsia="微軟正黑體" w:hAnsi="微軟正黑體" w:hint="eastAsia"/>
                                <w:b/>
                                <w:sz w:val="32"/>
                                <w:szCs w:val="32"/>
                              </w:rPr>
                              <w:t>南臺科技大學財務金融系副教授　王靜怡</w:t>
                            </w:r>
                          </w:p>
                          <w:p w:rsidR="00745375" w:rsidRPr="006421C2" w:rsidRDefault="00745375" w:rsidP="00712C02">
                            <w:pPr>
                              <w:snapToGrid w:val="0"/>
                              <w:spacing w:line="600" w:lineRule="exact"/>
                              <w:ind w:right="540" w:firstLineChars="500" w:firstLine="1600"/>
                              <w:jc w:val="right"/>
                              <w:rPr>
                                <w:rFonts w:ascii="微軟正黑體" w:eastAsia="微軟正黑體" w:hAnsi="微軟正黑體"/>
                                <w:b/>
                                <w:sz w:val="32"/>
                                <w:szCs w:val="32"/>
                              </w:rPr>
                            </w:pPr>
                            <w:r w:rsidRPr="00437739">
                              <w:rPr>
                                <w:rFonts w:ascii="微軟正黑體" w:eastAsia="微軟正黑體" w:hAnsi="微軟正黑體" w:hint="eastAsia"/>
                                <w:b/>
                                <w:sz w:val="32"/>
                                <w:szCs w:val="32"/>
                              </w:rPr>
                              <w:t>中正大學社會福利學系</w:t>
                            </w:r>
                            <w:r>
                              <w:rPr>
                                <w:rFonts w:ascii="微軟正黑體" w:eastAsia="微軟正黑體" w:hAnsi="微軟正黑體" w:hint="eastAsia"/>
                                <w:b/>
                                <w:sz w:val="32"/>
                                <w:szCs w:val="32"/>
                              </w:rPr>
                              <w:t>教授  鄭清霞</w:t>
                            </w:r>
                          </w:p>
                          <w:p w:rsidR="00745375" w:rsidRPr="006421C2" w:rsidRDefault="00745375" w:rsidP="00BC07C2">
                            <w:pPr>
                              <w:snapToGrid w:val="0"/>
                              <w:spacing w:line="600" w:lineRule="exact"/>
                              <w:ind w:firstLineChars="200" w:firstLine="800"/>
                              <w:rPr>
                                <w:rFonts w:ascii="微軟正黑體" w:eastAsia="微軟正黑體" w:hAnsi="微軟正黑體"/>
                                <w:b/>
                                <w:sz w:val="40"/>
                                <w:szCs w:val="40"/>
                              </w:rPr>
                            </w:pPr>
                          </w:p>
                          <w:p w:rsidR="00745375" w:rsidRDefault="00745375" w:rsidP="00712C02">
                            <w:pPr>
                              <w:spacing w:line="600" w:lineRule="exact"/>
                              <w:ind w:rightChars="225" w:right="540"/>
                              <w:rPr>
                                <w:rFonts w:ascii="微軟正黑體" w:eastAsia="微軟正黑體" w:hAnsi="微軟正黑體"/>
                                <w:b/>
                                <w:sz w:val="40"/>
                                <w:szCs w:val="40"/>
                              </w:rPr>
                            </w:pPr>
                            <w:r w:rsidRPr="00E3502B">
                              <w:rPr>
                                <w:rFonts w:ascii="微軟正黑體" w:eastAsia="微軟正黑體" w:hAnsi="微軟正黑體" w:hint="eastAsia"/>
                                <w:b/>
                                <w:sz w:val="40"/>
                                <w:szCs w:val="40"/>
                              </w:rPr>
                              <w:t>全球化與高齡化浪潮下的台灣銀髮與高齡就業</w:t>
                            </w:r>
                          </w:p>
                          <w:p w:rsidR="00745375" w:rsidRDefault="00745375" w:rsidP="00712C02">
                            <w:pPr>
                              <w:spacing w:line="600" w:lineRule="exact"/>
                              <w:ind w:rightChars="225" w:right="540"/>
                              <w:rPr>
                                <w:rFonts w:ascii="微軟正黑體" w:eastAsia="微軟正黑體" w:hAnsi="微軟正黑體"/>
                                <w:b/>
                                <w:sz w:val="40"/>
                                <w:szCs w:val="40"/>
                              </w:rPr>
                            </w:pPr>
                            <w:r w:rsidRPr="00E3502B">
                              <w:rPr>
                                <w:rFonts w:ascii="微軟正黑體" w:eastAsia="微軟正黑體" w:hAnsi="微軟正黑體" w:hint="eastAsia"/>
                                <w:b/>
                                <w:sz w:val="40"/>
                                <w:szCs w:val="40"/>
                              </w:rPr>
                              <w:t>及老年經濟安全：催生社會團結經濟與融合性</w:t>
                            </w:r>
                          </w:p>
                          <w:p w:rsidR="00745375" w:rsidRDefault="00745375" w:rsidP="00712C02">
                            <w:pPr>
                              <w:spacing w:line="600" w:lineRule="exact"/>
                              <w:ind w:rightChars="225" w:right="540"/>
                              <w:rPr>
                                <w:rFonts w:ascii="微軟正黑體" w:eastAsia="微軟正黑體" w:hAnsi="微軟正黑體"/>
                                <w:b/>
                                <w:sz w:val="40"/>
                                <w:szCs w:val="40"/>
                              </w:rPr>
                            </w:pPr>
                            <w:r w:rsidRPr="00E3502B">
                              <w:rPr>
                                <w:rFonts w:ascii="微軟正黑體" w:eastAsia="微軟正黑體" w:hAnsi="微軟正黑體" w:hint="eastAsia"/>
                                <w:b/>
                                <w:sz w:val="40"/>
                                <w:szCs w:val="40"/>
                              </w:rPr>
                              <w:t>就業政策</w:t>
                            </w:r>
                          </w:p>
                          <w:p w:rsidR="00745375" w:rsidRPr="006421C2" w:rsidRDefault="00745375" w:rsidP="00712C02">
                            <w:pPr>
                              <w:ind w:rightChars="225" w:right="540"/>
                              <w:jc w:val="right"/>
                              <w:rPr>
                                <w:b/>
                                <w:sz w:val="32"/>
                                <w:szCs w:val="32"/>
                              </w:rPr>
                            </w:pPr>
                            <w:r w:rsidRPr="00437739">
                              <w:rPr>
                                <w:rFonts w:ascii="微軟正黑體" w:eastAsia="微軟正黑體" w:hAnsi="微軟正黑體" w:hint="eastAsia"/>
                                <w:b/>
                                <w:sz w:val="32"/>
                                <w:szCs w:val="32"/>
                              </w:rPr>
                              <w:t>中正大學勞工關係學系</w:t>
                            </w:r>
                            <w:r>
                              <w:rPr>
                                <w:rFonts w:ascii="微軟正黑體" w:eastAsia="微軟正黑體" w:hAnsi="微軟正黑體" w:hint="eastAsia"/>
                                <w:b/>
                                <w:sz w:val="32"/>
                                <w:szCs w:val="32"/>
                              </w:rPr>
                              <w:t>教授  周玟琪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60.35pt;margin-top:20.05pt;width:467.55pt;height:308.25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" fillcolor="#e5dfec [663]" stroked="f">
                <v:textbox>
                  <w:txbxContent>
                    <w:p w:rsidR="00745375" w:rsidRDefault="00745375" w:rsidP="00712C02">
                      <w:pPr>
                        <w:snapToGrid w:val="0"/>
                        <w:spacing w:line="600" w:lineRule="exact"/>
                        <w:ind w:rightChars="225" w:right="540"/>
                        <w:rPr>
                          <w:rFonts w:ascii="微軟正黑體" w:eastAsia="微軟正黑體" w:hAnsi="微軟正黑體"/>
                          <w:b/>
                          <w:sz w:val="40"/>
                          <w:szCs w:val="40"/>
                        </w:rPr>
                      </w:pPr>
                      <w:r w:rsidRPr="00E3502B">
                        <w:rPr>
                          <w:rFonts w:ascii="微軟正黑體" w:eastAsia="微軟正黑體" w:hAnsi="微軟正黑體" w:hint="eastAsia"/>
                          <w:b/>
                          <w:sz w:val="40"/>
                          <w:szCs w:val="40"/>
                        </w:rPr>
                        <w:t>高齡化趨勢下的勞保老年年金財務規劃：</w:t>
                      </w:r>
                      <w:r>
                        <w:rPr>
                          <w:rFonts w:ascii="微軟正黑體" w:eastAsia="微軟正黑體" w:hAnsi="微軟正黑體" w:hint="eastAsia"/>
                          <w:b/>
                          <w:sz w:val="40"/>
                          <w:szCs w:val="40"/>
                        </w:rPr>
                        <w:t xml:space="preserve">借鏡  </w:t>
                      </w:r>
                      <w:r w:rsidRPr="00E3502B">
                        <w:rPr>
                          <w:rFonts w:ascii="微軟正黑體" w:eastAsia="微軟正黑體" w:hAnsi="微軟正黑體" w:hint="eastAsia"/>
                          <w:b/>
                          <w:sz w:val="40"/>
                          <w:szCs w:val="40"/>
                        </w:rPr>
                        <w:t>德國與日本</w:t>
                      </w:r>
                    </w:p>
                    <w:p w:rsidR="00745375" w:rsidRDefault="00745375" w:rsidP="00712C02">
                      <w:pPr>
                        <w:wordWrap w:val="0"/>
                        <w:snapToGrid w:val="0"/>
                        <w:spacing w:line="600" w:lineRule="exact"/>
                        <w:ind w:right="540" w:firstLineChars="500" w:firstLine="1600"/>
                        <w:jc w:val="right"/>
                        <w:rPr>
                          <w:rFonts w:ascii="微軟正黑體" w:eastAsia="微軟正黑體" w:hAnsi="微軟正黑體"/>
                          <w:b/>
                          <w:sz w:val="32"/>
                          <w:szCs w:val="32"/>
                        </w:rPr>
                      </w:pPr>
                      <w:r>
                        <w:rPr>
                          <w:rFonts w:ascii="微軟正黑體" w:eastAsia="微軟正黑體" w:hAnsi="微軟正黑體" w:hint="eastAsia"/>
                          <w:b/>
                          <w:sz w:val="32"/>
                          <w:szCs w:val="32"/>
                        </w:rPr>
                        <w:t>南臺科技大學財務金融系副教授　王靜怡</w:t>
                      </w:r>
                    </w:p>
                    <w:p w:rsidR="00745375" w:rsidRPr="006421C2" w:rsidRDefault="00745375" w:rsidP="00712C02">
                      <w:pPr>
                        <w:snapToGrid w:val="0"/>
                        <w:spacing w:line="600" w:lineRule="exact"/>
                        <w:ind w:right="540" w:firstLineChars="500" w:firstLine="1600"/>
                        <w:jc w:val="right"/>
                        <w:rPr>
                          <w:rFonts w:ascii="微軟正黑體" w:eastAsia="微軟正黑體" w:hAnsi="微軟正黑體"/>
                          <w:b/>
                          <w:sz w:val="32"/>
                          <w:szCs w:val="32"/>
                        </w:rPr>
                      </w:pPr>
                      <w:r w:rsidRPr="00437739">
                        <w:rPr>
                          <w:rFonts w:ascii="微軟正黑體" w:eastAsia="微軟正黑體" w:hAnsi="微軟正黑體" w:hint="eastAsia"/>
                          <w:b/>
                          <w:sz w:val="32"/>
                          <w:szCs w:val="32"/>
                        </w:rPr>
                        <w:t>中正大學社會福利學系</w:t>
                      </w:r>
                      <w:r>
                        <w:rPr>
                          <w:rFonts w:ascii="微軟正黑體" w:eastAsia="微軟正黑體" w:hAnsi="微軟正黑體" w:hint="eastAsia"/>
                          <w:b/>
                          <w:sz w:val="32"/>
                          <w:szCs w:val="32"/>
                        </w:rPr>
                        <w:t>教授  鄭清霞</w:t>
                      </w:r>
                    </w:p>
                    <w:p w:rsidR="00745375" w:rsidRPr="006421C2" w:rsidRDefault="00745375" w:rsidP="00BC07C2">
                      <w:pPr>
                        <w:snapToGrid w:val="0"/>
                        <w:spacing w:line="600" w:lineRule="exact"/>
                        <w:ind w:firstLineChars="200" w:firstLine="800"/>
                        <w:rPr>
                          <w:rFonts w:ascii="微軟正黑體" w:eastAsia="微軟正黑體" w:hAnsi="微軟正黑體"/>
                          <w:b/>
                          <w:sz w:val="40"/>
                          <w:szCs w:val="40"/>
                        </w:rPr>
                      </w:pPr>
                    </w:p>
                    <w:p w:rsidR="00745375" w:rsidRDefault="00745375" w:rsidP="00712C02">
                      <w:pPr>
                        <w:spacing w:line="600" w:lineRule="exact"/>
                        <w:ind w:rightChars="225" w:right="540"/>
                        <w:rPr>
                          <w:rFonts w:ascii="微軟正黑體" w:eastAsia="微軟正黑體" w:hAnsi="微軟正黑體"/>
                          <w:b/>
                          <w:sz w:val="40"/>
                          <w:szCs w:val="40"/>
                        </w:rPr>
                      </w:pPr>
                      <w:r w:rsidRPr="00E3502B">
                        <w:rPr>
                          <w:rFonts w:ascii="微軟正黑體" w:eastAsia="微軟正黑體" w:hAnsi="微軟正黑體" w:hint="eastAsia"/>
                          <w:b/>
                          <w:sz w:val="40"/>
                          <w:szCs w:val="40"/>
                        </w:rPr>
                        <w:t>全球化與高齡化浪潮下的台灣銀髮與高齡就業</w:t>
                      </w:r>
                    </w:p>
                    <w:p w:rsidR="00745375" w:rsidRDefault="00745375" w:rsidP="00712C02">
                      <w:pPr>
                        <w:spacing w:line="600" w:lineRule="exact"/>
                        <w:ind w:rightChars="225" w:right="540"/>
                        <w:rPr>
                          <w:rFonts w:ascii="微軟正黑體" w:eastAsia="微軟正黑體" w:hAnsi="微軟正黑體"/>
                          <w:b/>
                          <w:sz w:val="40"/>
                          <w:szCs w:val="40"/>
                        </w:rPr>
                      </w:pPr>
                      <w:r w:rsidRPr="00E3502B">
                        <w:rPr>
                          <w:rFonts w:ascii="微軟正黑體" w:eastAsia="微軟正黑體" w:hAnsi="微軟正黑體" w:hint="eastAsia"/>
                          <w:b/>
                          <w:sz w:val="40"/>
                          <w:szCs w:val="40"/>
                        </w:rPr>
                        <w:t>及老年經濟安全：催生社會團結經濟與融合性</w:t>
                      </w:r>
                    </w:p>
                    <w:p w:rsidR="00745375" w:rsidRDefault="00745375" w:rsidP="00712C02">
                      <w:pPr>
                        <w:spacing w:line="600" w:lineRule="exact"/>
                        <w:ind w:rightChars="225" w:right="540"/>
                        <w:rPr>
                          <w:rFonts w:ascii="微軟正黑體" w:eastAsia="微軟正黑體" w:hAnsi="微軟正黑體"/>
                          <w:b/>
                          <w:sz w:val="40"/>
                          <w:szCs w:val="40"/>
                        </w:rPr>
                      </w:pPr>
                      <w:r w:rsidRPr="00E3502B">
                        <w:rPr>
                          <w:rFonts w:ascii="微軟正黑體" w:eastAsia="微軟正黑體" w:hAnsi="微軟正黑體" w:hint="eastAsia"/>
                          <w:b/>
                          <w:sz w:val="40"/>
                          <w:szCs w:val="40"/>
                        </w:rPr>
                        <w:t>就業政策</w:t>
                      </w:r>
                    </w:p>
                    <w:p w:rsidR="00745375" w:rsidRPr="006421C2" w:rsidRDefault="00745375" w:rsidP="00712C02">
                      <w:pPr>
                        <w:ind w:rightChars="225" w:right="540"/>
                        <w:jc w:val="right"/>
                        <w:rPr>
                          <w:b/>
                          <w:sz w:val="32"/>
                          <w:szCs w:val="32"/>
                        </w:rPr>
                      </w:pPr>
                      <w:r w:rsidRPr="00437739">
                        <w:rPr>
                          <w:rFonts w:ascii="微軟正黑體" w:eastAsia="微軟正黑體" w:hAnsi="微軟正黑體" w:hint="eastAsia"/>
                          <w:b/>
                          <w:sz w:val="32"/>
                          <w:szCs w:val="32"/>
                        </w:rPr>
                        <w:t>中正大學勞工關係學系</w:t>
                      </w:r>
                      <w:r>
                        <w:rPr>
                          <w:rFonts w:ascii="微軟正黑體" w:eastAsia="微軟正黑體" w:hAnsi="微軟正黑體" w:hint="eastAsia"/>
                          <w:b/>
                          <w:sz w:val="32"/>
                          <w:szCs w:val="32"/>
                        </w:rPr>
                        <w:t>教授  周玟琪</w:t>
                      </w:r>
                    </w:p>
                  </w:txbxContent>
                </v:textbox>
              </v:shape>
            </w:pict>
          </mc:Fallback>
        </mc:AlternateContent>
      </w:r>
    </w:p>
    <w:p w:rsidR="00AB35C0" w:rsidRDefault="00AB35C0" w:rsidP="00AB35C0">
      <w:pPr>
        <w:snapToGrid w:val="0"/>
        <w:spacing w:line="600" w:lineRule="exact"/>
        <w:rPr>
          <w:rFonts w:ascii="微軟正黑體" w:eastAsia="微軟正黑體" w:hAnsi="微軟正黑體"/>
          <w:b/>
          <w:sz w:val="40"/>
          <w:szCs w:val="40"/>
        </w:rPr>
      </w:pPr>
      <w:r>
        <w:rPr>
          <w:noProof/>
        </w:rPr>
        <mc:AlternateContent>
          <mc:Choice Requires="wps">
            <w:drawing>
              <wp:anchor distT="0" distB="0" distL="114300" distR="114300" simplePos="0" relativeHeight="252445696" behindDoc="0" locked="0" layoutInCell="1" allowOverlap="1" wp14:anchorId="21E0D650" wp14:editId="498A8FCE">
                <wp:simplePos x="0" y="0"/>
                <wp:positionH relativeFrom="column">
                  <wp:posOffset>-960120</wp:posOffset>
                </wp:positionH>
                <wp:positionV relativeFrom="paragraph">
                  <wp:posOffset>259080</wp:posOffset>
                </wp:positionV>
                <wp:extent cx="1727200" cy="6286500"/>
                <wp:effectExtent l="0" t="0" r="0" b="0"/>
                <wp:wrapNone/>
                <wp:docPr id="21512" name="文字方塊 21512"/>
                <wp:cNvGraphicFramePr/>
                <a:graphic xmlns:a="http://schemas.openxmlformats.org/drawingml/2006/main">
                  <a:graphicData uri="http://schemas.microsoft.com/office/word/2010/wordprocessingShape">
                    <wps:wsp>
                      <wps:cNvSpPr txBox="1"/>
                      <wps:spPr>
                        <a:xfrm>
                          <a:off x="0" y="0"/>
                          <a:ext cx="1727200" cy="6286500"/>
                        </a:xfrm>
                        <a:prstGeom prst="rect">
                          <a:avLst/>
                        </a:prstGeom>
                        <a:noFill/>
                        <a:ln>
                          <a:noFill/>
                        </a:ln>
                        <a:effectLst/>
                      </wps:spPr>
                      <wps:txbx>
                        <w:txbxContent>
                          <w:p w:rsidR="00745375" w:rsidRPr="00DC612B" w:rsidRDefault="00745375" w:rsidP="00AB35C0">
                            <w:pPr>
                              <w:rPr>
                                <w:rFonts w:ascii="微軟正黑體" w:eastAsia="微軟正黑體" w:hAnsi="微軟正黑體"/>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微軟正黑體" w:eastAsia="微軟正黑體" w:hAnsi="微軟正黑體" w:hint="eastAsia"/>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名 家 觀 點</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1512" o:spid="_x0000_s1057" type="#_x0000_t202" style="position:absolute;margin-left:-75.6pt;margin-top:20.4pt;width:136pt;height:49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" filled="f" stroked="f">
                <v:textbox style="layout-flow:vertical-ideographic">
                  <w:txbxContent>
                    <w:p w:rsidR="00745375" w:rsidRPr="00DC612B" w:rsidRDefault="00745375" w:rsidP="00AB35C0">
                      <w:pPr>
                        <w:rPr>
                          <w:rFonts w:ascii="微軟正黑體" w:eastAsia="微軟正黑體" w:hAnsi="微軟正黑體"/>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微軟正黑體" w:eastAsia="微軟正黑體" w:hAnsi="微軟正黑體" w:hint="eastAsia"/>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名 家 觀 點</w:t>
                      </w:r>
                    </w:p>
                  </w:txbxContent>
                </v:textbox>
              </v:shape>
            </w:pict>
          </mc:Fallback>
        </mc:AlternateContent>
      </w:r>
    </w:p>
    <w:p w:rsidR="00AB35C0" w:rsidRDefault="00AB35C0" w:rsidP="00AB35C0">
      <w:pPr>
        <w:snapToGrid w:val="0"/>
        <w:spacing w:line="600" w:lineRule="exact"/>
        <w:rPr>
          <w:rFonts w:ascii="微軟正黑體" w:eastAsia="微軟正黑體" w:hAnsi="微軟正黑體"/>
          <w:b/>
          <w:sz w:val="40"/>
          <w:szCs w:val="40"/>
        </w:rPr>
      </w:pPr>
    </w:p>
    <w:p w:rsidR="00AB35C0" w:rsidRDefault="00AB35C0" w:rsidP="00AB35C0">
      <w:pPr>
        <w:snapToGrid w:val="0"/>
        <w:spacing w:line="600" w:lineRule="exact"/>
        <w:rPr>
          <w:rFonts w:ascii="微軟正黑體" w:eastAsia="微軟正黑體" w:hAnsi="微軟正黑體"/>
          <w:b/>
          <w:sz w:val="40"/>
          <w:szCs w:val="40"/>
        </w:rPr>
      </w:pPr>
    </w:p>
    <w:p w:rsidR="00AB35C0" w:rsidRPr="00437739" w:rsidRDefault="00AB35C0" w:rsidP="00437739">
      <w:pPr>
        <w:tabs>
          <w:tab w:val="left" w:pos="1364"/>
        </w:tabs>
        <w:snapToGrid w:val="0"/>
        <w:spacing w:line="600" w:lineRule="exact"/>
        <w:rPr>
          <w:rFonts w:ascii="微軟正黑體" w:eastAsia="微軟正黑體" w:hAnsi="微軟正黑體"/>
          <w:b/>
          <w:sz w:val="40"/>
          <w:szCs w:val="40"/>
        </w:rPr>
        <w:sectPr w:rsidR="00AB35C0" w:rsidRPr="00437739" w:rsidSect="00A11EF4">
          <w:headerReference w:type="default" r:id="rId136"/>
          <w:footerReference w:type="first" r:id="rId137"/>
          <w:pgSz w:w="11907" w:h="16839" w:code="9"/>
          <w:pgMar w:top="1134" w:right="1418" w:bottom="1134" w:left="1418" w:header="340" w:footer="340" w:gutter="0"/>
          <w:cols w:space="425"/>
          <w:titlePg/>
          <w:docGrid w:type="lines" w:linePitch="360"/>
        </w:sectPr>
      </w:pPr>
      <w:r>
        <w:rPr>
          <w:rFonts w:ascii="微軟正黑體" w:eastAsia="微軟正黑體" w:hAnsi="微軟正黑體"/>
          <w:b/>
          <w:sz w:val="40"/>
          <w:szCs w:val="40"/>
        </w:rPr>
        <w:tab/>
      </w:r>
      <w:r>
        <w:rPr>
          <w:rFonts w:ascii="微軟正黑體" w:eastAsia="微軟正黑體" w:hAnsi="微軟正黑體"/>
          <w:b/>
          <w:sz w:val="40"/>
          <w:szCs w:val="40"/>
        </w:rPr>
        <w:br w:type="page"/>
      </w:r>
    </w:p>
    <w:p w:rsidR="00AB35C0" w:rsidRDefault="00AB35C0" w:rsidP="00AB35C0">
      <w:pPr>
        <w:widowControl/>
        <w:rPr>
          <w:rFonts w:ascii="微軟正黑體" w:eastAsia="微軟正黑體" w:hAnsi="微軟正黑體"/>
          <w:b/>
          <w:sz w:val="40"/>
          <w:szCs w:val="40"/>
        </w:rPr>
      </w:pPr>
    </w:p>
    <w:p w:rsidR="005713A9" w:rsidRPr="00F0717A" w:rsidRDefault="001F157F" w:rsidP="005713A9">
      <w:pPr>
        <w:spacing w:beforeLines="100" w:before="360" w:line="400" w:lineRule="exact"/>
        <w:ind w:right="720"/>
        <w:jc w:val="both"/>
        <w:rPr>
          <w:rFonts w:ascii="微軟正黑體" w:eastAsia="微軟正黑體" w:hAnsi="微軟正黑體"/>
          <w:b/>
          <w:sz w:val="36"/>
          <w:szCs w:val="36"/>
        </w:rPr>
        <w:sectPr w:rsidR="005713A9" w:rsidRPr="00F0717A" w:rsidSect="00A11EF4">
          <w:footerReference w:type="first" r:id="rId138"/>
          <w:pgSz w:w="11907" w:h="16839" w:code="9"/>
          <w:pgMar w:top="1134" w:right="1418" w:bottom="1134" w:left="1418" w:header="340" w:footer="340" w:gutter="0"/>
          <w:cols w:space="425"/>
          <w:titlePg/>
          <w:docGrid w:type="lines" w:linePitch="360"/>
        </w:sectPr>
      </w:pPr>
      <w:r>
        <w:rPr>
          <w:rFonts w:ascii="微軟正黑體" w:eastAsia="微軟正黑體" w:hAnsi="微軟正黑體"/>
          <w:b/>
          <w:noProof/>
          <w:sz w:val="36"/>
          <w:szCs w:val="36"/>
        </w:rPr>
        <mc:AlternateContent>
          <mc:Choice Requires="wps">
            <w:drawing>
              <wp:anchor distT="0" distB="0" distL="114300" distR="114300" simplePos="0" relativeHeight="252658688" behindDoc="0" locked="0" layoutInCell="1" allowOverlap="1" wp14:anchorId="4A6D6434" wp14:editId="61AA0D42">
                <wp:simplePos x="0" y="0"/>
                <wp:positionH relativeFrom="column">
                  <wp:posOffset>-43180</wp:posOffset>
                </wp:positionH>
                <wp:positionV relativeFrom="paragraph">
                  <wp:posOffset>9062085</wp:posOffset>
                </wp:positionV>
                <wp:extent cx="352425" cy="219075"/>
                <wp:effectExtent l="0" t="0" r="9525" b="9525"/>
                <wp:wrapNone/>
                <wp:docPr id="13" name="矩形 13"/>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3" o:spid="_x0000_s1026" style="position:absolute;margin-left:-3.4pt;margin-top:713.55pt;width:27.75pt;height:17.25pt;z-index:25265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" fillcolor="white [3212]" stroked="f" strokeweight="2pt"/>
            </w:pict>
          </mc:Fallback>
        </mc:AlternateContent>
      </w:r>
    </w:p>
    <w:p w:rsidR="00943635" w:rsidRPr="008F120E" w:rsidRDefault="00943635" w:rsidP="008F120E">
      <w:pPr>
        <w:snapToGrid w:val="0"/>
        <w:spacing w:line="600" w:lineRule="exact"/>
        <w:jc w:val="center"/>
        <w:rPr>
          <w:rFonts w:ascii="微軟正黑體" w:eastAsia="微軟正黑體" w:hAnsi="微軟正黑體"/>
          <w:b/>
          <w:sz w:val="60"/>
          <w:szCs w:val="60"/>
        </w:rPr>
      </w:pPr>
    </w:p>
    <w:p w:rsidR="00402620" w:rsidRPr="00726BF6" w:rsidRDefault="00402620" w:rsidP="00402620">
      <w:pPr>
        <w:spacing w:line="700" w:lineRule="exact"/>
        <w:ind w:right="-144"/>
        <w:jc w:val="center"/>
        <w:rPr>
          <w:rFonts w:ascii="微軟正黑體" w:eastAsia="微軟正黑體" w:hAnsi="微軟正黑體"/>
          <w:b/>
          <w:spacing w:val="-40"/>
          <w:sz w:val="60"/>
          <w:szCs w:val="60"/>
        </w:rPr>
      </w:pPr>
      <w:r w:rsidRPr="006564DE">
        <w:rPr>
          <w:rFonts w:ascii="微軟正黑體" w:eastAsia="微軟正黑體" w:hAnsi="微軟正黑體" w:hint="eastAsia"/>
          <w:b/>
          <w:spacing w:val="-40"/>
          <w:sz w:val="60"/>
          <w:szCs w:val="60"/>
        </w:rPr>
        <w:t>高齡化趨勢下的勞保老年年金財務規</w:t>
      </w:r>
      <w:r>
        <w:rPr>
          <w:rFonts w:ascii="微軟正黑體" w:eastAsia="微軟正黑體" w:hAnsi="微軟正黑體" w:hint="eastAsia"/>
          <w:b/>
          <w:spacing w:val="-40"/>
          <w:sz w:val="60"/>
          <w:szCs w:val="60"/>
        </w:rPr>
        <w:t xml:space="preserve">劃： </w:t>
      </w:r>
      <w:r w:rsidRPr="006564DE">
        <w:rPr>
          <w:rFonts w:ascii="微軟正黑體" w:eastAsia="微軟正黑體" w:hAnsi="微軟正黑體" w:hint="eastAsia"/>
          <w:b/>
          <w:spacing w:val="-40"/>
          <w:sz w:val="60"/>
          <w:szCs w:val="60"/>
        </w:rPr>
        <w:t>借鏡</w:t>
      </w:r>
      <w:r w:rsidRPr="00D51F7A">
        <w:rPr>
          <w:rFonts w:ascii="微軟正黑體" w:eastAsia="微軟正黑體" w:hAnsi="微軟正黑體" w:hint="eastAsia"/>
          <w:b/>
          <w:spacing w:val="-40"/>
          <w:sz w:val="60"/>
          <w:szCs w:val="60"/>
        </w:rPr>
        <w:t>德國與日本</w:t>
      </w:r>
    </w:p>
    <w:p w:rsidR="00402620" w:rsidRPr="00E26191" w:rsidRDefault="00402620" w:rsidP="00402620">
      <w:pPr>
        <w:spacing w:line="400" w:lineRule="exact"/>
        <w:rPr>
          <w:rFonts w:ascii="微軟正黑體" w:eastAsia="微軟正黑體" w:hAnsi="微軟正黑體"/>
        </w:rPr>
      </w:pPr>
    </w:p>
    <w:p w:rsidR="00402620" w:rsidRDefault="00402620" w:rsidP="003B51F7">
      <w:pPr>
        <w:spacing w:beforeLines="50" w:before="180" w:line="400" w:lineRule="exact"/>
        <w:ind w:rightChars="-119" w:right="-286"/>
        <w:jc w:val="right"/>
        <w:rPr>
          <w:rFonts w:ascii="微軟正黑體" w:eastAsia="微軟正黑體" w:hAnsi="微軟正黑體"/>
          <w:kern w:val="0"/>
        </w:rPr>
      </w:pPr>
      <w:r w:rsidRPr="00E952D2">
        <w:rPr>
          <w:rFonts w:ascii="微軟正黑體" w:eastAsia="微軟正黑體" w:hAnsi="微軟正黑體" w:hint="eastAsia"/>
          <w:kern w:val="0"/>
        </w:rPr>
        <w:t xml:space="preserve">  南臺科技大學財務金融系副教授</w:t>
      </w:r>
      <w:r>
        <w:rPr>
          <w:rFonts w:ascii="微軟正黑體" w:eastAsia="微軟正黑體" w:hAnsi="微軟正黑體" w:hint="eastAsia"/>
          <w:kern w:val="0"/>
        </w:rPr>
        <w:t xml:space="preserve"> </w:t>
      </w:r>
      <w:r w:rsidRPr="00E952D2">
        <w:rPr>
          <w:rFonts w:ascii="微軟正黑體" w:eastAsia="微軟正黑體" w:hAnsi="微軟正黑體" w:hint="eastAsia"/>
          <w:kern w:val="0"/>
        </w:rPr>
        <w:t>王靜怡</w:t>
      </w:r>
    </w:p>
    <w:p w:rsidR="00943635" w:rsidRDefault="00402620" w:rsidP="006A6598">
      <w:pPr>
        <w:snapToGrid w:val="0"/>
        <w:spacing w:line="400" w:lineRule="exact"/>
        <w:ind w:rightChars="-119" w:right="-286"/>
        <w:jc w:val="right"/>
        <w:rPr>
          <w:rFonts w:ascii="微軟正黑體" w:eastAsia="微軟正黑體" w:hAnsi="微軟正黑體"/>
          <w:b/>
        </w:rPr>
      </w:pPr>
      <w:r w:rsidRPr="00E952D2">
        <w:rPr>
          <w:rFonts w:ascii="微軟正黑體" w:eastAsia="微軟正黑體" w:hAnsi="微軟正黑體" w:hint="eastAsia"/>
        </w:rPr>
        <w:t>中正大學社會福利系教授</w:t>
      </w:r>
      <w:r>
        <w:rPr>
          <w:rFonts w:ascii="微軟正黑體" w:eastAsia="微軟正黑體" w:hAnsi="微軟正黑體" w:hint="eastAsia"/>
        </w:rPr>
        <w:t xml:space="preserve"> 鄭清霞</w:t>
      </w:r>
    </w:p>
    <w:p w:rsidR="00943635" w:rsidRDefault="00B81FB1" w:rsidP="00B81FB1">
      <w:pPr>
        <w:snapToGrid w:val="0"/>
        <w:spacing w:line="600" w:lineRule="exact"/>
        <w:jc w:val="right"/>
        <w:rPr>
          <w:rFonts w:ascii="微軟正黑體" w:eastAsia="微軟正黑體" w:hAnsi="微軟正黑體"/>
          <w:b/>
          <w:sz w:val="36"/>
          <w:szCs w:val="36"/>
        </w:rPr>
      </w:pPr>
      <w:r w:rsidRPr="00E01F34">
        <w:rPr>
          <w:rFonts w:ascii="微軟正黑體" w:eastAsia="微軟正黑體" w:hAnsi="微軟正黑體"/>
          <w:b/>
          <w:noProof/>
          <w:sz w:val="36"/>
          <w:szCs w:val="36"/>
        </w:rPr>
        <mc:AlternateContent>
          <mc:Choice Requires="wps">
            <w:drawing>
              <wp:anchor distT="0" distB="0" distL="114300" distR="114300" simplePos="0" relativeHeight="252051456" behindDoc="1" locked="0" layoutInCell="1" allowOverlap="1" wp14:anchorId="3DC49DBE" wp14:editId="3AE45EC9">
                <wp:simplePos x="0" y="0"/>
                <wp:positionH relativeFrom="column">
                  <wp:posOffset>-900430</wp:posOffset>
                </wp:positionH>
                <wp:positionV relativeFrom="paragraph">
                  <wp:posOffset>276859</wp:posOffset>
                </wp:positionV>
                <wp:extent cx="7561733" cy="2447925"/>
                <wp:effectExtent l="0" t="0" r="1270" b="9525"/>
                <wp:wrapNone/>
                <wp:docPr id="2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733" cy="2447925"/>
                        </a:xfrm>
                        <a:prstGeom prst="rect">
                          <a:avLst/>
                        </a:prstGeom>
                        <a:solidFill>
                          <a:schemeClr val="accent4">
                            <a:lumMod val="20000"/>
                            <a:lumOff val="80000"/>
                          </a:schemeClr>
                        </a:solidFill>
                        <a:ln w="9525">
                          <a:noFill/>
                          <a:miter lim="800000"/>
                          <a:headEnd/>
                          <a:tailEnd/>
                        </a:ln>
                      </wps:spPr>
                      <wps:txbx>
                        <w:txbxContent>
                          <w:p w:rsidR="00745375" w:rsidRDefault="00745375" w:rsidP="009436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70.9pt;margin-top:21.8pt;width:595.4pt;height:192.75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" fillcolor="#e5dfec [663]" stroked="f">
                <v:textbox>
                  <w:txbxContent>
                    <w:p w:rsidR="00745375" w:rsidRDefault="00745375" w:rsidP="00943635"/>
                  </w:txbxContent>
                </v:textbox>
              </v:shape>
            </w:pict>
          </mc:Fallback>
        </mc:AlternateContent>
      </w:r>
    </w:p>
    <w:p w:rsidR="0094757D" w:rsidRPr="00843908" w:rsidRDefault="0094757D" w:rsidP="0094757D">
      <w:pPr>
        <w:spacing w:line="500" w:lineRule="exact"/>
        <w:rPr>
          <w:rFonts w:ascii="微軟正黑體" w:eastAsia="微軟正黑體" w:hAnsi="微軟正黑體"/>
          <w:sz w:val="40"/>
          <w:szCs w:val="40"/>
        </w:rPr>
      </w:pPr>
      <w:r w:rsidRPr="00843908">
        <w:rPr>
          <w:rFonts w:ascii="微軟正黑體" w:eastAsia="微軟正黑體" w:hAnsi="微軟正黑體"/>
          <w:sz w:val="40"/>
          <w:szCs w:val="40"/>
        </w:rPr>
        <w:t>壹、前言</w:t>
      </w:r>
    </w:p>
    <w:p w:rsidR="0094757D" w:rsidRPr="00843908" w:rsidRDefault="0094757D" w:rsidP="0094757D">
      <w:pPr>
        <w:spacing w:line="600" w:lineRule="exact"/>
        <w:rPr>
          <w:rFonts w:ascii="微軟正黑體" w:eastAsia="微軟正黑體" w:hAnsi="微軟正黑體"/>
          <w:sz w:val="40"/>
          <w:szCs w:val="40"/>
        </w:rPr>
      </w:pPr>
      <w:r w:rsidRPr="00843908">
        <w:rPr>
          <w:rFonts w:ascii="微軟正黑體" w:eastAsia="微軟正黑體" w:hAnsi="微軟正黑體"/>
          <w:sz w:val="40"/>
          <w:szCs w:val="40"/>
        </w:rPr>
        <w:t>貳、</w:t>
      </w:r>
      <w:r w:rsidRPr="003B3CCF">
        <w:rPr>
          <w:rFonts w:ascii="微軟正黑體" w:eastAsia="微軟正黑體" w:hAnsi="微軟正黑體" w:hint="eastAsia"/>
          <w:sz w:val="40"/>
          <w:szCs w:val="40"/>
        </w:rPr>
        <w:t>社會保險制公共年金的收入面運作</w:t>
      </w:r>
    </w:p>
    <w:p w:rsidR="0094757D" w:rsidRPr="00843908" w:rsidRDefault="0094757D" w:rsidP="0094757D">
      <w:pPr>
        <w:spacing w:line="600" w:lineRule="exact"/>
        <w:rPr>
          <w:rFonts w:ascii="微軟正黑體" w:eastAsia="微軟正黑體" w:hAnsi="微軟正黑體"/>
          <w:sz w:val="40"/>
          <w:szCs w:val="40"/>
        </w:rPr>
      </w:pPr>
      <w:r w:rsidRPr="00843908">
        <w:rPr>
          <w:rFonts w:ascii="微軟正黑體" w:eastAsia="微軟正黑體" w:hAnsi="微軟正黑體"/>
          <w:sz w:val="40"/>
          <w:szCs w:val="40"/>
        </w:rPr>
        <w:t>參、</w:t>
      </w:r>
      <w:r w:rsidRPr="003B3CCF">
        <w:rPr>
          <w:rFonts w:ascii="微軟正黑體" w:eastAsia="微軟正黑體" w:hAnsi="微軟正黑體" w:hint="eastAsia"/>
          <w:sz w:val="40"/>
          <w:szCs w:val="40"/>
        </w:rPr>
        <w:t>德國法定年金財務運作探討</w:t>
      </w:r>
    </w:p>
    <w:p w:rsidR="0094757D" w:rsidRPr="00843908" w:rsidRDefault="0094757D" w:rsidP="0094757D">
      <w:pPr>
        <w:spacing w:line="600" w:lineRule="exact"/>
        <w:rPr>
          <w:rFonts w:ascii="微軟正黑體" w:eastAsia="微軟正黑體" w:hAnsi="微軟正黑體"/>
          <w:sz w:val="40"/>
          <w:szCs w:val="40"/>
        </w:rPr>
      </w:pPr>
      <w:r w:rsidRPr="00843908">
        <w:rPr>
          <w:rFonts w:ascii="微軟正黑體" w:eastAsia="微軟正黑體" w:hAnsi="微軟正黑體"/>
          <w:sz w:val="40"/>
          <w:szCs w:val="40"/>
        </w:rPr>
        <w:t>肆、</w:t>
      </w:r>
      <w:r w:rsidRPr="003B3CCF">
        <w:rPr>
          <w:rFonts w:ascii="微軟正黑體" w:eastAsia="微軟正黑體" w:hAnsi="微軟正黑體" w:hint="eastAsia"/>
          <w:sz w:val="40"/>
          <w:szCs w:val="40"/>
        </w:rPr>
        <w:t>日本厚生年金財務運作探討</w:t>
      </w:r>
    </w:p>
    <w:p w:rsidR="0094757D" w:rsidRDefault="0094757D" w:rsidP="0094757D">
      <w:pPr>
        <w:spacing w:line="600" w:lineRule="exact"/>
        <w:rPr>
          <w:rFonts w:ascii="微軟正黑體" w:eastAsia="微軟正黑體" w:hAnsi="微軟正黑體"/>
          <w:sz w:val="40"/>
          <w:szCs w:val="40"/>
        </w:rPr>
      </w:pPr>
      <w:r w:rsidRPr="00843908">
        <w:rPr>
          <w:rFonts w:ascii="微軟正黑體" w:eastAsia="微軟正黑體" w:hAnsi="微軟正黑體"/>
          <w:sz w:val="40"/>
          <w:szCs w:val="40"/>
        </w:rPr>
        <w:t>伍、</w:t>
      </w:r>
      <w:r w:rsidRPr="003B3CCF">
        <w:rPr>
          <w:rFonts w:ascii="微軟正黑體" w:eastAsia="微軟正黑體" w:hAnsi="微軟正黑體" w:hint="eastAsia"/>
          <w:sz w:val="40"/>
          <w:szCs w:val="40"/>
        </w:rPr>
        <w:t>國內勞保老年給付財務運作探討</w:t>
      </w:r>
    </w:p>
    <w:p w:rsidR="009B5021" w:rsidRPr="00A076B5" w:rsidRDefault="0094757D" w:rsidP="0094757D">
      <w:pPr>
        <w:snapToGrid w:val="0"/>
        <w:spacing w:line="600" w:lineRule="exact"/>
        <w:rPr>
          <w:rFonts w:ascii="微軟正黑體" w:eastAsia="微軟正黑體" w:hAnsi="微軟正黑體"/>
          <w:sz w:val="40"/>
          <w:szCs w:val="40"/>
        </w:rPr>
      </w:pPr>
      <w:r>
        <w:rPr>
          <w:rFonts w:ascii="微軟正黑體" w:eastAsia="微軟正黑體" w:hAnsi="微軟正黑體" w:hint="eastAsia"/>
          <w:sz w:val="40"/>
          <w:szCs w:val="40"/>
        </w:rPr>
        <w:t>陸、結語</w:t>
      </w:r>
    </w:p>
    <w:p w:rsidR="00943635" w:rsidRDefault="00943635" w:rsidP="000656C6">
      <w:pPr>
        <w:snapToGrid w:val="0"/>
        <w:spacing w:line="600" w:lineRule="exact"/>
        <w:jc w:val="center"/>
        <w:rPr>
          <w:rFonts w:ascii="微軟正黑體" w:eastAsia="微軟正黑體" w:hAnsi="微軟正黑體"/>
          <w:b/>
        </w:rPr>
      </w:pPr>
    </w:p>
    <w:p w:rsidR="0094757D" w:rsidRPr="000656C6" w:rsidRDefault="0094757D" w:rsidP="000656C6">
      <w:pPr>
        <w:snapToGrid w:val="0"/>
        <w:spacing w:line="600" w:lineRule="exact"/>
        <w:jc w:val="center"/>
        <w:rPr>
          <w:rFonts w:ascii="微軟正黑體" w:eastAsia="微軟正黑體" w:hAnsi="微軟正黑體"/>
          <w:b/>
        </w:rPr>
      </w:pPr>
    </w:p>
    <w:p w:rsidR="0094757D" w:rsidRPr="00843908" w:rsidRDefault="0094757D" w:rsidP="0094757D">
      <w:pPr>
        <w:spacing w:line="400" w:lineRule="exact"/>
        <w:jc w:val="center"/>
        <w:rPr>
          <w:rFonts w:ascii="微軟正黑體" w:eastAsia="微軟正黑體" w:hAnsi="微軟正黑體"/>
          <w:b/>
          <w:sz w:val="36"/>
          <w:szCs w:val="36"/>
        </w:rPr>
      </w:pPr>
      <w:r w:rsidRPr="00843908">
        <w:rPr>
          <w:rFonts w:ascii="微軟正黑體" w:eastAsia="微軟正黑體" w:hAnsi="微軟正黑體" w:hint="eastAsia"/>
          <w:b/>
          <w:sz w:val="36"/>
          <w:szCs w:val="36"/>
        </w:rPr>
        <w:t>摘  要</w:t>
      </w:r>
    </w:p>
    <w:p w:rsidR="0094757D" w:rsidRPr="00E26191" w:rsidRDefault="0094757D" w:rsidP="0094757D">
      <w:pPr>
        <w:spacing w:line="400" w:lineRule="exact"/>
        <w:rPr>
          <w:rFonts w:ascii="微軟正黑體" w:eastAsia="微軟正黑體" w:hAnsi="微軟正黑體"/>
        </w:rPr>
      </w:pPr>
    </w:p>
    <w:p w:rsidR="00943635" w:rsidRPr="005713A9" w:rsidRDefault="0094757D" w:rsidP="0094757D">
      <w:pPr>
        <w:snapToGrid w:val="0"/>
        <w:spacing w:line="400" w:lineRule="exact"/>
        <w:rPr>
          <w:rFonts w:ascii="微軟正黑體" w:eastAsia="微軟正黑體" w:hAnsi="微軟正黑體"/>
          <w:b/>
        </w:rPr>
      </w:pPr>
      <w:r w:rsidRPr="00E26191">
        <w:rPr>
          <w:rFonts w:ascii="微軟正黑體" w:eastAsia="微軟正黑體" w:hAnsi="微軟正黑體" w:hint="eastAsia"/>
          <w:kern w:val="0"/>
        </w:rPr>
        <w:t xml:space="preserve">    </w:t>
      </w:r>
      <w:r w:rsidRPr="003B3CCF">
        <w:rPr>
          <w:rFonts w:ascii="微軟正黑體" w:eastAsia="微軟正黑體" w:hAnsi="微軟正黑體" w:hint="eastAsia"/>
          <w:kern w:val="0"/>
        </w:rPr>
        <w:t>勞工保險是</w:t>
      </w:r>
      <w:r w:rsidRPr="00D51F7A">
        <w:rPr>
          <w:rFonts w:ascii="微軟正黑體" w:eastAsia="微軟正黑體" w:hAnsi="微軟正黑體" w:hint="eastAsia"/>
          <w:kern w:val="0"/>
        </w:rPr>
        <w:t>國內</w:t>
      </w:r>
      <w:r w:rsidRPr="003B3CCF">
        <w:rPr>
          <w:rFonts w:ascii="微軟正黑體" w:eastAsia="微軟正黑體" w:hAnsi="微軟正黑體" w:hint="eastAsia"/>
          <w:kern w:val="0"/>
        </w:rPr>
        <w:t>涵蓋人口最多的老年經濟保障制度，勞保基金預計於2026年用罄，且後續呈現入不敷出趨勢。勞保財務改革以求得制度永續性讓後繼世代安心參與，著實刻不容緩。本文以德國與日本經驗，分析其收入面的相關修正措施及效益；並針對我國勞保老年年金，進行對照討論。最後，提出三點建議：</w:t>
      </w:r>
      <w:r>
        <w:rPr>
          <w:rFonts w:ascii="微軟正黑體" w:eastAsia="微軟正黑體" w:hAnsi="微軟正黑體" w:hint="eastAsia"/>
          <w:kern w:val="0"/>
        </w:rPr>
        <w:t>(1)</w:t>
      </w:r>
      <w:r w:rsidRPr="003B3CCF">
        <w:rPr>
          <w:rFonts w:ascii="微軟正黑體" w:eastAsia="微軟正黑體" w:hAnsi="微軟正黑體" w:hint="eastAsia"/>
          <w:kern w:val="0"/>
        </w:rPr>
        <w:t>先行調整給付公式後，法制化勞保投保薪資分級表上限的調整，評估全數強制納保可行性。</w:t>
      </w:r>
      <w:r>
        <w:rPr>
          <w:rFonts w:ascii="微軟正黑體" w:eastAsia="微軟正黑體" w:hAnsi="微軟正黑體" w:hint="eastAsia"/>
          <w:kern w:val="0"/>
        </w:rPr>
        <w:t>(2)</w:t>
      </w:r>
      <w:r w:rsidRPr="003B3CCF">
        <w:rPr>
          <w:rFonts w:ascii="微軟正黑體" w:eastAsia="微軟正黑體" w:hAnsi="微軟正黑體" w:hint="eastAsia"/>
          <w:kern w:val="0"/>
        </w:rPr>
        <w:t>先確定勞保基金的投資績效定位，並參考</w:t>
      </w:r>
      <w:r w:rsidRPr="00D51F7A">
        <w:rPr>
          <w:rFonts w:ascii="微軟正黑體" w:eastAsia="微軟正黑體" w:hAnsi="微軟正黑體" w:hint="eastAsia"/>
          <w:kern w:val="0"/>
        </w:rPr>
        <w:t>德國法定年金及日本厚生年金</w:t>
      </w:r>
      <w:r w:rsidRPr="003B3CCF">
        <w:rPr>
          <w:rFonts w:ascii="微軟正黑體" w:eastAsia="微軟正黑體" w:hAnsi="微軟正黑體" w:hint="eastAsia"/>
          <w:kern w:val="0"/>
        </w:rPr>
        <w:t>的修正模式，增訂適切的年金給付調整因子；</w:t>
      </w:r>
      <w:r>
        <w:rPr>
          <w:rFonts w:ascii="微軟正黑體" w:eastAsia="微軟正黑體" w:hAnsi="微軟正黑體" w:hint="eastAsia"/>
          <w:kern w:val="0"/>
        </w:rPr>
        <w:t>(3)</w:t>
      </w:r>
      <w:r w:rsidRPr="003B3CCF">
        <w:rPr>
          <w:rFonts w:ascii="微軟正黑體" w:eastAsia="微軟正黑體" w:hAnsi="微軟正黑體" w:hint="eastAsia"/>
          <w:kern w:val="0"/>
        </w:rPr>
        <w:t>政府保費補助改為支出面補助。</w:t>
      </w:r>
    </w:p>
    <w:p w:rsidR="00943635" w:rsidRPr="005713A9" w:rsidRDefault="00943635" w:rsidP="00943635">
      <w:pPr>
        <w:snapToGrid w:val="0"/>
        <w:spacing w:line="400" w:lineRule="exact"/>
        <w:ind w:leftChars="650" w:left="1560"/>
        <w:rPr>
          <w:rFonts w:ascii="微軟正黑體" w:eastAsia="微軟正黑體" w:hAnsi="微軟正黑體"/>
          <w:b/>
        </w:rPr>
      </w:pPr>
    </w:p>
    <w:p w:rsidR="00AB35C0" w:rsidRDefault="00AB35C0" w:rsidP="00943635">
      <w:pPr>
        <w:snapToGrid w:val="0"/>
        <w:spacing w:line="400" w:lineRule="exact"/>
        <w:ind w:leftChars="650" w:left="1560"/>
        <w:rPr>
          <w:rFonts w:ascii="微軟正黑體" w:eastAsia="微軟正黑體" w:hAnsi="微軟正黑體"/>
          <w:b/>
        </w:rPr>
        <w:sectPr w:rsidR="00AB35C0" w:rsidSect="001D5C1C">
          <w:headerReference w:type="even" r:id="rId139"/>
          <w:headerReference w:type="default" r:id="rId140"/>
          <w:pgSz w:w="11906" w:h="16838"/>
          <w:pgMar w:top="1134" w:right="1418" w:bottom="1134" w:left="1418" w:header="340" w:footer="340" w:gutter="0"/>
          <w:cols w:space="425"/>
          <w:docGrid w:type="lines" w:linePitch="360"/>
        </w:sectPr>
      </w:pPr>
    </w:p>
    <w:p w:rsidR="00381C80" w:rsidRPr="00E26191" w:rsidRDefault="00381C80" w:rsidP="00381C80">
      <w:pPr>
        <w:spacing w:line="400" w:lineRule="exact"/>
        <w:jc w:val="center"/>
        <w:rPr>
          <w:rFonts w:ascii="微軟正黑體" w:eastAsia="微軟正黑體" w:hAnsi="微軟正黑體"/>
          <w:b/>
          <w:sz w:val="32"/>
          <w:szCs w:val="32"/>
        </w:rPr>
      </w:pPr>
      <w:bookmarkStart w:id="48" w:name="第三章"/>
      <w:r w:rsidRPr="00E26191">
        <w:rPr>
          <w:rFonts w:ascii="微軟正黑體" w:eastAsia="微軟正黑體" w:hAnsi="微軟正黑體"/>
          <w:b/>
          <w:sz w:val="32"/>
          <w:szCs w:val="32"/>
        </w:rPr>
        <w:lastRenderedPageBreak/>
        <w:t>壹、前言</w:t>
      </w:r>
    </w:p>
    <w:p w:rsidR="00381C80" w:rsidRPr="008B5975" w:rsidRDefault="00381C80" w:rsidP="00381C80">
      <w:pPr>
        <w:autoSpaceDE w:val="0"/>
        <w:autoSpaceDN w:val="0"/>
        <w:adjustRightInd w:val="0"/>
        <w:spacing w:beforeLines="100" w:before="360" w:line="400" w:lineRule="exact"/>
        <w:jc w:val="both"/>
        <w:rPr>
          <w:rFonts w:ascii="微軟正黑體" w:eastAsia="微軟正黑體" w:hAnsi="微軟正黑體"/>
        </w:rPr>
      </w:pPr>
      <w:r w:rsidRPr="00E26191">
        <w:rPr>
          <w:rFonts w:ascii="微軟正黑體" w:eastAsia="微軟正黑體" w:hAnsi="微軟正黑體"/>
        </w:rPr>
        <w:t xml:space="preserve">    </w:t>
      </w:r>
      <w:r w:rsidRPr="008B5975">
        <w:rPr>
          <w:rFonts w:ascii="微軟正黑體" w:eastAsia="微軟正黑體" w:hAnsi="微軟正黑體" w:hint="eastAsia"/>
        </w:rPr>
        <w:t>為回應平均餘命延長的老年經濟安全保障，身為國內第一個社會保險制度、也是目前被保險人人數最多的勞工保險</w:t>
      </w:r>
      <w:r>
        <w:rPr>
          <w:rFonts w:ascii="微軟正黑體" w:eastAsia="微軟正黑體" w:hAnsi="微軟正黑體" w:hint="eastAsia"/>
        </w:rPr>
        <w:t>(以下簡稱勞保)</w:t>
      </w:r>
      <w:r w:rsidRPr="008B5975">
        <w:rPr>
          <w:rFonts w:ascii="微軟正黑體" w:eastAsia="微軟正黑體" w:hAnsi="微軟正黑體" w:hint="eastAsia"/>
        </w:rPr>
        <w:t>，率先於2009</w:t>
      </w:r>
      <w:r>
        <w:rPr>
          <w:rFonts w:ascii="微軟正黑體" w:eastAsia="微軟正黑體" w:hAnsi="微軟正黑體" w:hint="eastAsia"/>
        </w:rPr>
        <w:t>年正式實施老年給付年金化(</w:t>
      </w:r>
      <w:r w:rsidRPr="008B5975">
        <w:rPr>
          <w:rFonts w:ascii="微軟正黑體" w:eastAsia="微軟正黑體" w:hAnsi="微軟正黑體" w:hint="eastAsia"/>
        </w:rPr>
        <w:t>勞工保險局，2021a</w:t>
      </w:r>
      <w:r>
        <w:rPr>
          <w:rFonts w:ascii="微軟正黑體" w:eastAsia="微軟正黑體" w:hAnsi="微軟正黑體" w:hint="eastAsia"/>
        </w:rPr>
        <w:t>)</w:t>
      </w:r>
      <w:r w:rsidRPr="008B5975">
        <w:rPr>
          <w:rFonts w:ascii="微軟正黑體" w:eastAsia="微軟正黑體" w:hAnsi="微軟正黑體" w:hint="eastAsia"/>
        </w:rPr>
        <w:t>，勞工保險以修正的隨收隨付制為財務處理原則。制度發展初期，</w:t>
      </w:r>
      <w:r w:rsidRPr="008B5975">
        <w:rPr>
          <w:rFonts w:ascii="微軟正黑體" w:eastAsia="微軟正黑體" w:hAnsi="微軟正黑體" w:hint="eastAsia"/>
          <w:b/>
        </w:rPr>
        <w:t>費率高度偏離完全提撥費率的水準</w:t>
      </w:r>
      <w:r w:rsidRPr="008B5975">
        <w:rPr>
          <w:rFonts w:ascii="微軟正黑體" w:eastAsia="微軟正黑體" w:hAnsi="微軟正黑體" w:hint="eastAsia"/>
        </w:rPr>
        <w:t>；再者，</w:t>
      </w:r>
      <w:r w:rsidRPr="008B5975">
        <w:rPr>
          <w:rFonts w:ascii="微軟正黑體" w:eastAsia="微軟正黑體" w:hAnsi="微軟正黑體" w:hint="eastAsia"/>
          <w:b/>
        </w:rPr>
        <w:t>早期的投資標的規定較為嚴格，以定存為主，兩個因素導致勞保基金累積有限。一次給付改為年金給付時，費率規劃也沒有完全財務健全性</w:t>
      </w:r>
      <w:r>
        <w:rPr>
          <w:rFonts w:ascii="微軟正黑體" w:eastAsia="微軟正黑體" w:hAnsi="微軟正黑體" w:hint="eastAsia"/>
          <w:b/>
        </w:rPr>
        <w:t>(</w:t>
      </w:r>
      <w:r w:rsidRPr="00EC2974">
        <w:rPr>
          <w:rFonts w:ascii="微軟正黑體" w:eastAsia="微軟正黑體" w:hAnsi="微軟正黑體" w:hint="eastAsia"/>
          <w:b/>
        </w:rPr>
        <w:t>鄭清霞，2016a</w:t>
      </w:r>
      <w:r>
        <w:rPr>
          <w:rFonts w:ascii="微軟正黑體" w:eastAsia="微軟正黑體" w:hAnsi="微軟正黑體" w:hint="eastAsia"/>
          <w:b/>
        </w:rPr>
        <w:t>)</w:t>
      </w:r>
      <w:r w:rsidRPr="008B5975">
        <w:rPr>
          <w:rFonts w:ascii="微軟正黑體" w:eastAsia="微軟正黑體" w:hAnsi="微軟正黑體" w:hint="eastAsia"/>
        </w:rPr>
        <w:t>，給付責任長期化更惡化其財務負擔；其次，持續快速高齡化的人口結構，也在收支面夾擠出雙重負面衝擊。年金制度是跨越數個世代的現金「收」與「支</w:t>
      </w:r>
      <w:r>
        <w:rPr>
          <w:rFonts w:ascii="微軟正黑體" w:eastAsia="微軟正黑體" w:hAnsi="微軟正黑體" w:hint="eastAsia"/>
        </w:rPr>
        <w:t>」，而產生「代間」、「代內」、「個人生命週期」的所得重分配體系(</w:t>
      </w:r>
      <w:r w:rsidRPr="008B5975">
        <w:rPr>
          <w:rFonts w:ascii="微軟正黑體" w:eastAsia="微軟正黑體" w:hAnsi="微軟正黑體" w:hint="eastAsia"/>
        </w:rPr>
        <w:t>鄭清霞，2016b</w:t>
      </w:r>
      <w:r>
        <w:rPr>
          <w:rFonts w:ascii="微軟正黑體" w:eastAsia="微軟正黑體" w:hAnsi="微軟正黑體" w:hint="eastAsia"/>
        </w:rPr>
        <w:t>)</w:t>
      </w:r>
      <w:r w:rsidRPr="008B5975">
        <w:rPr>
          <w:rFonts w:ascii="微軟正黑體" w:eastAsia="微軟正黑體" w:hAnsi="微軟正黑體" w:hint="eastAsia"/>
        </w:rPr>
        <w:t>，財務議題攸關制度能否永續，也攸關世代正義。</w:t>
      </w:r>
    </w:p>
    <w:p w:rsidR="00381C80" w:rsidRPr="008B5975" w:rsidRDefault="00381C80" w:rsidP="00381C80">
      <w:pPr>
        <w:autoSpaceDE w:val="0"/>
        <w:autoSpaceDN w:val="0"/>
        <w:adjustRightInd w:val="0"/>
        <w:spacing w:beforeLines="30" w:before="108" w:line="400" w:lineRule="exact"/>
        <w:jc w:val="both"/>
        <w:rPr>
          <w:rFonts w:ascii="微軟正黑體" w:eastAsia="微軟正黑體" w:hAnsi="微軟正黑體"/>
        </w:rPr>
      </w:pPr>
      <w:r w:rsidRPr="008B5975">
        <w:rPr>
          <w:rFonts w:ascii="微軟正黑體" w:eastAsia="微軟正黑體" w:hAnsi="微軟正黑體" w:hint="eastAsia"/>
        </w:rPr>
        <w:t xml:space="preserve">    2012年《勞保普通事故財務精算報告》指出，勞保基金用罄時間將從2010年公告時所評估的2031年，提早到2027</w:t>
      </w:r>
      <w:r>
        <w:rPr>
          <w:rFonts w:ascii="微軟正黑體" w:eastAsia="微軟正黑體" w:hAnsi="微軟正黑體" w:hint="eastAsia"/>
        </w:rPr>
        <w:t>年(</w:t>
      </w:r>
      <w:r w:rsidRPr="008B5975">
        <w:rPr>
          <w:rFonts w:ascii="微軟正黑體" w:eastAsia="微軟正黑體" w:hAnsi="微軟正黑體" w:hint="eastAsia"/>
        </w:rPr>
        <w:t>邵靄如，2012</w:t>
      </w:r>
      <w:r>
        <w:rPr>
          <w:rFonts w:ascii="微軟正黑體" w:eastAsia="微軟正黑體" w:hAnsi="微軟正黑體" w:hint="eastAsia"/>
        </w:rPr>
        <w:t>)</w:t>
      </w:r>
      <w:r w:rsidRPr="008B5975">
        <w:rPr>
          <w:rFonts w:ascii="微軟正黑體" w:eastAsia="微軟正黑體" w:hAnsi="微軟正黑體" w:hint="eastAsia"/>
        </w:rPr>
        <w:t>；後續2016</w:t>
      </w:r>
      <w:r>
        <w:rPr>
          <w:rFonts w:ascii="微軟正黑體" w:eastAsia="微軟正黑體" w:hAnsi="微軟正黑體" w:hint="eastAsia"/>
        </w:rPr>
        <w:t>年公告的精算報告雖呈現相同結果(</w:t>
      </w:r>
      <w:r w:rsidRPr="008B5975">
        <w:rPr>
          <w:rFonts w:ascii="微軟正黑體" w:eastAsia="微軟正黑體" w:hAnsi="微軟正黑體" w:hint="eastAsia"/>
        </w:rPr>
        <w:t>魏吉漳、周瑞芝，2016</w:t>
      </w:r>
      <w:r>
        <w:rPr>
          <w:rFonts w:ascii="微軟正黑體" w:eastAsia="微軟正黑體" w:hAnsi="微軟正黑體" w:hint="eastAsia"/>
        </w:rPr>
        <w:t>)</w:t>
      </w:r>
      <w:r w:rsidRPr="008B5975">
        <w:rPr>
          <w:rFonts w:ascii="微軟正黑體" w:eastAsia="微軟正黑體" w:hAnsi="微軟正黑體" w:hint="eastAsia"/>
        </w:rPr>
        <w:t>，但2018年公告的精算報告，則顯示時間點從2027年再提早到</w:t>
      </w:r>
      <w:r w:rsidRPr="008B5975">
        <w:rPr>
          <w:rFonts w:ascii="微軟正黑體" w:eastAsia="微軟正黑體" w:hAnsi="微軟正黑體" w:hint="eastAsia"/>
          <w:b/>
        </w:rPr>
        <w:t>2026</w:t>
      </w:r>
      <w:r>
        <w:rPr>
          <w:rFonts w:ascii="微軟正黑體" w:eastAsia="微軟正黑體" w:hAnsi="微軟正黑體" w:hint="eastAsia"/>
        </w:rPr>
        <w:t>年(</w:t>
      </w:r>
      <w:r w:rsidRPr="008B5975">
        <w:rPr>
          <w:rFonts w:ascii="微軟正黑體" w:eastAsia="微軟正黑體" w:hAnsi="微軟正黑體" w:hint="eastAsia"/>
        </w:rPr>
        <w:t>魏吉漳、周瑞芝，2018</w:t>
      </w:r>
      <w:r>
        <w:rPr>
          <w:rFonts w:ascii="微軟正黑體" w:eastAsia="微軟正黑體" w:hAnsi="微軟正黑體" w:hint="eastAsia"/>
        </w:rPr>
        <w:t>)</w:t>
      </w:r>
      <w:r w:rsidRPr="008B5975">
        <w:rPr>
          <w:rFonts w:ascii="微軟正黑體" w:eastAsia="微軟正黑體" w:hAnsi="微軟正黑體" w:hint="eastAsia"/>
        </w:rPr>
        <w:t>。因應2012年及2016年財務精算報告，政府在2013年5月及2017年3月，分別提出了相關的勞保老年年金改革方案</w:t>
      </w:r>
      <w:r>
        <w:rPr>
          <w:rFonts w:ascii="微軟正黑體" w:eastAsia="微軟正黑體" w:hAnsi="微軟正黑體" w:hint="eastAsia"/>
        </w:rPr>
        <w:t>(</w:t>
      </w:r>
      <w:r w:rsidRPr="008B5975">
        <w:rPr>
          <w:rFonts w:ascii="微軟正黑體" w:eastAsia="微軟正黑體" w:hAnsi="微軟正黑體" w:hint="eastAsia"/>
        </w:rPr>
        <w:t>勞工委員會，2013；勞動部，2017</w:t>
      </w:r>
      <w:r>
        <w:rPr>
          <w:rFonts w:ascii="微軟正黑體" w:eastAsia="微軟正黑體" w:hAnsi="微軟正黑體" w:hint="eastAsia"/>
        </w:rPr>
        <w:t>)</w:t>
      </w:r>
      <w:r w:rsidRPr="008B5975">
        <w:rPr>
          <w:rFonts w:ascii="微軟正黑體" w:eastAsia="微軟正黑體" w:hAnsi="微軟正黑體" w:hint="eastAsia"/>
        </w:rPr>
        <w:t>。進一步比較</w:t>
      </w:r>
      <w:r w:rsidRPr="00D51F7A">
        <w:rPr>
          <w:rFonts w:ascii="微軟正黑體" w:eastAsia="微軟正黑體" w:hAnsi="微軟正黑體" w:hint="eastAsia"/>
        </w:rPr>
        <w:t>兩</w:t>
      </w:r>
      <w:r w:rsidRPr="008B5975">
        <w:rPr>
          <w:rFonts w:ascii="微軟正黑體" w:eastAsia="微軟正黑體" w:hAnsi="微軟正黑體" w:hint="eastAsia"/>
        </w:rPr>
        <w:t>次修正方案，</w:t>
      </w:r>
      <w:r w:rsidRPr="008B5975">
        <w:rPr>
          <w:rFonts w:ascii="微軟正黑體" w:eastAsia="微軟正黑體" w:hAnsi="微軟正黑體" w:hint="eastAsia"/>
          <w:b/>
        </w:rPr>
        <w:t>逐步延長平均投保薪資採計期間、提高保險費率、納入政府財務補貼與最後支付責任</w:t>
      </w:r>
      <w:r w:rsidRPr="008B5975">
        <w:rPr>
          <w:rFonts w:ascii="微軟正黑體" w:eastAsia="微軟正黑體" w:hAnsi="微軟正黑體" w:hint="eastAsia"/>
        </w:rPr>
        <w:t>等三項是共同修正方向，前二項是從收支面採行緊縮性策略，第三項則導入政府稅收財源。針</w:t>
      </w:r>
      <w:r>
        <w:rPr>
          <w:rFonts w:ascii="微軟正黑體" w:eastAsia="微軟正黑體" w:hAnsi="微軟正黑體" w:hint="eastAsia"/>
        </w:rPr>
        <w:t>對年金財務永續性，若以隨收隨付制進行改革規劃，主要有兩個方向：(1)以『量入為出』為運作基準，支出面增加時，就必須減少支出；(</w:t>
      </w:r>
      <w:r w:rsidRPr="008B5975">
        <w:rPr>
          <w:rFonts w:ascii="微軟正黑體" w:eastAsia="微軟正黑體" w:hAnsi="微軟正黑體" w:hint="eastAsia"/>
        </w:rPr>
        <w:t>2</w:t>
      </w:r>
      <w:r>
        <w:rPr>
          <w:rFonts w:ascii="微軟正黑體" w:eastAsia="微軟正黑體" w:hAnsi="微軟正黑體" w:hint="eastAsia"/>
        </w:rPr>
        <w:t>)</w:t>
      </w:r>
      <w:r w:rsidRPr="008B5975">
        <w:rPr>
          <w:rFonts w:ascii="微軟正黑體" w:eastAsia="微軟正黑體" w:hAnsi="微軟正黑體" w:hint="eastAsia"/>
        </w:rPr>
        <w:t>以『量出為入』為運作基準，支出面增加時，則提高收入。收入面主要有：調高費率、調整投保薪資計算方式、多元費基</w:t>
      </w:r>
      <w:r>
        <w:rPr>
          <w:rFonts w:ascii="微軟正黑體" w:eastAsia="微軟正黑體" w:hAnsi="微軟正黑體" w:hint="eastAsia"/>
        </w:rPr>
        <w:t>(稅基)</w:t>
      </w:r>
      <w:r w:rsidRPr="008B5975">
        <w:rPr>
          <w:rFonts w:ascii="微軟正黑體" w:eastAsia="微軟正黑體" w:hAnsi="微軟正黑體" w:hint="eastAsia"/>
        </w:rPr>
        <w:t>、建立緩衝基金</w:t>
      </w:r>
      <w:r w:rsidRPr="00D51F7A">
        <w:rPr>
          <w:rFonts w:ascii="微軟正黑體" w:eastAsia="微軟正黑體" w:hAnsi="微軟正黑體" w:hint="eastAsia"/>
        </w:rPr>
        <w:t>等</w:t>
      </w:r>
      <w:r w:rsidRPr="008B5975">
        <w:rPr>
          <w:rFonts w:ascii="微軟正黑體" w:eastAsia="微軟正黑體" w:hAnsi="微軟正黑體" w:hint="eastAsia"/>
        </w:rPr>
        <w:t>；支出面調整則是降低給付率、修改給付公式與條件、建立自動調整機制</w:t>
      </w:r>
      <w:r w:rsidRPr="00D51F7A">
        <w:rPr>
          <w:rFonts w:ascii="微軟正黑體" w:eastAsia="微軟正黑體" w:hAnsi="微軟正黑體" w:hint="eastAsia"/>
        </w:rPr>
        <w:t>等</w:t>
      </w:r>
      <w:r>
        <w:rPr>
          <w:rFonts w:ascii="微軟正黑體" w:eastAsia="微軟正黑體" w:hAnsi="微軟正黑體" w:hint="eastAsia"/>
        </w:rPr>
        <w:t>(</w:t>
      </w:r>
      <w:r w:rsidRPr="008B5975">
        <w:rPr>
          <w:rFonts w:ascii="微軟正黑體" w:eastAsia="微軟正黑體" w:hAnsi="微軟正黑體" w:hint="eastAsia"/>
        </w:rPr>
        <w:t>鄭清霞，2016a</w:t>
      </w:r>
      <w:r>
        <w:rPr>
          <w:rFonts w:ascii="微軟正黑體" w:eastAsia="微軟正黑體" w:hAnsi="微軟正黑體" w:hint="eastAsia"/>
        </w:rPr>
        <w:t>)</w:t>
      </w:r>
      <w:r w:rsidRPr="008B5975">
        <w:rPr>
          <w:rFonts w:ascii="微軟正黑體" w:eastAsia="微軟正黑體" w:hAnsi="微軟正黑體" w:hint="eastAsia"/>
        </w:rPr>
        <w:t>。</w:t>
      </w:r>
    </w:p>
    <w:p w:rsidR="00381C80" w:rsidRPr="008B5975" w:rsidRDefault="00381C80" w:rsidP="00381C80">
      <w:pPr>
        <w:autoSpaceDE w:val="0"/>
        <w:autoSpaceDN w:val="0"/>
        <w:adjustRightInd w:val="0"/>
        <w:spacing w:beforeLines="30" w:before="108" w:line="400" w:lineRule="exact"/>
        <w:jc w:val="both"/>
        <w:rPr>
          <w:rFonts w:ascii="微軟正黑體" w:eastAsia="微軟正黑體" w:hAnsi="微軟正黑體"/>
        </w:rPr>
      </w:pPr>
      <w:r w:rsidRPr="008B5975">
        <w:rPr>
          <w:rFonts w:ascii="微軟正黑體" w:eastAsia="微軟正黑體" w:hAnsi="微軟正黑體" w:hint="eastAsia"/>
        </w:rPr>
        <w:t xml:space="preserve">    人口老化趨勢下，制度支出面所面對的是，單一時間點給付總額的逐年提高及給付期間的增長，故在收入面費基同步縮減的情況，採行被動性的緊縮支出面之餘，若能從</w:t>
      </w:r>
      <w:r w:rsidRPr="008B5975">
        <w:rPr>
          <w:rFonts w:ascii="微軟正黑體" w:eastAsia="微軟正黑體" w:hAnsi="微軟正黑體" w:hint="eastAsia"/>
          <w:b/>
        </w:rPr>
        <w:t>整體收入面機制</w:t>
      </w:r>
      <w:r w:rsidRPr="008B5975">
        <w:rPr>
          <w:rFonts w:ascii="微軟正黑體" w:eastAsia="微軟正黑體" w:hAnsi="微軟正黑體" w:hint="eastAsia"/>
        </w:rPr>
        <w:t>進行通盤修正，以求得</w:t>
      </w:r>
      <w:r w:rsidRPr="008B5975">
        <w:rPr>
          <w:rFonts w:ascii="微軟正黑體" w:eastAsia="微軟正黑體" w:hAnsi="微軟正黑體" w:hint="eastAsia"/>
          <w:b/>
        </w:rPr>
        <w:t>財源的穩定成長性</w:t>
      </w:r>
      <w:r w:rsidRPr="008B5975">
        <w:rPr>
          <w:rFonts w:ascii="微軟正黑體" w:eastAsia="微軟正黑體" w:hAnsi="微軟正黑體" w:hint="eastAsia"/>
        </w:rPr>
        <w:t>，應是更積極的制度修正方向。因此，為結合已實施相關公共年金國家，近20年來人口高齡化在制度收入面的因應</w:t>
      </w:r>
      <w:r>
        <w:rPr>
          <w:rFonts w:ascii="微軟正黑體" w:eastAsia="微軟正黑體" w:hAnsi="微軟正黑體" w:hint="eastAsia"/>
        </w:rPr>
        <w:t>策略，做為分析與政策建議。考量到國內勞保老年年金是確定給付型態(</w:t>
      </w:r>
      <w:r w:rsidRPr="008B5975">
        <w:rPr>
          <w:rFonts w:ascii="微軟正黑體" w:eastAsia="微軟正黑體" w:hAnsi="微軟正黑體" w:hint="eastAsia"/>
        </w:rPr>
        <w:t>defined benefit</w:t>
      </w:r>
      <w:r>
        <w:rPr>
          <w:rFonts w:ascii="微軟正黑體" w:eastAsia="微軟正黑體" w:hAnsi="微軟正黑體" w:hint="eastAsia"/>
        </w:rPr>
        <w:t>)</w:t>
      </w:r>
      <w:r w:rsidRPr="008B5975">
        <w:rPr>
          <w:rFonts w:ascii="微軟正黑體" w:eastAsia="微軟正黑體" w:hAnsi="微軟正黑體" w:hint="eastAsia"/>
        </w:rPr>
        <w:t>並採行保險制的財源籌措模式，本文擇取德國與日本</w:t>
      </w:r>
      <w:r w:rsidRPr="00D51F7A">
        <w:rPr>
          <w:rFonts w:ascii="微軟正黑體" w:eastAsia="微軟正黑體" w:hAnsi="微軟正黑體" w:hint="eastAsia"/>
        </w:rPr>
        <w:t>兩</w:t>
      </w:r>
      <w:r w:rsidRPr="008B5975">
        <w:rPr>
          <w:rFonts w:ascii="微軟正黑體" w:eastAsia="微軟正黑體" w:hAnsi="微軟正黑體" w:hint="eastAsia"/>
        </w:rPr>
        <w:t>個國家，並選擇其公共年金中同樣是以勞工為保障對象且採用確定給付型態的制度，做為分析及借鏡對象。之所以擇取這</w:t>
      </w:r>
      <w:r w:rsidRPr="00D51F7A">
        <w:rPr>
          <w:rFonts w:ascii="微軟正黑體" w:eastAsia="微軟正黑體" w:hAnsi="微軟正黑體" w:hint="eastAsia"/>
        </w:rPr>
        <w:t>兩</w:t>
      </w:r>
      <w:r w:rsidRPr="008B5975">
        <w:rPr>
          <w:rFonts w:ascii="微軟正黑體" w:eastAsia="微軟正黑體" w:hAnsi="微軟正黑體" w:hint="eastAsia"/>
        </w:rPr>
        <w:t>個國家，除了基於德國與日本分別是世界與亞洲國家，最早建立以勞工為保障對象且採行確定給付的保險制公共年金，有長期運作經驗</w:t>
      </w:r>
      <w:r>
        <w:rPr>
          <w:rFonts w:ascii="微軟正黑體" w:eastAsia="微軟正黑體" w:hAnsi="微軟正黑體" w:hint="eastAsia"/>
        </w:rPr>
        <w:t>可供參考。另外，財務處理方式上，德國採行隨收隨付制，日本採行部</w:t>
      </w:r>
      <w:r w:rsidRPr="00D51F7A">
        <w:rPr>
          <w:rFonts w:ascii="微軟正黑體" w:eastAsia="微軟正黑體" w:hAnsi="微軟正黑體" w:hint="eastAsia"/>
        </w:rPr>
        <w:t>分</w:t>
      </w:r>
      <w:r w:rsidRPr="008B5975">
        <w:rPr>
          <w:rFonts w:ascii="微軟正黑體" w:eastAsia="微軟正黑體" w:hAnsi="微軟正黑體" w:hint="eastAsia"/>
        </w:rPr>
        <w:t>儲備制，故可透過檢視與比較相同主要財源、但不同財務處理方式下，人口高齡化對制度財務面所造成的衝擊，以及</w:t>
      </w:r>
      <w:r w:rsidRPr="00D51F7A">
        <w:rPr>
          <w:rFonts w:ascii="微軟正黑體" w:eastAsia="微軟正黑體" w:hAnsi="微軟正黑體" w:hint="eastAsia"/>
        </w:rPr>
        <w:t>兩</w:t>
      </w:r>
      <w:r w:rsidRPr="008B5975">
        <w:rPr>
          <w:rFonts w:ascii="微軟正黑體" w:eastAsia="微軟正黑體" w:hAnsi="微軟正黑體" w:hint="eastAsia"/>
        </w:rPr>
        <w:t>國政府在</w:t>
      </w:r>
      <w:r w:rsidRPr="008B5975">
        <w:rPr>
          <w:rFonts w:ascii="微軟正黑體" w:eastAsia="微軟正黑體" w:hAnsi="微軟正黑體" w:hint="eastAsia"/>
          <w:b/>
        </w:rPr>
        <w:t>收入面</w:t>
      </w:r>
      <w:r w:rsidRPr="008B5975">
        <w:rPr>
          <w:rFonts w:ascii="微軟正黑體" w:eastAsia="微軟正黑體" w:hAnsi="微軟正黑體" w:hint="eastAsia"/>
        </w:rPr>
        <w:t>所採行的修正策略與後續效益，做為我國勞保老年年金在擬訂收入面修正措施的參考借鏡。</w:t>
      </w:r>
    </w:p>
    <w:p w:rsidR="00381C80" w:rsidRPr="00E26191" w:rsidRDefault="00381C80" w:rsidP="00381C8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lastRenderedPageBreak/>
        <w:t xml:space="preserve">    </w:t>
      </w:r>
      <w:r w:rsidRPr="008B5975">
        <w:rPr>
          <w:rFonts w:ascii="微軟正黑體" w:eastAsia="微軟正黑體" w:hAnsi="微軟正黑體" w:hint="eastAsia"/>
        </w:rPr>
        <w:t>綜合前述，本文研究架構，擬先從理論面，探討人口老化趨勢對保險制公共年金，可能帶來的財務影響。其次，針對德國與日本以勞工為主要保障對象的公共年金，分析其近20年來在收入面的相關修正措施及效益。再者，針對我國勞保老年年金，進行當前收入面的運作及問題分析</w:t>
      </w:r>
      <w:r w:rsidRPr="00D51F7A">
        <w:rPr>
          <w:rFonts w:ascii="微軟正黑體" w:eastAsia="微軟正黑體" w:hAnsi="微軟正黑體" w:hint="eastAsia"/>
        </w:rPr>
        <w:t>，</w:t>
      </w:r>
      <w:r w:rsidRPr="008B5975">
        <w:rPr>
          <w:rFonts w:ascii="微軟正黑體" w:eastAsia="微軟正黑體" w:hAnsi="微軟正黑體" w:hint="eastAsia"/>
        </w:rPr>
        <w:t>並參考德國與日本的運作經驗，提出對照討論。最後，則為結論與建議。</w:t>
      </w:r>
    </w:p>
    <w:p w:rsidR="00381C80" w:rsidRPr="00E26191" w:rsidRDefault="00381C80" w:rsidP="00381C80">
      <w:pPr>
        <w:spacing w:beforeLines="150" w:before="540" w:afterLines="50" w:after="180" w:line="400" w:lineRule="exact"/>
        <w:jc w:val="center"/>
        <w:rPr>
          <w:rFonts w:ascii="微軟正黑體" w:eastAsia="微軟正黑體" w:hAnsi="微軟正黑體"/>
          <w:b/>
          <w:sz w:val="32"/>
          <w:szCs w:val="32"/>
        </w:rPr>
      </w:pPr>
      <w:r w:rsidRPr="00E26191">
        <w:rPr>
          <w:rFonts w:ascii="微軟正黑體" w:eastAsia="微軟正黑體" w:hAnsi="微軟正黑體"/>
          <w:b/>
          <w:sz w:val="32"/>
          <w:szCs w:val="32"/>
        </w:rPr>
        <w:t>貳、</w:t>
      </w:r>
      <w:r w:rsidRPr="008B5975">
        <w:rPr>
          <w:rFonts w:ascii="微軟正黑體" w:eastAsia="微軟正黑體" w:hAnsi="微軟正黑體" w:hint="eastAsia"/>
          <w:b/>
          <w:sz w:val="32"/>
          <w:szCs w:val="32"/>
        </w:rPr>
        <w:t>社會保險制公共年金的收入面運作</w:t>
      </w:r>
    </w:p>
    <w:p w:rsidR="00381C80" w:rsidRPr="008B5975" w:rsidRDefault="00381C80" w:rsidP="00CE5F4E">
      <w:pPr>
        <w:pStyle w:val="Web"/>
        <w:spacing w:beforeLines="100" w:before="360" w:beforeAutospacing="0" w:after="0" w:afterAutospacing="0" w:line="400" w:lineRule="exact"/>
        <w:rPr>
          <w:rFonts w:ascii="微軟正黑體" w:eastAsia="微軟正黑體" w:hAnsi="微軟正黑體" w:cs="Times New Roman"/>
          <w:kern w:val="2"/>
        </w:rPr>
      </w:pPr>
      <w:r w:rsidRPr="008B5975">
        <w:rPr>
          <w:rFonts w:ascii="微軟正黑體" w:eastAsia="微軟正黑體" w:hAnsi="微軟正黑體" w:cs="Times New Roman" w:hint="eastAsia"/>
          <w:kern w:val="2"/>
        </w:rPr>
        <w:t xml:space="preserve">    人口老化趨勢下，收入面的財源籌措模式與財務處理方式之規劃，是影響其能否提供穩定的現金流量來源，以因應支出面未來高額及長期給付責任的關鍵因素，故在此即針對保險制的財源籌措模式及財務處理方式，探討人口老化趨勢對收入面財源之影響。</w:t>
      </w:r>
    </w:p>
    <w:p w:rsidR="00381C80" w:rsidRPr="00E26191" w:rsidRDefault="00381C80" w:rsidP="00381C80">
      <w:pPr>
        <w:pStyle w:val="Web"/>
        <w:spacing w:beforeLines="50" w:before="180" w:beforeAutospacing="0" w:afterLines="50" w:after="180" w:afterAutospacing="0" w:line="400" w:lineRule="exact"/>
        <w:rPr>
          <w:rFonts w:ascii="微軟正黑體" w:eastAsia="微軟正黑體" w:hAnsi="微軟正黑體" w:cs="Times New Roman"/>
          <w:b/>
          <w:sz w:val="28"/>
          <w:szCs w:val="28"/>
          <w:lang w:eastAsia="ja-JP"/>
        </w:rPr>
      </w:pPr>
      <w:r w:rsidRPr="00E26191">
        <w:rPr>
          <w:rFonts w:ascii="微軟正黑體" w:eastAsia="微軟正黑體" w:hAnsi="微軟正黑體" w:cs="Times New Roman" w:hint="eastAsia"/>
          <w:b/>
          <w:sz w:val="28"/>
          <w:szCs w:val="28"/>
          <w:lang w:eastAsia="ja-JP"/>
        </w:rPr>
        <w:t>一、</w:t>
      </w:r>
      <w:r w:rsidRPr="00D51F7A">
        <w:rPr>
          <w:rFonts w:ascii="微軟正黑體" w:eastAsia="微軟正黑體" w:hAnsi="微軟正黑體" w:cs="Times New Roman" w:hint="eastAsia"/>
          <w:b/>
          <w:sz w:val="28"/>
          <w:szCs w:val="28"/>
        </w:rPr>
        <w:t>社會</w:t>
      </w:r>
      <w:r w:rsidRPr="003624C2">
        <w:rPr>
          <w:rFonts w:ascii="微軟正黑體" w:eastAsia="微軟正黑體" w:hAnsi="微軟正黑體" w:cs="Times New Roman" w:hint="eastAsia"/>
          <w:b/>
          <w:sz w:val="28"/>
          <w:szCs w:val="28"/>
          <w:lang w:eastAsia="ja-JP"/>
        </w:rPr>
        <w:t>保險制的財源籌措模式</w:t>
      </w:r>
    </w:p>
    <w:p w:rsidR="00381C80" w:rsidRPr="003624C2" w:rsidRDefault="00381C80" w:rsidP="00381C80">
      <w:pPr>
        <w:pStyle w:val="Web"/>
        <w:spacing w:beforeLines="50" w:before="180" w:beforeAutospacing="0" w:after="0" w:afterAutospacing="0" w:line="400" w:lineRule="exact"/>
        <w:jc w:val="both"/>
        <w:rPr>
          <w:rFonts w:ascii="微軟正黑體" w:eastAsia="微軟正黑體" w:hAnsi="微軟正黑體" w:cs="Times New Roman"/>
        </w:rPr>
      </w:pPr>
      <w:r w:rsidRPr="00E26191">
        <w:rPr>
          <w:rFonts w:ascii="微軟正黑體" w:eastAsia="微軟正黑體" w:hAnsi="微軟正黑體" w:cs="Times New Roman" w:hint="eastAsia"/>
          <w:lang w:eastAsia="ja-JP"/>
        </w:rPr>
        <w:t xml:space="preserve">    </w:t>
      </w:r>
      <w:r w:rsidRPr="003624C2">
        <w:rPr>
          <w:rFonts w:ascii="微軟正黑體" w:eastAsia="微軟正黑體" w:hAnsi="微軟正黑體" w:cs="Times New Roman" w:hint="eastAsia"/>
          <w:lang w:eastAsia="ja-JP"/>
        </w:rPr>
        <w:t>保險制的財源是針對符合強制納保資格者徵收保險費，並將保險費用於支付年金給付及相關業務費用。社會保險強制納保機制，不但確保保障對象權益</w:t>
      </w:r>
      <w:r w:rsidRPr="00D51F7A">
        <w:rPr>
          <w:rFonts w:ascii="微軟正黑體" w:eastAsia="微軟正黑體" w:hAnsi="微軟正黑體" w:cs="Times New Roman" w:hint="eastAsia"/>
        </w:rPr>
        <w:t>，</w:t>
      </w:r>
      <w:r w:rsidRPr="003624C2">
        <w:rPr>
          <w:rFonts w:ascii="微軟正黑體" w:eastAsia="微軟正黑體" w:hAnsi="微軟正黑體" w:cs="Times New Roman" w:hint="eastAsia"/>
          <w:lang w:eastAsia="ja-JP"/>
        </w:rPr>
        <w:t>也保證了源源不斷的參與者，讓保險費財源具備持續性。不過在穩定成長性上，若暫不論及保險費率的調升，主要視保險費在計收時所採用的費基而定。</w:t>
      </w:r>
    </w:p>
    <w:p w:rsidR="00381C80" w:rsidRPr="003624C2" w:rsidRDefault="00381C80" w:rsidP="00381C80">
      <w:pPr>
        <w:pStyle w:val="Web"/>
        <w:spacing w:beforeLines="30" w:before="108" w:beforeAutospacing="0" w:after="0" w:afterAutospacing="0" w:line="400" w:lineRule="exact"/>
        <w:jc w:val="both"/>
        <w:rPr>
          <w:rFonts w:ascii="微軟正黑體" w:eastAsia="微軟正黑體" w:hAnsi="微軟正黑體" w:cs="Times New Roman"/>
          <w:lang w:eastAsia="ja-JP"/>
        </w:rPr>
      </w:pPr>
      <w:r w:rsidRPr="003624C2">
        <w:rPr>
          <w:rFonts w:ascii="微軟正黑體" w:eastAsia="微軟正黑體" w:hAnsi="微軟正黑體" w:cs="Times New Roman" w:hint="eastAsia"/>
          <w:lang w:eastAsia="ja-JP"/>
        </w:rPr>
        <w:t xml:space="preserve">  </w:t>
      </w:r>
      <w:r>
        <w:rPr>
          <w:rFonts w:ascii="微軟正黑體" w:eastAsia="微軟正黑體" w:hAnsi="微軟正黑體" w:cs="Times New Roman" w:hint="eastAsia"/>
        </w:rPr>
        <w:t xml:space="preserve">  </w:t>
      </w:r>
      <w:r w:rsidRPr="003624C2">
        <w:rPr>
          <w:rFonts w:ascii="微軟正黑體" w:eastAsia="微軟正黑體" w:hAnsi="微軟正黑體" w:cs="Times New Roman" w:hint="eastAsia"/>
          <w:lang w:eastAsia="ja-JP"/>
        </w:rPr>
        <w:t>以勞工為主要保障對象的社會保險而言，保險費的費基包括了工作人口及工作所得，前者主要以全職且有固定</w:t>
      </w:r>
      <w:r w:rsidRPr="00D51F7A">
        <w:rPr>
          <w:rFonts w:ascii="微軟正黑體" w:eastAsia="微軟正黑體" w:hAnsi="微軟正黑體" w:cs="Times New Roman" w:hint="eastAsia"/>
        </w:rPr>
        <w:t>雇</w:t>
      </w:r>
      <w:r w:rsidRPr="003624C2">
        <w:rPr>
          <w:rFonts w:ascii="微軟正黑體" w:eastAsia="微軟正黑體" w:hAnsi="微軟正黑體" w:cs="Times New Roman" w:hint="eastAsia"/>
          <w:lang w:eastAsia="ja-JP"/>
        </w:rPr>
        <w:t>主的受僱者為強制納保對象，後者則常見以前述工作者的工作所得為課徵基礎。在整體費基緊繫於勞動力條件的情況下，人口老化趨勢所帶來的</w:t>
      </w:r>
      <w:r w:rsidRPr="00EC2974">
        <w:rPr>
          <w:rFonts w:ascii="微軟正黑體" w:eastAsia="微軟正黑體" w:hAnsi="微軟正黑體" w:cs="Times New Roman" w:hint="eastAsia"/>
          <w:b/>
          <w:lang w:eastAsia="ja-JP"/>
        </w:rPr>
        <w:t>工作世代人數趨減</w:t>
      </w:r>
      <w:r w:rsidRPr="00D740AE">
        <w:rPr>
          <w:rFonts w:ascii="微軟正黑體" w:eastAsia="微軟正黑體" w:hAnsi="微軟正黑體" w:cs="Times New Roman" w:hint="eastAsia"/>
          <w:lang w:eastAsia="ja-JP"/>
        </w:rPr>
        <w:t>，導致</w:t>
      </w:r>
      <w:r w:rsidRPr="003624C2">
        <w:rPr>
          <w:rFonts w:ascii="微軟正黑體" w:eastAsia="微軟正黑體" w:hAnsi="微軟正黑體" w:cs="Times New Roman" w:hint="eastAsia"/>
          <w:lang w:eastAsia="ja-JP"/>
        </w:rPr>
        <w:t>費基在繳費人數上，首當其衝的受到長期性負面衝擊。近年來受到全球化下的勞動力無國界、女性部分工時工作者的增加以及科技化造成工作型態改變等趨勢的影響，非典型工作</w:t>
      </w:r>
      <w:r>
        <w:rPr>
          <w:rFonts w:ascii="微軟正黑體" w:eastAsia="微軟正黑體" w:hAnsi="微軟正黑體" w:cs="Times New Roman" w:hint="eastAsia"/>
        </w:rPr>
        <w:t>(</w:t>
      </w:r>
      <w:r w:rsidRPr="003624C2">
        <w:rPr>
          <w:rFonts w:ascii="微軟正黑體" w:eastAsia="微軟正黑體" w:hAnsi="微軟正黑體" w:cs="Times New Roman" w:hint="eastAsia"/>
          <w:lang w:eastAsia="ja-JP"/>
        </w:rPr>
        <w:t>non-standard work</w:t>
      </w:r>
      <w:r>
        <w:rPr>
          <w:rFonts w:ascii="微軟正黑體" w:eastAsia="微軟正黑體" w:hAnsi="微軟正黑體" w:cs="Times New Roman" w:hint="eastAsia"/>
        </w:rPr>
        <w:t>)</w:t>
      </w:r>
      <w:r w:rsidRPr="003624C2">
        <w:rPr>
          <w:rFonts w:ascii="微軟正黑體" w:eastAsia="微軟正黑體" w:hAnsi="微軟正黑體" w:cs="Times New Roman" w:hint="eastAsia"/>
          <w:lang w:eastAsia="ja-JP"/>
        </w:rPr>
        <w:t>者日益增加，則更進一步挑戰建構在傳統勞動市場架構上的費基基礎財源提供能否維持長期的穩健性</w:t>
      </w:r>
      <w:r>
        <w:rPr>
          <w:rFonts w:ascii="微軟正黑體" w:eastAsia="微軟正黑體" w:hAnsi="微軟正黑體" w:cs="Times New Roman" w:hint="eastAsia"/>
        </w:rPr>
        <w:t>(</w:t>
      </w:r>
      <w:r w:rsidRPr="003624C2">
        <w:rPr>
          <w:rFonts w:ascii="微軟正黑體" w:eastAsia="微軟正黑體" w:hAnsi="微軟正黑體" w:cs="Times New Roman" w:hint="eastAsia"/>
          <w:lang w:eastAsia="ja-JP"/>
        </w:rPr>
        <w:t>OECD, 2019；Mineva and Stefanov, 2018</w:t>
      </w:r>
      <w:r>
        <w:rPr>
          <w:rFonts w:ascii="微軟正黑體" w:eastAsia="微軟正黑體" w:hAnsi="微軟正黑體" w:cs="Times New Roman" w:hint="eastAsia"/>
        </w:rPr>
        <w:t>)</w:t>
      </w:r>
      <w:r w:rsidRPr="003624C2">
        <w:rPr>
          <w:rFonts w:ascii="微軟正黑體" w:eastAsia="微軟正黑體" w:hAnsi="微軟正黑體" w:cs="Times New Roman" w:hint="eastAsia"/>
          <w:lang w:eastAsia="ja-JP"/>
        </w:rPr>
        <w:t>。</w:t>
      </w:r>
    </w:p>
    <w:p w:rsidR="00381C80" w:rsidRPr="003624C2" w:rsidRDefault="00381C80" w:rsidP="00381C80">
      <w:pPr>
        <w:pStyle w:val="Web"/>
        <w:spacing w:beforeLines="30" w:before="108" w:beforeAutospacing="0" w:after="0" w:afterAutospacing="0" w:line="400" w:lineRule="exact"/>
        <w:jc w:val="both"/>
        <w:rPr>
          <w:rFonts w:ascii="微軟正黑體" w:eastAsia="微軟正黑體" w:hAnsi="微軟正黑體" w:cs="Times New Roman"/>
          <w:lang w:eastAsia="ja-JP"/>
        </w:rPr>
      </w:pPr>
      <w:r w:rsidRPr="003624C2">
        <w:rPr>
          <w:rFonts w:ascii="微軟正黑體" w:eastAsia="微軟正黑體" w:hAnsi="微軟正黑體" w:cs="Times New Roman" w:hint="eastAsia"/>
          <w:lang w:eastAsia="ja-JP"/>
        </w:rPr>
        <w:t xml:space="preserve">    前述費基變數變遷的趨勢，起因自人口老化下的工作世代人數趨減，除了大幅鬆綁移民政策外，較難透過社會政策有效修正勞動人口趨勢。順應勞動力結構的變遷，</w:t>
      </w:r>
      <w:r w:rsidRPr="00EC2974">
        <w:rPr>
          <w:rFonts w:ascii="微軟正黑體" w:eastAsia="微軟正黑體" w:hAnsi="微軟正黑體" w:cs="Times New Roman" w:hint="eastAsia"/>
          <w:b/>
          <w:lang w:eastAsia="ja-JP"/>
        </w:rPr>
        <w:t>以因勢利導的方式將非典型工作者漸次納保，則是一個持續被各國評估或採行的擴大費基政策方向</w:t>
      </w:r>
      <w:r w:rsidRPr="00EC2974">
        <w:rPr>
          <w:rFonts w:ascii="微軟正黑體" w:eastAsia="微軟正黑體" w:hAnsi="微軟正黑體" w:cs="Times New Roman" w:hint="eastAsia"/>
          <w:lang w:eastAsia="ja-JP"/>
        </w:rPr>
        <w:t>。廣義的非典型工作者主要有自僱者</w:t>
      </w:r>
      <w:r>
        <w:rPr>
          <w:rFonts w:ascii="微軟正黑體" w:eastAsia="微軟正黑體" w:hAnsi="微軟正黑體" w:cs="Times New Roman" w:hint="eastAsia"/>
          <w:lang w:eastAsia="ja-JP"/>
        </w:rPr>
        <w:t>(</w:t>
      </w:r>
      <w:r w:rsidRPr="003624C2">
        <w:rPr>
          <w:rFonts w:ascii="微軟正黑體" w:eastAsia="微軟正黑體" w:hAnsi="微軟正黑體" w:cs="Times New Roman" w:hint="eastAsia"/>
          <w:lang w:eastAsia="ja-JP"/>
        </w:rPr>
        <w:t>self-employed</w:t>
      </w:r>
      <w:r>
        <w:rPr>
          <w:rFonts w:ascii="微軟正黑體" w:eastAsia="微軟正黑體" w:hAnsi="微軟正黑體" w:cs="Times New Roman" w:hint="eastAsia"/>
          <w:lang w:eastAsia="ja-JP"/>
        </w:rPr>
        <w:t>)、部</w:t>
      </w:r>
      <w:r w:rsidRPr="00D51F7A">
        <w:rPr>
          <w:rFonts w:ascii="微軟正黑體" w:eastAsia="微軟正黑體" w:hAnsi="微軟正黑體" w:hint="eastAsia"/>
          <w:lang w:eastAsia="ja-JP"/>
        </w:rPr>
        <w:t>分</w:t>
      </w:r>
      <w:r>
        <w:rPr>
          <w:rFonts w:ascii="微軟正黑體" w:eastAsia="微軟正黑體" w:hAnsi="微軟正黑體" w:cs="Times New Roman" w:hint="eastAsia"/>
          <w:lang w:eastAsia="ja-JP"/>
        </w:rPr>
        <w:t>工時受僱者(</w:t>
      </w:r>
      <w:r w:rsidRPr="003624C2">
        <w:rPr>
          <w:rFonts w:ascii="微軟正黑體" w:eastAsia="微軟正黑體" w:hAnsi="微軟正黑體" w:cs="Times New Roman" w:hint="eastAsia"/>
          <w:lang w:eastAsia="ja-JP"/>
        </w:rPr>
        <w:t>part-time worker</w:t>
      </w:r>
      <w:r>
        <w:rPr>
          <w:rFonts w:ascii="微軟正黑體" w:eastAsia="微軟正黑體" w:hAnsi="微軟正黑體" w:cs="Times New Roman" w:hint="eastAsia"/>
          <w:lang w:eastAsia="ja-JP"/>
        </w:rPr>
        <w:t>)、臨時性受僱者(</w:t>
      </w:r>
      <w:r w:rsidRPr="003624C2">
        <w:rPr>
          <w:rFonts w:ascii="微軟正黑體" w:eastAsia="微軟正黑體" w:hAnsi="微軟正黑體" w:cs="Times New Roman" w:hint="eastAsia"/>
          <w:lang w:eastAsia="ja-JP"/>
        </w:rPr>
        <w:t>temporary worker</w:t>
      </w:r>
      <w:r>
        <w:rPr>
          <w:rFonts w:ascii="微軟正黑體" w:eastAsia="微軟正黑體" w:hAnsi="微軟正黑體" w:cs="Times New Roman" w:hint="eastAsia"/>
          <w:lang w:eastAsia="ja-JP"/>
        </w:rPr>
        <w:t>)</w:t>
      </w:r>
      <w:r w:rsidRPr="003624C2">
        <w:rPr>
          <w:rFonts w:ascii="微軟正黑體" w:eastAsia="微軟正黑體" w:hAnsi="微軟正黑體" w:cs="Times New Roman" w:hint="eastAsia"/>
          <w:lang w:eastAsia="ja-JP"/>
        </w:rPr>
        <w:t>等，這些類型工作者在工作收入採計上的共同點包括：工作收入不穩定、工時不固定以及工作收入不易核實查核等，在自僱者方面，缺乏</w:t>
      </w:r>
      <w:r w:rsidRPr="00D51F7A">
        <w:rPr>
          <w:rFonts w:ascii="微軟正黑體" w:eastAsia="微軟正黑體" w:hAnsi="微軟正黑體" w:cs="Times New Roman" w:hint="eastAsia"/>
          <w:lang w:eastAsia="ja-JP"/>
        </w:rPr>
        <w:t>雇</w:t>
      </w:r>
      <w:r>
        <w:rPr>
          <w:rFonts w:ascii="微軟正黑體" w:eastAsia="微軟正黑體" w:hAnsi="微軟正黑體" w:cs="Times New Roman" w:hint="eastAsia"/>
          <w:lang w:eastAsia="ja-JP"/>
        </w:rPr>
        <w:t>主來分擔保費則是另一個問題(</w:t>
      </w:r>
      <w:r w:rsidRPr="003624C2">
        <w:rPr>
          <w:rFonts w:ascii="微軟正黑體" w:eastAsia="微軟正黑體" w:hAnsi="微軟正黑體" w:cs="Times New Roman" w:hint="eastAsia"/>
          <w:lang w:eastAsia="ja-JP"/>
        </w:rPr>
        <w:t>OECD, 2019；Bruckner and Hungerford, 2021；International Social Security Association, 2012；Bucci, 2019</w:t>
      </w:r>
      <w:r>
        <w:rPr>
          <w:rFonts w:ascii="微軟正黑體" w:eastAsia="微軟正黑體" w:hAnsi="微軟正黑體" w:cs="Times New Roman" w:hint="eastAsia"/>
          <w:lang w:eastAsia="ja-JP"/>
        </w:rPr>
        <w:t>)</w:t>
      </w:r>
      <w:r w:rsidRPr="003624C2">
        <w:rPr>
          <w:rFonts w:ascii="微軟正黑體" w:eastAsia="微軟正黑體" w:hAnsi="微軟正黑體" w:cs="Times New Roman" w:hint="eastAsia"/>
          <w:lang w:eastAsia="ja-JP"/>
        </w:rPr>
        <w:t>。若欲將非典型工作者納入與一般受僱者相同的公共年金，自僱者的常見處理方式</w:t>
      </w:r>
      <w:r w:rsidRPr="00D51F7A">
        <w:rPr>
          <w:rFonts w:ascii="微軟正黑體" w:eastAsia="微軟正黑體" w:hAnsi="微軟正黑體" w:cs="Times New Roman" w:hint="eastAsia"/>
          <w:lang w:eastAsia="ja-JP"/>
        </w:rPr>
        <w:t>，</w:t>
      </w:r>
      <w:r w:rsidRPr="003624C2">
        <w:rPr>
          <w:rFonts w:ascii="微軟正黑體" w:eastAsia="微軟正黑體" w:hAnsi="微軟正黑體" w:cs="Times New Roman" w:hint="eastAsia"/>
          <w:lang w:eastAsia="ja-JP"/>
        </w:rPr>
        <w:t>包含</w:t>
      </w:r>
      <w:r>
        <w:rPr>
          <w:rFonts w:ascii="微軟正黑體" w:eastAsia="微軟正黑體" w:hAnsi="微軟正黑體" w:cs="Times New Roman" w:hint="eastAsia"/>
          <w:lang w:eastAsia="ja-JP"/>
        </w:rPr>
        <w:t>調降保險費率、採用特定的費基基礎</w:t>
      </w:r>
      <w:r>
        <w:rPr>
          <w:rFonts w:ascii="微軟正黑體" w:eastAsia="微軟正黑體" w:hAnsi="微軟正黑體" w:cs="Times New Roman" w:hint="eastAsia"/>
        </w:rPr>
        <w:t>(</w:t>
      </w:r>
      <w:r>
        <w:rPr>
          <w:rFonts w:ascii="微軟正黑體" w:eastAsia="微軟正黑體" w:hAnsi="微軟正黑體" w:cs="Times New Roman" w:hint="eastAsia"/>
          <w:lang w:eastAsia="ja-JP"/>
        </w:rPr>
        <w:t>採計所得的一部</w:t>
      </w:r>
      <w:r w:rsidRPr="00D51F7A">
        <w:rPr>
          <w:rFonts w:ascii="微軟正黑體" w:eastAsia="微軟正黑體" w:hAnsi="微軟正黑體" w:hint="eastAsia"/>
          <w:lang w:eastAsia="ja-JP"/>
        </w:rPr>
        <w:t>分</w:t>
      </w:r>
      <w:r>
        <w:rPr>
          <w:rFonts w:ascii="微軟正黑體" w:eastAsia="微軟正黑體" w:hAnsi="微軟正黑體" w:cs="Times New Roman" w:hint="eastAsia"/>
          <w:lang w:eastAsia="ja-JP"/>
        </w:rPr>
        <w:t>，總所得、課稅所得、在法定</w:t>
      </w:r>
      <w:r>
        <w:rPr>
          <w:rFonts w:ascii="微軟正黑體" w:eastAsia="微軟正黑體" w:hAnsi="微軟正黑體" w:cs="Times New Roman" w:hint="eastAsia"/>
          <w:lang w:eastAsia="ja-JP"/>
        </w:rPr>
        <w:lastRenderedPageBreak/>
        <w:t>範圍內自選費基等方式</w:t>
      </w:r>
      <w:r>
        <w:rPr>
          <w:rFonts w:ascii="微軟正黑體" w:eastAsia="微軟正黑體" w:hAnsi="微軟正黑體" w:cs="Times New Roman" w:hint="eastAsia"/>
        </w:rPr>
        <w:t>)、</w:t>
      </w:r>
      <w:r>
        <w:rPr>
          <w:rFonts w:ascii="微軟正黑體" w:eastAsia="微軟正黑體" w:hAnsi="微軟正黑體" w:cs="Times New Roman" w:hint="eastAsia"/>
          <w:lang w:eastAsia="ja-JP"/>
        </w:rPr>
        <w:t>訂定最低的費基基礎</w:t>
      </w:r>
      <w:r>
        <w:rPr>
          <w:rFonts w:ascii="微軟正黑體" w:eastAsia="微軟正黑體" w:hAnsi="微軟正黑體" w:cs="Times New Roman" w:hint="eastAsia"/>
        </w:rPr>
        <w:t>、</w:t>
      </w:r>
      <w:r>
        <w:rPr>
          <w:rFonts w:ascii="微軟正黑體" w:eastAsia="微軟正黑體" w:hAnsi="微軟正黑體" w:cs="Times New Roman" w:hint="eastAsia"/>
          <w:lang w:eastAsia="ja-JP"/>
        </w:rPr>
        <w:t>修正對自僱者的定義</w:t>
      </w:r>
      <w:r>
        <w:rPr>
          <w:rFonts w:ascii="微軟正黑體" w:eastAsia="微軟正黑體" w:hAnsi="微軟正黑體" w:cs="Times New Roman" w:hint="eastAsia"/>
        </w:rPr>
        <w:t>(</w:t>
      </w:r>
      <w:r w:rsidRPr="003624C2">
        <w:rPr>
          <w:rFonts w:ascii="微軟正黑體" w:eastAsia="微軟正黑體" w:hAnsi="微軟正黑體" w:cs="Times New Roman" w:hint="eastAsia"/>
          <w:lang w:eastAsia="ja-JP"/>
        </w:rPr>
        <w:t>OECD, 2019</w:t>
      </w:r>
      <w:r>
        <w:rPr>
          <w:rFonts w:ascii="微軟正黑體" w:eastAsia="微軟正黑體" w:hAnsi="微軟正黑體" w:cs="Times New Roman" w:hint="eastAsia"/>
        </w:rPr>
        <w:t>)</w:t>
      </w:r>
      <w:r w:rsidRPr="003624C2">
        <w:rPr>
          <w:rFonts w:ascii="微軟正黑體" w:eastAsia="微軟正黑體" w:hAnsi="微軟正黑體" w:cs="Times New Roman" w:hint="eastAsia"/>
          <w:lang w:eastAsia="ja-JP"/>
        </w:rPr>
        <w:t>等。部</w:t>
      </w:r>
      <w:r w:rsidRPr="00D51F7A">
        <w:rPr>
          <w:rFonts w:ascii="微軟正黑體" w:eastAsia="微軟正黑體" w:hAnsi="微軟正黑體" w:hint="eastAsia"/>
          <w:lang w:eastAsia="ja-JP"/>
        </w:rPr>
        <w:t>分</w:t>
      </w:r>
      <w:r w:rsidRPr="003624C2">
        <w:rPr>
          <w:rFonts w:ascii="微軟正黑體" w:eastAsia="微軟正黑體" w:hAnsi="微軟正黑體" w:cs="Times New Roman" w:hint="eastAsia"/>
          <w:lang w:eastAsia="ja-JP"/>
        </w:rPr>
        <w:t>工時及臨時性受僱者方面</w:t>
      </w:r>
      <w:r>
        <w:rPr>
          <w:rFonts w:ascii="微軟正黑體" w:eastAsia="微軟正黑體" w:hAnsi="微軟正黑體" w:cs="Times New Roman" w:hint="eastAsia"/>
          <w:lang w:eastAsia="ja-JP"/>
        </w:rPr>
        <w:t>，包括訂定較低的納保門檻(薪資所得或工時)、或投保期間採計基礎(日、星期、月或季)等。(</w:t>
      </w:r>
      <w:r w:rsidRPr="003624C2">
        <w:rPr>
          <w:rFonts w:ascii="微軟正黑體" w:eastAsia="微軟正黑體" w:hAnsi="微軟正黑體" w:cs="Times New Roman" w:hint="eastAsia"/>
          <w:lang w:eastAsia="ja-JP"/>
        </w:rPr>
        <w:t>OECD, 2019；International Social Security Association, 2012</w:t>
      </w:r>
      <w:r>
        <w:rPr>
          <w:rFonts w:ascii="微軟正黑體" w:eastAsia="微軟正黑體" w:hAnsi="微軟正黑體" w:cs="Times New Roman" w:hint="eastAsia"/>
          <w:lang w:eastAsia="ja-JP"/>
        </w:rPr>
        <w:t>)</w:t>
      </w:r>
      <w:r w:rsidRPr="003624C2">
        <w:rPr>
          <w:rFonts w:ascii="微軟正黑體" w:eastAsia="微軟正黑體" w:hAnsi="微軟正黑體" w:cs="Times New Roman" w:hint="eastAsia"/>
          <w:lang w:eastAsia="ja-JP"/>
        </w:rPr>
        <w:t>。</w:t>
      </w:r>
    </w:p>
    <w:p w:rsidR="00381C80" w:rsidRDefault="00381C80" w:rsidP="00381C80">
      <w:pPr>
        <w:pStyle w:val="Web"/>
        <w:spacing w:beforeLines="30" w:before="108" w:beforeAutospacing="0" w:after="0" w:afterAutospacing="0" w:line="400" w:lineRule="exact"/>
        <w:jc w:val="both"/>
        <w:rPr>
          <w:rFonts w:ascii="微軟正黑體" w:eastAsia="微軟正黑體" w:hAnsi="微軟正黑體"/>
          <w:sz w:val="20"/>
          <w:szCs w:val="20"/>
          <w:lang w:eastAsia="ja-JP"/>
        </w:rPr>
      </w:pPr>
      <w:r w:rsidRPr="003624C2">
        <w:rPr>
          <w:rFonts w:ascii="微軟正黑體" w:eastAsia="微軟正黑體" w:hAnsi="微軟正黑體" w:cs="Times New Roman" w:hint="eastAsia"/>
          <w:lang w:eastAsia="ja-JP"/>
        </w:rPr>
        <w:t xml:space="preserve">    綜合前述，以勞工為主要保障對象的公共年金而言，費基成長性緊繫於勞動條件的情況下，順應勞動力結構的變遷，來調整並擴大強制投保對象，除了可以降低雇主在僱用上的規避投保行為外，更可透過廣泛涵蓋多種可能的就業模式，提供勞工面臨職場生涯變動的持續性保障，以穩定制度的費基財源。</w:t>
      </w:r>
    </w:p>
    <w:p w:rsidR="00381C80" w:rsidRPr="00BF7C22" w:rsidRDefault="00381C80" w:rsidP="00381C80">
      <w:pPr>
        <w:spacing w:beforeLines="50" w:before="180" w:afterLines="50" w:after="180" w:line="400" w:lineRule="exact"/>
        <w:rPr>
          <w:rFonts w:ascii="微軟正黑體" w:eastAsia="微軟正黑體" w:hAnsi="微軟正黑體"/>
          <w:b/>
          <w:kern w:val="0"/>
          <w:sz w:val="28"/>
          <w:szCs w:val="28"/>
        </w:rPr>
      </w:pPr>
      <w:r w:rsidRPr="00BF7C22">
        <w:rPr>
          <w:rFonts w:ascii="微軟正黑體" w:eastAsia="微軟正黑體" w:hAnsi="微軟正黑體" w:hint="eastAsia"/>
          <w:b/>
          <w:sz w:val="28"/>
          <w:szCs w:val="28"/>
        </w:rPr>
        <w:t>二、</w:t>
      </w:r>
      <w:r w:rsidRPr="003624C2">
        <w:rPr>
          <w:rFonts w:ascii="微軟正黑體" w:eastAsia="微軟正黑體" w:hAnsi="微軟正黑體" w:hint="eastAsia"/>
          <w:b/>
          <w:sz w:val="28"/>
          <w:szCs w:val="28"/>
        </w:rPr>
        <w:t>社會保險制的財務處理方式</w:t>
      </w:r>
    </w:p>
    <w:p w:rsidR="00381C80" w:rsidRPr="003624C2" w:rsidRDefault="00381C80" w:rsidP="00381C80">
      <w:pPr>
        <w:spacing w:beforeLines="50" w:before="180" w:line="400" w:lineRule="exact"/>
        <w:jc w:val="both"/>
        <w:rPr>
          <w:rFonts w:ascii="微軟正黑體" w:eastAsia="微軟正黑體" w:hAnsi="微軟正黑體"/>
        </w:rPr>
      </w:pPr>
      <w:r w:rsidRPr="00E26191">
        <w:rPr>
          <w:rFonts w:ascii="微軟正黑體" w:eastAsia="微軟正黑體" w:hAnsi="微軟正黑體" w:hint="eastAsia"/>
        </w:rPr>
        <w:t xml:space="preserve">    </w:t>
      </w:r>
      <w:r w:rsidRPr="003624C2">
        <w:rPr>
          <w:rFonts w:ascii="微軟正黑體" w:eastAsia="微軟正黑體" w:hAnsi="微軟正黑體" w:hint="eastAsia"/>
        </w:rPr>
        <w:t>依財源籌措是</w:t>
      </w:r>
      <w:r>
        <w:rPr>
          <w:rFonts w:ascii="微軟正黑體" w:eastAsia="微軟正黑體" w:hAnsi="微軟正黑體" w:hint="eastAsia"/>
        </w:rPr>
        <w:t>否具有事先儲備精神區分，公共年金的財務處理方式可分為隨收隨付制(</w:t>
      </w:r>
      <w:r w:rsidRPr="003624C2">
        <w:rPr>
          <w:rFonts w:ascii="微軟正黑體" w:eastAsia="微軟正黑體" w:hAnsi="微軟正黑體" w:hint="eastAsia"/>
        </w:rPr>
        <w:t>pay-as -you-go</w:t>
      </w:r>
      <w:r>
        <w:rPr>
          <w:rFonts w:ascii="微軟正黑體" w:eastAsia="微軟正黑體" w:hAnsi="微軟正黑體" w:hint="eastAsia"/>
        </w:rPr>
        <w:t>)</w:t>
      </w:r>
      <w:r w:rsidRPr="003624C2">
        <w:rPr>
          <w:rFonts w:ascii="微軟正黑體" w:eastAsia="微軟正黑體" w:hAnsi="微軟正黑體" w:hint="eastAsia"/>
        </w:rPr>
        <w:t>、部</w:t>
      </w:r>
      <w:r>
        <w:rPr>
          <w:rFonts w:ascii="微軟正黑體" w:eastAsia="微軟正黑體" w:hAnsi="微軟正黑體" w:hint="eastAsia"/>
        </w:rPr>
        <w:t>分準備制(</w:t>
      </w:r>
      <w:r w:rsidRPr="003624C2">
        <w:rPr>
          <w:rFonts w:ascii="微軟正黑體" w:eastAsia="微軟正黑體" w:hAnsi="微軟正黑體" w:hint="eastAsia"/>
        </w:rPr>
        <w:t>partial funding</w:t>
      </w:r>
      <w:r>
        <w:rPr>
          <w:rFonts w:ascii="微軟正黑體" w:eastAsia="微軟正黑體" w:hAnsi="微軟正黑體" w:hint="eastAsia"/>
        </w:rPr>
        <w:t>)(包括修正隨收隨付制以及修正儲備制)與完全儲備制(</w:t>
      </w:r>
      <w:r w:rsidRPr="003624C2">
        <w:rPr>
          <w:rFonts w:ascii="微軟正黑體" w:eastAsia="微軟正黑體" w:hAnsi="微軟正黑體" w:hint="eastAsia"/>
        </w:rPr>
        <w:t>funding</w:t>
      </w:r>
      <w:r>
        <w:rPr>
          <w:rFonts w:ascii="微軟正黑體" w:eastAsia="微軟正黑體" w:hAnsi="微軟正黑體" w:hint="eastAsia"/>
        </w:rPr>
        <w:t>)</w:t>
      </w:r>
      <w:r w:rsidRPr="003624C2">
        <w:rPr>
          <w:rFonts w:ascii="微軟正黑體" w:eastAsia="微軟正黑體" w:hAnsi="微軟正黑體" w:hint="eastAsia"/>
        </w:rPr>
        <w:t>，基本精神差異主要是在，自我責任或代際互助</w:t>
      </w:r>
      <w:r>
        <w:rPr>
          <w:rFonts w:ascii="微軟正黑體" w:eastAsia="微軟正黑體" w:hAnsi="微軟正黑體" w:hint="eastAsia"/>
        </w:rPr>
        <w:t>(</w:t>
      </w:r>
      <w:r w:rsidRPr="003624C2">
        <w:rPr>
          <w:rFonts w:ascii="微軟正黑體" w:eastAsia="微軟正黑體" w:hAnsi="微軟正黑體" w:hint="eastAsia"/>
        </w:rPr>
        <w:t>鄭清霞、王靜怡，2014</w:t>
      </w:r>
      <w:r>
        <w:rPr>
          <w:rFonts w:ascii="微軟正黑體" w:eastAsia="微軟正黑體" w:hAnsi="微軟正黑體" w:hint="eastAsia"/>
        </w:rPr>
        <w:t>)</w:t>
      </w:r>
      <w:r w:rsidRPr="003624C2">
        <w:rPr>
          <w:rFonts w:ascii="微軟正黑體" w:eastAsia="微軟正黑體" w:hAnsi="微軟正黑體" w:hint="eastAsia"/>
        </w:rPr>
        <w:t>。實務上主要差別係現金流量從保險費收入到年金給付之間的時間落差。在隨收隨付制下，當期的保費收入除了保留少部</w:t>
      </w:r>
      <w:r w:rsidRPr="00D51F7A">
        <w:rPr>
          <w:rFonts w:ascii="微軟正黑體" w:eastAsia="微軟正黑體" w:hAnsi="微軟正黑體" w:hint="eastAsia"/>
        </w:rPr>
        <w:t>分</w:t>
      </w:r>
      <w:r>
        <w:rPr>
          <w:rFonts w:ascii="微軟正黑體" w:eastAsia="微軟正黑體" w:hAnsi="微軟正黑體" w:hint="eastAsia"/>
        </w:rPr>
        <w:t>做為法定安全準備金外，大部</w:t>
      </w:r>
      <w:r w:rsidRPr="00D51F7A">
        <w:rPr>
          <w:rFonts w:ascii="微軟正黑體" w:eastAsia="微軟正黑體" w:hAnsi="微軟正黑體" w:hint="eastAsia"/>
        </w:rPr>
        <w:t>分</w:t>
      </w:r>
      <w:r>
        <w:rPr>
          <w:rFonts w:ascii="微軟正黑體" w:eastAsia="微軟正黑體" w:hAnsi="微軟正黑體" w:hint="eastAsia"/>
        </w:rPr>
        <w:t>是用以支付當期的年金給付與業務費用(</w:t>
      </w:r>
      <w:r w:rsidRPr="003624C2">
        <w:rPr>
          <w:rFonts w:ascii="微軟正黑體" w:eastAsia="微軟正黑體" w:hAnsi="微軟正黑體" w:hint="eastAsia"/>
        </w:rPr>
        <w:t>鄭清霞、王靜怡，2014</w:t>
      </w:r>
      <w:r>
        <w:rPr>
          <w:rFonts w:ascii="微軟正黑體" w:eastAsia="微軟正黑體" w:hAnsi="微軟正黑體" w:hint="eastAsia"/>
        </w:rPr>
        <w:t>)</w:t>
      </w:r>
      <w:r w:rsidRPr="003624C2">
        <w:rPr>
          <w:rFonts w:ascii="微軟正黑體" w:eastAsia="微軟正黑體" w:hAnsi="微軟正黑體" w:hint="eastAsia"/>
        </w:rPr>
        <w:t>，故現金流量在收支之間的時間落差最短，對收入面的額外影響程度也最低。隨著制度走向儲備制，當期保費收入即需提存一定比率做為基金，來支應未來的年金給付需求。隨著現金流量在收支間時間的拉長，制度即從部</w:t>
      </w:r>
      <w:r w:rsidRPr="00D51F7A">
        <w:rPr>
          <w:rFonts w:ascii="微軟正黑體" w:eastAsia="微軟正黑體" w:hAnsi="微軟正黑體" w:hint="eastAsia"/>
        </w:rPr>
        <w:t>分</w:t>
      </w:r>
      <w:r>
        <w:rPr>
          <w:rFonts w:ascii="微軟正黑體" w:eastAsia="微軟正黑體" w:hAnsi="微軟正黑體" w:hint="eastAsia"/>
        </w:rPr>
        <w:t>儲備制逐漸走向完全儲備制(</w:t>
      </w:r>
      <w:r w:rsidRPr="003624C2">
        <w:rPr>
          <w:rFonts w:ascii="微軟正黑體" w:eastAsia="微軟正黑體" w:hAnsi="微軟正黑體" w:hint="eastAsia"/>
        </w:rPr>
        <w:t>full funding</w:t>
      </w:r>
      <w:r>
        <w:rPr>
          <w:rFonts w:ascii="微軟正黑體" w:eastAsia="微軟正黑體" w:hAnsi="微軟正黑體" w:hint="eastAsia"/>
        </w:rPr>
        <w:t>)</w:t>
      </w:r>
      <w:r w:rsidRPr="003624C2">
        <w:rPr>
          <w:rFonts w:ascii="微軟正黑體" w:eastAsia="微軟正黑體" w:hAnsi="微軟正黑體" w:hint="eastAsia"/>
        </w:rPr>
        <w:t>，除了增加基金金額累積，也提高衍生出的基金投資報酬率變數，對後續保費收入的金額產生變動與影響</w:t>
      </w:r>
      <w:r w:rsidRPr="008A3267">
        <w:rPr>
          <w:rFonts w:ascii="微軟正黑體" w:eastAsia="微軟正黑體" w:hAnsi="微軟正黑體" w:hint="eastAsia"/>
        </w:rPr>
        <w:t>。</w:t>
      </w:r>
    </w:p>
    <w:p w:rsidR="00381C80" w:rsidRPr="003624C2" w:rsidRDefault="00381C80" w:rsidP="00381C80">
      <w:pPr>
        <w:spacing w:beforeLines="30" w:before="108" w:line="400" w:lineRule="exact"/>
        <w:jc w:val="both"/>
        <w:rPr>
          <w:rFonts w:ascii="微軟正黑體" w:eastAsia="微軟正黑體" w:hAnsi="微軟正黑體"/>
        </w:rPr>
      </w:pPr>
      <w:r w:rsidRPr="003624C2">
        <w:rPr>
          <w:rFonts w:ascii="微軟正黑體" w:eastAsia="微軟正黑體" w:hAnsi="微軟正黑體" w:hint="eastAsia"/>
        </w:rPr>
        <w:t xml:space="preserve">    關於公</w:t>
      </w:r>
      <w:r>
        <w:rPr>
          <w:rFonts w:ascii="微軟正黑體" w:eastAsia="微軟正黑體" w:hAnsi="微軟正黑體" w:hint="eastAsia"/>
        </w:rPr>
        <w:t>共年金財務處理方式的討論，主要源自於帶有隨收隨付精神的公共年金(包括部</w:t>
      </w:r>
      <w:r w:rsidRPr="00D51F7A">
        <w:rPr>
          <w:rFonts w:ascii="微軟正黑體" w:eastAsia="微軟正黑體" w:hAnsi="微軟正黑體" w:hint="eastAsia"/>
        </w:rPr>
        <w:t>分</w:t>
      </w:r>
      <w:r>
        <w:rPr>
          <w:rFonts w:ascii="微軟正黑體" w:eastAsia="微軟正黑體" w:hAnsi="微軟正黑體" w:hint="eastAsia"/>
        </w:rPr>
        <w:t>儲備制及隨收隨付制)</w:t>
      </w:r>
      <w:r w:rsidRPr="003624C2">
        <w:rPr>
          <w:rFonts w:ascii="微軟正黑體" w:eastAsia="微軟正黑體" w:hAnsi="微軟正黑體" w:hint="eastAsia"/>
        </w:rPr>
        <w:t>，為了因應人口高齡化衝擊，1980年代中期起陸續採行收支面參數的緊縮性調整過程，引發輿論在對勞動市場</w:t>
      </w:r>
      <w:r>
        <w:rPr>
          <w:rFonts w:ascii="微軟正黑體" w:eastAsia="微軟正黑體" w:hAnsi="微軟正黑體" w:hint="eastAsia"/>
        </w:rPr>
        <w:t>(</w:t>
      </w:r>
      <w:r w:rsidRPr="003624C2">
        <w:rPr>
          <w:rFonts w:ascii="微軟正黑體" w:eastAsia="微軟正黑體" w:hAnsi="微軟正黑體" w:hint="eastAsia"/>
        </w:rPr>
        <w:t>Homburg, 1990；Feldstein, 1996</w:t>
      </w:r>
      <w:r>
        <w:rPr>
          <w:rFonts w:ascii="微軟正黑體" w:eastAsia="微軟正黑體" w:hAnsi="微軟正黑體" w:hint="eastAsia"/>
        </w:rPr>
        <w:t>)、國家資本存量(</w:t>
      </w:r>
      <w:r w:rsidRPr="003624C2">
        <w:rPr>
          <w:rFonts w:ascii="微軟正黑體" w:eastAsia="微軟正黑體" w:hAnsi="微軟正黑體" w:hint="eastAsia"/>
        </w:rPr>
        <w:t>Feldstein, 1996</w:t>
      </w:r>
      <w:r>
        <w:rPr>
          <w:rFonts w:ascii="微軟正黑體" w:eastAsia="微軟正黑體" w:hAnsi="微軟正黑體" w:hint="eastAsia"/>
        </w:rPr>
        <w:t>)、個人養育子女決策(</w:t>
      </w:r>
      <w:r w:rsidRPr="003624C2">
        <w:rPr>
          <w:rFonts w:ascii="微軟正黑體" w:eastAsia="微軟正黑體" w:hAnsi="微軟正黑體" w:hint="eastAsia"/>
        </w:rPr>
        <w:t>Becker and Barro, 1988、Cigno, 1993</w:t>
      </w:r>
      <w:r>
        <w:rPr>
          <w:rFonts w:ascii="微軟正黑體" w:eastAsia="微軟正黑體" w:hAnsi="微軟正黑體" w:hint="eastAsia"/>
        </w:rPr>
        <w:t>)、世代間風險分擔(</w:t>
      </w:r>
      <w:r w:rsidRPr="003624C2">
        <w:rPr>
          <w:rFonts w:ascii="微軟正黑體" w:eastAsia="微軟正黑體" w:hAnsi="微軟正黑體" w:hint="eastAsia"/>
        </w:rPr>
        <w:t>Enders and Lapan, 1982；Gordon and Varian, 1988</w:t>
      </w:r>
      <w:r>
        <w:rPr>
          <w:rFonts w:ascii="微軟正黑體" w:eastAsia="微軟正黑體" w:hAnsi="微軟正黑體" w:hint="eastAsia"/>
        </w:rPr>
        <w:t>)</w:t>
      </w:r>
      <w:r w:rsidRPr="003624C2">
        <w:rPr>
          <w:rFonts w:ascii="微軟正黑體" w:eastAsia="微軟正黑體" w:hAnsi="微軟正黑體" w:hint="eastAsia"/>
        </w:rPr>
        <w:t>等社經層面，可能帶來外溢影響的疑慮。隨著智利在1981年將公共年金</w:t>
      </w:r>
      <w:r>
        <w:rPr>
          <w:rFonts w:ascii="微軟正黑體" w:eastAsia="微軟正黑體" w:hAnsi="微軟正黑體" w:hint="eastAsia"/>
        </w:rPr>
        <w:t>改制為個人帳戶的完全儲備制，初期運作良佳表現，加上後續世界銀行(</w:t>
      </w:r>
      <w:r w:rsidRPr="003624C2">
        <w:rPr>
          <w:rFonts w:ascii="微軟正黑體" w:eastAsia="微軟正黑體" w:hAnsi="微軟正黑體" w:hint="eastAsia"/>
        </w:rPr>
        <w:t>World Bank</w:t>
      </w:r>
      <w:r>
        <w:rPr>
          <w:rFonts w:ascii="微軟正黑體" w:eastAsia="微軟正黑體" w:hAnsi="微軟正黑體" w:hint="eastAsia"/>
        </w:rPr>
        <w:t>)</w:t>
      </w:r>
      <w:r w:rsidRPr="003624C2">
        <w:rPr>
          <w:rFonts w:ascii="微軟正黑體" w:eastAsia="微軟正黑體" w:hAnsi="微軟正黑體" w:hint="eastAsia"/>
        </w:rPr>
        <w:t>在1994年所提出的三柱式年金架構，建議第二柱公共年金可考慮納入儲備制的觀點，讓前述對隨收隨付制的相關討論，到了1990年代，進一步多了是否該朝向儲</w:t>
      </w:r>
      <w:r>
        <w:rPr>
          <w:rFonts w:ascii="微軟正黑體" w:eastAsia="微軟正黑體" w:hAnsi="微軟正黑體" w:hint="eastAsia"/>
        </w:rPr>
        <w:t>備制來修正的爭論(</w:t>
      </w:r>
      <w:r w:rsidRPr="003624C2">
        <w:rPr>
          <w:rFonts w:ascii="微軟正黑體" w:eastAsia="微軟正黑體" w:hAnsi="微軟正黑體" w:hint="eastAsia"/>
        </w:rPr>
        <w:t>Feldstein, 1996；Sinn, 2000；Feldstein and Samwick, 2002</w:t>
      </w:r>
      <w:r>
        <w:rPr>
          <w:rFonts w:ascii="微軟正黑體" w:eastAsia="微軟正黑體" w:hAnsi="微軟正黑體" w:hint="eastAsia"/>
        </w:rPr>
        <w:t>)</w:t>
      </w:r>
      <w:r w:rsidRPr="003624C2">
        <w:rPr>
          <w:rFonts w:ascii="微軟正黑體" w:eastAsia="微軟正黑體" w:hAnsi="微軟正黑體" w:hint="eastAsia"/>
        </w:rPr>
        <w:t>。</w:t>
      </w:r>
    </w:p>
    <w:p w:rsidR="00381C80" w:rsidRPr="003624C2" w:rsidRDefault="00381C80" w:rsidP="00381C80">
      <w:pPr>
        <w:spacing w:beforeLines="30" w:before="108" w:line="400" w:lineRule="exact"/>
        <w:jc w:val="both"/>
        <w:rPr>
          <w:rFonts w:ascii="微軟正黑體" w:eastAsia="微軟正黑體" w:hAnsi="微軟正黑體"/>
        </w:rPr>
      </w:pPr>
      <w:r w:rsidRPr="003624C2">
        <w:rPr>
          <w:rFonts w:ascii="微軟正黑體" w:eastAsia="微軟正黑體" w:hAnsi="微軟正黑體" w:hint="eastAsia"/>
        </w:rPr>
        <w:t xml:space="preserve">    有別於隨收隨付制，儲備制是將尚未進入給付階段的財源，做時間性積存的機制，在基金的實體運作下，凸顯基金投資報酬率亦是影響財務的變數。基金採行不同的資產配置策略，在累積過程中，籌措財源即會額外受到其他社經變數的衝擊，進而對累積金額造成變動影響。此外，因為收支間存在較長的時間落差，故在訂定保險費率時，需要預估較長期的精算參數，增加長期性的參數預估風險。因此，公共年金若採行儲備制，</w:t>
      </w:r>
      <w:r w:rsidRPr="003624C2">
        <w:rPr>
          <w:rFonts w:ascii="微軟正黑體" w:eastAsia="微軟正黑體" w:hAnsi="微軟正黑體" w:hint="eastAsia"/>
        </w:rPr>
        <w:lastRenderedPageBreak/>
        <w:t>對整體收入面而言，將面對更多的長期變數挑戰，隨收隨付制的主要優點正在於沒有基金管理的成本與風險。</w:t>
      </w:r>
    </w:p>
    <w:p w:rsidR="00381C80" w:rsidRPr="003624C2" w:rsidRDefault="00381C80" w:rsidP="00381C80">
      <w:pPr>
        <w:spacing w:beforeLines="30" w:before="108" w:line="400" w:lineRule="exact"/>
        <w:jc w:val="both"/>
        <w:rPr>
          <w:rFonts w:ascii="微軟正黑體" w:eastAsia="微軟正黑體" w:hAnsi="微軟正黑體"/>
        </w:rPr>
      </w:pPr>
      <w:r w:rsidRPr="003624C2">
        <w:rPr>
          <w:rFonts w:ascii="微軟正黑體" w:eastAsia="微軟正黑體" w:hAnsi="微軟正黑體" w:hint="eastAsia"/>
        </w:rPr>
        <w:t xml:space="preserve">    基金運用的投資績效良窳，與基金的投資運用規範和投資者的資產配置能力有關。前曾述及，人口老化對國家整體社經環境的影響，常伴隨著總體經濟成長率趨緩、勞動市場條件惡化等情況，故當基金的可投資標的過度集中在國內金融市場，投資績效即可能會與人口老化的負面衝擊，產生較大連動性，進而影響基金所能獲取的長期報酬率。因此，累積基金若欲尋得較高的投資績效，來填補人口老化對制度財務所帶來的衝擊，原則上需透過多元性投資並適度納入與國內總體經濟變數相關性較不高的投資標的。但多元且國際化的投資，也意謂著承擔較高投資風險，一旦基金長期投資績效不佳，反而造成制度財務雪上加霜。故在儲備制下所累積的基金，對承受人口老化衝擊的制度而言，可能是因應財務風險的機會，也可能是加重財務風險的變數，端視基金對可投資標的之取捨與資產配置能力而定。</w:t>
      </w:r>
    </w:p>
    <w:p w:rsidR="00381C80" w:rsidRDefault="00381C80" w:rsidP="00381C80">
      <w:pPr>
        <w:spacing w:beforeLines="30" w:before="108" w:line="400" w:lineRule="exact"/>
        <w:jc w:val="both"/>
        <w:rPr>
          <w:rFonts w:ascii="微軟正黑體" w:eastAsia="微軟正黑體" w:hAnsi="微軟正黑體"/>
          <w:sz w:val="20"/>
          <w:szCs w:val="20"/>
        </w:rPr>
      </w:pPr>
      <w:r>
        <w:rPr>
          <w:rFonts w:ascii="微軟正黑體" w:eastAsia="微軟正黑體" w:hAnsi="微軟正黑體" w:hint="eastAsia"/>
        </w:rPr>
        <w:t xml:space="preserve">    </w:t>
      </w:r>
      <w:r w:rsidRPr="003624C2">
        <w:rPr>
          <w:rFonts w:ascii="微軟正黑體" w:eastAsia="微軟正黑體" w:hAnsi="微軟正黑體" w:hint="eastAsia"/>
        </w:rPr>
        <w:t>綜合前述，對保險制公共年金來說，透過強制納保機制，固然可讓收入面財源維持一定程度的持續性，不過面對人口老化及就業型態變遷對傳統費基所帶來的負面衝擊，除了提高保險費率外，彈性的擴大費基來廣納各種就業型態，可能會是一個能協助穩定收入面的前瞻性方向。其次，在財務處理方式上，若是採行儲備制，包括基金投資運用規範及基金管理者的投資能力等，都會影響保費收入所提存的基金，能否替未來的收入面創造額外財源，以及能否抵消從隨收隨付制轉為儲備制時，對工作世代所帶來的雙重負擔。</w:t>
      </w:r>
    </w:p>
    <w:p w:rsidR="00381C80" w:rsidRPr="00E26191" w:rsidRDefault="00381C80" w:rsidP="00381C80">
      <w:pPr>
        <w:spacing w:beforeLines="150" w:before="540" w:afterLines="50" w:after="180" w:line="400" w:lineRule="exact"/>
        <w:jc w:val="center"/>
        <w:rPr>
          <w:rFonts w:ascii="微軟正黑體" w:eastAsia="微軟正黑體" w:hAnsi="微軟正黑體"/>
          <w:b/>
          <w:kern w:val="0"/>
          <w:sz w:val="32"/>
          <w:szCs w:val="32"/>
        </w:rPr>
      </w:pPr>
      <w:r w:rsidRPr="00E26191">
        <w:rPr>
          <w:rFonts w:ascii="微軟正黑體" w:eastAsia="微軟正黑體" w:hAnsi="微軟正黑體"/>
          <w:b/>
          <w:sz w:val="32"/>
          <w:szCs w:val="32"/>
        </w:rPr>
        <w:t>參、</w:t>
      </w:r>
      <w:r w:rsidRPr="003624C2">
        <w:rPr>
          <w:rFonts w:ascii="微軟正黑體" w:eastAsia="微軟正黑體" w:hAnsi="微軟正黑體" w:hint="eastAsia"/>
          <w:b/>
          <w:sz w:val="32"/>
          <w:szCs w:val="32"/>
        </w:rPr>
        <w:t>德國法定年金財務運作探討</w:t>
      </w:r>
    </w:p>
    <w:p w:rsidR="00381C80" w:rsidRPr="00E26191" w:rsidRDefault="00381C80" w:rsidP="00381C80">
      <w:pPr>
        <w:spacing w:beforeLines="100" w:before="360" w:afterLines="50" w:after="180" w:line="400" w:lineRule="exact"/>
        <w:rPr>
          <w:rFonts w:ascii="微軟正黑體" w:eastAsia="微軟正黑體" w:hAnsi="微軟正黑體"/>
          <w:b/>
          <w:kern w:val="0"/>
          <w:sz w:val="28"/>
          <w:szCs w:val="28"/>
        </w:rPr>
      </w:pPr>
      <w:r w:rsidRPr="00E26191">
        <w:rPr>
          <w:rFonts w:ascii="微軟正黑體" w:eastAsia="微軟正黑體" w:hAnsi="微軟正黑體" w:hint="eastAsia"/>
          <w:b/>
          <w:sz w:val="28"/>
          <w:szCs w:val="28"/>
        </w:rPr>
        <w:t>一、</w:t>
      </w:r>
      <w:r w:rsidRPr="003624C2">
        <w:rPr>
          <w:rFonts w:ascii="微軟正黑體" w:eastAsia="微軟正黑體" w:hAnsi="微軟正黑體" w:hint="eastAsia"/>
          <w:b/>
          <w:sz w:val="28"/>
          <w:szCs w:val="28"/>
        </w:rPr>
        <w:t>法定年金的財務修正歷程</w:t>
      </w:r>
    </w:p>
    <w:p w:rsidR="00381C80" w:rsidRDefault="00381C80" w:rsidP="00381C80">
      <w:pPr>
        <w:spacing w:line="400" w:lineRule="exact"/>
        <w:jc w:val="both"/>
        <w:rPr>
          <w:rFonts w:ascii="微軟正黑體" w:eastAsia="微軟正黑體" w:hAnsi="微軟正黑體"/>
        </w:rPr>
      </w:pPr>
      <w:r>
        <w:rPr>
          <w:rFonts w:ascii="微軟正黑體" w:eastAsia="微軟正黑體" w:hAnsi="微軟正黑體" w:hint="eastAsia"/>
        </w:rPr>
        <w:t xml:space="preserve">    </w:t>
      </w:r>
      <w:r w:rsidRPr="003624C2">
        <w:rPr>
          <w:rFonts w:ascii="微軟正黑體" w:eastAsia="微軟正黑體" w:hAnsi="微軟正黑體" w:hint="eastAsia"/>
        </w:rPr>
        <w:t>德國建制於</w:t>
      </w:r>
      <w:r w:rsidRPr="00D51F7A">
        <w:rPr>
          <w:rFonts w:ascii="微軟正黑體" w:eastAsia="微軟正黑體" w:hAnsi="微軟正黑體" w:hint="eastAsia"/>
        </w:rPr>
        <w:t>1889</w:t>
      </w:r>
      <w:r w:rsidRPr="008A1261">
        <w:rPr>
          <w:rFonts w:ascii="微軟正黑體" w:eastAsia="微軟正黑體" w:hAnsi="微軟正黑體" w:hint="eastAsia"/>
        </w:rPr>
        <w:t>年</w:t>
      </w:r>
      <w:r>
        <w:rPr>
          <w:rFonts w:ascii="微軟正黑體" w:eastAsia="微軟正黑體" w:hAnsi="微軟正黑體" w:hint="eastAsia"/>
        </w:rPr>
        <w:t>的法定年金保險(</w:t>
      </w:r>
      <w:r w:rsidRPr="003624C2">
        <w:rPr>
          <w:rFonts w:ascii="微軟正黑體" w:eastAsia="微軟正黑體" w:hAnsi="微軟正黑體" w:hint="eastAsia"/>
        </w:rPr>
        <w:t>Statutory Pension Insurance</w:t>
      </w:r>
      <w:r>
        <w:rPr>
          <w:rFonts w:ascii="微軟正黑體" w:eastAsia="微軟正黑體" w:hAnsi="微軟正黑體" w:hint="eastAsia"/>
        </w:rPr>
        <w:t>，以下簡稱為「法定年金」)</w:t>
      </w:r>
      <w:r w:rsidRPr="003624C2">
        <w:rPr>
          <w:rFonts w:ascii="微軟正黑體" w:eastAsia="微軟正黑體" w:hAnsi="微軟正黑體" w:hint="eastAsia"/>
        </w:rPr>
        <w:t>，是針對受</w:t>
      </w:r>
      <w:r w:rsidRPr="00D51F7A">
        <w:rPr>
          <w:rFonts w:ascii="微軟正黑體" w:eastAsia="微軟正黑體" w:hAnsi="微軟正黑體" w:hint="eastAsia"/>
        </w:rPr>
        <w:t>僱</w:t>
      </w:r>
      <w:r w:rsidRPr="003624C2">
        <w:rPr>
          <w:rFonts w:ascii="微軟正黑體" w:eastAsia="微軟正黑體" w:hAnsi="微軟正黑體" w:hint="eastAsia"/>
        </w:rPr>
        <w:t>於私人企業的勞工與自</w:t>
      </w:r>
      <w:r w:rsidRPr="00D51F7A">
        <w:rPr>
          <w:rFonts w:ascii="微軟正黑體" w:eastAsia="微軟正黑體" w:hAnsi="微軟正黑體" w:hint="eastAsia"/>
        </w:rPr>
        <w:t>僱</w:t>
      </w:r>
      <w:r w:rsidRPr="003624C2">
        <w:rPr>
          <w:rFonts w:ascii="微軟正黑體" w:eastAsia="微軟正黑體" w:hAnsi="微軟正黑體" w:hint="eastAsia"/>
        </w:rPr>
        <w:t>者來提供的強制性公共年金制度。財務處理方式上，</w:t>
      </w:r>
      <w:r w:rsidRPr="00D51F7A">
        <w:rPr>
          <w:rFonts w:ascii="微軟正黑體" w:eastAsia="微軟正黑體" w:hAnsi="微軟正黑體" w:hint="eastAsia"/>
        </w:rPr>
        <w:t>法定年金在開辦之初，財務處理方式是採行完全儲備制，後續德國政府決定自1957年起，以大約10年的時間，將制度逐步朝向隨收隨付制修正，故所累積的基金在接下來的10年間逐漸耗用，而後正式成為隨收隨付制(Börsch-Supan and Wilke, 2003)；而安全準備金的需求，則從</w:t>
      </w:r>
      <w:r w:rsidRPr="003624C2">
        <w:rPr>
          <w:rFonts w:ascii="微軟正黑體" w:eastAsia="微軟正黑體" w:hAnsi="微軟正黑體" w:hint="eastAsia"/>
        </w:rPr>
        <w:t>最初的1個月年金支出額，在2002及2003年降為0.5</w:t>
      </w:r>
      <w:r>
        <w:rPr>
          <w:rFonts w:ascii="微軟正黑體" w:eastAsia="微軟正黑體" w:hAnsi="微軟正黑體" w:hint="eastAsia"/>
        </w:rPr>
        <w:t>個月的年金支出額(</w:t>
      </w:r>
      <w:r w:rsidRPr="003624C2">
        <w:rPr>
          <w:rFonts w:ascii="微軟正黑體" w:eastAsia="微軟正黑體" w:hAnsi="微軟正黑體" w:hint="eastAsia"/>
        </w:rPr>
        <w:t>Siebert, 2003</w:t>
      </w:r>
      <w:r>
        <w:rPr>
          <w:rFonts w:ascii="微軟正黑體" w:eastAsia="微軟正黑體" w:hAnsi="微軟正黑體" w:hint="eastAsia"/>
        </w:rPr>
        <w:t>)</w:t>
      </w:r>
      <w:r w:rsidRPr="003624C2">
        <w:rPr>
          <w:rFonts w:ascii="微軟正黑體" w:eastAsia="微軟正黑體" w:hAnsi="微軟正黑體" w:hint="eastAsia"/>
        </w:rPr>
        <w:t>。其後歷經1970到1980年</w:t>
      </w:r>
      <w:r>
        <w:rPr>
          <w:rFonts w:ascii="微軟正黑體" w:eastAsia="微軟正黑體" w:hAnsi="微軟正黑體" w:hint="eastAsia"/>
        </w:rPr>
        <w:t>代的給付面擴充性發展，雖然讓制度成為當時世界上最優渥的公共年金(</w:t>
      </w:r>
      <w:r w:rsidRPr="003624C2">
        <w:rPr>
          <w:rFonts w:ascii="微軟正黑體" w:eastAsia="微軟正黑體" w:hAnsi="微軟正黑體" w:hint="eastAsia"/>
        </w:rPr>
        <w:t>Börsch-Supan and Wilke, 2003</w:t>
      </w:r>
      <w:r>
        <w:rPr>
          <w:rFonts w:ascii="微軟正黑體" w:eastAsia="微軟正黑體" w:hAnsi="微軟正黑體" w:hint="eastAsia"/>
        </w:rPr>
        <w:t>)</w:t>
      </w:r>
      <w:r w:rsidRPr="003624C2">
        <w:rPr>
          <w:rFonts w:ascii="微軟正黑體" w:eastAsia="微軟正黑體" w:hAnsi="微軟正黑體" w:hint="eastAsia"/>
        </w:rPr>
        <w:t>，但從1990年代起，東西德的統一、人口高齡化、經濟成長趨緩、勞工失業率提高等社經變數，嚴重衝擊到法定年金的財務健全性，因而促使政府自1990</w:t>
      </w:r>
      <w:r>
        <w:rPr>
          <w:rFonts w:ascii="微軟正黑體" w:eastAsia="微軟正黑體" w:hAnsi="微軟正黑體" w:hint="eastAsia"/>
        </w:rPr>
        <w:t>年代起，對法定年金開始展開一連串的修正(</w:t>
      </w:r>
      <w:r w:rsidRPr="003624C2">
        <w:rPr>
          <w:rFonts w:ascii="微軟正黑體" w:eastAsia="微軟正黑體" w:hAnsi="微軟正黑體" w:hint="eastAsia"/>
        </w:rPr>
        <w:t>見表1</w:t>
      </w:r>
      <w:r>
        <w:rPr>
          <w:rFonts w:ascii="微軟正黑體" w:eastAsia="微軟正黑體" w:hAnsi="微軟正黑體" w:hint="eastAsia"/>
        </w:rPr>
        <w:t>)。</w:t>
      </w:r>
    </w:p>
    <w:p w:rsidR="00381C80" w:rsidRDefault="00381C80" w:rsidP="00381C80">
      <w:pPr>
        <w:spacing w:line="400" w:lineRule="exact"/>
        <w:jc w:val="both"/>
        <w:rPr>
          <w:rFonts w:ascii="微軟正黑體" w:eastAsia="微軟正黑體" w:hAnsi="微軟正黑體"/>
        </w:rPr>
      </w:pPr>
    </w:p>
    <w:p w:rsidR="00381C80" w:rsidRPr="006C5F0A" w:rsidRDefault="00381C80" w:rsidP="00381C80">
      <w:pPr>
        <w:spacing w:afterLines="30" w:after="108" w:line="400" w:lineRule="exact"/>
        <w:jc w:val="center"/>
        <w:rPr>
          <w:rFonts w:ascii="微軟正黑體" w:eastAsia="微軟正黑體" w:hAnsi="微軟正黑體"/>
        </w:rPr>
      </w:pPr>
      <w:r w:rsidRPr="006C5F0A">
        <w:rPr>
          <w:rFonts w:ascii="微軟正黑體" w:eastAsia="微軟正黑體" w:hAnsi="微軟正黑體"/>
        </w:rPr>
        <w:lastRenderedPageBreak/>
        <w:t>表1  德國法定年金自1990年代起的主要財務修正歷程</w:t>
      </w:r>
    </w:p>
    <w:tbl>
      <w:tblPr>
        <w:tblW w:w="9024"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3338"/>
        <w:gridCol w:w="4503"/>
      </w:tblGrid>
      <w:tr w:rsidR="002928A5" w:rsidRPr="002928A5" w:rsidTr="002928A5">
        <w:trPr>
          <w:trHeight w:val="478"/>
          <w:jc w:val="center"/>
        </w:trPr>
        <w:tc>
          <w:tcPr>
            <w:tcW w:w="1183" w:type="dxa"/>
            <w:shd w:val="clear" w:color="auto" w:fill="8064A2" w:themeFill="accent4"/>
            <w:vAlign w:val="center"/>
          </w:tcPr>
          <w:p w:rsidR="00381C80" w:rsidRPr="002928A5" w:rsidRDefault="00381C80" w:rsidP="00381C80">
            <w:pPr>
              <w:snapToGrid w:val="0"/>
              <w:spacing w:line="340" w:lineRule="exact"/>
              <w:contextualSpacing/>
              <w:jc w:val="center"/>
              <w:rPr>
                <w:rFonts w:ascii="微軟正黑體" w:eastAsia="微軟正黑體" w:hAnsi="微軟正黑體"/>
                <w:b/>
                <w:color w:val="FFFFFF" w:themeColor="background1"/>
              </w:rPr>
            </w:pPr>
            <w:r w:rsidRPr="002928A5">
              <w:rPr>
                <w:rFonts w:ascii="微軟正黑體" w:eastAsia="微軟正黑體" w:hAnsi="微軟正黑體"/>
                <w:b/>
                <w:color w:val="FFFFFF" w:themeColor="background1"/>
              </w:rPr>
              <w:t>年度</w:t>
            </w:r>
          </w:p>
        </w:tc>
        <w:tc>
          <w:tcPr>
            <w:tcW w:w="3338" w:type="dxa"/>
            <w:shd w:val="clear" w:color="auto" w:fill="8064A2" w:themeFill="accent4"/>
            <w:vAlign w:val="center"/>
          </w:tcPr>
          <w:p w:rsidR="00381C80" w:rsidRPr="002928A5" w:rsidRDefault="00381C80" w:rsidP="00381C80">
            <w:pPr>
              <w:snapToGrid w:val="0"/>
              <w:spacing w:line="340" w:lineRule="exact"/>
              <w:contextualSpacing/>
              <w:jc w:val="center"/>
              <w:rPr>
                <w:rFonts w:ascii="微軟正黑體" w:eastAsia="微軟正黑體" w:hAnsi="微軟正黑體"/>
                <w:b/>
                <w:color w:val="FFFFFF" w:themeColor="background1"/>
              </w:rPr>
            </w:pPr>
            <w:r w:rsidRPr="002928A5">
              <w:rPr>
                <w:rFonts w:ascii="微軟正黑體" w:eastAsia="微軟正黑體" w:hAnsi="微軟正黑體"/>
                <w:b/>
                <w:color w:val="FFFFFF" w:themeColor="background1"/>
              </w:rPr>
              <w:t>收入面修正</w:t>
            </w:r>
          </w:p>
        </w:tc>
        <w:tc>
          <w:tcPr>
            <w:tcW w:w="4503" w:type="dxa"/>
            <w:shd w:val="clear" w:color="auto" w:fill="8064A2" w:themeFill="accent4"/>
            <w:vAlign w:val="center"/>
          </w:tcPr>
          <w:p w:rsidR="00381C80" w:rsidRPr="002928A5" w:rsidRDefault="00381C80" w:rsidP="00381C80">
            <w:pPr>
              <w:snapToGrid w:val="0"/>
              <w:spacing w:line="340" w:lineRule="exact"/>
              <w:contextualSpacing/>
              <w:jc w:val="center"/>
              <w:rPr>
                <w:rFonts w:ascii="微軟正黑體" w:eastAsia="微軟正黑體" w:hAnsi="微軟正黑體"/>
                <w:b/>
                <w:color w:val="FFFFFF" w:themeColor="background1"/>
              </w:rPr>
            </w:pPr>
            <w:r w:rsidRPr="002928A5">
              <w:rPr>
                <w:rFonts w:ascii="微軟正黑體" w:eastAsia="微軟正黑體" w:hAnsi="微軟正黑體"/>
                <w:b/>
                <w:color w:val="FFFFFF" w:themeColor="background1"/>
              </w:rPr>
              <w:t>支出面修正</w:t>
            </w:r>
          </w:p>
        </w:tc>
      </w:tr>
      <w:tr w:rsidR="00381C80" w:rsidRPr="00F9538A" w:rsidTr="00381C80">
        <w:trPr>
          <w:jc w:val="center"/>
        </w:trPr>
        <w:tc>
          <w:tcPr>
            <w:tcW w:w="118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b/>
              </w:rPr>
            </w:pPr>
            <w:r w:rsidRPr="00F9538A">
              <w:rPr>
                <w:rFonts w:ascii="微軟正黑體" w:eastAsia="微軟正黑體" w:hAnsi="微軟正黑體"/>
                <w:b/>
              </w:rPr>
              <w:t>1992年</w:t>
            </w:r>
          </w:p>
        </w:tc>
        <w:tc>
          <w:tcPr>
            <w:tcW w:w="3338"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rPr>
            </w:pPr>
            <w:r w:rsidRPr="00F9538A">
              <w:rPr>
                <w:rFonts w:ascii="微軟正黑體" w:eastAsia="微軟正黑體" w:hAnsi="微軟正黑體"/>
              </w:rPr>
              <w:t>------</w:t>
            </w:r>
          </w:p>
        </w:tc>
        <w:tc>
          <w:tcPr>
            <w:tcW w:w="4503" w:type="dxa"/>
            <w:shd w:val="clear" w:color="auto" w:fill="auto"/>
            <w:vAlign w:val="center"/>
          </w:tcPr>
          <w:p w:rsidR="00381C80" w:rsidRDefault="00381C80" w:rsidP="00BD50E5">
            <w:pPr>
              <w:pStyle w:val="af0"/>
              <w:numPr>
                <w:ilvl w:val="0"/>
                <w:numId w:val="41"/>
              </w:numPr>
              <w:snapToGrid w:val="0"/>
              <w:spacing w:line="340" w:lineRule="exact"/>
              <w:ind w:leftChars="0" w:left="310" w:hanging="310"/>
              <w:contextualSpacing/>
              <w:jc w:val="both"/>
              <w:rPr>
                <w:rFonts w:ascii="微軟正黑體" w:eastAsia="微軟正黑體" w:hAnsi="微軟正黑體"/>
              </w:rPr>
            </w:pPr>
            <w:r w:rsidRPr="00F9538A">
              <w:rPr>
                <w:rFonts w:ascii="微軟正黑體" w:eastAsia="微軟正黑體" w:hAnsi="微軟正黑體"/>
              </w:rPr>
              <w:t>年金給付的計算因子，從過去依據薪資總額，改成依據扣除稅負與保險費之後的薪資淨額。</w:t>
            </w:r>
          </w:p>
          <w:p w:rsidR="00381C80" w:rsidRDefault="00381C80" w:rsidP="00BD50E5">
            <w:pPr>
              <w:pStyle w:val="af0"/>
              <w:numPr>
                <w:ilvl w:val="0"/>
                <w:numId w:val="41"/>
              </w:numPr>
              <w:snapToGrid w:val="0"/>
              <w:spacing w:line="340" w:lineRule="exact"/>
              <w:ind w:leftChars="0" w:left="310" w:hanging="310"/>
              <w:contextualSpacing/>
              <w:jc w:val="both"/>
              <w:rPr>
                <w:rFonts w:ascii="微軟正黑體" w:eastAsia="微軟正黑體" w:hAnsi="微軟正黑體"/>
              </w:rPr>
            </w:pPr>
            <w:r w:rsidRPr="00126A12">
              <w:rPr>
                <w:rFonts w:ascii="微軟正黑體" w:eastAsia="微軟正黑體" w:hAnsi="微軟正黑體"/>
              </w:rPr>
              <w:t>1997年至2001年間開始逐年提高合格退休年齡至65歲，並預計到2017年完成既定時程。</w:t>
            </w:r>
          </w:p>
          <w:p w:rsidR="00381C80" w:rsidRPr="00126A12" w:rsidRDefault="00381C80" w:rsidP="00BD50E5">
            <w:pPr>
              <w:pStyle w:val="af0"/>
              <w:numPr>
                <w:ilvl w:val="0"/>
                <w:numId w:val="41"/>
              </w:numPr>
              <w:snapToGrid w:val="0"/>
              <w:spacing w:line="340" w:lineRule="exact"/>
              <w:ind w:leftChars="0" w:left="310" w:hanging="310"/>
              <w:contextualSpacing/>
              <w:jc w:val="both"/>
              <w:rPr>
                <w:rFonts w:ascii="微軟正黑體" w:eastAsia="微軟正黑體" w:hAnsi="微軟正黑體"/>
              </w:rPr>
            </w:pPr>
            <w:r w:rsidRPr="00126A12">
              <w:rPr>
                <w:rFonts w:ascii="微軟正黑體" w:eastAsia="微軟正黑體" w:hAnsi="微軟正黑體"/>
              </w:rPr>
              <w:t>增訂提早退休的減額年金與延後退休的增額年金之規定。</w:t>
            </w:r>
          </w:p>
        </w:tc>
      </w:tr>
      <w:tr w:rsidR="00381C80" w:rsidRPr="00F9538A" w:rsidTr="00381C80">
        <w:trPr>
          <w:trHeight w:val="605"/>
          <w:jc w:val="center"/>
        </w:trPr>
        <w:tc>
          <w:tcPr>
            <w:tcW w:w="118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b/>
              </w:rPr>
            </w:pPr>
            <w:r w:rsidRPr="00F9538A">
              <w:rPr>
                <w:rFonts w:ascii="微軟正黑體" w:eastAsia="微軟正黑體" w:hAnsi="微軟正黑體"/>
                <w:b/>
              </w:rPr>
              <w:t>1998年</w:t>
            </w:r>
          </w:p>
        </w:tc>
        <w:tc>
          <w:tcPr>
            <w:tcW w:w="3338" w:type="dxa"/>
            <w:shd w:val="clear" w:color="auto" w:fill="auto"/>
            <w:vAlign w:val="center"/>
          </w:tcPr>
          <w:p w:rsidR="00381C80" w:rsidRPr="00F9538A" w:rsidRDefault="00381C80" w:rsidP="00381C80">
            <w:pPr>
              <w:snapToGrid w:val="0"/>
              <w:spacing w:line="340" w:lineRule="exact"/>
              <w:contextualSpacing/>
              <w:jc w:val="both"/>
              <w:rPr>
                <w:rFonts w:ascii="微軟正黑體" w:eastAsia="微軟正黑體" w:hAnsi="微軟正黑體"/>
              </w:rPr>
            </w:pPr>
            <w:r w:rsidRPr="00F9538A">
              <w:rPr>
                <w:rFonts w:ascii="微軟正黑體" w:eastAsia="微軟正黑體" w:hAnsi="微軟正黑體"/>
              </w:rPr>
              <w:t>將消費稅從15%提高到16%，</w:t>
            </w:r>
            <w:r>
              <w:rPr>
                <w:rFonts w:ascii="微軟正黑體" w:eastAsia="微軟正黑體" w:hAnsi="微軟正黑體" w:hint="eastAsia"/>
              </w:rPr>
              <w:t xml:space="preserve"> </w:t>
            </w:r>
            <w:r w:rsidRPr="00F9538A">
              <w:rPr>
                <w:rFonts w:ascii="微軟正黑體" w:eastAsia="微軟正黑體" w:hAnsi="微軟正黑體"/>
              </w:rPr>
              <w:t>增加的稅額部</w:t>
            </w:r>
            <w:r w:rsidRPr="00D51F7A">
              <w:rPr>
                <w:rFonts w:ascii="微軟正黑體" w:eastAsia="微軟正黑體" w:hAnsi="微軟正黑體" w:hint="eastAsia"/>
              </w:rPr>
              <w:t>分</w:t>
            </w:r>
            <w:r w:rsidRPr="00F9538A">
              <w:rPr>
                <w:rFonts w:ascii="微軟正黑體" w:eastAsia="微軟正黑體" w:hAnsi="微軟正黑體"/>
              </w:rPr>
              <w:t>用於挹注法定年金的給付需求。</w:t>
            </w:r>
          </w:p>
        </w:tc>
        <w:tc>
          <w:tcPr>
            <w:tcW w:w="450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rPr>
            </w:pPr>
            <w:r w:rsidRPr="00F9538A">
              <w:rPr>
                <w:rFonts w:ascii="微軟正黑體" w:eastAsia="微軟正黑體" w:hAnsi="微軟正黑體"/>
              </w:rPr>
              <w:t>------</w:t>
            </w:r>
          </w:p>
        </w:tc>
      </w:tr>
      <w:tr w:rsidR="00381C80" w:rsidRPr="00F9538A" w:rsidTr="00381C80">
        <w:trPr>
          <w:jc w:val="center"/>
        </w:trPr>
        <w:tc>
          <w:tcPr>
            <w:tcW w:w="118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b/>
              </w:rPr>
            </w:pPr>
            <w:r w:rsidRPr="00F9538A">
              <w:rPr>
                <w:rFonts w:ascii="微軟正黑體" w:eastAsia="微軟正黑體" w:hAnsi="微軟正黑體"/>
                <w:b/>
              </w:rPr>
              <w:t>1999年</w:t>
            </w:r>
          </w:p>
        </w:tc>
        <w:tc>
          <w:tcPr>
            <w:tcW w:w="3338" w:type="dxa"/>
            <w:shd w:val="clear" w:color="auto" w:fill="auto"/>
            <w:vAlign w:val="center"/>
          </w:tcPr>
          <w:p w:rsidR="00381C80" w:rsidRPr="00F9538A" w:rsidRDefault="00381C80" w:rsidP="00381C80">
            <w:pPr>
              <w:snapToGrid w:val="0"/>
              <w:spacing w:line="340" w:lineRule="exact"/>
              <w:contextualSpacing/>
              <w:jc w:val="both"/>
              <w:rPr>
                <w:rFonts w:ascii="微軟正黑體" w:eastAsia="微軟正黑體" w:hAnsi="微軟正黑體"/>
              </w:rPr>
            </w:pPr>
            <w:r w:rsidRPr="00F9538A">
              <w:rPr>
                <w:rFonts w:ascii="微軟正黑體" w:eastAsia="微軟正黑體" w:hAnsi="微軟正黑體"/>
              </w:rPr>
              <w:t>開始實施環保稅改革法，所徵收之環保稅的9成，將用來做為法定年金的額外財源。</w:t>
            </w:r>
          </w:p>
        </w:tc>
        <w:tc>
          <w:tcPr>
            <w:tcW w:w="4503" w:type="dxa"/>
            <w:shd w:val="clear" w:color="auto" w:fill="auto"/>
            <w:vAlign w:val="center"/>
          </w:tcPr>
          <w:p w:rsidR="00381C80" w:rsidRPr="00F9538A" w:rsidRDefault="00381C80" w:rsidP="00381C80">
            <w:pPr>
              <w:snapToGrid w:val="0"/>
              <w:spacing w:line="340" w:lineRule="exact"/>
              <w:contextualSpacing/>
              <w:jc w:val="both"/>
              <w:rPr>
                <w:rFonts w:ascii="微軟正黑體" w:eastAsia="微軟正黑體" w:hAnsi="微軟正黑體"/>
              </w:rPr>
            </w:pPr>
            <w:r w:rsidRPr="00F9538A">
              <w:rPr>
                <w:rFonts w:ascii="微軟正黑體" w:eastAsia="微軟正黑體" w:hAnsi="微軟正黑體"/>
              </w:rPr>
              <w:t>年金給付的計算因子，從薪資淨額變更為消費者物價指數。</w:t>
            </w:r>
          </w:p>
        </w:tc>
      </w:tr>
      <w:tr w:rsidR="00381C80" w:rsidRPr="00F9538A" w:rsidTr="00381C80">
        <w:trPr>
          <w:jc w:val="center"/>
        </w:trPr>
        <w:tc>
          <w:tcPr>
            <w:tcW w:w="118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b/>
              </w:rPr>
            </w:pPr>
            <w:r w:rsidRPr="00F9538A">
              <w:rPr>
                <w:rFonts w:ascii="微軟正黑體" w:eastAsia="微軟正黑體" w:hAnsi="微軟正黑體"/>
                <w:b/>
              </w:rPr>
              <w:t>2002年</w:t>
            </w:r>
          </w:p>
        </w:tc>
        <w:tc>
          <w:tcPr>
            <w:tcW w:w="3338" w:type="dxa"/>
            <w:shd w:val="clear" w:color="auto" w:fill="auto"/>
            <w:vAlign w:val="center"/>
          </w:tcPr>
          <w:p w:rsidR="00381C80" w:rsidRPr="00F9538A" w:rsidRDefault="00381C80" w:rsidP="00381C80">
            <w:pPr>
              <w:snapToGrid w:val="0"/>
              <w:spacing w:line="340" w:lineRule="exact"/>
              <w:contextualSpacing/>
              <w:jc w:val="both"/>
              <w:rPr>
                <w:rFonts w:ascii="微軟正黑體" w:eastAsia="微軟正黑體" w:hAnsi="微軟正黑體"/>
              </w:rPr>
            </w:pPr>
            <w:r w:rsidRPr="00F9538A">
              <w:rPr>
                <w:rFonts w:ascii="微軟正黑體" w:eastAsia="微軟正黑體" w:hAnsi="微軟正黑體"/>
              </w:rPr>
              <w:t>確立保險費率在2020年及2030年之前，分別不得高於20%及22%。</w:t>
            </w:r>
          </w:p>
        </w:tc>
        <w:tc>
          <w:tcPr>
            <w:tcW w:w="4503" w:type="dxa"/>
            <w:shd w:val="clear" w:color="auto" w:fill="auto"/>
            <w:vAlign w:val="center"/>
          </w:tcPr>
          <w:p w:rsidR="00381C80" w:rsidRDefault="00381C80" w:rsidP="00BD50E5">
            <w:pPr>
              <w:pStyle w:val="af0"/>
              <w:numPr>
                <w:ilvl w:val="0"/>
                <w:numId w:val="42"/>
              </w:numPr>
              <w:snapToGrid w:val="0"/>
              <w:spacing w:line="340" w:lineRule="exact"/>
              <w:ind w:leftChars="0" w:left="310" w:hanging="310"/>
              <w:contextualSpacing/>
              <w:jc w:val="both"/>
              <w:rPr>
                <w:rFonts w:ascii="微軟正黑體" w:eastAsia="微軟正黑體" w:hAnsi="微軟正黑體"/>
              </w:rPr>
            </w:pPr>
            <w:r w:rsidRPr="00F9538A">
              <w:rPr>
                <w:rFonts w:ascii="微軟正黑體" w:eastAsia="微軟正黑體" w:hAnsi="微軟正黑體"/>
              </w:rPr>
              <w:t>調降年金給付淨替代率，規劃由原本的70%調降，至2030年前逐年調降到67%至68%。</w:t>
            </w:r>
          </w:p>
          <w:p w:rsidR="00381C80" w:rsidRPr="00126A12" w:rsidRDefault="00381C80" w:rsidP="00BD50E5">
            <w:pPr>
              <w:pStyle w:val="af0"/>
              <w:numPr>
                <w:ilvl w:val="0"/>
                <w:numId w:val="42"/>
              </w:numPr>
              <w:snapToGrid w:val="0"/>
              <w:spacing w:line="340" w:lineRule="exact"/>
              <w:ind w:leftChars="0" w:left="310" w:hanging="310"/>
              <w:contextualSpacing/>
              <w:jc w:val="both"/>
              <w:rPr>
                <w:rFonts w:ascii="微軟正黑體" w:eastAsia="微軟正黑體" w:hAnsi="微軟正黑體"/>
              </w:rPr>
            </w:pPr>
            <w:r w:rsidRPr="00126A12">
              <w:rPr>
                <w:rFonts w:ascii="微軟正黑體" w:eastAsia="微軟正黑體" w:hAnsi="微軟正黑體"/>
              </w:rPr>
              <w:t>年金給付的計算因子從消費者物價指數，變更為納入制度扶養比的考量。</w:t>
            </w:r>
          </w:p>
        </w:tc>
      </w:tr>
      <w:tr w:rsidR="00381C80" w:rsidRPr="00F9538A" w:rsidTr="00381C80">
        <w:trPr>
          <w:jc w:val="center"/>
        </w:trPr>
        <w:tc>
          <w:tcPr>
            <w:tcW w:w="118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b/>
              </w:rPr>
            </w:pPr>
            <w:r w:rsidRPr="00F9538A">
              <w:rPr>
                <w:rFonts w:ascii="微軟正黑體" w:eastAsia="微軟正黑體" w:hAnsi="微軟正黑體"/>
                <w:b/>
              </w:rPr>
              <w:t>2003年</w:t>
            </w:r>
          </w:p>
        </w:tc>
        <w:tc>
          <w:tcPr>
            <w:tcW w:w="3338"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rPr>
            </w:pPr>
            <w:r w:rsidRPr="00F9538A">
              <w:rPr>
                <w:rFonts w:ascii="微軟正黑體" w:eastAsia="微軟正黑體" w:hAnsi="微軟正黑體"/>
              </w:rPr>
              <w:t>------</w:t>
            </w:r>
          </w:p>
        </w:tc>
        <w:tc>
          <w:tcPr>
            <w:tcW w:w="4503" w:type="dxa"/>
            <w:shd w:val="clear" w:color="auto" w:fill="auto"/>
            <w:vAlign w:val="center"/>
          </w:tcPr>
          <w:p w:rsidR="00381C80" w:rsidRDefault="00381C80" w:rsidP="00BD50E5">
            <w:pPr>
              <w:pStyle w:val="af0"/>
              <w:numPr>
                <w:ilvl w:val="0"/>
                <w:numId w:val="43"/>
              </w:numPr>
              <w:snapToGrid w:val="0"/>
              <w:spacing w:line="340" w:lineRule="exact"/>
              <w:ind w:leftChars="0" w:left="310" w:hanging="310"/>
              <w:contextualSpacing/>
              <w:jc w:val="both"/>
              <w:rPr>
                <w:rFonts w:ascii="微軟正黑體" w:eastAsia="微軟正黑體" w:hAnsi="微軟正黑體"/>
              </w:rPr>
            </w:pPr>
            <w:r w:rsidRPr="00F9538A">
              <w:rPr>
                <w:rFonts w:ascii="微軟正黑體" w:eastAsia="微軟正黑體" w:hAnsi="微軟正黑體"/>
              </w:rPr>
              <w:t>將合格退休年齡漸次延長到2035年的67歲。</w:t>
            </w:r>
          </w:p>
          <w:p w:rsidR="00381C80" w:rsidRPr="00126A12" w:rsidRDefault="00381C80" w:rsidP="00BD50E5">
            <w:pPr>
              <w:pStyle w:val="af0"/>
              <w:numPr>
                <w:ilvl w:val="0"/>
                <w:numId w:val="43"/>
              </w:numPr>
              <w:snapToGrid w:val="0"/>
              <w:spacing w:line="340" w:lineRule="exact"/>
              <w:ind w:leftChars="0" w:left="310" w:hanging="310"/>
              <w:contextualSpacing/>
              <w:jc w:val="both"/>
              <w:rPr>
                <w:rFonts w:ascii="微軟正黑體" w:eastAsia="微軟正黑體" w:hAnsi="微軟正黑體"/>
              </w:rPr>
            </w:pPr>
            <w:r w:rsidRPr="00126A12">
              <w:rPr>
                <w:rFonts w:ascii="微軟正黑體" w:eastAsia="微軟正黑體" w:hAnsi="微軟正黑體"/>
              </w:rPr>
              <w:t>修正年金給付公式。新設計的給付公式中，納入「永續因子</w:t>
            </w:r>
            <w:r w:rsidRPr="00126A12">
              <w:rPr>
                <w:rFonts w:ascii="微軟正黑體" w:eastAsia="微軟正黑體" w:hAnsi="微軟正黑體" w:hint="eastAsia"/>
              </w:rPr>
              <w:t>(</w:t>
            </w:r>
            <w:r w:rsidRPr="00126A12">
              <w:rPr>
                <w:rFonts w:ascii="微軟正黑體" w:eastAsia="微軟正黑體" w:hAnsi="微軟正黑體"/>
              </w:rPr>
              <w:t>sustainability factor</w:t>
            </w:r>
            <w:r w:rsidRPr="00126A12">
              <w:rPr>
                <w:rFonts w:ascii="微軟正黑體" w:eastAsia="微軟正黑體" w:hAnsi="微軟正黑體" w:hint="eastAsia"/>
              </w:rPr>
              <w:t>)</w:t>
            </w:r>
            <w:r w:rsidRPr="00126A12">
              <w:rPr>
                <w:rFonts w:ascii="微軟正黑體" w:eastAsia="微軟正黑體" w:hAnsi="微軟正黑體"/>
              </w:rPr>
              <w:t>」的考量。</w:t>
            </w:r>
          </w:p>
        </w:tc>
      </w:tr>
      <w:tr w:rsidR="00381C80" w:rsidRPr="00F9538A" w:rsidTr="00381C80">
        <w:trPr>
          <w:jc w:val="center"/>
        </w:trPr>
        <w:tc>
          <w:tcPr>
            <w:tcW w:w="118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b/>
              </w:rPr>
            </w:pPr>
            <w:r w:rsidRPr="00F9538A">
              <w:rPr>
                <w:rFonts w:ascii="微軟正黑體" w:eastAsia="微軟正黑體" w:hAnsi="微軟正黑體"/>
                <w:b/>
              </w:rPr>
              <w:t>2007年</w:t>
            </w:r>
          </w:p>
        </w:tc>
        <w:tc>
          <w:tcPr>
            <w:tcW w:w="3338" w:type="dxa"/>
            <w:shd w:val="clear" w:color="auto" w:fill="auto"/>
            <w:vAlign w:val="center"/>
          </w:tcPr>
          <w:p w:rsidR="00381C80" w:rsidRPr="00F9538A" w:rsidRDefault="00381C80" w:rsidP="00381C80">
            <w:pPr>
              <w:snapToGrid w:val="0"/>
              <w:spacing w:line="340" w:lineRule="exact"/>
              <w:contextualSpacing/>
              <w:jc w:val="both"/>
              <w:rPr>
                <w:rFonts w:ascii="微軟正黑體" w:eastAsia="微軟正黑體" w:hAnsi="微軟正黑體"/>
              </w:rPr>
            </w:pPr>
            <w:r w:rsidRPr="00F9538A">
              <w:rPr>
                <w:rFonts w:ascii="微軟正黑體" w:eastAsia="微軟正黑體" w:hAnsi="微軟正黑體"/>
              </w:rPr>
              <w:t>再度將消費稅從16%提高到19%，用以支應包括法定年金在內的相關社會保險支出。</w:t>
            </w:r>
          </w:p>
        </w:tc>
        <w:tc>
          <w:tcPr>
            <w:tcW w:w="450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rPr>
            </w:pPr>
            <w:r w:rsidRPr="00F9538A">
              <w:rPr>
                <w:rFonts w:ascii="微軟正黑體" w:eastAsia="微軟正黑體" w:hAnsi="微軟正黑體"/>
              </w:rPr>
              <w:t>------</w:t>
            </w:r>
          </w:p>
        </w:tc>
      </w:tr>
      <w:tr w:rsidR="00381C80" w:rsidRPr="00F9538A" w:rsidTr="00381C80">
        <w:trPr>
          <w:jc w:val="center"/>
        </w:trPr>
        <w:tc>
          <w:tcPr>
            <w:tcW w:w="118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b/>
              </w:rPr>
            </w:pPr>
            <w:r w:rsidRPr="00F9538A">
              <w:rPr>
                <w:rFonts w:ascii="微軟正黑體" w:eastAsia="微軟正黑體" w:hAnsi="微軟正黑體"/>
                <w:b/>
              </w:rPr>
              <w:t>2013年</w:t>
            </w:r>
          </w:p>
        </w:tc>
        <w:tc>
          <w:tcPr>
            <w:tcW w:w="3338" w:type="dxa"/>
            <w:shd w:val="clear" w:color="auto" w:fill="auto"/>
            <w:vAlign w:val="center"/>
          </w:tcPr>
          <w:p w:rsidR="00381C80" w:rsidRPr="00F9538A" w:rsidRDefault="00381C80" w:rsidP="00381C80">
            <w:pPr>
              <w:snapToGrid w:val="0"/>
              <w:spacing w:line="340" w:lineRule="exact"/>
              <w:contextualSpacing/>
              <w:jc w:val="both"/>
              <w:rPr>
                <w:rFonts w:ascii="微軟正黑體" w:eastAsia="微軟正黑體" w:hAnsi="微軟正黑體"/>
              </w:rPr>
            </w:pPr>
            <w:r w:rsidRPr="00F9538A">
              <w:rPr>
                <w:rFonts w:ascii="微軟正黑體" w:eastAsia="微軟正黑體" w:hAnsi="微軟正黑體"/>
              </w:rPr>
              <w:t>針對月薪資未超過450</w:t>
            </w:r>
            <w:r>
              <w:rPr>
                <w:rFonts w:ascii="微軟正黑體" w:eastAsia="微軟正黑體" w:hAnsi="微軟正黑體"/>
              </w:rPr>
              <w:t>歐元者</w:t>
            </w:r>
            <w:r>
              <w:rPr>
                <w:rFonts w:ascii="微軟正黑體" w:eastAsia="微軟正黑體" w:hAnsi="微軟正黑體" w:hint="eastAsia"/>
              </w:rPr>
              <w:t>(</w:t>
            </w:r>
            <w:r w:rsidRPr="00F9538A">
              <w:rPr>
                <w:rFonts w:ascii="微軟正黑體" w:eastAsia="微軟正黑體" w:hAnsi="微軟正黑體"/>
              </w:rPr>
              <w:t>mini jobs</w:t>
            </w:r>
            <w:r>
              <w:rPr>
                <w:rFonts w:ascii="微軟正黑體" w:eastAsia="微軟正黑體" w:hAnsi="微軟正黑體" w:hint="eastAsia"/>
              </w:rPr>
              <w:t>)</w:t>
            </w:r>
            <w:r w:rsidRPr="00F9538A">
              <w:rPr>
                <w:rFonts w:ascii="微軟正黑體" w:eastAsia="微軟正黑體" w:hAnsi="微軟正黑體"/>
              </w:rPr>
              <w:t>，另行規劃彈性的保費負擔與計收方式。</w:t>
            </w:r>
          </w:p>
        </w:tc>
        <w:tc>
          <w:tcPr>
            <w:tcW w:w="4503" w:type="dxa"/>
            <w:shd w:val="clear" w:color="auto" w:fill="auto"/>
            <w:vAlign w:val="center"/>
          </w:tcPr>
          <w:p w:rsidR="00381C80" w:rsidRPr="00F9538A" w:rsidRDefault="00381C80" w:rsidP="00381C80">
            <w:pPr>
              <w:snapToGrid w:val="0"/>
              <w:spacing w:line="340" w:lineRule="exact"/>
              <w:contextualSpacing/>
              <w:jc w:val="center"/>
              <w:rPr>
                <w:rFonts w:ascii="微軟正黑體" w:eastAsia="微軟正黑體" w:hAnsi="微軟正黑體"/>
              </w:rPr>
            </w:pPr>
            <w:r w:rsidRPr="00F9538A">
              <w:rPr>
                <w:rFonts w:ascii="微軟正黑體" w:eastAsia="微軟正黑體" w:hAnsi="微軟正黑體"/>
              </w:rPr>
              <w:t>------</w:t>
            </w:r>
          </w:p>
        </w:tc>
      </w:tr>
    </w:tbl>
    <w:p w:rsidR="00381C80" w:rsidRPr="00CE0D8C" w:rsidRDefault="00381C80" w:rsidP="00381C80">
      <w:pPr>
        <w:spacing w:beforeLines="30" w:before="108" w:line="240" w:lineRule="exact"/>
        <w:ind w:left="900" w:hangingChars="450" w:hanging="900"/>
        <w:jc w:val="both"/>
        <w:rPr>
          <w:rFonts w:ascii="微軟正黑體" w:eastAsia="微軟正黑體" w:hAnsi="微軟正黑體"/>
          <w:sz w:val="20"/>
          <w:szCs w:val="20"/>
        </w:rPr>
      </w:pPr>
      <w:r w:rsidRPr="00CE0D8C">
        <w:rPr>
          <w:rFonts w:ascii="微軟正黑體" w:eastAsia="微軟正黑體" w:hAnsi="微軟正黑體"/>
          <w:sz w:val="20"/>
          <w:szCs w:val="20"/>
        </w:rPr>
        <w:t>參考資料: Börsch-Supan and Wilke</w:t>
      </w:r>
      <w:r>
        <w:rPr>
          <w:rFonts w:ascii="微軟正黑體" w:eastAsia="微軟正黑體" w:hAnsi="微軟正黑體" w:hint="eastAsia"/>
          <w:sz w:val="20"/>
          <w:szCs w:val="20"/>
        </w:rPr>
        <w:t>(</w:t>
      </w:r>
      <w:r w:rsidRPr="00CE0D8C">
        <w:rPr>
          <w:rFonts w:ascii="微軟正黑體" w:eastAsia="微軟正黑體" w:hAnsi="微軟正黑體"/>
          <w:sz w:val="20"/>
          <w:szCs w:val="20"/>
        </w:rPr>
        <w:t>2003</w:t>
      </w:r>
      <w:r>
        <w:rPr>
          <w:rFonts w:ascii="微軟正黑體" w:eastAsia="微軟正黑體" w:hAnsi="微軟正黑體" w:hint="eastAsia"/>
          <w:sz w:val="20"/>
          <w:szCs w:val="20"/>
        </w:rPr>
        <w:t>)</w:t>
      </w:r>
      <w:r w:rsidRPr="00CE0D8C">
        <w:rPr>
          <w:rFonts w:ascii="微軟正黑體" w:eastAsia="微軟正黑體" w:hAnsi="微軟正黑體"/>
          <w:sz w:val="20"/>
          <w:szCs w:val="20"/>
        </w:rPr>
        <w:t>；Siebert</w:t>
      </w:r>
      <w:r>
        <w:rPr>
          <w:rFonts w:ascii="微軟正黑體" w:eastAsia="微軟正黑體" w:hAnsi="微軟正黑體" w:hint="eastAsia"/>
          <w:sz w:val="20"/>
          <w:szCs w:val="20"/>
        </w:rPr>
        <w:t>(</w:t>
      </w:r>
      <w:r w:rsidRPr="00CE0D8C">
        <w:rPr>
          <w:rFonts w:ascii="微軟正黑體" w:eastAsia="微軟正黑體" w:hAnsi="微軟正黑體"/>
          <w:sz w:val="20"/>
          <w:szCs w:val="20"/>
        </w:rPr>
        <w:t>2003</w:t>
      </w:r>
      <w:r>
        <w:rPr>
          <w:rFonts w:ascii="微軟正黑體" w:eastAsia="微軟正黑體" w:hAnsi="微軟正黑體" w:hint="eastAsia"/>
          <w:sz w:val="20"/>
          <w:szCs w:val="20"/>
        </w:rPr>
        <w:t>)</w:t>
      </w:r>
      <w:r w:rsidRPr="00CE0D8C">
        <w:rPr>
          <w:rFonts w:ascii="微軟正黑體" w:eastAsia="微軟正黑體" w:hAnsi="微軟正黑體"/>
          <w:sz w:val="20"/>
          <w:szCs w:val="20"/>
        </w:rPr>
        <w:t>；Brand</w:t>
      </w:r>
      <w:r>
        <w:rPr>
          <w:rFonts w:ascii="微軟正黑體" w:eastAsia="微軟正黑體" w:hAnsi="微軟正黑體" w:hint="eastAsia"/>
          <w:sz w:val="20"/>
          <w:szCs w:val="20"/>
        </w:rPr>
        <w:t>(</w:t>
      </w:r>
      <w:r w:rsidRPr="00CE0D8C">
        <w:rPr>
          <w:rFonts w:ascii="微軟正黑體" w:eastAsia="微軟正黑體" w:hAnsi="微軟正黑體"/>
          <w:sz w:val="20"/>
          <w:szCs w:val="20"/>
        </w:rPr>
        <w:t>2007</w:t>
      </w:r>
      <w:r>
        <w:rPr>
          <w:rFonts w:ascii="微軟正黑體" w:eastAsia="微軟正黑體" w:hAnsi="微軟正黑體" w:hint="eastAsia"/>
          <w:sz w:val="20"/>
          <w:szCs w:val="20"/>
        </w:rPr>
        <w:t>)</w:t>
      </w:r>
      <w:r w:rsidRPr="00CE0D8C">
        <w:rPr>
          <w:rFonts w:ascii="微軟正黑體" w:eastAsia="微軟正黑體" w:hAnsi="微軟正黑體"/>
          <w:sz w:val="20"/>
          <w:szCs w:val="20"/>
        </w:rPr>
        <w:t>；傅從喜、林志鴻、張秋蘭、藍科正</w:t>
      </w:r>
      <w:r>
        <w:rPr>
          <w:rFonts w:ascii="微軟正黑體" w:eastAsia="微軟正黑體" w:hAnsi="微軟正黑體" w:hint="eastAsia"/>
          <w:sz w:val="20"/>
          <w:szCs w:val="20"/>
        </w:rPr>
        <w:t>(</w:t>
      </w:r>
      <w:r w:rsidRPr="00CE0D8C">
        <w:rPr>
          <w:rFonts w:ascii="微軟正黑體" w:eastAsia="微軟正黑體" w:hAnsi="微軟正黑體"/>
          <w:sz w:val="20"/>
          <w:szCs w:val="20"/>
        </w:rPr>
        <w:t>2008</w:t>
      </w:r>
      <w:r>
        <w:rPr>
          <w:rFonts w:ascii="微軟正黑體" w:eastAsia="微軟正黑體" w:hAnsi="微軟正黑體" w:hint="eastAsia"/>
          <w:sz w:val="20"/>
          <w:szCs w:val="20"/>
        </w:rPr>
        <w:t>)</w:t>
      </w:r>
      <w:r w:rsidRPr="00CE0D8C">
        <w:rPr>
          <w:rFonts w:ascii="微軟正黑體" w:eastAsia="微軟正黑體" w:hAnsi="微軟正黑體"/>
          <w:sz w:val="20"/>
          <w:szCs w:val="20"/>
        </w:rPr>
        <w:t>。</w:t>
      </w:r>
    </w:p>
    <w:p w:rsidR="00381C80" w:rsidRPr="003624C2" w:rsidRDefault="00381C80" w:rsidP="00381C80">
      <w:pPr>
        <w:spacing w:beforeLines="100" w:before="360" w:line="400" w:lineRule="exact"/>
        <w:jc w:val="both"/>
        <w:rPr>
          <w:rFonts w:ascii="微軟正黑體" w:eastAsia="微軟正黑體" w:hAnsi="微軟正黑體"/>
        </w:rPr>
      </w:pPr>
      <w:r>
        <w:rPr>
          <w:rFonts w:ascii="微軟正黑體" w:eastAsia="微軟正黑體" w:hAnsi="微軟正黑體" w:hint="eastAsia"/>
        </w:rPr>
        <w:t xml:space="preserve">    </w:t>
      </w:r>
      <w:r w:rsidRPr="003624C2">
        <w:rPr>
          <w:rFonts w:ascii="微軟正黑體" w:eastAsia="微軟正黑體" w:hAnsi="微軟正黑體" w:hint="eastAsia"/>
        </w:rPr>
        <w:t>從表1可知，支出面</w:t>
      </w:r>
      <w:r w:rsidRPr="004937EF">
        <w:rPr>
          <w:rFonts w:ascii="微軟正黑體" w:eastAsia="微軟正黑體" w:hAnsi="微軟正黑體" w:hint="eastAsia"/>
        </w:rPr>
        <w:t>，</w:t>
      </w:r>
      <w:r w:rsidRPr="003624C2">
        <w:rPr>
          <w:rFonts w:ascii="微軟正黑體" w:eastAsia="微軟正黑體" w:hAnsi="微軟正黑體" w:hint="eastAsia"/>
        </w:rPr>
        <w:t>除了逐步延後合格請領年齡之外，修正年金給付的計算因子，將人口老化下的年金給付負擔，朝向由退休世代與工作世代來共同承擔，是一個核心且持續調整的方向。年金給付計算因</w:t>
      </w:r>
      <w:r>
        <w:rPr>
          <w:rFonts w:ascii="微軟正黑體" w:eastAsia="微軟正黑體" w:hAnsi="微軟正黑體" w:hint="eastAsia"/>
        </w:rPr>
        <w:t>子，經過多次調整後，以現行的年金因子而言，主要是納入「永續因子(</w:t>
      </w:r>
      <w:r w:rsidRPr="003624C2">
        <w:rPr>
          <w:rFonts w:ascii="微軟正黑體" w:eastAsia="微軟正黑體" w:hAnsi="微軟正黑體" w:hint="eastAsia"/>
        </w:rPr>
        <w:t>sustainability factor</w:t>
      </w:r>
      <w:r>
        <w:rPr>
          <w:rFonts w:ascii="微軟正黑體" w:eastAsia="微軟正黑體" w:hAnsi="微軟正黑體" w:hint="eastAsia"/>
        </w:rPr>
        <w:t>)</w:t>
      </w:r>
      <w:r w:rsidRPr="003624C2">
        <w:rPr>
          <w:rFonts w:ascii="微軟正黑體" w:eastAsia="微軟正黑體" w:hAnsi="微軟正黑體" w:hint="eastAsia"/>
        </w:rPr>
        <w:t>」的考量，不僅配合在2020年及2030年前，保險費率分別不得高於20%及22%的目標，也考慮了平均餘命的變動趨勢，以及整體</w:t>
      </w:r>
      <w:r w:rsidRPr="003624C2">
        <w:rPr>
          <w:rFonts w:ascii="微軟正黑體" w:eastAsia="微軟正黑體" w:hAnsi="微軟正黑體" w:hint="eastAsia"/>
        </w:rPr>
        <w:lastRenderedPageBreak/>
        <w:t>人口結構</w:t>
      </w:r>
      <w:r>
        <w:rPr>
          <w:rFonts w:ascii="微軟正黑體" w:eastAsia="微軟正黑體" w:hAnsi="微軟正黑體" w:hint="eastAsia"/>
        </w:rPr>
        <w:t>(包括移民率及出生率)</w:t>
      </w:r>
      <w:r w:rsidRPr="003624C2">
        <w:rPr>
          <w:rFonts w:ascii="微軟正黑體" w:eastAsia="微軟正黑體" w:hAnsi="微軟正黑體" w:hint="eastAsia"/>
        </w:rPr>
        <w:t>的發展。在此情況，等於是在年金受領世代與繳費世代間，建立了一個內部的自我穩定機制</w:t>
      </w:r>
      <w:r>
        <w:rPr>
          <w:rFonts w:ascii="微軟正黑體" w:eastAsia="微軟正黑體" w:hAnsi="微軟正黑體" w:hint="eastAsia"/>
        </w:rPr>
        <w:t>(</w:t>
      </w:r>
      <w:r w:rsidRPr="003624C2">
        <w:rPr>
          <w:rFonts w:ascii="微軟正黑體" w:eastAsia="微軟正黑體" w:hAnsi="微軟正黑體" w:hint="eastAsia"/>
        </w:rPr>
        <w:t>Börsch-Supan and Wilke, 2003</w:t>
      </w:r>
      <w:r>
        <w:rPr>
          <w:rFonts w:ascii="微軟正黑體" w:eastAsia="微軟正黑體" w:hAnsi="微軟正黑體" w:hint="eastAsia"/>
        </w:rPr>
        <w:t>)</w:t>
      </w:r>
      <w:r w:rsidRPr="003624C2">
        <w:rPr>
          <w:rFonts w:ascii="微軟正黑體" w:eastAsia="微軟正黑體" w:hAnsi="微軟正黑體" w:hint="eastAsia"/>
        </w:rPr>
        <w:t>。</w:t>
      </w:r>
    </w:p>
    <w:p w:rsidR="00381C80" w:rsidRPr="003624C2" w:rsidRDefault="00381C80" w:rsidP="00381C80">
      <w:pPr>
        <w:spacing w:beforeLines="30" w:before="108" w:line="400" w:lineRule="exact"/>
        <w:jc w:val="both"/>
        <w:rPr>
          <w:rFonts w:ascii="微軟正黑體" w:eastAsia="微軟正黑體" w:hAnsi="微軟正黑體"/>
        </w:rPr>
      </w:pPr>
      <w:r w:rsidRPr="003624C2">
        <w:rPr>
          <w:rFonts w:ascii="微軟正黑體" w:eastAsia="微軟正黑體" w:hAnsi="微軟正黑體" w:hint="eastAsia"/>
        </w:rPr>
        <w:t xml:space="preserve">    至於在收入面，無法產生即時性效應，使得法定年金保險費率，從1957年的14%一路攀升到1997年的20.3%，創下歷史新高。為避免進一步加重企業在非薪資部</w:t>
      </w:r>
      <w:r w:rsidRPr="00D51F7A">
        <w:rPr>
          <w:rFonts w:ascii="微軟正黑體" w:eastAsia="微軟正黑體" w:hAnsi="微軟正黑體" w:hint="eastAsia"/>
        </w:rPr>
        <w:t>分</w:t>
      </w:r>
      <w:r w:rsidRPr="003624C2">
        <w:rPr>
          <w:rFonts w:ascii="微軟正黑體" w:eastAsia="微軟正黑體" w:hAnsi="微軟正黑體" w:hint="eastAsia"/>
        </w:rPr>
        <w:t>的勞動成本負擔</w:t>
      </w:r>
      <w:r w:rsidRPr="00D51F7A">
        <w:rPr>
          <w:rFonts w:ascii="微軟正黑體" w:eastAsia="微軟正黑體" w:hAnsi="微軟正黑體" w:hint="eastAsia"/>
        </w:rPr>
        <w:t>，</w:t>
      </w:r>
      <w:r w:rsidRPr="003624C2">
        <w:rPr>
          <w:rFonts w:ascii="微軟正黑體" w:eastAsia="微軟正黑體" w:hAnsi="微軟正黑體" w:hint="eastAsia"/>
        </w:rPr>
        <w:t>並合理化世代間年金權益的公平性，首先於2001年確立保險費率在2020年及2030年之前，分別不得高於20%及22%。配合此一費率規劃，除了前述支出面的年金給付納入永續因子的考量外，收入面在體制內，以擴大費基予以因應，包括提高保險費率所採計的所得上限，以及納入非典型工作者等；在體制外則是以額外開闢，包括消費稅及生態稅等財源，來協助支應支出面的成長。</w:t>
      </w:r>
    </w:p>
    <w:p w:rsidR="00381C80" w:rsidRPr="00511588" w:rsidRDefault="00381C80" w:rsidP="00381C80">
      <w:pPr>
        <w:spacing w:beforeLines="30" w:before="108" w:line="400" w:lineRule="exact"/>
        <w:jc w:val="both"/>
        <w:rPr>
          <w:rFonts w:ascii="微軟正黑體" w:eastAsia="微軟正黑體" w:hAnsi="微軟正黑體"/>
        </w:rPr>
      </w:pPr>
      <w:r w:rsidRPr="003624C2">
        <w:rPr>
          <w:rFonts w:ascii="微軟正黑體" w:eastAsia="微軟正黑體" w:hAnsi="微軟正黑體" w:hint="eastAsia"/>
        </w:rPr>
        <w:t xml:space="preserve">    綜觀近年德國法定年金的財務修正歷程，2000年代起確立以穩定費率為前提</w:t>
      </w:r>
      <w:r w:rsidRPr="00D51F7A">
        <w:rPr>
          <w:rFonts w:ascii="微軟正黑體" w:eastAsia="微軟正黑體" w:hAnsi="微軟正黑體" w:hint="eastAsia"/>
        </w:rPr>
        <w:t>，</w:t>
      </w:r>
      <w:r w:rsidRPr="003624C2">
        <w:rPr>
          <w:rFonts w:ascii="微軟正黑體" w:eastAsia="微軟正黑體" w:hAnsi="微軟正黑體" w:hint="eastAsia"/>
        </w:rPr>
        <w:t>「量入為出」的財務調控精神是影響收入面財源運作的關鍵里程碑。為落實此一調控，除了在支出面將年金給付因子納入世代間財務責任共擔的精神外，收入面所採行的擴大費基及導入額外財源的措施，對財源所帶來的增益效果為何，係需要進一步觀察之處。</w:t>
      </w:r>
    </w:p>
    <w:p w:rsidR="00381C80" w:rsidRPr="000A6921" w:rsidRDefault="00381C80" w:rsidP="00381C80">
      <w:pPr>
        <w:spacing w:beforeLines="50" w:before="180" w:afterLines="50" w:after="180" w:line="400" w:lineRule="exact"/>
        <w:rPr>
          <w:rFonts w:ascii="微軟正黑體" w:eastAsia="微軟正黑體" w:hAnsi="微軟正黑體"/>
          <w:b/>
          <w:sz w:val="28"/>
          <w:szCs w:val="28"/>
        </w:rPr>
      </w:pPr>
      <w:r w:rsidRPr="000A6921">
        <w:rPr>
          <w:rFonts w:ascii="微軟正黑體" w:eastAsia="微軟正黑體" w:hAnsi="微軟正黑體" w:hint="eastAsia"/>
          <w:b/>
          <w:sz w:val="28"/>
          <w:szCs w:val="28"/>
        </w:rPr>
        <w:t>二、</w:t>
      </w:r>
      <w:r w:rsidRPr="003624C2">
        <w:rPr>
          <w:rFonts w:ascii="微軟正黑體" w:eastAsia="微軟正黑體" w:hAnsi="微軟正黑體" w:hint="eastAsia"/>
          <w:b/>
          <w:sz w:val="28"/>
          <w:szCs w:val="28"/>
        </w:rPr>
        <w:t>法定年金收入面修正探討</w:t>
      </w:r>
    </w:p>
    <w:p w:rsidR="00381C80" w:rsidRPr="003624C2" w:rsidRDefault="00381C80" w:rsidP="00381C80">
      <w:pPr>
        <w:spacing w:line="400" w:lineRule="exact"/>
        <w:jc w:val="both"/>
        <w:rPr>
          <w:rFonts w:ascii="微軟正黑體" w:eastAsia="微軟正黑體" w:hAnsi="微軟正黑體"/>
          <w:kern w:val="0"/>
        </w:rPr>
      </w:pPr>
      <w:r w:rsidRPr="00E26191">
        <w:rPr>
          <w:rFonts w:ascii="微軟正黑體" w:eastAsia="微軟正黑體" w:hAnsi="微軟正黑體"/>
          <w:kern w:val="0"/>
        </w:rPr>
        <w:t xml:space="preserve">   </w:t>
      </w:r>
      <w:r w:rsidRPr="003F0642">
        <w:rPr>
          <w:rFonts w:ascii="微軟正黑體" w:eastAsia="微軟正黑體" w:hAnsi="微軟正黑體"/>
          <w:color w:val="FF0000"/>
          <w:kern w:val="0"/>
        </w:rPr>
        <w:t xml:space="preserve"> </w:t>
      </w:r>
      <w:r w:rsidRPr="003624C2">
        <w:rPr>
          <w:rFonts w:ascii="微軟正黑體" w:eastAsia="微軟正黑體" w:hAnsi="微軟正黑體" w:hint="eastAsia"/>
          <w:kern w:val="0"/>
        </w:rPr>
        <w:t>從圖1可看出，在2010年到2019年間的制度整體收支方面，由於年金給付水準是在既定費率上限目標，透過動態性的永續因子調控，力求維持年度財務平衡與世代間年金權益的公平性，大抵讓年度收支維持平衡。收入面則在採行隨收隨付制下，法定年金收入面財源，主要來自於保險費收入及政府補助</w:t>
      </w:r>
      <w:r w:rsidRPr="00D51F7A">
        <w:rPr>
          <w:rFonts w:ascii="微軟正黑體" w:eastAsia="微軟正黑體" w:hAnsi="微軟正黑體" w:hint="eastAsia"/>
          <w:kern w:val="0"/>
        </w:rPr>
        <w:t>兩</w:t>
      </w:r>
      <w:r w:rsidRPr="003624C2">
        <w:rPr>
          <w:rFonts w:ascii="微軟正黑體" w:eastAsia="微軟正黑體" w:hAnsi="微軟正黑體" w:hint="eastAsia"/>
          <w:kern w:val="0"/>
        </w:rPr>
        <w:t>大項。保險費的財源比率呈現微幅成長趨勢，從2010年的73.8%成長到2019年的75.9%；政府補助占率則微幅下降，從2010年的25.8%下降到2019年的23.7%。以下即進一步探討保險費收入及政府補助等</w:t>
      </w:r>
      <w:r w:rsidRPr="00D51F7A">
        <w:rPr>
          <w:rFonts w:ascii="微軟正黑體" w:eastAsia="微軟正黑體" w:hAnsi="微軟正黑體" w:hint="eastAsia"/>
          <w:kern w:val="0"/>
        </w:rPr>
        <w:t>兩</w:t>
      </w:r>
      <w:r w:rsidRPr="003624C2">
        <w:rPr>
          <w:rFonts w:ascii="微軟正黑體" w:eastAsia="微軟正黑體" w:hAnsi="微軟正黑體" w:hint="eastAsia"/>
          <w:kern w:val="0"/>
        </w:rPr>
        <w:t>項主要財源。</w:t>
      </w:r>
    </w:p>
    <w:p w:rsidR="00381C80" w:rsidRPr="003624C2" w:rsidRDefault="00381C80" w:rsidP="00BD50E5">
      <w:pPr>
        <w:numPr>
          <w:ilvl w:val="0"/>
          <w:numId w:val="44"/>
        </w:numPr>
        <w:spacing w:beforeLines="30" w:before="108" w:afterLines="30" w:after="108" w:line="400" w:lineRule="exact"/>
        <w:ind w:left="386" w:hangingChars="161" w:hanging="386"/>
        <w:jc w:val="both"/>
        <w:rPr>
          <w:rFonts w:ascii="微軟正黑體" w:eastAsia="微軟正黑體" w:hAnsi="微軟正黑體"/>
          <w:kern w:val="0"/>
        </w:rPr>
      </w:pPr>
      <w:r w:rsidRPr="003624C2">
        <w:rPr>
          <w:rFonts w:ascii="微軟正黑體" w:eastAsia="微軟正黑體" w:hAnsi="微軟正黑體" w:hint="eastAsia"/>
          <w:kern w:val="0"/>
        </w:rPr>
        <w:t>保險費收入</w:t>
      </w:r>
    </w:p>
    <w:p w:rsidR="00381C80" w:rsidRPr="003624C2" w:rsidRDefault="00381C80" w:rsidP="00381C80">
      <w:pPr>
        <w:spacing w:line="400" w:lineRule="exact"/>
        <w:jc w:val="both"/>
        <w:rPr>
          <w:rFonts w:ascii="微軟正黑體" w:eastAsia="微軟正黑體" w:hAnsi="微軟正黑體"/>
          <w:kern w:val="0"/>
        </w:rPr>
      </w:pPr>
      <w:r w:rsidRPr="003624C2">
        <w:rPr>
          <w:rFonts w:ascii="微軟正黑體" w:eastAsia="微軟正黑體" w:hAnsi="微軟正黑體" w:hint="eastAsia"/>
          <w:kern w:val="0"/>
        </w:rPr>
        <w:t xml:space="preserve">    法定年金的保險費計收為保險費率乘以被保險人所得，而列為費基的所得，另訂有採計的上限門檻。以2020年為例，德西及德東分別為每月6,900歐元及6,450歐元。因此影響保險費收入變動的因素，即包括保險費率、被保險人數、所得及所得上限門檻等。</w:t>
      </w:r>
    </w:p>
    <w:p w:rsidR="00381C80" w:rsidRDefault="00381C80" w:rsidP="00381C80">
      <w:pPr>
        <w:spacing w:line="400" w:lineRule="exact"/>
        <w:jc w:val="both"/>
        <w:rPr>
          <w:rFonts w:ascii="微軟正黑體" w:eastAsia="微軟正黑體" w:hAnsi="微軟正黑體"/>
          <w:kern w:val="0"/>
        </w:rPr>
      </w:pPr>
      <w:r w:rsidRPr="003624C2">
        <w:rPr>
          <w:rFonts w:ascii="微軟正黑體" w:eastAsia="微軟正黑體" w:hAnsi="微軟正黑體" w:hint="eastAsia"/>
          <w:kern w:val="0"/>
        </w:rPr>
        <w:t xml:space="preserve">    從圖2可知，維持費率穩定的既定目標下，法定年金保險費率在2010年到2019年間，從19.9%逐步下降到18.6%，但同期間的保險費收入，卻還是呈現持續成長的趨勢，主要即是費基成長所帶來的效益。2013年將薪資所得較低的非典型工作者納入承保範圍後，整體被保險人數即開始呈現較明顯的成長趨勢；同期間，</w:t>
      </w:r>
      <w:r w:rsidRPr="00D51F7A">
        <w:rPr>
          <w:rFonts w:ascii="微軟正黑體" w:eastAsia="微軟正黑體" w:hAnsi="微軟正黑體" w:hint="eastAsia"/>
          <w:kern w:val="0"/>
        </w:rPr>
        <w:t>受</w:t>
      </w:r>
      <w:r w:rsidRPr="00D51F7A">
        <w:rPr>
          <w:rFonts w:ascii="微軟正黑體" w:eastAsia="微軟正黑體" w:hAnsi="微軟正黑體" w:hint="eastAsia"/>
        </w:rPr>
        <w:t>僱</w:t>
      </w:r>
      <w:r w:rsidRPr="003624C2">
        <w:rPr>
          <w:rFonts w:ascii="微軟正黑體" w:eastAsia="微軟正黑體" w:hAnsi="微軟正黑體" w:hint="eastAsia"/>
          <w:kern w:val="0"/>
        </w:rPr>
        <w:t>者的平均薪資水準，亦有4%左右的成長率。此外，順應薪資水準的成長趨勢，費基採計的所得上限門檻，隨之逐年提高。除了讓整體費基更能反映成長的薪資水準，也讓2019年被保險人數及薪資等二者的成長率雙雙滑落時，當年度保險費收入依然維持成長。</w:t>
      </w:r>
    </w:p>
    <w:p w:rsidR="00381C80" w:rsidRDefault="00381C80" w:rsidP="00381C80">
      <w:pPr>
        <w:spacing w:line="400" w:lineRule="exact"/>
        <w:jc w:val="both"/>
        <w:rPr>
          <w:rFonts w:ascii="微軟正黑體" w:eastAsia="微軟正黑體" w:hAnsi="微軟正黑體"/>
          <w:kern w:val="0"/>
        </w:rPr>
      </w:pPr>
    </w:p>
    <w:p w:rsidR="00381C80" w:rsidRDefault="00381C80" w:rsidP="00381C80">
      <w:pPr>
        <w:spacing w:line="400" w:lineRule="exact"/>
        <w:jc w:val="both"/>
        <w:rPr>
          <w:rFonts w:ascii="微軟正黑體" w:eastAsia="微軟正黑體" w:hAnsi="微軟正黑體"/>
          <w:kern w:val="0"/>
        </w:rPr>
      </w:pPr>
      <w:r>
        <w:rPr>
          <w:noProof/>
        </w:rPr>
        <w:lastRenderedPageBreak/>
        <w:drawing>
          <wp:anchor distT="0" distB="0" distL="114300" distR="114300" simplePos="0" relativeHeight="252478464" behindDoc="0" locked="0" layoutInCell="1" allowOverlap="1" wp14:anchorId="3323A51C" wp14:editId="7982015B">
            <wp:simplePos x="0" y="0"/>
            <wp:positionH relativeFrom="column">
              <wp:posOffset>148590</wp:posOffset>
            </wp:positionH>
            <wp:positionV relativeFrom="paragraph">
              <wp:posOffset>-26035</wp:posOffset>
            </wp:positionV>
            <wp:extent cx="5657215" cy="2717800"/>
            <wp:effectExtent l="1270" t="1905" r="0" b="0"/>
            <wp:wrapNone/>
            <wp:docPr id="21522" name="圖表 215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14:sizeRelH relativeFrom="page">
              <wp14:pctWidth>0</wp14:pctWidth>
            </wp14:sizeRelH>
            <wp14:sizeRelV relativeFrom="page">
              <wp14:pctHeight>0</wp14:pctHeight>
            </wp14:sizeRelV>
          </wp:anchor>
        </w:drawing>
      </w:r>
    </w:p>
    <w:p w:rsidR="00381C80" w:rsidRDefault="00381C80" w:rsidP="00381C80">
      <w:pPr>
        <w:spacing w:line="400" w:lineRule="exact"/>
        <w:jc w:val="both"/>
        <w:rPr>
          <w:rFonts w:ascii="微軟正黑體" w:eastAsia="微軟正黑體" w:hAnsi="微軟正黑體"/>
          <w:kern w:val="0"/>
        </w:rPr>
      </w:pPr>
      <w:r>
        <w:rPr>
          <w:noProof/>
        </w:rPr>
        <mc:AlternateContent>
          <mc:Choice Requires="wps">
            <w:drawing>
              <wp:anchor distT="0" distB="0" distL="114300" distR="114300" simplePos="0" relativeHeight="252480512" behindDoc="0" locked="0" layoutInCell="1" allowOverlap="1" wp14:anchorId="0B7AE644" wp14:editId="04E068E4">
                <wp:simplePos x="0" y="0"/>
                <wp:positionH relativeFrom="column">
                  <wp:posOffset>5278120</wp:posOffset>
                </wp:positionH>
                <wp:positionV relativeFrom="paragraph">
                  <wp:posOffset>163195</wp:posOffset>
                </wp:positionV>
                <wp:extent cx="527685" cy="320040"/>
                <wp:effectExtent l="0" t="0" r="0" b="0"/>
                <wp:wrapNone/>
                <wp:docPr id="21520" name="文字方塊 2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375" w:rsidRPr="00E84408" w:rsidRDefault="00745375" w:rsidP="00381C80">
                            <w:pPr>
                              <w:rPr>
                                <w:sz w:val="20"/>
                                <w:szCs w:val="20"/>
                              </w:rPr>
                            </w:pPr>
                            <w:r>
                              <w:rPr>
                                <w:rFonts w:hint="eastAsia"/>
                                <w:sz w:val="20"/>
                                <w:szCs w:val="20"/>
                                <w:bdr w:val="single" w:sz="4" w:space="0" w:color="auto"/>
                              </w:rPr>
                              <w:t>23.7</w:t>
                            </w:r>
                            <w:r w:rsidRPr="00E84408">
                              <w:rPr>
                                <w:rFonts w:hint="eastAsia"/>
                                <w:sz w:val="20"/>
                                <w:szCs w:val="20"/>
                                <w:bdr w:val="single" w:sz="4" w:space="0" w:color="auto"/>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1520" o:spid="_x0000_s1059" type="#_x0000_t202" style="position:absolute;left:0;text-align:left;margin-left:415.6pt;margin-top:12.85pt;width:41.55pt;height:25.2pt;z-index:25248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" filled="f" stroked="f">
                <v:textbox style="mso-fit-shape-to-text:t">
                  <w:txbxContent>
                    <w:p w:rsidR="00745375" w:rsidRPr="00E84408" w:rsidRDefault="00745375" w:rsidP="00381C80">
                      <w:pPr>
                        <w:rPr>
                          <w:sz w:val="20"/>
                          <w:szCs w:val="20"/>
                        </w:rPr>
                      </w:pPr>
                      <w:r>
                        <w:rPr>
                          <w:rFonts w:hint="eastAsia"/>
                          <w:sz w:val="20"/>
                          <w:szCs w:val="20"/>
                          <w:bdr w:val="single" w:sz="4" w:space="0" w:color="auto"/>
                        </w:rPr>
                        <w:t>23.7</w:t>
                      </w:r>
                      <w:r w:rsidRPr="00E84408">
                        <w:rPr>
                          <w:rFonts w:hint="eastAsia"/>
                          <w:sz w:val="20"/>
                          <w:szCs w:val="20"/>
                          <w:bdr w:val="single" w:sz="4" w:space="0" w:color="auto"/>
                        </w:rPr>
                        <w:t>%</w:t>
                      </w:r>
                    </w:p>
                  </w:txbxContent>
                </v:textbox>
              </v:shape>
            </w:pict>
          </mc:Fallback>
        </mc:AlternateContent>
      </w:r>
    </w:p>
    <w:p w:rsidR="00381C80" w:rsidRPr="00B20203" w:rsidRDefault="00381C80" w:rsidP="00381C80">
      <w:pPr>
        <w:spacing w:beforeLines="50" w:before="180" w:line="276" w:lineRule="auto"/>
        <w:jc w:val="both"/>
      </w:pPr>
      <w:r>
        <w:rPr>
          <w:noProof/>
        </w:rPr>
        <mc:AlternateContent>
          <mc:Choice Requires="wps">
            <w:drawing>
              <wp:anchor distT="0" distB="0" distL="114300" distR="114300" simplePos="0" relativeHeight="252481536" behindDoc="0" locked="0" layoutInCell="1" allowOverlap="1" wp14:anchorId="3024B06C" wp14:editId="0A90DE8D">
                <wp:simplePos x="0" y="0"/>
                <wp:positionH relativeFrom="column">
                  <wp:posOffset>869315</wp:posOffset>
                </wp:positionH>
                <wp:positionV relativeFrom="paragraph">
                  <wp:posOffset>224155</wp:posOffset>
                </wp:positionV>
                <wp:extent cx="527685" cy="320040"/>
                <wp:effectExtent l="635" t="0" r="0" b="0"/>
                <wp:wrapNone/>
                <wp:docPr id="21519" name="文字方塊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375" w:rsidRPr="00E84408" w:rsidRDefault="00745375" w:rsidP="00381C80">
                            <w:pPr>
                              <w:rPr>
                                <w:sz w:val="20"/>
                                <w:szCs w:val="20"/>
                              </w:rPr>
                            </w:pPr>
                            <w:r>
                              <w:rPr>
                                <w:rFonts w:hint="eastAsia"/>
                                <w:sz w:val="20"/>
                                <w:szCs w:val="20"/>
                                <w:bdr w:val="single" w:sz="4" w:space="0" w:color="auto"/>
                              </w:rPr>
                              <w:t>25.8</w:t>
                            </w:r>
                            <w:r w:rsidRPr="00E84408">
                              <w:rPr>
                                <w:rFonts w:hint="eastAsia"/>
                                <w:sz w:val="20"/>
                                <w:szCs w:val="20"/>
                                <w:bdr w:val="single" w:sz="4" w:space="0" w:color="auto"/>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1519" o:spid="_x0000_s1060" type="#_x0000_t202" style="position:absolute;left:0;text-align:left;margin-left:68.45pt;margin-top:17.65pt;width:41.55pt;height:25.2pt;z-index:252481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" filled="f" stroked="f">
                <v:textbox style="mso-fit-shape-to-text:t">
                  <w:txbxContent>
                    <w:p w:rsidR="00745375" w:rsidRPr="00E84408" w:rsidRDefault="00745375" w:rsidP="00381C80">
                      <w:pPr>
                        <w:rPr>
                          <w:sz w:val="20"/>
                          <w:szCs w:val="20"/>
                        </w:rPr>
                      </w:pPr>
                      <w:r>
                        <w:rPr>
                          <w:rFonts w:hint="eastAsia"/>
                          <w:sz w:val="20"/>
                          <w:szCs w:val="20"/>
                          <w:bdr w:val="single" w:sz="4" w:space="0" w:color="auto"/>
                        </w:rPr>
                        <w:t>25.8</w:t>
                      </w:r>
                      <w:r w:rsidRPr="00E84408">
                        <w:rPr>
                          <w:rFonts w:hint="eastAsia"/>
                          <w:sz w:val="20"/>
                          <w:szCs w:val="20"/>
                          <w:bdr w:val="single" w:sz="4" w:space="0" w:color="auto"/>
                        </w:rPr>
                        <w:t>%</w:t>
                      </w:r>
                    </w:p>
                  </w:txbxContent>
                </v:textbox>
              </v:shape>
            </w:pict>
          </mc:Fallback>
        </mc:AlternateContent>
      </w:r>
    </w:p>
    <w:p w:rsidR="00381C80" w:rsidRDefault="00381C80" w:rsidP="00381C80">
      <w:pPr>
        <w:spacing w:before="50" w:line="276" w:lineRule="auto"/>
        <w:jc w:val="center"/>
      </w:pPr>
    </w:p>
    <w:p w:rsidR="00381C80" w:rsidRDefault="00381C80" w:rsidP="00381C80">
      <w:pPr>
        <w:spacing w:before="50" w:line="276" w:lineRule="auto"/>
        <w:jc w:val="center"/>
      </w:pPr>
      <w:r>
        <w:rPr>
          <w:noProof/>
        </w:rPr>
        <mc:AlternateContent>
          <mc:Choice Requires="wps">
            <w:drawing>
              <wp:anchor distT="0" distB="0" distL="114300" distR="114300" simplePos="0" relativeHeight="252483584" behindDoc="0" locked="0" layoutInCell="1" allowOverlap="1" wp14:anchorId="72B68D5A" wp14:editId="6059B67F">
                <wp:simplePos x="0" y="0"/>
                <wp:positionH relativeFrom="column">
                  <wp:posOffset>869315</wp:posOffset>
                </wp:positionH>
                <wp:positionV relativeFrom="paragraph">
                  <wp:posOffset>135255</wp:posOffset>
                </wp:positionV>
                <wp:extent cx="617855" cy="320040"/>
                <wp:effectExtent l="635" t="1905" r="635" b="1905"/>
                <wp:wrapNone/>
                <wp:docPr id="21514" name="文字方塊 2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375" w:rsidRPr="00E84408" w:rsidRDefault="00745375" w:rsidP="00381C80">
                            <w:pPr>
                              <w:rPr>
                                <w:sz w:val="20"/>
                                <w:szCs w:val="20"/>
                              </w:rPr>
                            </w:pPr>
                            <w:r>
                              <w:rPr>
                                <w:rFonts w:hint="eastAsia"/>
                                <w:sz w:val="20"/>
                                <w:szCs w:val="20"/>
                                <w:bdr w:val="single" w:sz="4" w:space="0" w:color="auto"/>
                              </w:rPr>
                              <w:t>73.8</w:t>
                            </w:r>
                            <w:r w:rsidRPr="00E84408">
                              <w:rPr>
                                <w:rFonts w:hint="eastAsia"/>
                                <w:sz w:val="20"/>
                                <w:szCs w:val="20"/>
                                <w:bdr w:val="single" w:sz="4" w:space="0" w:color="auto"/>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1514" o:spid="_x0000_s1061" type="#_x0000_t202" style="position:absolute;left:0;text-align:left;margin-left:68.45pt;margin-top:10.65pt;width:48.65pt;height:25.2pt;z-index:252483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" filled="f" stroked="f">
                <v:textbox style="mso-fit-shape-to-text:t">
                  <w:txbxContent>
                    <w:p w:rsidR="00745375" w:rsidRPr="00E84408" w:rsidRDefault="00745375" w:rsidP="00381C80">
                      <w:pPr>
                        <w:rPr>
                          <w:sz w:val="20"/>
                          <w:szCs w:val="20"/>
                        </w:rPr>
                      </w:pPr>
                      <w:r>
                        <w:rPr>
                          <w:rFonts w:hint="eastAsia"/>
                          <w:sz w:val="20"/>
                          <w:szCs w:val="20"/>
                          <w:bdr w:val="single" w:sz="4" w:space="0" w:color="auto"/>
                        </w:rPr>
                        <w:t>73.8</w:t>
                      </w:r>
                      <w:r w:rsidRPr="00E84408">
                        <w:rPr>
                          <w:rFonts w:hint="eastAsia"/>
                          <w:sz w:val="20"/>
                          <w:szCs w:val="20"/>
                          <w:bdr w:val="single" w:sz="4" w:space="0" w:color="auto"/>
                        </w:rPr>
                        <w:t xml:space="preserve"> %</w:t>
                      </w:r>
                    </w:p>
                  </w:txbxContent>
                </v:textbox>
              </v:shape>
            </w:pict>
          </mc:Fallback>
        </mc:AlternateContent>
      </w:r>
      <w:r>
        <w:rPr>
          <w:rFonts w:ascii="微軟正黑體" w:eastAsia="微軟正黑體" w:hAnsi="微軟正黑體"/>
          <w:b/>
          <w:noProof/>
          <w:kern w:val="0"/>
        </w:rPr>
        <mc:AlternateContent>
          <mc:Choice Requires="wps">
            <w:drawing>
              <wp:anchor distT="0" distB="0" distL="114300" distR="114300" simplePos="0" relativeHeight="252482560" behindDoc="0" locked="0" layoutInCell="1" allowOverlap="1" wp14:anchorId="6CBB0944" wp14:editId="5E5F5B74">
                <wp:simplePos x="0" y="0"/>
                <wp:positionH relativeFrom="column">
                  <wp:posOffset>5323205</wp:posOffset>
                </wp:positionH>
                <wp:positionV relativeFrom="paragraph">
                  <wp:posOffset>97155</wp:posOffset>
                </wp:positionV>
                <wp:extent cx="527685" cy="320040"/>
                <wp:effectExtent l="3810" t="1905" r="1905" b="1905"/>
                <wp:wrapNone/>
                <wp:docPr id="21506" name="文字方塊 2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375" w:rsidRPr="00E84408" w:rsidRDefault="00745375" w:rsidP="00381C80">
                            <w:pPr>
                              <w:rPr>
                                <w:sz w:val="20"/>
                                <w:szCs w:val="20"/>
                              </w:rPr>
                            </w:pPr>
                            <w:r>
                              <w:rPr>
                                <w:rFonts w:hint="eastAsia"/>
                                <w:sz w:val="20"/>
                                <w:szCs w:val="20"/>
                                <w:bdr w:val="single" w:sz="4" w:space="0" w:color="auto"/>
                              </w:rPr>
                              <w:t>75.9</w:t>
                            </w:r>
                            <w:r w:rsidRPr="00E84408">
                              <w:rPr>
                                <w:rFonts w:hint="eastAsia"/>
                                <w:sz w:val="20"/>
                                <w:szCs w:val="20"/>
                                <w:bdr w:val="single" w:sz="4" w:space="0" w:color="auto"/>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1506" o:spid="_x0000_s1062" type="#_x0000_t202" style="position:absolute;left:0;text-align:left;margin-left:419.15pt;margin-top:7.65pt;width:41.55pt;height:25.2pt;z-index:25248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" filled="f" stroked="f">
                <v:textbox style="mso-fit-shape-to-text:t">
                  <w:txbxContent>
                    <w:p w:rsidR="00745375" w:rsidRPr="00E84408" w:rsidRDefault="00745375" w:rsidP="00381C80">
                      <w:pPr>
                        <w:rPr>
                          <w:sz w:val="20"/>
                          <w:szCs w:val="20"/>
                        </w:rPr>
                      </w:pPr>
                      <w:r>
                        <w:rPr>
                          <w:rFonts w:hint="eastAsia"/>
                          <w:sz w:val="20"/>
                          <w:szCs w:val="20"/>
                          <w:bdr w:val="single" w:sz="4" w:space="0" w:color="auto"/>
                        </w:rPr>
                        <w:t>75.9</w:t>
                      </w:r>
                      <w:r w:rsidRPr="00E84408">
                        <w:rPr>
                          <w:rFonts w:hint="eastAsia"/>
                          <w:sz w:val="20"/>
                          <w:szCs w:val="20"/>
                          <w:bdr w:val="single" w:sz="4" w:space="0" w:color="auto"/>
                        </w:rPr>
                        <w:t>%</w:t>
                      </w:r>
                    </w:p>
                  </w:txbxContent>
                </v:textbox>
              </v:shape>
            </w:pict>
          </mc:Fallback>
        </mc:AlternateContent>
      </w:r>
    </w:p>
    <w:p w:rsidR="00381C80" w:rsidRDefault="00381C80" w:rsidP="00381C80">
      <w:pPr>
        <w:spacing w:before="50" w:line="276" w:lineRule="auto"/>
        <w:jc w:val="center"/>
      </w:pPr>
    </w:p>
    <w:p w:rsidR="00381C80" w:rsidRDefault="00381C80" w:rsidP="00381C80">
      <w:pPr>
        <w:spacing w:before="50" w:line="276" w:lineRule="auto"/>
        <w:jc w:val="center"/>
      </w:pPr>
    </w:p>
    <w:p w:rsidR="00381C80" w:rsidRDefault="00381C80" w:rsidP="00381C80">
      <w:pPr>
        <w:spacing w:before="50" w:line="276" w:lineRule="auto"/>
        <w:jc w:val="center"/>
      </w:pPr>
    </w:p>
    <w:p w:rsidR="00381C80" w:rsidRDefault="00381C80" w:rsidP="00381C80">
      <w:pPr>
        <w:spacing w:before="50" w:line="276" w:lineRule="auto"/>
        <w:jc w:val="center"/>
      </w:pPr>
    </w:p>
    <w:p w:rsidR="00381C80" w:rsidRPr="003D3CBA" w:rsidRDefault="00381C80" w:rsidP="00381C80">
      <w:pPr>
        <w:snapToGrid w:val="0"/>
        <w:spacing w:beforeLines="50" w:before="180" w:line="400" w:lineRule="exact"/>
        <w:contextualSpacing/>
      </w:pPr>
      <w:r>
        <w:rPr>
          <w:rFonts w:hint="eastAsia"/>
        </w:rPr>
        <w:t xml:space="preserve">   </w:t>
      </w:r>
      <w:r w:rsidRPr="00090DD7">
        <w:rPr>
          <w:rFonts w:ascii="微軟正黑體" w:eastAsia="微軟正黑體" w:hAnsi="微軟正黑體"/>
          <w:color w:val="000000"/>
          <w:sz w:val="20"/>
          <w:szCs w:val="20"/>
        </w:rPr>
        <w:t>資料來源</w:t>
      </w:r>
      <w:r>
        <w:rPr>
          <w:rFonts w:ascii="微軟正黑體" w:eastAsia="微軟正黑體" w:hAnsi="微軟正黑體" w:hint="eastAsia"/>
          <w:color w:val="000000"/>
          <w:sz w:val="20"/>
          <w:szCs w:val="20"/>
        </w:rPr>
        <w:t>：</w:t>
      </w:r>
      <w:r w:rsidRPr="00090DD7">
        <w:rPr>
          <w:rFonts w:ascii="微軟正黑體" w:eastAsia="微軟正黑體" w:hAnsi="微軟正黑體"/>
          <w:color w:val="000000"/>
          <w:sz w:val="20"/>
          <w:szCs w:val="20"/>
        </w:rPr>
        <w:t>S</w:t>
      </w:r>
      <w:r w:rsidRPr="00090DD7">
        <w:rPr>
          <w:rFonts w:ascii="微軟正黑體" w:eastAsia="微軟正黑體" w:hAnsi="微軟正黑體" w:hint="eastAsia"/>
          <w:color w:val="000000"/>
          <w:sz w:val="20"/>
          <w:szCs w:val="20"/>
        </w:rPr>
        <w:t>t</w:t>
      </w:r>
      <w:r w:rsidRPr="00090DD7">
        <w:rPr>
          <w:rFonts w:ascii="微軟正黑體" w:eastAsia="微軟正黑體" w:hAnsi="微軟正黑體"/>
          <w:color w:val="000000"/>
          <w:sz w:val="20"/>
          <w:szCs w:val="20"/>
        </w:rPr>
        <w:t>atistic Portal of the Pension Insurance(202</w:t>
      </w:r>
      <w:r w:rsidRPr="00090DD7">
        <w:rPr>
          <w:rFonts w:ascii="微軟正黑體" w:eastAsia="微軟正黑體" w:hAnsi="微軟正黑體" w:hint="eastAsia"/>
          <w:color w:val="000000"/>
          <w:sz w:val="20"/>
          <w:szCs w:val="20"/>
        </w:rPr>
        <w:t>1</w:t>
      </w:r>
      <w:r w:rsidRPr="00090DD7">
        <w:rPr>
          <w:rFonts w:ascii="微軟正黑體" w:eastAsia="微軟正黑體" w:hAnsi="微軟正黑體"/>
          <w:color w:val="000000"/>
          <w:sz w:val="20"/>
          <w:szCs w:val="20"/>
        </w:rPr>
        <w:t>)</w:t>
      </w:r>
      <w:r>
        <w:rPr>
          <w:rFonts w:ascii="微軟正黑體" w:eastAsia="微軟正黑體" w:hAnsi="微軟正黑體" w:hint="eastAsia"/>
          <w:color w:val="000000"/>
          <w:sz w:val="20"/>
          <w:szCs w:val="20"/>
        </w:rPr>
        <w:t>。</w:t>
      </w:r>
    </w:p>
    <w:p w:rsidR="00381C80" w:rsidRPr="0065532C" w:rsidRDefault="00381C80" w:rsidP="00381C80">
      <w:pPr>
        <w:jc w:val="center"/>
        <w:rPr>
          <w:rFonts w:ascii="微軟正黑體" w:eastAsia="微軟正黑體" w:hAnsi="微軟正黑體"/>
          <w:kern w:val="0"/>
        </w:rPr>
      </w:pPr>
      <w:r w:rsidRPr="0065532C">
        <w:rPr>
          <w:rFonts w:ascii="微軟正黑體" w:eastAsia="微軟正黑體" w:hAnsi="微軟正黑體"/>
          <w:kern w:val="0"/>
        </w:rPr>
        <w:t>圖</w:t>
      </w:r>
      <w:r w:rsidRPr="0065532C">
        <w:rPr>
          <w:rFonts w:ascii="微軟正黑體" w:eastAsia="微軟正黑體" w:hAnsi="微軟正黑體" w:hint="eastAsia"/>
          <w:kern w:val="0"/>
        </w:rPr>
        <w:t>1</w:t>
      </w:r>
      <w:r w:rsidRPr="0065532C">
        <w:rPr>
          <w:rFonts w:ascii="微軟正黑體" w:eastAsia="微軟正黑體" w:hAnsi="微軟正黑體"/>
          <w:kern w:val="0"/>
        </w:rPr>
        <w:t xml:space="preserve">  2010年到2019年間</w:t>
      </w:r>
      <w:r w:rsidRPr="0065532C">
        <w:rPr>
          <w:rFonts w:ascii="微軟正黑體" w:eastAsia="微軟正黑體" w:hAnsi="微軟正黑體" w:hint="eastAsia"/>
          <w:kern w:val="0"/>
        </w:rPr>
        <w:t>法定</w:t>
      </w:r>
      <w:r w:rsidRPr="0065532C">
        <w:rPr>
          <w:rFonts w:ascii="微軟正黑體" w:eastAsia="微軟正黑體" w:hAnsi="微軟正黑體"/>
          <w:kern w:val="0"/>
        </w:rPr>
        <w:t>年金收支</w:t>
      </w:r>
      <w:r w:rsidRPr="0065532C">
        <w:rPr>
          <w:rFonts w:ascii="微軟正黑體" w:eastAsia="微軟正黑體" w:hAnsi="微軟正黑體" w:hint="eastAsia"/>
          <w:kern w:val="0"/>
        </w:rPr>
        <w:t>概況</w:t>
      </w:r>
    </w:p>
    <w:p w:rsidR="00381C80" w:rsidRPr="003624C2" w:rsidRDefault="00381C80" w:rsidP="00381C80">
      <w:pPr>
        <w:snapToGrid w:val="0"/>
        <w:contextualSpacing/>
        <w:rPr>
          <w:rFonts w:eastAsia="標楷體"/>
          <w:color w:val="000000"/>
          <w:sz w:val="16"/>
          <w:szCs w:val="16"/>
        </w:rPr>
      </w:pPr>
    </w:p>
    <w:p w:rsidR="00381C80" w:rsidRDefault="00381C80" w:rsidP="00381C80">
      <w:pPr>
        <w:spacing w:before="50" w:line="276" w:lineRule="auto"/>
      </w:pPr>
      <w:r>
        <w:rPr>
          <w:noProof/>
        </w:rPr>
        <w:drawing>
          <wp:anchor distT="0" distB="0" distL="114300" distR="114300" simplePos="0" relativeHeight="252479488" behindDoc="0" locked="0" layoutInCell="1" allowOverlap="1" wp14:anchorId="0B4464C2" wp14:editId="59DA245E">
            <wp:simplePos x="0" y="0"/>
            <wp:positionH relativeFrom="column">
              <wp:posOffset>80645</wp:posOffset>
            </wp:positionH>
            <wp:positionV relativeFrom="paragraph">
              <wp:posOffset>169545</wp:posOffset>
            </wp:positionV>
            <wp:extent cx="5579745" cy="3060700"/>
            <wp:effectExtent l="0" t="1905" r="1905" b="0"/>
            <wp:wrapNone/>
            <wp:docPr id="21504" name="圖表 215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14:sizeRelH relativeFrom="page">
              <wp14:pctWidth>0</wp14:pctWidth>
            </wp14:sizeRelH>
            <wp14:sizeRelV relativeFrom="page">
              <wp14:pctHeight>0</wp14:pctHeight>
            </wp14:sizeRelV>
          </wp:anchor>
        </w:drawing>
      </w:r>
    </w:p>
    <w:p w:rsidR="00381C80" w:rsidRDefault="00381C80" w:rsidP="00381C80">
      <w:pPr>
        <w:spacing w:before="50" w:line="276" w:lineRule="auto"/>
      </w:pPr>
    </w:p>
    <w:p w:rsidR="00381C80" w:rsidRDefault="00381C80" w:rsidP="00381C80">
      <w:pPr>
        <w:spacing w:before="50" w:line="276" w:lineRule="auto"/>
      </w:pPr>
    </w:p>
    <w:p w:rsidR="00381C80" w:rsidRDefault="00381C80" w:rsidP="00381C80">
      <w:pPr>
        <w:spacing w:before="50" w:line="276" w:lineRule="auto"/>
      </w:pPr>
    </w:p>
    <w:p w:rsidR="00381C80" w:rsidRDefault="00381C80" w:rsidP="00381C80">
      <w:pPr>
        <w:spacing w:before="50" w:line="276" w:lineRule="auto"/>
      </w:pPr>
    </w:p>
    <w:p w:rsidR="00381C80" w:rsidRDefault="00381C80" w:rsidP="00381C80">
      <w:pPr>
        <w:spacing w:before="50" w:line="276" w:lineRule="auto"/>
      </w:pPr>
    </w:p>
    <w:p w:rsidR="00381C80" w:rsidRDefault="00381C80" w:rsidP="00381C80">
      <w:pPr>
        <w:spacing w:before="50" w:line="276" w:lineRule="auto"/>
      </w:pPr>
    </w:p>
    <w:p w:rsidR="00381C80" w:rsidRDefault="00381C80" w:rsidP="00381C80">
      <w:pPr>
        <w:spacing w:before="50" w:line="276" w:lineRule="auto"/>
      </w:pPr>
    </w:p>
    <w:p w:rsidR="00381C80" w:rsidRDefault="00381C80" w:rsidP="00381C80">
      <w:pPr>
        <w:spacing w:before="50" w:line="276" w:lineRule="auto"/>
      </w:pPr>
    </w:p>
    <w:p w:rsidR="00381C80" w:rsidRDefault="00381C80" w:rsidP="00381C80">
      <w:pPr>
        <w:snapToGrid w:val="0"/>
        <w:spacing w:line="400" w:lineRule="exact"/>
        <w:ind w:firstLineChars="100" w:firstLine="200"/>
        <w:contextualSpacing/>
        <w:rPr>
          <w:rFonts w:ascii="微軟正黑體" w:eastAsia="微軟正黑體" w:hAnsi="微軟正黑體"/>
          <w:color w:val="000000"/>
          <w:sz w:val="20"/>
          <w:szCs w:val="20"/>
        </w:rPr>
      </w:pPr>
    </w:p>
    <w:p w:rsidR="00381C80" w:rsidRDefault="00381C80" w:rsidP="00381C80">
      <w:pPr>
        <w:snapToGrid w:val="0"/>
        <w:spacing w:line="400" w:lineRule="exact"/>
        <w:ind w:firstLineChars="100" w:firstLine="200"/>
        <w:contextualSpacing/>
        <w:rPr>
          <w:rFonts w:ascii="微軟正黑體" w:eastAsia="微軟正黑體" w:hAnsi="微軟正黑體"/>
          <w:color w:val="000000"/>
          <w:sz w:val="20"/>
          <w:szCs w:val="20"/>
        </w:rPr>
      </w:pPr>
    </w:p>
    <w:p w:rsidR="00381C80" w:rsidRPr="00090DD7" w:rsidRDefault="00381C80" w:rsidP="00381C80">
      <w:pPr>
        <w:snapToGrid w:val="0"/>
        <w:spacing w:line="400" w:lineRule="exact"/>
        <w:ind w:firstLineChars="100" w:firstLine="200"/>
        <w:contextualSpacing/>
        <w:rPr>
          <w:rFonts w:ascii="微軟正黑體" w:eastAsia="微軟正黑體" w:hAnsi="微軟正黑體"/>
          <w:color w:val="000000"/>
          <w:sz w:val="20"/>
          <w:szCs w:val="20"/>
        </w:rPr>
      </w:pPr>
      <w:r w:rsidRPr="00090DD7">
        <w:rPr>
          <w:rFonts w:ascii="微軟正黑體" w:eastAsia="微軟正黑體" w:hAnsi="微軟正黑體" w:hint="eastAsia"/>
          <w:color w:val="000000"/>
          <w:sz w:val="20"/>
          <w:szCs w:val="20"/>
        </w:rPr>
        <w:t>資料來源</w:t>
      </w:r>
      <w:r>
        <w:rPr>
          <w:rFonts w:ascii="微軟正黑體" w:eastAsia="微軟正黑體" w:hAnsi="微軟正黑體" w:hint="eastAsia"/>
          <w:color w:val="000000"/>
          <w:sz w:val="20"/>
          <w:szCs w:val="20"/>
        </w:rPr>
        <w:t>：</w:t>
      </w:r>
      <w:r w:rsidRPr="00090DD7">
        <w:rPr>
          <w:rFonts w:ascii="微軟正黑體" w:eastAsia="微軟正黑體" w:hAnsi="微軟正黑體" w:hint="eastAsia"/>
          <w:color w:val="000000"/>
          <w:sz w:val="20"/>
          <w:szCs w:val="20"/>
        </w:rPr>
        <w:t>同圖1</w:t>
      </w:r>
      <w:r>
        <w:rPr>
          <w:rFonts w:ascii="微軟正黑體" w:eastAsia="微軟正黑體" w:hAnsi="微軟正黑體" w:hint="eastAsia"/>
          <w:color w:val="000000"/>
          <w:sz w:val="20"/>
          <w:szCs w:val="20"/>
        </w:rPr>
        <w:t>。</w:t>
      </w:r>
    </w:p>
    <w:p w:rsidR="00381C80" w:rsidRPr="0065532C" w:rsidRDefault="00381C80" w:rsidP="00381C80">
      <w:pPr>
        <w:jc w:val="center"/>
        <w:rPr>
          <w:rFonts w:ascii="微軟正黑體" w:eastAsia="微軟正黑體" w:hAnsi="微軟正黑體"/>
          <w:kern w:val="0"/>
        </w:rPr>
      </w:pPr>
      <w:r w:rsidRPr="0065532C">
        <w:rPr>
          <w:rFonts w:ascii="微軟正黑體" w:eastAsia="微軟正黑體" w:hAnsi="微軟正黑體"/>
          <w:kern w:val="0"/>
        </w:rPr>
        <w:t>圖</w:t>
      </w:r>
      <w:r w:rsidRPr="0065532C">
        <w:rPr>
          <w:rFonts w:ascii="微軟正黑體" w:eastAsia="微軟正黑體" w:hAnsi="微軟正黑體" w:hint="eastAsia"/>
          <w:kern w:val="0"/>
        </w:rPr>
        <w:t>2</w:t>
      </w:r>
      <w:r w:rsidRPr="0065532C">
        <w:rPr>
          <w:rFonts w:ascii="微軟正黑體" w:eastAsia="微軟正黑體" w:hAnsi="微軟正黑體"/>
          <w:kern w:val="0"/>
        </w:rPr>
        <w:t xml:space="preserve">  2010年到2019年間</w:t>
      </w:r>
      <w:r w:rsidRPr="0065532C">
        <w:rPr>
          <w:rFonts w:ascii="微軟正黑體" w:eastAsia="微軟正黑體" w:hAnsi="微軟正黑體" w:hint="eastAsia"/>
          <w:kern w:val="0"/>
        </w:rPr>
        <w:t>法定</w:t>
      </w:r>
      <w:r w:rsidRPr="0065532C">
        <w:rPr>
          <w:rFonts w:ascii="微軟正黑體" w:eastAsia="微軟正黑體" w:hAnsi="微軟正黑體"/>
          <w:kern w:val="0"/>
        </w:rPr>
        <w:t>年金</w:t>
      </w:r>
      <w:r w:rsidRPr="0065532C">
        <w:rPr>
          <w:rFonts w:ascii="微軟正黑體" w:eastAsia="微軟正黑體" w:hAnsi="微軟正黑體" w:hint="eastAsia"/>
          <w:kern w:val="0"/>
        </w:rPr>
        <w:t>保險費收入概況</w:t>
      </w:r>
    </w:p>
    <w:p w:rsidR="00381C80" w:rsidRPr="00DC3B15" w:rsidRDefault="00381C80" w:rsidP="00BD50E5">
      <w:pPr>
        <w:numPr>
          <w:ilvl w:val="0"/>
          <w:numId w:val="44"/>
        </w:numPr>
        <w:spacing w:beforeLines="50" w:before="180" w:afterLines="30" w:after="108" w:line="400" w:lineRule="exact"/>
        <w:ind w:left="386" w:hangingChars="161" w:hanging="386"/>
        <w:jc w:val="both"/>
        <w:rPr>
          <w:rFonts w:ascii="微軟正黑體" w:eastAsia="微軟正黑體" w:hAnsi="微軟正黑體"/>
          <w:kern w:val="0"/>
        </w:rPr>
      </w:pPr>
      <w:r w:rsidRPr="00DC3B15">
        <w:rPr>
          <w:rFonts w:ascii="微軟正黑體" w:eastAsia="微軟正黑體" w:hAnsi="微軟正黑體" w:hint="eastAsia"/>
          <w:kern w:val="0"/>
        </w:rPr>
        <w:t>政府補助</w:t>
      </w:r>
    </w:p>
    <w:p w:rsidR="00381C80" w:rsidRPr="003624C2" w:rsidRDefault="00381C80" w:rsidP="00381C80">
      <w:pPr>
        <w:spacing w:beforeLines="30" w:before="108" w:line="400" w:lineRule="exact"/>
        <w:rPr>
          <w:rFonts w:ascii="微軟正黑體" w:eastAsia="微軟正黑體" w:hAnsi="微軟正黑體"/>
        </w:rPr>
      </w:pPr>
      <w:r w:rsidRPr="003624C2">
        <w:rPr>
          <w:rFonts w:ascii="微軟正黑體" w:eastAsia="微軟正黑體" w:hAnsi="微軟正黑體" w:hint="eastAsia"/>
        </w:rPr>
        <w:t xml:space="preserve">    法定年金的支出需求約有30%是來自於政府補助，除了用以支應部</w:t>
      </w:r>
      <w:r w:rsidRPr="00D51F7A">
        <w:rPr>
          <w:rFonts w:ascii="微軟正黑體" w:eastAsia="微軟正黑體" w:hAnsi="微軟正黑體" w:hint="eastAsia"/>
        </w:rPr>
        <w:t>分</w:t>
      </w:r>
      <w:r w:rsidRPr="003624C2">
        <w:rPr>
          <w:rFonts w:ascii="微軟正黑體" w:eastAsia="微軟正黑體" w:hAnsi="微軟正黑體" w:hint="eastAsia"/>
        </w:rPr>
        <w:t>支出所需外，也用來因應隨收隨付下可能發生的短期失衡。至於政府補助的財源，除了一般稅收外，後續也透過提高營業稅與增設環保稅，提供法定年金額外的財源。營業稅方面，因為所提高的營業稅是廣泛用於補助所有社會保險制度與政府財政赤字所需，並非只運用於法定年金，所以財源的穩定與效益性尚需視其他社會保險與政府財政赤字的需求性而定。</w:t>
      </w:r>
      <w:r w:rsidRPr="003624C2">
        <w:rPr>
          <w:rFonts w:ascii="微軟正黑體" w:eastAsia="微軟正黑體" w:hAnsi="微軟正黑體" w:hint="eastAsia"/>
        </w:rPr>
        <w:lastRenderedPageBreak/>
        <w:t>環保稅</w:t>
      </w:r>
      <w:r w:rsidRPr="00D51F7A">
        <w:rPr>
          <w:rFonts w:ascii="微軟正黑體" w:eastAsia="微軟正黑體" w:hAnsi="微軟正黑體" w:hint="eastAsia"/>
        </w:rPr>
        <w:t>方面，</w:t>
      </w:r>
      <w:r w:rsidRPr="003624C2">
        <w:rPr>
          <w:rFonts w:ascii="微軟正黑體" w:eastAsia="微軟正黑體" w:hAnsi="微軟正黑體" w:hint="eastAsia"/>
        </w:rPr>
        <w:t>約有九成稅收係全數用以補助法定年金的給付需求，故可視為是一種主要運用於法定年金的</w:t>
      </w:r>
      <w:r w:rsidRPr="00EC2974">
        <w:rPr>
          <w:rFonts w:ascii="微軟正黑體" w:eastAsia="微軟正黑體" w:hAnsi="微軟正黑體" w:hint="eastAsia"/>
          <w:b/>
        </w:rPr>
        <w:t>指定用途稅</w:t>
      </w:r>
      <w:r w:rsidRPr="003624C2">
        <w:rPr>
          <w:rFonts w:ascii="微軟正黑體" w:eastAsia="微軟正黑體" w:hAnsi="微軟正黑體" w:hint="eastAsia"/>
        </w:rPr>
        <w:t>。環保稅自1999年開徵，2000年至2003年為第二階段的開徵期。</w:t>
      </w:r>
      <w:r w:rsidRPr="00067CEB">
        <w:rPr>
          <w:rFonts w:ascii="微軟正黑體" w:eastAsia="微軟正黑體" w:hAnsi="微軟正黑體"/>
        </w:rPr>
        <w:t>第一、二期的開徵期，透過開徵新稅目與提高稅率，使得環保稅收有不錯的年度成長率</w:t>
      </w:r>
      <w:r w:rsidRPr="00067CEB">
        <w:rPr>
          <w:rFonts w:ascii="微軟正黑體" w:eastAsia="微軟正黑體" w:hAnsi="微軟正黑體"/>
          <w:vertAlign w:val="superscript"/>
        </w:rPr>
        <w:footnoteReference w:id="20"/>
      </w:r>
      <w:r w:rsidRPr="00067CEB">
        <w:rPr>
          <w:rFonts w:ascii="微軟正黑體" w:eastAsia="微軟正黑體" w:hAnsi="微軟正黑體"/>
        </w:rPr>
        <w:t>，因此對法定年金帶來明顯的財源挹注效果。1999年至2003年間，環保稅合計補助相當於1.7%的法定年金保險費。不過2003年後，由於未再另外開徵新型態的環保稅稅目，原本開徵的環保稅也對相關能源在使用上達到一定程度的抑制效果，故環保稅收的年度成長率開始明顯下降，甚至出現負成長的情況</w:t>
      </w:r>
      <w:r w:rsidRPr="00067CEB">
        <w:rPr>
          <w:rFonts w:ascii="微軟正黑體" w:eastAsia="微軟正黑體" w:hAnsi="微軟正黑體"/>
          <w:vertAlign w:val="superscript"/>
        </w:rPr>
        <w:footnoteReference w:id="21"/>
      </w:r>
      <w:r w:rsidRPr="00067CEB">
        <w:rPr>
          <w:rFonts w:ascii="微軟正黑體" w:eastAsia="微軟正黑體" w:hAnsi="微軟正黑體"/>
        </w:rPr>
        <w:t>，故從2003年到2010年間，環保稅合計僅補助了相當於2.4%的法定年金保險費。2011年再次針對飛機燃料、核能等開徵新一階段的環保稅，讓環保稅收再度出現6.7%左右的高成長率，不過隔年的稅收成長率旋即轉為負值，直到2016年後，方有正成長率，而至2019年止，成長率約在1%至2%</w:t>
      </w:r>
      <w:r>
        <w:rPr>
          <w:rFonts w:ascii="微軟正黑體" w:eastAsia="微軟正黑體" w:hAnsi="微軟正黑體"/>
        </w:rPr>
        <w:t>間，均未有明顯的成長率</w:t>
      </w:r>
      <w:r>
        <w:rPr>
          <w:rFonts w:ascii="微軟正黑體" w:eastAsia="微軟正黑體" w:hAnsi="微軟正黑體" w:hint="eastAsia"/>
        </w:rPr>
        <w:t>(</w:t>
      </w:r>
      <w:r w:rsidRPr="00067CEB">
        <w:rPr>
          <w:rFonts w:ascii="微軟正黑體" w:eastAsia="微軟正黑體" w:hAnsi="微軟正黑體"/>
        </w:rPr>
        <w:t>Eurostat, 2021</w:t>
      </w:r>
      <w:r>
        <w:rPr>
          <w:rFonts w:ascii="微軟正黑體" w:eastAsia="微軟正黑體" w:hAnsi="微軟正黑體" w:hint="eastAsia"/>
        </w:rPr>
        <w:t>)</w:t>
      </w:r>
      <w:r w:rsidRPr="00067CEB">
        <w:rPr>
          <w:rFonts w:ascii="微軟正黑體" w:eastAsia="微軟正黑體" w:hAnsi="微軟正黑體"/>
        </w:rPr>
        <w:t>。</w:t>
      </w:r>
    </w:p>
    <w:p w:rsidR="00381C80" w:rsidRPr="003624C2" w:rsidRDefault="00381C80" w:rsidP="00381C80">
      <w:pPr>
        <w:spacing w:beforeLines="30" w:before="108" w:line="400" w:lineRule="exact"/>
        <w:rPr>
          <w:rFonts w:ascii="微軟正黑體" w:eastAsia="微軟正黑體" w:hAnsi="微軟正黑體"/>
        </w:rPr>
      </w:pPr>
      <w:r w:rsidRPr="003624C2">
        <w:rPr>
          <w:rFonts w:ascii="微軟正黑體" w:eastAsia="微軟正黑體" w:hAnsi="微軟正黑體" w:hint="eastAsia"/>
        </w:rPr>
        <w:t xml:space="preserve">    就財源屬性而言，環保稅與薪資所得的課徵基礎並不同，可達一定程度的財源分散效益。不過環保稅基本上是一種懲罰性租稅，課稅目的在降低企業或個人對污染性能源的使用率，故一旦達到懲罰性效果，</w:t>
      </w:r>
      <w:r w:rsidRPr="00D51F7A">
        <w:rPr>
          <w:rFonts w:ascii="微軟正黑體" w:eastAsia="微軟正黑體" w:hAnsi="微軟正黑體" w:hint="eastAsia"/>
        </w:rPr>
        <w:t>將</w:t>
      </w:r>
      <w:r w:rsidRPr="003624C2">
        <w:rPr>
          <w:rFonts w:ascii="微軟正黑體" w:eastAsia="微軟正黑體" w:hAnsi="微軟正黑體" w:hint="eastAsia"/>
        </w:rPr>
        <w:t>衝擊整體稅收的成長率，從前述德國環保稅的稅收變動即可看出，這也會連帶影響到對法定年金在財源輔助上的長期穩定性效益。</w:t>
      </w:r>
    </w:p>
    <w:p w:rsidR="00381C80" w:rsidRDefault="00381C80" w:rsidP="00381C80">
      <w:pPr>
        <w:spacing w:beforeLines="30" w:before="108" w:line="400" w:lineRule="exact"/>
        <w:jc w:val="both"/>
        <w:rPr>
          <w:rFonts w:ascii="微軟正黑體" w:eastAsia="微軟正黑體" w:hAnsi="微軟正黑體"/>
        </w:rPr>
      </w:pPr>
      <w:r w:rsidRPr="003624C2">
        <w:rPr>
          <w:rFonts w:ascii="微軟正黑體" w:eastAsia="微軟正黑體" w:hAnsi="微軟正黑體" w:hint="eastAsia"/>
        </w:rPr>
        <w:t xml:space="preserve">    綜合前述，法定年金自1990年代迄今的整體財務修正歷程，支出面主要以延後合格請領年齡及平衡世代間年金權益為修正方向，收入面則以控制保險費率及擴大費基為調整方向。惟就隨收隨付的保險模式而言，人口老化趨勢下，當體制內的收支調控已進行到某種無法再緊縮程度時，另一個唯一可以介入的財源，常見是政府稅收。但當人口老化對公共年金與國家財政都同時帶來負面衝擊時，如何在有限的政府財政資源中，</w:t>
      </w:r>
      <w:r w:rsidRPr="00EC2974">
        <w:rPr>
          <w:rFonts w:ascii="微軟正黑體" w:eastAsia="微軟正黑體" w:hAnsi="微軟正黑體" w:hint="eastAsia"/>
          <w:b/>
        </w:rPr>
        <w:t>尋求穩定性的稅目來與保險費財源共同支持公共年金的永續運作，即成為財務規劃下的新挑戰與課題</w:t>
      </w:r>
      <w:r>
        <w:rPr>
          <w:rFonts w:ascii="微軟正黑體" w:eastAsia="微軟正黑體" w:hAnsi="微軟正黑體" w:hint="eastAsia"/>
          <w:b/>
        </w:rPr>
        <w:t>。</w:t>
      </w:r>
    </w:p>
    <w:p w:rsidR="00381C80" w:rsidRPr="007C3DB8" w:rsidRDefault="00381C80" w:rsidP="00381C80">
      <w:pPr>
        <w:spacing w:beforeLines="150" w:before="540" w:line="400" w:lineRule="exact"/>
        <w:jc w:val="center"/>
        <w:rPr>
          <w:rFonts w:ascii="微軟正黑體" w:eastAsia="微軟正黑體" w:hAnsi="微軟正黑體"/>
          <w:b/>
          <w:sz w:val="32"/>
          <w:szCs w:val="32"/>
        </w:rPr>
      </w:pPr>
      <w:r w:rsidRPr="00D51F7A">
        <w:rPr>
          <w:rFonts w:ascii="微軟正黑體" w:eastAsia="微軟正黑體" w:hAnsi="微軟正黑體"/>
          <w:b/>
          <w:sz w:val="32"/>
          <w:szCs w:val="32"/>
        </w:rPr>
        <w:t>肆</w:t>
      </w:r>
      <w:r w:rsidRPr="007C3DB8">
        <w:rPr>
          <w:rFonts w:ascii="微軟正黑體" w:eastAsia="微軟正黑體" w:hAnsi="微軟正黑體"/>
          <w:b/>
          <w:sz w:val="32"/>
          <w:szCs w:val="32"/>
        </w:rPr>
        <w:t>、</w:t>
      </w:r>
      <w:r w:rsidRPr="003624C2">
        <w:rPr>
          <w:rFonts w:ascii="微軟正黑體" w:eastAsia="微軟正黑體" w:hAnsi="微軟正黑體" w:hint="eastAsia"/>
          <w:b/>
          <w:sz w:val="32"/>
          <w:szCs w:val="32"/>
        </w:rPr>
        <w:t>日本厚生年金財務運作探討</w:t>
      </w:r>
    </w:p>
    <w:p w:rsidR="00381C80" w:rsidRPr="007C3DB8" w:rsidRDefault="00381C80" w:rsidP="00381C80">
      <w:pPr>
        <w:spacing w:beforeLines="100" w:before="360" w:afterLines="50" w:after="180" w:line="400" w:lineRule="exact"/>
        <w:rPr>
          <w:rFonts w:ascii="微軟正黑體" w:eastAsia="微軟正黑體" w:hAnsi="微軟正黑體"/>
          <w:b/>
          <w:sz w:val="28"/>
          <w:szCs w:val="28"/>
        </w:rPr>
      </w:pPr>
      <w:r w:rsidRPr="007C3DB8">
        <w:rPr>
          <w:rFonts w:ascii="微軟正黑體" w:eastAsia="微軟正黑體" w:hAnsi="微軟正黑體" w:hint="eastAsia"/>
          <w:b/>
          <w:sz w:val="28"/>
          <w:szCs w:val="28"/>
        </w:rPr>
        <w:t>一、</w:t>
      </w:r>
      <w:r w:rsidRPr="003624C2">
        <w:rPr>
          <w:rFonts w:ascii="微軟正黑體" w:eastAsia="微軟正黑體" w:hAnsi="微軟正黑體" w:hint="eastAsia"/>
          <w:b/>
          <w:sz w:val="28"/>
          <w:szCs w:val="28"/>
        </w:rPr>
        <w:t>厚生年金的財務修正歷程</w:t>
      </w:r>
    </w:p>
    <w:p w:rsidR="00381C80" w:rsidRDefault="00381C80" w:rsidP="00381C80">
      <w:pPr>
        <w:spacing w:line="400" w:lineRule="exact"/>
        <w:jc w:val="both"/>
        <w:rPr>
          <w:rFonts w:ascii="微軟正黑體" w:eastAsia="微軟正黑體" w:hAnsi="微軟正黑體"/>
        </w:rPr>
      </w:pPr>
      <w:r w:rsidRPr="00E26191">
        <w:rPr>
          <w:rFonts w:ascii="微軟正黑體" w:eastAsia="微軟正黑體" w:hAnsi="微軟正黑體" w:hint="eastAsia"/>
        </w:rPr>
        <w:t xml:space="preserve">    </w:t>
      </w:r>
      <w:r w:rsidRPr="003624C2">
        <w:rPr>
          <w:rFonts w:ascii="微軟正黑體" w:eastAsia="微軟正黑體" w:hAnsi="微軟正黑體" w:hint="eastAsia"/>
        </w:rPr>
        <w:t>日本建制於1944</w:t>
      </w:r>
      <w:r>
        <w:rPr>
          <w:rFonts w:ascii="微軟正黑體" w:eastAsia="微軟正黑體" w:hAnsi="微軟正黑體" w:hint="eastAsia"/>
        </w:rPr>
        <w:t>年的厚生年金(</w:t>
      </w:r>
      <w:r w:rsidRPr="003624C2">
        <w:rPr>
          <w:rFonts w:ascii="微軟正黑體" w:eastAsia="微軟正黑體" w:hAnsi="微軟正黑體" w:hint="eastAsia"/>
        </w:rPr>
        <w:t>Employees’Pension</w:t>
      </w:r>
      <w:r>
        <w:rPr>
          <w:rFonts w:ascii="微軟正黑體" w:eastAsia="微軟正黑體" w:hAnsi="微軟正黑體" w:hint="eastAsia"/>
        </w:rPr>
        <w:t>)</w:t>
      </w:r>
      <w:r w:rsidRPr="003624C2">
        <w:rPr>
          <w:rFonts w:ascii="微軟正黑體" w:eastAsia="微軟正黑體" w:hAnsi="微軟正黑體" w:hint="eastAsia"/>
        </w:rPr>
        <w:t>，是以受</w:t>
      </w:r>
      <w:r w:rsidRPr="00D51F7A">
        <w:rPr>
          <w:rFonts w:ascii="微軟正黑體" w:eastAsia="微軟正黑體" w:hAnsi="微軟正黑體" w:hint="eastAsia"/>
        </w:rPr>
        <w:t>僱</w:t>
      </w:r>
      <w:r w:rsidRPr="003624C2">
        <w:rPr>
          <w:rFonts w:ascii="微軟正黑體" w:eastAsia="微軟正黑體" w:hAnsi="微軟正黑體" w:hint="eastAsia"/>
        </w:rPr>
        <w:t>者為被保險人的公共年金，財務處理方式則是採行部</w:t>
      </w:r>
      <w:r w:rsidRPr="00D51F7A">
        <w:rPr>
          <w:rFonts w:ascii="微軟正黑體" w:eastAsia="微軟正黑體" w:hAnsi="微軟正黑體" w:hint="eastAsia"/>
        </w:rPr>
        <w:t>分</w:t>
      </w:r>
      <w:r w:rsidRPr="003624C2">
        <w:rPr>
          <w:rFonts w:ascii="微軟正黑體" w:eastAsia="微軟正黑體" w:hAnsi="微軟正黑體" w:hint="eastAsia"/>
        </w:rPr>
        <w:t>儲備制。厚生年金在歷經1960年代到1970年代保障擴充與給付改善的階段後，為因應1990年代起的泡沫經濟及人</w:t>
      </w:r>
      <w:r>
        <w:rPr>
          <w:rFonts w:ascii="微軟正黑體" w:eastAsia="微軟正黑體" w:hAnsi="微軟正黑體" w:hint="eastAsia"/>
        </w:rPr>
        <w:t>口結構高齡化趨勢，開啟了後續以改善年金財務為主要目標的制度修正(</w:t>
      </w:r>
      <w:r w:rsidRPr="003624C2">
        <w:rPr>
          <w:rFonts w:ascii="微軟正黑體" w:eastAsia="微軟正黑體" w:hAnsi="微軟正黑體" w:hint="eastAsia"/>
        </w:rPr>
        <w:t>Yashiro and Oshio, 1999、傅從喜等人，2008</w:t>
      </w:r>
      <w:r>
        <w:rPr>
          <w:rFonts w:ascii="微軟正黑體" w:eastAsia="微軟正黑體" w:hAnsi="微軟正黑體" w:hint="eastAsia"/>
        </w:rPr>
        <w:t>)</w:t>
      </w:r>
      <w:r w:rsidRPr="003624C2">
        <w:rPr>
          <w:rFonts w:ascii="微軟正黑體" w:eastAsia="微軟正黑體" w:hAnsi="微軟正黑體" w:hint="eastAsia"/>
        </w:rPr>
        <w:t>，如表2所示。</w:t>
      </w:r>
    </w:p>
    <w:p w:rsidR="00381C80" w:rsidRDefault="00381C80" w:rsidP="00381C80">
      <w:pPr>
        <w:spacing w:line="300" w:lineRule="exact"/>
        <w:jc w:val="both"/>
        <w:rPr>
          <w:rFonts w:ascii="微軟正黑體" w:eastAsia="微軟正黑體" w:hAnsi="微軟正黑體"/>
        </w:rPr>
      </w:pPr>
    </w:p>
    <w:p w:rsidR="00381C80" w:rsidRPr="00381C80" w:rsidRDefault="00381C80" w:rsidP="00381C80">
      <w:pPr>
        <w:spacing w:afterLines="30" w:after="108" w:line="400" w:lineRule="exact"/>
        <w:jc w:val="center"/>
        <w:rPr>
          <w:rFonts w:ascii="微軟正黑體" w:eastAsia="微軟正黑體" w:hAnsi="微軟正黑體"/>
          <w:kern w:val="0"/>
        </w:rPr>
      </w:pPr>
      <w:r w:rsidRPr="00381C80">
        <w:rPr>
          <w:rFonts w:ascii="微軟正黑體" w:eastAsia="微軟正黑體" w:hAnsi="微軟正黑體"/>
          <w:kern w:val="0"/>
        </w:rPr>
        <w:lastRenderedPageBreak/>
        <w:t>表2  日本厚生年金自1990年代起的主要財務修正歷程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4112"/>
        <w:gridCol w:w="4089"/>
      </w:tblGrid>
      <w:tr w:rsidR="002928A5" w:rsidRPr="002928A5" w:rsidTr="002928A5">
        <w:trPr>
          <w:trHeight w:val="431"/>
          <w:tblHeader/>
          <w:jc w:val="center"/>
        </w:trPr>
        <w:tc>
          <w:tcPr>
            <w:tcW w:w="1085" w:type="dxa"/>
            <w:shd w:val="clear" w:color="auto" w:fill="8064A2" w:themeFill="accent4"/>
            <w:vAlign w:val="center"/>
          </w:tcPr>
          <w:p w:rsidR="00381C80" w:rsidRPr="002928A5" w:rsidRDefault="00381C80" w:rsidP="00381C80">
            <w:pPr>
              <w:snapToGrid w:val="0"/>
              <w:spacing w:line="360" w:lineRule="exact"/>
              <w:contextualSpacing/>
              <w:jc w:val="center"/>
              <w:rPr>
                <w:rFonts w:ascii="微軟正黑體" w:eastAsia="微軟正黑體" w:hAnsi="微軟正黑體"/>
                <w:b/>
                <w:color w:val="FFFFFF" w:themeColor="background1"/>
                <w:sz w:val="22"/>
                <w:szCs w:val="22"/>
              </w:rPr>
            </w:pPr>
            <w:r w:rsidRPr="002928A5">
              <w:rPr>
                <w:rFonts w:ascii="微軟正黑體" w:eastAsia="微軟正黑體" w:hAnsi="微軟正黑體"/>
                <w:b/>
                <w:color w:val="FFFFFF" w:themeColor="background1"/>
                <w:sz w:val="22"/>
                <w:szCs w:val="22"/>
              </w:rPr>
              <w:t>年度</w:t>
            </w:r>
          </w:p>
        </w:tc>
        <w:tc>
          <w:tcPr>
            <w:tcW w:w="4112" w:type="dxa"/>
            <w:shd w:val="clear" w:color="auto" w:fill="8064A2" w:themeFill="accent4"/>
            <w:vAlign w:val="center"/>
          </w:tcPr>
          <w:p w:rsidR="00381C80" w:rsidRPr="002928A5" w:rsidRDefault="00381C80" w:rsidP="00381C80">
            <w:pPr>
              <w:snapToGrid w:val="0"/>
              <w:spacing w:line="360" w:lineRule="exact"/>
              <w:contextualSpacing/>
              <w:jc w:val="center"/>
              <w:rPr>
                <w:rFonts w:ascii="微軟正黑體" w:eastAsia="微軟正黑體" w:hAnsi="微軟正黑體"/>
                <w:b/>
                <w:color w:val="FFFFFF" w:themeColor="background1"/>
                <w:sz w:val="22"/>
                <w:szCs w:val="22"/>
              </w:rPr>
            </w:pPr>
            <w:r w:rsidRPr="002928A5">
              <w:rPr>
                <w:rFonts w:ascii="微軟正黑體" w:eastAsia="微軟正黑體" w:hAnsi="微軟正黑體"/>
                <w:b/>
                <w:color w:val="FFFFFF" w:themeColor="background1"/>
                <w:sz w:val="22"/>
                <w:szCs w:val="22"/>
              </w:rPr>
              <w:t>收入面修正</w:t>
            </w:r>
          </w:p>
        </w:tc>
        <w:tc>
          <w:tcPr>
            <w:tcW w:w="4089" w:type="dxa"/>
            <w:shd w:val="clear" w:color="auto" w:fill="8064A2" w:themeFill="accent4"/>
            <w:vAlign w:val="center"/>
          </w:tcPr>
          <w:p w:rsidR="00381C80" w:rsidRPr="002928A5" w:rsidRDefault="00381C80" w:rsidP="00381C80">
            <w:pPr>
              <w:snapToGrid w:val="0"/>
              <w:spacing w:line="360" w:lineRule="exact"/>
              <w:contextualSpacing/>
              <w:jc w:val="center"/>
              <w:rPr>
                <w:rFonts w:ascii="微軟正黑體" w:eastAsia="微軟正黑體" w:hAnsi="微軟正黑體"/>
                <w:b/>
                <w:color w:val="FFFFFF" w:themeColor="background1"/>
                <w:sz w:val="22"/>
                <w:szCs w:val="22"/>
              </w:rPr>
            </w:pPr>
            <w:r w:rsidRPr="002928A5">
              <w:rPr>
                <w:rFonts w:ascii="微軟正黑體" w:eastAsia="微軟正黑體" w:hAnsi="微軟正黑體"/>
                <w:b/>
                <w:color w:val="FFFFFF" w:themeColor="background1"/>
                <w:sz w:val="22"/>
                <w:szCs w:val="22"/>
              </w:rPr>
              <w:t>支出面修正</w:t>
            </w:r>
          </w:p>
        </w:tc>
      </w:tr>
      <w:tr w:rsidR="00381C80" w:rsidRPr="00EE4F46" w:rsidTr="002928A5">
        <w:trPr>
          <w:trHeight w:val="2440"/>
          <w:jc w:val="center"/>
        </w:trPr>
        <w:tc>
          <w:tcPr>
            <w:tcW w:w="1085" w:type="dxa"/>
            <w:shd w:val="clear" w:color="auto" w:fill="auto"/>
            <w:vAlign w:val="center"/>
          </w:tcPr>
          <w:p w:rsidR="00381C80" w:rsidRPr="000E2DB5" w:rsidRDefault="00381C80" w:rsidP="00381C80">
            <w:pPr>
              <w:snapToGrid w:val="0"/>
              <w:spacing w:line="360" w:lineRule="exact"/>
              <w:contextualSpacing/>
              <w:jc w:val="center"/>
              <w:rPr>
                <w:rFonts w:ascii="微軟正黑體" w:eastAsia="微軟正黑體" w:hAnsi="微軟正黑體"/>
                <w:sz w:val="22"/>
                <w:szCs w:val="22"/>
              </w:rPr>
            </w:pPr>
            <w:r w:rsidRPr="000E2DB5">
              <w:rPr>
                <w:rFonts w:ascii="微軟正黑體" w:eastAsia="微軟正黑體" w:hAnsi="微軟正黑體"/>
                <w:sz w:val="22"/>
                <w:szCs w:val="22"/>
              </w:rPr>
              <w:t>1994年</w:t>
            </w:r>
          </w:p>
        </w:tc>
        <w:tc>
          <w:tcPr>
            <w:tcW w:w="4112" w:type="dxa"/>
            <w:shd w:val="clear" w:color="auto" w:fill="auto"/>
            <w:vAlign w:val="center"/>
          </w:tcPr>
          <w:p w:rsidR="00381C80" w:rsidRPr="00EE4F46" w:rsidRDefault="00381C80" w:rsidP="00BD50E5">
            <w:pPr>
              <w:pStyle w:val="af0"/>
              <w:numPr>
                <w:ilvl w:val="0"/>
                <w:numId w:val="45"/>
              </w:numPr>
              <w:snapToGrid w:val="0"/>
              <w:spacing w:line="340" w:lineRule="exact"/>
              <w:ind w:leftChars="0" w:left="334" w:hanging="334"/>
              <w:contextualSpacing/>
              <w:jc w:val="both"/>
              <w:rPr>
                <w:rFonts w:ascii="微軟正黑體" w:eastAsia="微軟正黑體" w:hAnsi="微軟正黑體"/>
                <w:sz w:val="22"/>
              </w:rPr>
            </w:pPr>
            <w:r w:rsidRPr="00EE4F46">
              <w:rPr>
                <w:rFonts w:ascii="微軟正黑體" w:eastAsia="微軟正黑體" w:hAnsi="微軟正黑體"/>
                <w:sz w:val="22"/>
              </w:rPr>
              <w:t>規劃費率以每5年提高2.5%的方式，逐年提高到2025年的29.6%。</w:t>
            </w:r>
          </w:p>
          <w:p w:rsidR="00381C80" w:rsidRPr="00EE4F46" w:rsidRDefault="00381C80" w:rsidP="00BD50E5">
            <w:pPr>
              <w:pStyle w:val="af0"/>
              <w:numPr>
                <w:ilvl w:val="0"/>
                <w:numId w:val="45"/>
              </w:numPr>
              <w:snapToGrid w:val="0"/>
              <w:spacing w:line="340" w:lineRule="exact"/>
              <w:ind w:leftChars="0" w:left="334" w:hanging="334"/>
              <w:contextualSpacing/>
              <w:jc w:val="both"/>
              <w:rPr>
                <w:rFonts w:ascii="微軟正黑體" w:eastAsia="微軟正黑體" w:hAnsi="微軟正黑體"/>
                <w:sz w:val="22"/>
              </w:rPr>
            </w:pPr>
            <w:r w:rsidRPr="00EE4F46">
              <w:rPr>
                <w:rFonts w:ascii="微軟正黑體" w:eastAsia="微軟正黑體" w:hAnsi="微軟正黑體"/>
                <w:sz w:val="22"/>
              </w:rPr>
              <w:t>將年終獎金納入保險費的費基，並予以加徵1%的特別年金保費</w:t>
            </w:r>
            <w:r w:rsidRPr="00EE4F46">
              <w:rPr>
                <w:rFonts w:ascii="微軟正黑體" w:eastAsia="微軟正黑體" w:hAnsi="微軟正黑體" w:hint="eastAsia"/>
                <w:sz w:val="22"/>
              </w:rPr>
              <w:t>(</w:t>
            </w:r>
            <w:r w:rsidRPr="00EE4F46">
              <w:rPr>
                <w:rFonts w:ascii="微軟正黑體" w:eastAsia="微軟正黑體" w:hAnsi="微軟正黑體"/>
                <w:sz w:val="22"/>
              </w:rPr>
              <w:t>special pension premium</w:t>
            </w:r>
            <w:r w:rsidRPr="00EE4F46">
              <w:rPr>
                <w:rFonts w:ascii="微軟正黑體" w:eastAsia="微軟正黑體" w:hAnsi="微軟正黑體" w:hint="eastAsia"/>
                <w:sz w:val="22"/>
              </w:rPr>
              <w:t>)</w:t>
            </w:r>
            <w:r w:rsidRPr="00EE4F46">
              <w:rPr>
                <w:rFonts w:ascii="微軟正黑體" w:eastAsia="微軟正黑體" w:hAnsi="微軟正黑體"/>
                <w:sz w:val="22"/>
              </w:rPr>
              <w:t>。</w:t>
            </w:r>
          </w:p>
          <w:p w:rsidR="00381C80" w:rsidRPr="00EE4F46" w:rsidRDefault="00381C80" w:rsidP="00BD50E5">
            <w:pPr>
              <w:pStyle w:val="af0"/>
              <w:numPr>
                <w:ilvl w:val="0"/>
                <w:numId w:val="45"/>
              </w:numPr>
              <w:snapToGrid w:val="0"/>
              <w:spacing w:line="340" w:lineRule="exact"/>
              <w:ind w:leftChars="0" w:left="334" w:hanging="334"/>
              <w:contextualSpacing/>
              <w:jc w:val="both"/>
              <w:rPr>
                <w:rFonts w:ascii="微軟正黑體" w:eastAsia="微軟正黑體" w:hAnsi="微軟正黑體"/>
                <w:sz w:val="22"/>
              </w:rPr>
            </w:pPr>
            <w:r w:rsidRPr="00EE4F46">
              <w:rPr>
                <w:rFonts w:ascii="微軟正黑體" w:eastAsia="微軟正黑體" w:hAnsi="微軟正黑體"/>
                <w:sz w:val="22"/>
              </w:rPr>
              <w:t>豁免被保險人在育嬰假期間的保險費。</w:t>
            </w:r>
          </w:p>
        </w:tc>
        <w:tc>
          <w:tcPr>
            <w:tcW w:w="4089" w:type="dxa"/>
            <w:shd w:val="clear" w:color="auto" w:fill="auto"/>
          </w:tcPr>
          <w:p w:rsidR="00381C80" w:rsidRPr="00EE4F46" w:rsidRDefault="00381C80" w:rsidP="00BD50E5">
            <w:pPr>
              <w:pStyle w:val="af0"/>
              <w:numPr>
                <w:ilvl w:val="0"/>
                <w:numId w:val="46"/>
              </w:numPr>
              <w:snapToGrid w:val="0"/>
              <w:spacing w:line="340" w:lineRule="exact"/>
              <w:ind w:leftChars="0" w:left="336" w:hanging="336"/>
              <w:contextualSpacing/>
              <w:jc w:val="both"/>
              <w:rPr>
                <w:rFonts w:ascii="微軟正黑體" w:eastAsia="微軟正黑體" w:hAnsi="微軟正黑體"/>
                <w:sz w:val="22"/>
              </w:rPr>
            </w:pPr>
            <w:r w:rsidRPr="00EE4F46">
              <w:rPr>
                <w:rFonts w:ascii="微軟正黑體" w:eastAsia="微軟正黑體" w:hAnsi="微軟正黑體"/>
                <w:sz w:val="22"/>
              </w:rPr>
              <w:t>自2001年起，以每3年提高1歲，將男性全額年金請領年齡從60歲逐漸提高到65歲，女性則自2006年開始實施。</w:t>
            </w:r>
          </w:p>
          <w:p w:rsidR="00381C80" w:rsidRPr="00EE4F46" w:rsidRDefault="00381C80" w:rsidP="00BD50E5">
            <w:pPr>
              <w:pStyle w:val="af0"/>
              <w:numPr>
                <w:ilvl w:val="0"/>
                <w:numId w:val="46"/>
              </w:numPr>
              <w:snapToGrid w:val="0"/>
              <w:spacing w:line="340" w:lineRule="exact"/>
              <w:ind w:leftChars="0" w:left="336" w:hanging="336"/>
              <w:contextualSpacing/>
              <w:jc w:val="both"/>
              <w:rPr>
                <w:rFonts w:ascii="微軟正黑體" w:eastAsia="微軟正黑體" w:hAnsi="微軟正黑體"/>
                <w:sz w:val="22"/>
              </w:rPr>
            </w:pPr>
            <w:r w:rsidRPr="00EE4F46">
              <w:rPr>
                <w:rFonts w:ascii="微軟正黑體" w:eastAsia="微軟正黑體" w:hAnsi="微軟正黑體"/>
                <w:sz w:val="22"/>
              </w:rPr>
              <w:t>年金給付調整的薪資指數，從依據總薪資成長率修正為依淨薪資成長率。</w:t>
            </w:r>
          </w:p>
        </w:tc>
      </w:tr>
      <w:tr w:rsidR="00381C80" w:rsidRPr="00EE4F46" w:rsidTr="002928A5">
        <w:trPr>
          <w:trHeight w:val="3112"/>
          <w:jc w:val="center"/>
        </w:trPr>
        <w:tc>
          <w:tcPr>
            <w:tcW w:w="1085" w:type="dxa"/>
            <w:shd w:val="clear" w:color="auto" w:fill="auto"/>
            <w:vAlign w:val="center"/>
          </w:tcPr>
          <w:p w:rsidR="00381C80" w:rsidRPr="000E2DB5" w:rsidRDefault="00381C80" w:rsidP="00381C80">
            <w:pPr>
              <w:snapToGrid w:val="0"/>
              <w:spacing w:line="360" w:lineRule="exact"/>
              <w:contextualSpacing/>
              <w:jc w:val="center"/>
              <w:rPr>
                <w:rFonts w:ascii="微軟正黑體" w:eastAsia="微軟正黑體" w:hAnsi="微軟正黑體"/>
                <w:sz w:val="22"/>
                <w:szCs w:val="22"/>
              </w:rPr>
            </w:pPr>
            <w:r w:rsidRPr="000E2DB5">
              <w:rPr>
                <w:rFonts w:ascii="微軟正黑體" w:eastAsia="微軟正黑體" w:hAnsi="微軟正黑體"/>
                <w:sz w:val="22"/>
                <w:szCs w:val="22"/>
              </w:rPr>
              <w:t>2000年</w:t>
            </w:r>
          </w:p>
        </w:tc>
        <w:tc>
          <w:tcPr>
            <w:tcW w:w="4112" w:type="dxa"/>
            <w:shd w:val="clear" w:color="auto" w:fill="auto"/>
          </w:tcPr>
          <w:p w:rsidR="00381C80" w:rsidRPr="00EE4F46" w:rsidRDefault="00381C80" w:rsidP="00BD50E5">
            <w:pPr>
              <w:pStyle w:val="af0"/>
              <w:numPr>
                <w:ilvl w:val="0"/>
                <w:numId w:val="47"/>
              </w:numPr>
              <w:snapToGrid w:val="0"/>
              <w:spacing w:line="340" w:lineRule="exact"/>
              <w:ind w:leftChars="0" w:left="334" w:hanging="334"/>
              <w:contextualSpacing/>
              <w:jc w:val="both"/>
              <w:rPr>
                <w:rFonts w:ascii="微軟正黑體" w:eastAsia="微軟正黑體" w:hAnsi="微軟正黑體"/>
                <w:sz w:val="22"/>
              </w:rPr>
            </w:pPr>
            <w:r w:rsidRPr="00EE4F46">
              <w:rPr>
                <w:rFonts w:ascii="微軟正黑體" w:eastAsia="微軟正黑體" w:hAnsi="微軟正黑體"/>
                <w:sz w:val="22"/>
              </w:rPr>
              <w:t>自2002年4月起，65歲至69歲的在職受</w:t>
            </w:r>
            <w:r w:rsidRPr="00D51F7A">
              <w:rPr>
                <w:rFonts w:ascii="微軟正黑體" w:eastAsia="微軟正黑體" w:hAnsi="微軟正黑體" w:hint="eastAsia"/>
                <w:sz w:val="22"/>
              </w:rPr>
              <w:t>僱</w:t>
            </w:r>
            <w:r w:rsidRPr="00EE4F46">
              <w:rPr>
                <w:rFonts w:ascii="微軟正黑體" w:eastAsia="微軟正黑體" w:hAnsi="微軟正黑體"/>
                <w:sz w:val="22"/>
              </w:rPr>
              <w:t>者，仍需繳交厚生年金保險費，且月薪資與厚生年金給付額若超過每月37</w:t>
            </w:r>
            <w:r w:rsidRPr="00D51F7A">
              <w:rPr>
                <w:rFonts w:ascii="微軟正黑體" w:eastAsia="微軟正黑體" w:hAnsi="微軟正黑體" w:hint="eastAsia"/>
                <w:sz w:val="22"/>
              </w:rPr>
              <w:t>萬</w:t>
            </w:r>
            <w:r w:rsidRPr="00EE4F46">
              <w:rPr>
                <w:rFonts w:ascii="微軟正黑體" w:eastAsia="微軟正黑體" w:hAnsi="微軟正黑體"/>
                <w:sz w:val="22"/>
              </w:rPr>
              <w:t>日圓，超額部</w:t>
            </w:r>
            <w:r w:rsidRPr="00D51F7A">
              <w:rPr>
                <w:rFonts w:ascii="微軟正黑體" w:eastAsia="微軟正黑體" w:hAnsi="微軟正黑體" w:hint="eastAsia"/>
                <w:sz w:val="22"/>
              </w:rPr>
              <w:t>分</w:t>
            </w:r>
            <w:r w:rsidRPr="00EE4F46">
              <w:rPr>
                <w:rFonts w:ascii="微軟正黑體" w:eastAsia="微軟正黑體" w:hAnsi="微軟正黑體"/>
                <w:sz w:val="22"/>
              </w:rPr>
              <w:t>的厚生年金僅能領取半數。</w:t>
            </w:r>
          </w:p>
          <w:p w:rsidR="00381C80" w:rsidRPr="00EE4F46" w:rsidRDefault="00381C80" w:rsidP="00BD50E5">
            <w:pPr>
              <w:pStyle w:val="af0"/>
              <w:numPr>
                <w:ilvl w:val="0"/>
                <w:numId w:val="47"/>
              </w:numPr>
              <w:snapToGrid w:val="0"/>
              <w:spacing w:line="340" w:lineRule="exact"/>
              <w:ind w:leftChars="0" w:left="334" w:hanging="334"/>
              <w:contextualSpacing/>
              <w:jc w:val="both"/>
              <w:rPr>
                <w:rFonts w:ascii="微軟正黑體" w:eastAsia="微軟正黑體" w:hAnsi="微軟正黑體"/>
                <w:sz w:val="22"/>
              </w:rPr>
            </w:pPr>
            <w:r w:rsidRPr="00EE4F46">
              <w:rPr>
                <w:rFonts w:ascii="微軟正黑體" w:eastAsia="微軟正黑體" w:hAnsi="微軟正黑體"/>
                <w:sz w:val="22"/>
              </w:rPr>
              <w:t>厚生年金基金的資金配置權，從原本的財務省轉交給厚生勞動省，並轉由2001年4月成立的政府年金投資基金</w:t>
            </w:r>
            <w:r w:rsidRPr="00EE4F46">
              <w:rPr>
                <w:rFonts w:ascii="微軟正黑體" w:eastAsia="微軟正黑體" w:hAnsi="微軟正黑體" w:hint="eastAsia"/>
                <w:sz w:val="22"/>
              </w:rPr>
              <w:t>(</w:t>
            </w:r>
            <w:r w:rsidRPr="00EE4F46">
              <w:rPr>
                <w:rFonts w:ascii="微軟正黑體" w:eastAsia="微軟正黑體" w:hAnsi="微軟正黑體"/>
                <w:sz w:val="22"/>
              </w:rPr>
              <w:t>GPIF</w:t>
            </w:r>
            <w:r w:rsidRPr="00EE4F46">
              <w:rPr>
                <w:rFonts w:ascii="微軟正黑體" w:eastAsia="微軟正黑體" w:hAnsi="微軟正黑體" w:hint="eastAsia"/>
                <w:sz w:val="22"/>
              </w:rPr>
              <w:t>)</w:t>
            </w:r>
            <w:r w:rsidRPr="00EE4F46">
              <w:rPr>
                <w:rFonts w:ascii="微軟正黑體" w:eastAsia="微軟正黑體" w:hAnsi="微軟正黑體"/>
                <w:sz w:val="22"/>
              </w:rPr>
              <w:t xml:space="preserve">來負責管理運用。 </w:t>
            </w:r>
          </w:p>
        </w:tc>
        <w:tc>
          <w:tcPr>
            <w:tcW w:w="4089" w:type="dxa"/>
            <w:shd w:val="clear" w:color="auto" w:fill="auto"/>
          </w:tcPr>
          <w:p w:rsidR="00381C80" w:rsidRPr="00EE4F46" w:rsidRDefault="00381C80" w:rsidP="00BD50E5">
            <w:pPr>
              <w:pStyle w:val="af0"/>
              <w:numPr>
                <w:ilvl w:val="0"/>
                <w:numId w:val="48"/>
              </w:numPr>
              <w:snapToGrid w:val="0"/>
              <w:spacing w:line="340" w:lineRule="exact"/>
              <w:ind w:leftChars="0" w:left="332" w:hanging="332"/>
              <w:contextualSpacing/>
              <w:jc w:val="both"/>
              <w:rPr>
                <w:rFonts w:ascii="微軟正黑體" w:eastAsia="微軟正黑體" w:hAnsi="微軟正黑體"/>
                <w:sz w:val="22"/>
              </w:rPr>
            </w:pPr>
            <w:r w:rsidRPr="00EE4F46">
              <w:rPr>
                <w:rFonts w:ascii="微軟正黑體" w:eastAsia="微軟正黑體" w:hAnsi="微軟正黑體"/>
                <w:sz w:val="22"/>
              </w:rPr>
              <w:t>自2000年4月起，厚生年金計算給付所採用的置換率，從</w:t>
            </w:r>
            <w:r w:rsidRPr="00D51F7A">
              <w:rPr>
                <w:rFonts w:ascii="微軟正黑體" w:eastAsia="微軟正黑體" w:hAnsi="微軟正黑體"/>
                <w:sz w:val="22"/>
              </w:rPr>
              <w:t>7.5</w:t>
            </w:r>
            <w:r w:rsidRPr="00D51F7A">
              <w:rPr>
                <w:rFonts w:ascii="微軟正黑體" w:eastAsia="微軟正黑體" w:hAnsi="微軟正黑體" w:hint="eastAsia"/>
                <w:sz w:val="22"/>
              </w:rPr>
              <w:t>‰</w:t>
            </w:r>
            <w:r w:rsidRPr="00EE4F46">
              <w:rPr>
                <w:rFonts w:ascii="微軟正黑體" w:eastAsia="微軟正黑體" w:hAnsi="微軟正黑體"/>
                <w:sz w:val="22"/>
              </w:rPr>
              <w:t>調降為</w:t>
            </w:r>
            <w:r w:rsidRPr="00D51F7A">
              <w:rPr>
                <w:rFonts w:ascii="微軟正黑體" w:eastAsia="微軟正黑體" w:hAnsi="微軟正黑體"/>
                <w:sz w:val="22"/>
              </w:rPr>
              <w:t>7.2</w:t>
            </w:r>
            <w:r w:rsidRPr="00D51F7A">
              <w:rPr>
                <w:rFonts w:ascii="微軟正黑體" w:eastAsia="微軟正黑體" w:hAnsi="微軟正黑體" w:hint="eastAsia"/>
                <w:sz w:val="22"/>
              </w:rPr>
              <w:t>‰</w:t>
            </w:r>
            <w:r w:rsidRPr="00EE4F46">
              <w:rPr>
                <w:rFonts w:ascii="微軟正黑體" w:eastAsia="微軟正黑體" w:hAnsi="微軟正黑體"/>
                <w:sz w:val="22"/>
              </w:rPr>
              <w:t>。</w:t>
            </w:r>
          </w:p>
          <w:p w:rsidR="00381C80" w:rsidRPr="00EE4F46" w:rsidRDefault="00381C80" w:rsidP="00BD50E5">
            <w:pPr>
              <w:pStyle w:val="af0"/>
              <w:numPr>
                <w:ilvl w:val="0"/>
                <w:numId w:val="48"/>
              </w:numPr>
              <w:snapToGrid w:val="0"/>
              <w:spacing w:line="340" w:lineRule="exact"/>
              <w:ind w:leftChars="0" w:left="336" w:hanging="336"/>
              <w:contextualSpacing/>
              <w:jc w:val="both"/>
              <w:rPr>
                <w:rFonts w:ascii="微軟正黑體" w:eastAsia="微軟正黑體" w:hAnsi="微軟正黑體"/>
                <w:sz w:val="22"/>
              </w:rPr>
            </w:pPr>
            <w:r w:rsidRPr="00EE4F46">
              <w:rPr>
                <w:rFonts w:ascii="微軟正黑體" w:eastAsia="微軟正黑體" w:hAnsi="微軟正黑體"/>
                <w:sz w:val="22"/>
              </w:rPr>
              <w:t>厚生年金的給付調整依據，原則上只與物價指數連動。</w:t>
            </w:r>
          </w:p>
          <w:p w:rsidR="00381C80" w:rsidRPr="00EE4F46" w:rsidRDefault="00381C80" w:rsidP="00BD50E5">
            <w:pPr>
              <w:pStyle w:val="af0"/>
              <w:numPr>
                <w:ilvl w:val="0"/>
                <w:numId w:val="48"/>
              </w:numPr>
              <w:snapToGrid w:val="0"/>
              <w:spacing w:line="340" w:lineRule="exact"/>
              <w:ind w:leftChars="0" w:left="336" w:hanging="336"/>
              <w:contextualSpacing/>
              <w:jc w:val="both"/>
              <w:rPr>
                <w:rFonts w:ascii="微軟正黑體" w:eastAsia="微軟正黑體" w:hAnsi="微軟正黑體"/>
                <w:sz w:val="22"/>
              </w:rPr>
            </w:pPr>
            <w:r w:rsidRPr="00EE4F46">
              <w:rPr>
                <w:rFonts w:ascii="微軟正黑體" w:eastAsia="微軟正黑體" w:hAnsi="微軟正黑體"/>
                <w:sz w:val="22"/>
              </w:rPr>
              <w:t>1994年所訂的全額年金合格請領年齡提高的時程，予以延後。男性預計自2013年到</w:t>
            </w:r>
            <w:r w:rsidRPr="000A7C8A">
              <w:rPr>
                <w:rFonts w:ascii="微軟正黑體" w:eastAsia="微軟正黑體" w:hAnsi="微軟正黑體"/>
                <w:sz w:val="22"/>
              </w:rPr>
              <w:t>2025</w:t>
            </w:r>
            <w:r w:rsidRPr="00EE4F46">
              <w:rPr>
                <w:rFonts w:ascii="微軟正黑體" w:eastAsia="微軟正黑體" w:hAnsi="微軟正黑體"/>
                <w:sz w:val="22"/>
              </w:rPr>
              <w:t>年間實施，女性則是在2018年至2030年間實施。</w:t>
            </w:r>
          </w:p>
        </w:tc>
      </w:tr>
      <w:tr w:rsidR="00381C80" w:rsidRPr="00EE4F46" w:rsidTr="002928A5">
        <w:trPr>
          <w:trHeight w:val="1413"/>
          <w:jc w:val="center"/>
        </w:trPr>
        <w:tc>
          <w:tcPr>
            <w:tcW w:w="1085" w:type="dxa"/>
            <w:shd w:val="clear" w:color="auto" w:fill="auto"/>
            <w:vAlign w:val="center"/>
          </w:tcPr>
          <w:p w:rsidR="00381C80" w:rsidRPr="000E2DB5" w:rsidRDefault="00381C80" w:rsidP="00381C80">
            <w:pPr>
              <w:snapToGrid w:val="0"/>
              <w:spacing w:line="360" w:lineRule="exact"/>
              <w:contextualSpacing/>
              <w:jc w:val="center"/>
              <w:rPr>
                <w:rFonts w:ascii="微軟正黑體" w:eastAsia="微軟正黑體" w:hAnsi="微軟正黑體"/>
                <w:sz w:val="22"/>
                <w:szCs w:val="22"/>
              </w:rPr>
            </w:pPr>
            <w:r w:rsidRPr="000E2DB5">
              <w:rPr>
                <w:rFonts w:ascii="微軟正黑體" w:eastAsia="微軟正黑體" w:hAnsi="微軟正黑體"/>
                <w:sz w:val="22"/>
                <w:szCs w:val="22"/>
              </w:rPr>
              <w:t>2004年</w:t>
            </w:r>
          </w:p>
        </w:tc>
        <w:tc>
          <w:tcPr>
            <w:tcW w:w="4112" w:type="dxa"/>
            <w:shd w:val="clear" w:color="auto" w:fill="auto"/>
            <w:vAlign w:val="center"/>
          </w:tcPr>
          <w:p w:rsidR="00381C80" w:rsidRPr="00EE4F46" w:rsidRDefault="00381C80" w:rsidP="00381C80">
            <w:pPr>
              <w:snapToGrid w:val="0"/>
              <w:spacing w:line="340" w:lineRule="exact"/>
              <w:contextualSpacing/>
              <w:jc w:val="both"/>
              <w:rPr>
                <w:rFonts w:ascii="微軟正黑體" w:eastAsia="微軟正黑體" w:hAnsi="微軟正黑體"/>
                <w:sz w:val="22"/>
                <w:szCs w:val="22"/>
              </w:rPr>
            </w:pPr>
            <w:r w:rsidRPr="00EE4F46">
              <w:rPr>
                <w:rFonts w:ascii="微軟正黑體" w:eastAsia="微軟正黑體" w:hAnsi="微軟正黑體"/>
                <w:sz w:val="22"/>
                <w:szCs w:val="22"/>
              </w:rPr>
              <w:t>保險費率自2004年10月起，以每年0.354％的成長速度逐年調升，直至2017年達到18.3％為止，並自2017年後固定維持此費率。</w:t>
            </w:r>
          </w:p>
        </w:tc>
        <w:tc>
          <w:tcPr>
            <w:tcW w:w="4089" w:type="dxa"/>
            <w:shd w:val="clear" w:color="auto" w:fill="auto"/>
          </w:tcPr>
          <w:p w:rsidR="00381C80" w:rsidRPr="00EE4F46" w:rsidRDefault="00381C80" w:rsidP="00381C80">
            <w:pPr>
              <w:snapToGrid w:val="0"/>
              <w:spacing w:line="340" w:lineRule="exact"/>
              <w:contextualSpacing/>
              <w:jc w:val="both"/>
              <w:rPr>
                <w:rFonts w:ascii="微軟正黑體" w:eastAsia="微軟正黑體" w:hAnsi="微軟正黑體"/>
                <w:sz w:val="22"/>
                <w:szCs w:val="22"/>
              </w:rPr>
            </w:pPr>
            <w:r w:rsidRPr="00EE4F46">
              <w:rPr>
                <w:rFonts w:ascii="微軟正黑體" w:eastAsia="微軟正黑體" w:hAnsi="微軟正黑體"/>
                <w:sz w:val="22"/>
                <w:szCs w:val="22"/>
              </w:rPr>
              <w:t>導入給付的「指數調整」機制，讓給付在保費收入的範圍內，併同考量未來少子化及高齡化的趨勢來做適度的調整。</w:t>
            </w:r>
          </w:p>
        </w:tc>
      </w:tr>
      <w:tr w:rsidR="00381C80" w:rsidRPr="00EE4F46" w:rsidTr="002928A5">
        <w:trPr>
          <w:trHeight w:val="3107"/>
          <w:jc w:val="center"/>
        </w:trPr>
        <w:tc>
          <w:tcPr>
            <w:tcW w:w="1085" w:type="dxa"/>
            <w:shd w:val="clear" w:color="auto" w:fill="auto"/>
            <w:vAlign w:val="center"/>
          </w:tcPr>
          <w:p w:rsidR="00381C80" w:rsidRPr="000E2DB5" w:rsidRDefault="00381C80" w:rsidP="00381C80">
            <w:pPr>
              <w:snapToGrid w:val="0"/>
              <w:spacing w:line="360" w:lineRule="exact"/>
              <w:contextualSpacing/>
              <w:jc w:val="center"/>
              <w:rPr>
                <w:rFonts w:ascii="微軟正黑體" w:eastAsia="微軟正黑體" w:hAnsi="微軟正黑體"/>
                <w:sz w:val="22"/>
                <w:szCs w:val="22"/>
              </w:rPr>
            </w:pPr>
            <w:r w:rsidRPr="000E2DB5">
              <w:rPr>
                <w:rFonts w:ascii="微軟正黑體" w:eastAsia="微軟正黑體" w:hAnsi="微軟正黑體"/>
                <w:sz w:val="22"/>
                <w:szCs w:val="22"/>
              </w:rPr>
              <w:t>2012年</w:t>
            </w:r>
          </w:p>
        </w:tc>
        <w:tc>
          <w:tcPr>
            <w:tcW w:w="4112" w:type="dxa"/>
            <w:shd w:val="clear" w:color="auto" w:fill="auto"/>
            <w:vAlign w:val="center"/>
          </w:tcPr>
          <w:p w:rsidR="00381C80" w:rsidRPr="00EE4F46" w:rsidRDefault="00381C80" w:rsidP="00BD50E5">
            <w:pPr>
              <w:pStyle w:val="af0"/>
              <w:numPr>
                <w:ilvl w:val="0"/>
                <w:numId w:val="49"/>
              </w:numPr>
              <w:snapToGrid w:val="0"/>
              <w:spacing w:line="340" w:lineRule="exact"/>
              <w:ind w:leftChars="0" w:left="333" w:hanging="333"/>
              <w:contextualSpacing/>
              <w:jc w:val="both"/>
              <w:rPr>
                <w:rFonts w:ascii="微軟正黑體" w:eastAsia="微軟正黑體" w:hAnsi="微軟正黑體"/>
                <w:sz w:val="22"/>
              </w:rPr>
            </w:pPr>
            <w:r w:rsidRPr="00EE4F46">
              <w:rPr>
                <w:rFonts w:ascii="微軟正黑體" w:eastAsia="微軟正黑體" w:hAnsi="微軟正黑體"/>
                <w:sz w:val="22"/>
              </w:rPr>
              <w:t>自2014年4月起，消費稅從5%提高到8%。提高消費稅所增加的財源，將全部運用融通社會保險的支出。</w:t>
            </w:r>
          </w:p>
          <w:p w:rsidR="00381C80" w:rsidRPr="00EE4F46" w:rsidRDefault="00381C80" w:rsidP="00BD50E5">
            <w:pPr>
              <w:pStyle w:val="af0"/>
              <w:numPr>
                <w:ilvl w:val="0"/>
                <w:numId w:val="49"/>
              </w:numPr>
              <w:snapToGrid w:val="0"/>
              <w:spacing w:line="340" w:lineRule="exact"/>
              <w:ind w:leftChars="0" w:left="333" w:hanging="333"/>
              <w:contextualSpacing/>
              <w:jc w:val="both"/>
              <w:rPr>
                <w:rFonts w:ascii="微軟正黑體" w:eastAsia="微軟正黑體" w:hAnsi="微軟正黑體"/>
                <w:sz w:val="22"/>
              </w:rPr>
            </w:pPr>
            <w:r w:rsidRPr="00EE4F46">
              <w:rPr>
                <w:rFonts w:ascii="微軟正黑體" w:eastAsia="微軟正黑體" w:hAnsi="微軟正黑體"/>
                <w:sz w:val="22"/>
              </w:rPr>
              <w:t>自2016年10月起，厚生年金被保險人資格，在符合法定的企業規模、月薪條件及合約期間下，從原本的每週</w:t>
            </w:r>
            <w:r w:rsidRPr="00BC1914">
              <w:rPr>
                <w:rFonts w:ascii="微軟正黑體" w:eastAsia="微軟正黑體" w:hAnsi="微軟正黑體"/>
                <w:spacing w:val="-6"/>
                <w:sz w:val="22"/>
              </w:rPr>
              <w:t>工時至少30小時，降低為至少20小時</w:t>
            </w:r>
            <w:r w:rsidRPr="00EE4F46">
              <w:rPr>
                <w:rFonts w:ascii="微軟正黑體" w:eastAsia="微軟正黑體" w:hAnsi="微軟正黑體"/>
                <w:sz w:val="22"/>
              </w:rPr>
              <w:t>。</w:t>
            </w:r>
          </w:p>
          <w:p w:rsidR="00381C80" w:rsidRPr="00EE4F46" w:rsidRDefault="00381C80" w:rsidP="00BD50E5">
            <w:pPr>
              <w:pStyle w:val="af0"/>
              <w:numPr>
                <w:ilvl w:val="0"/>
                <w:numId w:val="49"/>
              </w:numPr>
              <w:snapToGrid w:val="0"/>
              <w:spacing w:line="340" w:lineRule="exact"/>
              <w:ind w:leftChars="0" w:left="333" w:hanging="333"/>
              <w:contextualSpacing/>
              <w:jc w:val="both"/>
              <w:rPr>
                <w:rFonts w:ascii="微軟正黑體" w:eastAsia="微軟正黑體" w:hAnsi="微軟正黑體"/>
                <w:sz w:val="22"/>
              </w:rPr>
            </w:pPr>
            <w:r w:rsidRPr="00EE4F46">
              <w:rPr>
                <w:rFonts w:ascii="微軟正黑體" w:eastAsia="微軟正黑體" w:hAnsi="微軟正黑體"/>
                <w:sz w:val="22"/>
              </w:rPr>
              <w:t>將女性生產假期間，列為被保險人與雇主的豁免保費期間。</w:t>
            </w:r>
          </w:p>
        </w:tc>
        <w:tc>
          <w:tcPr>
            <w:tcW w:w="4089" w:type="dxa"/>
            <w:shd w:val="clear" w:color="auto" w:fill="auto"/>
          </w:tcPr>
          <w:p w:rsidR="00381C80" w:rsidRPr="00EE4F46" w:rsidRDefault="00381C80" w:rsidP="00381C80">
            <w:pPr>
              <w:snapToGrid w:val="0"/>
              <w:spacing w:line="340" w:lineRule="exact"/>
              <w:contextualSpacing/>
              <w:jc w:val="both"/>
              <w:rPr>
                <w:rFonts w:ascii="微軟正黑體" w:eastAsia="微軟正黑體" w:hAnsi="微軟正黑體"/>
                <w:sz w:val="22"/>
                <w:szCs w:val="22"/>
              </w:rPr>
            </w:pPr>
            <w:r w:rsidRPr="00EE4F46">
              <w:rPr>
                <w:rFonts w:ascii="微軟正黑體" w:eastAsia="微軟正黑體" w:hAnsi="微軟正黑體"/>
                <w:sz w:val="22"/>
                <w:szCs w:val="22"/>
              </w:rPr>
              <w:t>老年年金的合格請領年資從原本的25年，自2015年10月起縮短為10年。</w:t>
            </w:r>
          </w:p>
        </w:tc>
      </w:tr>
      <w:tr w:rsidR="00381C80" w:rsidRPr="00EE4F46" w:rsidTr="002928A5">
        <w:trPr>
          <w:trHeight w:val="841"/>
          <w:jc w:val="center"/>
        </w:trPr>
        <w:tc>
          <w:tcPr>
            <w:tcW w:w="1085" w:type="dxa"/>
            <w:shd w:val="clear" w:color="auto" w:fill="auto"/>
            <w:vAlign w:val="center"/>
          </w:tcPr>
          <w:p w:rsidR="00381C80" w:rsidRPr="000E2DB5" w:rsidRDefault="00381C80" w:rsidP="00381C80">
            <w:pPr>
              <w:snapToGrid w:val="0"/>
              <w:spacing w:line="360" w:lineRule="exact"/>
              <w:contextualSpacing/>
              <w:jc w:val="center"/>
              <w:rPr>
                <w:rFonts w:ascii="微軟正黑體" w:eastAsia="微軟正黑體" w:hAnsi="微軟正黑體"/>
                <w:sz w:val="22"/>
                <w:szCs w:val="22"/>
              </w:rPr>
            </w:pPr>
            <w:r w:rsidRPr="000E2DB5">
              <w:rPr>
                <w:rFonts w:ascii="微軟正黑體" w:eastAsia="微軟正黑體" w:hAnsi="微軟正黑體"/>
                <w:sz w:val="22"/>
                <w:szCs w:val="22"/>
              </w:rPr>
              <w:t>2015年</w:t>
            </w:r>
          </w:p>
        </w:tc>
        <w:tc>
          <w:tcPr>
            <w:tcW w:w="8201" w:type="dxa"/>
            <w:gridSpan w:val="2"/>
            <w:shd w:val="clear" w:color="auto" w:fill="auto"/>
            <w:vAlign w:val="center"/>
          </w:tcPr>
          <w:p w:rsidR="00381C80" w:rsidRPr="00EE4F46" w:rsidRDefault="00381C80" w:rsidP="00381C80">
            <w:pPr>
              <w:snapToGrid w:val="0"/>
              <w:spacing w:line="340" w:lineRule="exact"/>
              <w:contextualSpacing/>
              <w:jc w:val="both"/>
              <w:rPr>
                <w:rFonts w:ascii="微軟正黑體" w:eastAsia="微軟正黑體" w:hAnsi="微軟正黑體"/>
                <w:sz w:val="22"/>
                <w:szCs w:val="22"/>
              </w:rPr>
            </w:pPr>
            <w:r w:rsidRPr="00EE4F46">
              <w:rPr>
                <w:rFonts w:ascii="微軟正黑體" w:eastAsia="微軟正黑體" w:hAnsi="微軟正黑體"/>
                <w:color w:val="000000"/>
                <w:kern w:val="0"/>
                <w:sz w:val="22"/>
                <w:szCs w:val="22"/>
              </w:rPr>
              <w:t>中央及地方公務員的共濟組合，自2015年10月起，與厚生年金做結合，並廢止原本屬於公務人員的第三層年金。</w:t>
            </w:r>
          </w:p>
        </w:tc>
      </w:tr>
      <w:tr w:rsidR="00381C80" w:rsidRPr="00EE4F46" w:rsidTr="002928A5">
        <w:trPr>
          <w:trHeight w:val="1120"/>
          <w:jc w:val="center"/>
        </w:trPr>
        <w:tc>
          <w:tcPr>
            <w:tcW w:w="1085" w:type="dxa"/>
            <w:shd w:val="clear" w:color="auto" w:fill="auto"/>
            <w:vAlign w:val="center"/>
          </w:tcPr>
          <w:p w:rsidR="00381C80" w:rsidRPr="000E2DB5" w:rsidRDefault="00381C80" w:rsidP="00381C80">
            <w:pPr>
              <w:snapToGrid w:val="0"/>
              <w:spacing w:line="360" w:lineRule="exact"/>
              <w:contextualSpacing/>
              <w:jc w:val="center"/>
              <w:rPr>
                <w:rFonts w:ascii="微軟正黑體" w:eastAsia="微軟正黑體" w:hAnsi="微軟正黑體"/>
                <w:sz w:val="22"/>
                <w:szCs w:val="22"/>
              </w:rPr>
            </w:pPr>
            <w:r w:rsidRPr="000E2DB5">
              <w:rPr>
                <w:rFonts w:ascii="微軟正黑體" w:eastAsia="微軟正黑體" w:hAnsi="微軟正黑體"/>
                <w:sz w:val="22"/>
                <w:szCs w:val="22"/>
              </w:rPr>
              <w:t>2019年</w:t>
            </w:r>
          </w:p>
        </w:tc>
        <w:tc>
          <w:tcPr>
            <w:tcW w:w="4112" w:type="dxa"/>
            <w:shd w:val="clear" w:color="auto" w:fill="auto"/>
            <w:vAlign w:val="center"/>
          </w:tcPr>
          <w:p w:rsidR="00381C80" w:rsidRPr="00EE4F46" w:rsidRDefault="00381C80" w:rsidP="00381C80">
            <w:pPr>
              <w:snapToGrid w:val="0"/>
              <w:spacing w:line="340" w:lineRule="exact"/>
              <w:contextualSpacing/>
              <w:jc w:val="both"/>
              <w:rPr>
                <w:rFonts w:ascii="微軟正黑體" w:eastAsia="微軟正黑體" w:hAnsi="微軟正黑體"/>
                <w:spacing w:val="-4"/>
                <w:sz w:val="22"/>
                <w:szCs w:val="22"/>
              </w:rPr>
            </w:pPr>
            <w:r w:rsidRPr="00EE4F46">
              <w:rPr>
                <w:rFonts w:ascii="微軟正黑體" w:eastAsia="微軟正黑體" w:hAnsi="微軟正黑體"/>
                <w:spacing w:val="-4"/>
                <w:sz w:val="22"/>
                <w:szCs w:val="22"/>
              </w:rPr>
              <w:t>自</w:t>
            </w:r>
            <w:r w:rsidRPr="00D51F7A">
              <w:rPr>
                <w:rFonts w:ascii="微軟正黑體" w:eastAsia="微軟正黑體" w:hAnsi="微軟正黑體"/>
                <w:spacing w:val="-4"/>
                <w:sz w:val="22"/>
                <w:szCs w:val="22"/>
              </w:rPr>
              <w:t>2019</w:t>
            </w:r>
            <w:r w:rsidRPr="00EE4F46">
              <w:rPr>
                <w:rFonts w:ascii="微軟正黑體" w:eastAsia="微軟正黑體" w:hAnsi="微軟正黑體"/>
                <w:spacing w:val="-4"/>
                <w:sz w:val="22"/>
                <w:szCs w:val="22"/>
              </w:rPr>
              <w:t>年10月起，消費稅從8%提高到10%。提高消費稅所增加的財源，將全部運用在融通社會保險的支出。</w:t>
            </w:r>
          </w:p>
        </w:tc>
        <w:tc>
          <w:tcPr>
            <w:tcW w:w="4089" w:type="dxa"/>
            <w:shd w:val="clear" w:color="auto" w:fill="auto"/>
            <w:vAlign w:val="center"/>
          </w:tcPr>
          <w:p w:rsidR="00381C80" w:rsidRPr="00EE4F46" w:rsidRDefault="00381C80" w:rsidP="00381C80">
            <w:pPr>
              <w:snapToGrid w:val="0"/>
              <w:spacing w:line="340" w:lineRule="exact"/>
              <w:contextualSpacing/>
              <w:jc w:val="center"/>
              <w:rPr>
                <w:rFonts w:ascii="微軟正黑體" w:eastAsia="微軟正黑體" w:hAnsi="微軟正黑體"/>
                <w:sz w:val="22"/>
                <w:szCs w:val="22"/>
                <w:highlight w:val="yellow"/>
              </w:rPr>
            </w:pPr>
            <w:r w:rsidRPr="00D51F7A">
              <w:rPr>
                <w:rFonts w:ascii="微軟正黑體" w:eastAsia="微軟正黑體" w:hAnsi="微軟正黑體"/>
                <w:sz w:val="22"/>
                <w:szCs w:val="22"/>
              </w:rPr>
              <w:t>------</w:t>
            </w:r>
          </w:p>
        </w:tc>
      </w:tr>
    </w:tbl>
    <w:p w:rsidR="00381C80" w:rsidRDefault="00381C80" w:rsidP="00381C80">
      <w:pPr>
        <w:spacing w:beforeLines="30" w:before="108" w:line="240" w:lineRule="exact"/>
        <w:ind w:left="1000" w:hangingChars="500" w:hanging="1000"/>
        <w:rPr>
          <w:rFonts w:ascii="微軟正黑體" w:eastAsia="微軟正黑體" w:hAnsi="微軟正黑體"/>
          <w:sz w:val="20"/>
          <w:szCs w:val="20"/>
        </w:rPr>
      </w:pPr>
      <w:r w:rsidRPr="00B372F2">
        <w:rPr>
          <w:rFonts w:ascii="微軟正黑體" w:eastAsia="微軟正黑體" w:hAnsi="微軟正黑體"/>
          <w:sz w:val="20"/>
          <w:szCs w:val="20"/>
        </w:rPr>
        <w:t>參考資料</w:t>
      </w:r>
      <w:r>
        <w:rPr>
          <w:rFonts w:ascii="微軟正黑體" w:eastAsia="微軟正黑體" w:hAnsi="微軟正黑體" w:hint="eastAsia"/>
          <w:sz w:val="20"/>
          <w:szCs w:val="20"/>
        </w:rPr>
        <w:t>：</w:t>
      </w:r>
      <w:r w:rsidRPr="00B372F2">
        <w:rPr>
          <w:rFonts w:ascii="微軟正黑體" w:eastAsia="微軟正黑體" w:hAnsi="微軟正黑體"/>
          <w:sz w:val="20"/>
          <w:szCs w:val="20"/>
        </w:rPr>
        <w:t>整理自Ministry of Health, Labour and Welfare</w:t>
      </w:r>
      <w:r>
        <w:rPr>
          <w:rFonts w:ascii="微軟正黑體" w:eastAsia="微軟正黑體" w:hAnsi="微軟正黑體" w:hint="eastAsia"/>
          <w:sz w:val="20"/>
          <w:szCs w:val="20"/>
        </w:rPr>
        <w:t>(</w:t>
      </w:r>
      <w:r w:rsidRPr="00B372F2">
        <w:rPr>
          <w:rFonts w:ascii="微軟正黑體" w:eastAsia="微軟正黑體" w:hAnsi="微軟正黑體"/>
          <w:sz w:val="20"/>
          <w:szCs w:val="20"/>
        </w:rPr>
        <w:t>2011</w:t>
      </w:r>
      <w:r>
        <w:rPr>
          <w:rFonts w:ascii="微軟正黑體" w:eastAsia="微軟正黑體" w:hAnsi="微軟正黑體" w:hint="eastAsia"/>
          <w:sz w:val="20"/>
          <w:szCs w:val="20"/>
        </w:rPr>
        <w:t>)</w:t>
      </w:r>
      <w:r w:rsidRPr="00B372F2">
        <w:rPr>
          <w:rFonts w:ascii="微軟正黑體" w:eastAsia="微軟正黑體" w:hAnsi="微軟正黑體"/>
          <w:sz w:val="20"/>
          <w:szCs w:val="20"/>
        </w:rPr>
        <w:t>；Kashiwase, Nozaki, and Tokuoka</w:t>
      </w:r>
      <w:r>
        <w:rPr>
          <w:rFonts w:ascii="微軟正黑體" w:eastAsia="微軟正黑體" w:hAnsi="微軟正黑體" w:hint="eastAsia"/>
          <w:sz w:val="20"/>
          <w:szCs w:val="20"/>
        </w:rPr>
        <w:t>(</w:t>
      </w:r>
      <w:r w:rsidRPr="00B372F2">
        <w:rPr>
          <w:rFonts w:ascii="微軟正黑體" w:eastAsia="微軟正黑體" w:hAnsi="微軟正黑體"/>
          <w:sz w:val="20"/>
          <w:szCs w:val="20"/>
        </w:rPr>
        <w:t>2012</w:t>
      </w:r>
      <w:r>
        <w:rPr>
          <w:rFonts w:ascii="微軟正黑體" w:eastAsia="微軟正黑體" w:hAnsi="微軟正黑體" w:hint="eastAsia"/>
          <w:sz w:val="20"/>
          <w:szCs w:val="20"/>
        </w:rPr>
        <w:t>)</w:t>
      </w:r>
      <w:r w:rsidRPr="00B372F2">
        <w:rPr>
          <w:rFonts w:ascii="微軟正黑體" w:eastAsia="微軟正黑體" w:hAnsi="微軟正黑體"/>
          <w:sz w:val="20"/>
          <w:szCs w:val="20"/>
        </w:rPr>
        <w:t>。</w:t>
      </w:r>
    </w:p>
    <w:p w:rsidR="00381C80" w:rsidRDefault="00381C80" w:rsidP="00381C80">
      <w:pPr>
        <w:spacing w:beforeLines="30" w:before="108" w:line="240" w:lineRule="exact"/>
        <w:ind w:left="1000" w:hangingChars="500" w:hanging="1000"/>
        <w:rPr>
          <w:rFonts w:ascii="微軟正黑體" w:eastAsia="微軟正黑體" w:hAnsi="微軟正黑體"/>
          <w:sz w:val="20"/>
          <w:szCs w:val="20"/>
        </w:rPr>
      </w:pPr>
    </w:p>
    <w:p w:rsidR="00381C80" w:rsidRDefault="00381C80" w:rsidP="00381C80">
      <w:pPr>
        <w:spacing w:beforeLines="30" w:before="108" w:line="240" w:lineRule="exact"/>
        <w:ind w:left="1000" w:hangingChars="500" w:hanging="1000"/>
        <w:rPr>
          <w:rFonts w:ascii="微軟正黑體" w:eastAsia="微軟正黑體" w:hAnsi="微軟正黑體"/>
          <w:sz w:val="20"/>
          <w:szCs w:val="20"/>
        </w:rPr>
      </w:pPr>
    </w:p>
    <w:p w:rsidR="00381C80" w:rsidRPr="003624C2" w:rsidRDefault="00381C80" w:rsidP="00381C80">
      <w:pPr>
        <w:spacing w:line="400" w:lineRule="exact"/>
        <w:jc w:val="both"/>
        <w:rPr>
          <w:rFonts w:ascii="微軟正黑體" w:eastAsia="微軟正黑體" w:hAnsi="微軟正黑體"/>
          <w:kern w:val="0"/>
        </w:rPr>
      </w:pPr>
      <w:r>
        <w:rPr>
          <w:rFonts w:ascii="微軟正黑體" w:eastAsia="微軟正黑體" w:hAnsi="微軟正黑體" w:hint="eastAsia"/>
          <w:kern w:val="0"/>
        </w:rPr>
        <w:lastRenderedPageBreak/>
        <w:t xml:space="preserve">    </w:t>
      </w:r>
      <w:r w:rsidRPr="003624C2">
        <w:rPr>
          <w:rFonts w:ascii="微軟正黑體" w:eastAsia="微軟正黑體" w:hAnsi="微軟正黑體" w:hint="eastAsia"/>
          <w:kern w:val="0"/>
        </w:rPr>
        <w:t>從表2可看出，支出面除逐步延後全額年金的合格年齡及調降年金給付的定期調整因子之外，2004</w:t>
      </w:r>
      <w:r>
        <w:rPr>
          <w:rFonts w:ascii="微軟正黑體" w:eastAsia="微軟正黑體" w:hAnsi="微軟正黑體" w:hint="eastAsia"/>
          <w:kern w:val="0"/>
        </w:rPr>
        <w:t>年確立未來費率趨勢，配合導入年金給付的「指數調整(</w:t>
      </w:r>
      <w:r w:rsidRPr="003624C2">
        <w:rPr>
          <w:rFonts w:ascii="微軟正黑體" w:eastAsia="微軟正黑體" w:hAnsi="微軟正黑體" w:hint="eastAsia"/>
          <w:kern w:val="0"/>
        </w:rPr>
        <w:t>adjustment indexation</w:t>
      </w:r>
      <w:r>
        <w:rPr>
          <w:rFonts w:ascii="微軟正黑體" w:eastAsia="微軟正黑體" w:hAnsi="微軟正黑體" w:hint="eastAsia"/>
          <w:kern w:val="0"/>
        </w:rPr>
        <w:t>)</w:t>
      </w:r>
      <w:r w:rsidRPr="003624C2">
        <w:rPr>
          <w:rFonts w:ascii="微軟正黑體" w:eastAsia="微軟正黑體" w:hAnsi="微軟正黑體" w:hint="eastAsia"/>
          <w:kern w:val="0"/>
        </w:rPr>
        <w:t>」機制，讓給付</w:t>
      </w:r>
      <w:r>
        <w:rPr>
          <w:rFonts w:ascii="微軟正黑體" w:eastAsia="微軟正黑體" w:hAnsi="微軟正黑體" w:hint="eastAsia"/>
          <w:kern w:val="0"/>
        </w:rPr>
        <w:t>在保費收入的範圍內，併同未來少子化及高齡化的趨勢來做適度的調整(</w:t>
      </w:r>
      <w:r w:rsidRPr="003624C2">
        <w:rPr>
          <w:rFonts w:ascii="微軟正黑體" w:eastAsia="微軟正黑體" w:hAnsi="微軟正黑體" w:hint="eastAsia"/>
          <w:kern w:val="0"/>
        </w:rPr>
        <w:t>Nakashima, 2009；Ministry of Health, Labour and Welfare, 2011；Kashiwase et al., 2012</w:t>
      </w:r>
      <w:r>
        <w:rPr>
          <w:rFonts w:ascii="微軟正黑體" w:eastAsia="微軟正黑體" w:hAnsi="微軟正黑體" w:hint="eastAsia"/>
          <w:kern w:val="0"/>
        </w:rPr>
        <w:t>)</w:t>
      </w:r>
      <w:r w:rsidRPr="003624C2">
        <w:rPr>
          <w:rFonts w:ascii="微軟正黑體" w:eastAsia="微軟正黑體" w:hAnsi="微軟正黑體" w:hint="eastAsia"/>
          <w:kern w:val="0"/>
        </w:rPr>
        <w:t>。收入面則繼1991年將年終獎金納入費基，並在2000年要求較高齡受僱者仍需繳交保險費，2001</w:t>
      </w:r>
      <w:r>
        <w:rPr>
          <w:rFonts w:ascii="微軟正黑體" w:eastAsia="微軟正黑體" w:hAnsi="微軟正黑體" w:hint="eastAsia"/>
          <w:kern w:val="0"/>
        </w:rPr>
        <w:t>年進一步成立「(</w:t>
      </w:r>
      <w:r w:rsidRPr="00155BF3">
        <w:rPr>
          <w:rFonts w:ascii="微軟正黑體" w:eastAsia="微軟正黑體" w:hAnsi="微軟正黑體" w:hint="eastAsia"/>
          <w:kern w:val="0"/>
        </w:rPr>
        <w:t>日本</w:t>
      </w:r>
      <w:r>
        <w:rPr>
          <w:rFonts w:ascii="微軟正黑體" w:eastAsia="微軟正黑體" w:hAnsi="微軟正黑體" w:hint="eastAsia"/>
          <w:kern w:val="0"/>
        </w:rPr>
        <w:t>)</w:t>
      </w:r>
      <w:r w:rsidRPr="00155BF3">
        <w:rPr>
          <w:rFonts w:ascii="微軟正黑體" w:eastAsia="微軟正黑體" w:hAnsi="微軟正黑體" w:hint="eastAsia"/>
          <w:kern w:val="0"/>
        </w:rPr>
        <w:t>政府年金投資基金</w:t>
      </w:r>
      <w:r>
        <w:rPr>
          <w:rFonts w:ascii="微軟正黑體" w:eastAsia="微軟正黑體" w:hAnsi="微軟正黑體" w:hint="eastAsia"/>
          <w:kern w:val="0"/>
        </w:rPr>
        <w:t>(</w:t>
      </w:r>
      <w:r w:rsidRPr="003624C2">
        <w:rPr>
          <w:rFonts w:ascii="微軟正黑體" w:eastAsia="微軟正黑體" w:hAnsi="微軟正黑體" w:hint="eastAsia"/>
          <w:kern w:val="0"/>
        </w:rPr>
        <w:t>Government Pension Investment Fund, GPIF</w:t>
      </w:r>
      <w:r>
        <w:rPr>
          <w:rFonts w:ascii="微軟正黑體" w:eastAsia="微軟正黑體" w:hAnsi="微軟正黑體" w:hint="eastAsia"/>
          <w:kern w:val="0"/>
        </w:rPr>
        <w:t>)」</w:t>
      </w:r>
      <w:r w:rsidRPr="003624C2">
        <w:rPr>
          <w:rFonts w:ascii="微軟正黑體" w:eastAsia="微軟正黑體" w:hAnsi="微軟正黑體" w:hint="eastAsia"/>
          <w:kern w:val="0"/>
        </w:rPr>
        <w:t>，由厚生勞動省負責擬定投資計劃，並責成GPIF</w:t>
      </w:r>
      <w:r>
        <w:rPr>
          <w:rFonts w:ascii="微軟正黑體" w:eastAsia="微軟正黑體" w:hAnsi="微軟正黑體" w:hint="eastAsia"/>
          <w:kern w:val="0"/>
        </w:rPr>
        <w:t>負責退休基金的投資運用，將公共年金基金導向較積極的投資方向(</w:t>
      </w:r>
      <w:r w:rsidRPr="003624C2">
        <w:rPr>
          <w:rFonts w:ascii="微軟正黑體" w:eastAsia="微軟正黑體" w:hAnsi="微軟正黑體" w:hint="eastAsia"/>
          <w:kern w:val="0"/>
        </w:rPr>
        <w:t>Yashiro and Oshio, 1999；Sakamoto, 2005；Government Pension Investment Fund, 2020</w:t>
      </w:r>
      <w:r>
        <w:rPr>
          <w:rFonts w:ascii="微軟正黑體" w:eastAsia="微軟正黑體" w:hAnsi="微軟正黑體" w:hint="eastAsia"/>
          <w:kern w:val="0"/>
        </w:rPr>
        <w:t>)</w:t>
      </w:r>
      <w:r w:rsidRPr="003624C2">
        <w:rPr>
          <w:rFonts w:ascii="微軟正黑體" w:eastAsia="微軟正黑體" w:hAnsi="微軟正黑體" w:hint="eastAsia"/>
          <w:kern w:val="0"/>
        </w:rPr>
        <w:t>。</w:t>
      </w:r>
    </w:p>
    <w:p w:rsidR="00381C80" w:rsidRPr="005D0F88" w:rsidRDefault="00381C80" w:rsidP="00381C80">
      <w:pPr>
        <w:spacing w:beforeLines="30" w:before="108" w:line="400" w:lineRule="exact"/>
        <w:jc w:val="both"/>
        <w:rPr>
          <w:rFonts w:ascii="微軟正黑體" w:eastAsia="微軟正黑體" w:hAnsi="微軟正黑體"/>
          <w:kern w:val="0"/>
        </w:rPr>
      </w:pPr>
      <w:r w:rsidRPr="003624C2">
        <w:rPr>
          <w:rFonts w:ascii="微軟正黑體" w:eastAsia="微軟正黑體" w:hAnsi="微軟正黑體" w:hint="eastAsia"/>
          <w:kern w:val="0"/>
        </w:rPr>
        <w:t xml:space="preserve">    經歷前述擴大費基及強化對基金投資運用的修正後，收入面還是無法因應人口快速老化對保險費率所帶來的調漲壓力。因此，為了讓工作世代對未來年金保費負擔不再有不確定心理，同時避免年金費率會因短期社經事件的衝擊，屢屢變動，日本在2004年採行以</w:t>
      </w:r>
      <w:r w:rsidRPr="00B520B8">
        <w:rPr>
          <w:rFonts w:ascii="微軟正黑體" w:eastAsia="微軟正黑體" w:hAnsi="微軟正黑體" w:hint="eastAsia"/>
          <w:b/>
          <w:kern w:val="0"/>
        </w:rPr>
        <w:t>穩定費率為前提</w:t>
      </w:r>
      <w:r w:rsidRPr="003624C2">
        <w:rPr>
          <w:rFonts w:ascii="微軟正黑體" w:eastAsia="微軟正黑體" w:hAnsi="微軟正黑體" w:hint="eastAsia"/>
          <w:kern w:val="0"/>
        </w:rPr>
        <w:t>的收入面修正方式，規定全體公共年金必須針對</w:t>
      </w:r>
      <w:r w:rsidRPr="00B520B8">
        <w:rPr>
          <w:rFonts w:ascii="微軟正黑體" w:eastAsia="微軟正黑體" w:hAnsi="微軟正黑體" w:hint="eastAsia"/>
          <w:b/>
          <w:kern w:val="0"/>
        </w:rPr>
        <w:t>未來100年的費率調升情況予以明確列表</w:t>
      </w:r>
      <w:r w:rsidRPr="003624C2">
        <w:rPr>
          <w:rFonts w:ascii="微軟正黑體" w:eastAsia="微軟正黑體" w:hAnsi="微軟正黑體" w:hint="eastAsia"/>
          <w:kern w:val="0"/>
        </w:rPr>
        <w:t>。故厚生年金方面，費率自2004年10月起，以每年0.354％的成長速度逐年調升，直至2017年達到18.3％為止，並自2017年後固定維持此費率。其後，為了輔助費率穩定目標，除了透過階段性提高消費稅率以提升政府財政對全體社會保障制度的支應能力之外，為因應非典型工作型態的日益普及，2016年10月起，厚生年金被保險人資格，在符合特定條件下，從原本的每週工時至少30小時，降低為至少20小時。此外，中央及地方公務員的共濟組合，自2015年10月起，與厚生年金做結合並廢止原本屬於公務人員的第三層年金</w:t>
      </w:r>
      <w:r>
        <w:rPr>
          <w:rFonts w:ascii="微軟正黑體" w:eastAsia="微軟正黑體" w:hAnsi="微軟正黑體" w:hint="eastAsia"/>
          <w:kern w:val="0"/>
        </w:rPr>
        <w:t>(</w:t>
      </w:r>
      <w:r w:rsidRPr="003624C2">
        <w:rPr>
          <w:rFonts w:ascii="微軟正黑體" w:eastAsia="微軟正黑體" w:hAnsi="微軟正黑體" w:hint="eastAsia"/>
          <w:kern w:val="0"/>
        </w:rPr>
        <w:t>Nakashima, 2009；Ministry of Health, Labour and Welfare, 2011；Kashiwase et al., 2012</w:t>
      </w:r>
      <w:r>
        <w:rPr>
          <w:rFonts w:ascii="微軟正黑體" w:eastAsia="微軟正黑體" w:hAnsi="微軟正黑體" w:hint="eastAsia"/>
          <w:kern w:val="0"/>
        </w:rPr>
        <w:t>)</w:t>
      </w:r>
      <w:r w:rsidRPr="003624C2">
        <w:rPr>
          <w:rFonts w:ascii="微軟正黑體" w:eastAsia="微軟正黑體" w:hAnsi="微軟正黑體" w:hint="eastAsia"/>
          <w:kern w:val="0"/>
        </w:rPr>
        <w:t>。</w:t>
      </w:r>
    </w:p>
    <w:p w:rsidR="00381C80" w:rsidRPr="003624C2" w:rsidRDefault="00381C80" w:rsidP="00381C80">
      <w:pPr>
        <w:spacing w:beforeLines="30" w:before="108" w:line="400" w:lineRule="exact"/>
        <w:jc w:val="both"/>
        <w:rPr>
          <w:rFonts w:ascii="微軟正黑體" w:eastAsia="微軟正黑體" w:hAnsi="微軟正黑體"/>
          <w:kern w:val="0"/>
        </w:rPr>
      </w:pPr>
      <w:r w:rsidRPr="003624C2">
        <w:rPr>
          <w:rFonts w:ascii="微軟正黑體" w:eastAsia="微軟正黑體" w:hAnsi="微軟正黑體" w:hint="eastAsia"/>
          <w:kern w:val="0"/>
        </w:rPr>
        <w:t xml:space="preserve">    因為公務員共濟組合是2015年10月併入厚生年金，為求趨勢比較資料一致性，2015年後之資料，先排除公務員共濟組合，只採用私人企業受</w:t>
      </w:r>
      <w:r w:rsidRPr="00BC1914">
        <w:rPr>
          <w:rFonts w:ascii="微軟正黑體" w:eastAsia="微軟正黑體" w:hAnsi="微軟正黑體" w:hint="eastAsia"/>
        </w:rPr>
        <w:t>僱</w:t>
      </w:r>
      <w:r w:rsidRPr="003624C2">
        <w:rPr>
          <w:rFonts w:ascii="微軟正黑體" w:eastAsia="微軟正黑體" w:hAnsi="微軟正黑體" w:hint="eastAsia"/>
          <w:kern w:val="0"/>
        </w:rPr>
        <w:t>者為被保險人的部</w:t>
      </w:r>
      <w:r w:rsidRPr="00BC1914">
        <w:rPr>
          <w:rFonts w:ascii="微軟正黑體" w:eastAsia="微軟正黑體" w:hAnsi="微軟正黑體" w:hint="eastAsia"/>
          <w:kern w:val="0"/>
        </w:rPr>
        <w:t>分</w:t>
      </w:r>
      <w:r w:rsidRPr="003624C2">
        <w:rPr>
          <w:rFonts w:ascii="微軟正黑體" w:eastAsia="微軟正黑體" w:hAnsi="微軟正黑體" w:hint="eastAsia"/>
          <w:kern w:val="0"/>
        </w:rPr>
        <w:t>。在前述條件下，綜觀厚生年金在2010年到2019</w:t>
      </w:r>
      <w:r>
        <w:rPr>
          <w:rFonts w:ascii="微軟正黑體" w:eastAsia="微軟正黑體" w:hAnsi="微軟正黑體" w:hint="eastAsia"/>
          <w:kern w:val="0"/>
        </w:rPr>
        <w:t>年間不含投資收益的財務情況(</w:t>
      </w:r>
      <w:r w:rsidRPr="003624C2">
        <w:rPr>
          <w:rFonts w:ascii="微軟正黑體" w:eastAsia="微軟正黑體" w:hAnsi="微軟正黑體" w:hint="eastAsia"/>
          <w:kern w:val="0"/>
        </w:rPr>
        <w:t>見圖3</w:t>
      </w:r>
      <w:r>
        <w:rPr>
          <w:rFonts w:ascii="微軟正黑體" w:eastAsia="微軟正黑體" w:hAnsi="微軟正黑體" w:hint="eastAsia"/>
          <w:kern w:val="0"/>
        </w:rPr>
        <w:t>)</w:t>
      </w:r>
      <w:r w:rsidRPr="003624C2">
        <w:rPr>
          <w:rFonts w:ascii="微軟正黑體" w:eastAsia="微軟正黑體" w:hAnsi="微軟正黑體" w:hint="eastAsia"/>
          <w:kern w:val="0"/>
        </w:rPr>
        <w:t>，從各年度收支來看，僅有2015年到2018年尚有盈餘，其餘年度均入不敷出。若進一步觀察保險費收入跟年金給付的變動情況，人口老化趨勢依然明顯的背景下，2004年確立未來費率調升進程並導入年金給付的指數調整機制等措施，讓保險費收入持續成長。年金給付的成長幅度也不大，但在不慮及政府補助下，2004年的財務調整措施，直到2012年起方才讓當年度的保費收入足以因應年金給付支出。</w:t>
      </w:r>
    </w:p>
    <w:p w:rsidR="00381C80" w:rsidRDefault="00381C80" w:rsidP="00381C80">
      <w:pPr>
        <w:spacing w:beforeLines="30" w:before="108" w:line="400" w:lineRule="exact"/>
        <w:jc w:val="both"/>
        <w:rPr>
          <w:rFonts w:ascii="微軟正黑體" w:eastAsia="微軟正黑體" w:hAnsi="微軟正黑體"/>
          <w:kern w:val="0"/>
        </w:rPr>
      </w:pPr>
      <w:r w:rsidRPr="003624C2">
        <w:rPr>
          <w:rFonts w:ascii="微軟正黑體" w:eastAsia="微軟正黑體" w:hAnsi="微軟正黑體" w:hint="eastAsia"/>
          <w:kern w:val="0"/>
        </w:rPr>
        <w:t xml:space="preserve">    因此，費率的逐年調升及年金給付的指數調整因子，雖使厚生年金近期有若干年度財務維持盈餘，但在厚生年金對被保險人仍訂有最低給付保障的承諾下，人口老化壓力及國內勞動市場變數，仍考驗厚生年金的財務永續性。</w:t>
      </w: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Pr="00A967F3" w:rsidRDefault="00381C80" w:rsidP="00381C80">
      <w:pPr>
        <w:spacing w:beforeLines="30" w:before="108" w:line="400" w:lineRule="exact"/>
        <w:jc w:val="both"/>
        <w:rPr>
          <w:rFonts w:ascii="微軟正黑體" w:eastAsia="微軟正黑體" w:hAnsi="微軟正黑體"/>
          <w:kern w:val="0"/>
        </w:rPr>
      </w:pPr>
    </w:p>
    <w:p w:rsidR="00381C80" w:rsidRDefault="00381C80" w:rsidP="00381C80">
      <w:pPr>
        <w:spacing w:beforeLines="30" w:before="108" w:line="400" w:lineRule="exact"/>
        <w:jc w:val="both"/>
      </w:pPr>
      <w:r>
        <w:rPr>
          <w:noProof/>
        </w:rPr>
        <w:drawing>
          <wp:anchor distT="0" distB="0" distL="114300" distR="114300" simplePos="0" relativeHeight="252485632" behindDoc="0" locked="0" layoutInCell="1" allowOverlap="1" wp14:anchorId="20B20557" wp14:editId="68839041">
            <wp:simplePos x="0" y="0"/>
            <wp:positionH relativeFrom="column">
              <wp:posOffset>5715</wp:posOffset>
            </wp:positionH>
            <wp:positionV relativeFrom="paragraph">
              <wp:posOffset>45720</wp:posOffset>
            </wp:positionV>
            <wp:extent cx="5685155" cy="3028950"/>
            <wp:effectExtent l="0" t="0" r="0" b="0"/>
            <wp:wrapNone/>
            <wp:docPr id="21525" name="圖片 21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6"/>
                    <pic:cNvPicPr>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85155" cy="3028950"/>
                    </a:xfrm>
                    <a:prstGeom prst="rect">
                      <a:avLst/>
                    </a:prstGeom>
                    <a:noFill/>
                  </pic:spPr>
                </pic:pic>
              </a:graphicData>
            </a:graphic>
            <wp14:sizeRelH relativeFrom="page">
              <wp14:pctWidth>0</wp14:pctWidth>
            </wp14:sizeRelH>
            <wp14:sizeRelV relativeFrom="page">
              <wp14:pctHeight>0</wp14:pctHeight>
            </wp14:sizeRelV>
          </wp:anchor>
        </w:drawing>
      </w: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line="240" w:lineRule="exact"/>
        <w:jc w:val="both"/>
        <w:rPr>
          <w:rFonts w:ascii="微軟正黑體" w:eastAsia="微軟正黑體" w:hAnsi="微軟正黑體"/>
          <w:color w:val="000000"/>
          <w:sz w:val="20"/>
          <w:szCs w:val="20"/>
        </w:rPr>
      </w:pPr>
    </w:p>
    <w:p w:rsidR="00381C80" w:rsidRDefault="00381C80" w:rsidP="00381C80">
      <w:pPr>
        <w:spacing w:line="240" w:lineRule="exact"/>
        <w:jc w:val="both"/>
        <w:rPr>
          <w:rFonts w:ascii="微軟正黑體" w:eastAsia="微軟正黑體" w:hAnsi="微軟正黑體"/>
          <w:color w:val="000000"/>
          <w:sz w:val="20"/>
          <w:szCs w:val="20"/>
        </w:rPr>
      </w:pPr>
    </w:p>
    <w:p w:rsidR="00381C80" w:rsidRDefault="00381C80" w:rsidP="00381C80">
      <w:pPr>
        <w:spacing w:line="240" w:lineRule="exact"/>
        <w:jc w:val="both"/>
        <w:rPr>
          <w:rFonts w:ascii="微軟正黑體" w:eastAsia="微軟正黑體" w:hAnsi="微軟正黑體"/>
          <w:sz w:val="20"/>
          <w:szCs w:val="20"/>
        </w:rPr>
      </w:pPr>
      <w:r w:rsidRPr="009D58E3">
        <w:rPr>
          <w:rFonts w:ascii="微軟正黑體" w:eastAsia="微軟正黑體" w:hAnsi="微軟正黑體"/>
          <w:color w:val="000000"/>
          <w:sz w:val="20"/>
          <w:szCs w:val="20"/>
        </w:rPr>
        <w:t>資料來源</w:t>
      </w:r>
      <w:r w:rsidRPr="009D58E3">
        <w:rPr>
          <w:rFonts w:ascii="微軟正黑體" w:eastAsia="微軟正黑體" w:hAnsi="微軟正黑體" w:hint="eastAsia"/>
          <w:color w:val="000000"/>
          <w:sz w:val="20"/>
          <w:szCs w:val="20"/>
        </w:rPr>
        <w:t>：</w:t>
      </w:r>
      <w:r w:rsidRPr="009D58E3">
        <w:rPr>
          <w:rFonts w:ascii="微軟正黑體" w:eastAsia="微軟正黑體" w:hAnsi="微軟正黑體" w:hint="eastAsia"/>
          <w:sz w:val="20"/>
          <w:szCs w:val="20"/>
        </w:rPr>
        <w:t>厚生勞動省</w:t>
      </w:r>
      <w:r>
        <w:rPr>
          <w:rFonts w:ascii="微軟正黑體" w:eastAsia="微軟正黑體" w:hAnsi="微軟正黑體" w:hint="eastAsia"/>
          <w:sz w:val="20"/>
          <w:szCs w:val="20"/>
        </w:rPr>
        <w:t>(</w:t>
      </w:r>
      <w:r w:rsidRPr="009D58E3">
        <w:rPr>
          <w:rFonts w:ascii="微軟正黑體" w:eastAsia="微軟正黑體" w:hAnsi="微軟正黑體" w:hint="eastAsia"/>
          <w:sz w:val="20"/>
          <w:szCs w:val="20"/>
        </w:rPr>
        <w:t>20</w:t>
      </w:r>
      <w:r w:rsidRPr="009D58E3">
        <w:rPr>
          <w:rFonts w:ascii="微軟正黑體" w:eastAsia="微軟正黑體" w:hAnsi="微軟正黑體"/>
          <w:sz w:val="20"/>
          <w:szCs w:val="20"/>
        </w:rPr>
        <w:t>21a</w:t>
      </w:r>
      <w:r>
        <w:rPr>
          <w:rFonts w:ascii="微軟正黑體" w:eastAsia="微軟正黑體" w:hAnsi="微軟正黑體" w:hint="eastAsia"/>
          <w:sz w:val="20"/>
          <w:szCs w:val="20"/>
        </w:rPr>
        <w:t>)</w:t>
      </w:r>
      <w:r w:rsidRPr="009D58E3">
        <w:rPr>
          <w:rFonts w:ascii="微軟正黑體" w:eastAsia="微軟正黑體" w:hAnsi="微軟正黑體" w:hint="eastAsia"/>
          <w:sz w:val="20"/>
          <w:szCs w:val="20"/>
        </w:rPr>
        <w:t>。</w:t>
      </w:r>
    </w:p>
    <w:p w:rsidR="00381C80" w:rsidRPr="009D58E3" w:rsidRDefault="00381C80" w:rsidP="00381C80">
      <w:pPr>
        <w:spacing w:line="240" w:lineRule="exact"/>
        <w:jc w:val="both"/>
        <w:rPr>
          <w:rFonts w:ascii="微軟正黑體" w:eastAsia="微軟正黑體" w:hAnsi="微軟正黑體"/>
          <w:sz w:val="20"/>
          <w:szCs w:val="20"/>
        </w:rPr>
      </w:pPr>
    </w:p>
    <w:p w:rsidR="00381C80" w:rsidRPr="000E2DB5" w:rsidRDefault="00381C80" w:rsidP="00381C80">
      <w:pPr>
        <w:spacing w:line="400" w:lineRule="exact"/>
        <w:jc w:val="center"/>
        <w:rPr>
          <w:rFonts w:ascii="微軟正黑體" w:eastAsia="微軟正黑體" w:hAnsi="微軟正黑體"/>
          <w:color w:val="000000"/>
        </w:rPr>
      </w:pPr>
      <w:r w:rsidRPr="000E2DB5">
        <w:rPr>
          <w:rFonts w:ascii="微軟正黑體" w:eastAsia="微軟正黑體" w:hAnsi="微軟正黑體"/>
          <w:color w:val="000000"/>
        </w:rPr>
        <w:t>圖</w:t>
      </w:r>
      <w:r w:rsidRPr="000E2DB5">
        <w:rPr>
          <w:rFonts w:ascii="微軟正黑體" w:eastAsia="微軟正黑體" w:hAnsi="微軟正黑體" w:hint="eastAsia"/>
          <w:color w:val="000000"/>
        </w:rPr>
        <w:t>3</w:t>
      </w:r>
      <w:r w:rsidRPr="000E2DB5">
        <w:rPr>
          <w:rFonts w:ascii="微軟正黑體" w:eastAsia="微軟正黑體" w:hAnsi="微軟正黑體"/>
          <w:color w:val="000000"/>
        </w:rPr>
        <w:t xml:space="preserve">  2010年到2019年間</w:t>
      </w:r>
      <w:r w:rsidRPr="000E2DB5">
        <w:rPr>
          <w:rFonts w:ascii="微軟正黑體" w:eastAsia="微軟正黑體" w:hAnsi="微軟正黑體" w:hint="eastAsia"/>
          <w:color w:val="000000"/>
        </w:rPr>
        <w:t>厚生</w:t>
      </w:r>
      <w:r w:rsidRPr="000E2DB5">
        <w:rPr>
          <w:rFonts w:ascii="微軟正黑體" w:eastAsia="微軟正黑體" w:hAnsi="微軟正黑體"/>
          <w:color w:val="000000"/>
        </w:rPr>
        <w:t>年金收支</w:t>
      </w:r>
      <w:r w:rsidRPr="000E2DB5">
        <w:rPr>
          <w:rFonts w:ascii="微軟正黑體" w:eastAsia="微軟正黑體" w:hAnsi="微軟正黑體" w:hint="eastAsia"/>
          <w:color w:val="000000"/>
        </w:rPr>
        <w:t>概況</w:t>
      </w:r>
    </w:p>
    <w:p w:rsidR="00381C80" w:rsidRDefault="00381C80" w:rsidP="00381C80">
      <w:pPr>
        <w:snapToGrid w:val="0"/>
        <w:contextualSpacing/>
        <w:rPr>
          <w:rFonts w:eastAsia="標楷體"/>
          <w:color w:val="000000"/>
          <w:sz w:val="16"/>
          <w:szCs w:val="16"/>
        </w:rPr>
      </w:pPr>
    </w:p>
    <w:p w:rsidR="00381C80" w:rsidRDefault="00381C80" w:rsidP="00381C80">
      <w:pPr>
        <w:snapToGrid w:val="0"/>
        <w:contextualSpacing/>
        <w:rPr>
          <w:rFonts w:eastAsia="標楷體"/>
          <w:color w:val="000000"/>
          <w:sz w:val="16"/>
          <w:szCs w:val="16"/>
        </w:rPr>
      </w:pPr>
    </w:p>
    <w:p w:rsidR="00381C80" w:rsidRPr="008D73DD" w:rsidRDefault="00381C80" w:rsidP="00381C80">
      <w:pPr>
        <w:snapToGrid w:val="0"/>
        <w:contextualSpacing/>
        <w:rPr>
          <w:rFonts w:eastAsia="標楷體"/>
          <w:color w:val="000000"/>
          <w:sz w:val="16"/>
          <w:szCs w:val="16"/>
        </w:rPr>
      </w:pPr>
    </w:p>
    <w:p w:rsidR="00381C80" w:rsidRDefault="00381C80" w:rsidP="00381C80">
      <w:pPr>
        <w:spacing w:beforeLines="30" w:before="108" w:line="400" w:lineRule="exact"/>
        <w:jc w:val="both"/>
      </w:pPr>
      <w:r>
        <w:rPr>
          <w:noProof/>
        </w:rPr>
        <w:drawing>
          <wp:anchor distT="0" distB="0" distL="114300" distR="114300" simplePos="0" relativeHeight="252486656" behindDoc="0" locked="0" layoutInCell="1" allowOverlap="1" wp14:anchorId="1A41E98E" wp14:editId="6DA99B30">
            <wp:simplePos x="0" y="0"/>
            <wp:positionH relativeFrom="column">
              <wp:posOffset>5715</wp:posOffset>
            </wp:positionH>
            <wp:positionV relativeFrom="paragraph">
              <wp:posOffset>231140</wp:posOffset>
            </wp:positionV>
            <wp:extent cx="5647055" cy="2881630"/>
            <wp:effectExtent l="0" t="0" r="0" b="0"/>
            <wp:wrapNone/>
            <wp:docPr id="21524" name="圖片 21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3"/>
                    <pic:cNvPicPr>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47055" cy="2881630"/>
                    </a:xfrm>
                    <a:prstGeom prst="rect">
                      <a:avLst/>
                    </a:prstGeom>
                    <a:noFill/>
                  </pic:spPr>
                </pic:pic>
              </a:graphicData>
            </a:graphic>
            <wp14:sizeRelH relativeFrom="page">
              <wp14:pctWidth>0</wp14:pctWidth>
            </wp14:sizeRelH>
            <wp14:sizeRelV relativeFrom="page">
              <wp14:pctHeight>0</wp14:pctHeight>
            </wp14:sizeRelV>
          </wp:anchor>
        </w:drawing>
      </w:r>
    </w:p>
    <w:p w:rsidR="00381C80" w:rsidRPr="008D73DD"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line="240" w:lineRule="exact"/>
        <w:jc w:val="both"/>
        <w:rPr>
          <w:rFonts w:ascii="微軟正黑體" w:eastAsia="微軟正黑體" w:hAnsi="微軟正黑體"/>
          <w:color w:val="000000"/>
          <w:sz w:val="20"/>
          <w:szCs w:val="20"/>
        </w:rPr>
      </w:pPr>
      <w:r>
        <w:rPr>
          <w:rFonts w:ascii="微軟正黑體" w:eastAsia="微軟正黑體" w:hAnsi="微軟正黑體" w:hint="eastAsia"/>
          <w:color w:val="000000"/>
          <w:sz w:val="20"/>
          <w:szCs w:val="20"/>
        </w:rPr>
        <w:t>資料來源：厚生勞動省(</w:t>
      </w:r>
      <w:r w:rsidRPr="009D58E3">
        <w:rPr>
          <w:rFonts w:ascii="微軟正黑體" w:eastAsia="微軟正黑體" w:hAnsi="微軟正黑體" w:hint="eastAsia"/>
          <w:color w:val="000000"/>
          <w:sz w:val="20"/>
          <w:szCs w:val="20"/>
        </w:rPr>
        <w:t>20</w:t>
      </w:r>
      <w:r w:rsidRPr="009D58E3">
        <w:rPr>
          <w:rFonts w:ascii="微軟正黑體" w:eastAsia="微軟正黑體" w:hAnsi="微軟正黑體"/>
          <w:color w:val="000000"/>
          <w:sz w:val="20"/>
          <w:szCs w:val="20"/>
        </w:rPr>
        <w:t>21b</w:t>
      </w:r>
      <w:r>
        <w:rPr>
          <w:rFonts w:ascii="微軟正黑體" w:eastAsia="微軟正黑體" w:hAnsi="微軟正黑體" w:hint="eastAsia"/>
          <w:color w:val="000000"/>
          <w:sz w:val="20"/>
          <w:szCs w:val="20"/>
        </w:rPr>
        <w:t>)</w:t>
      </w:r>
      <w:r w:rsidRPr="009D58E3">
        <w:rPr>
          <w:rFonts w:ascii="微軟正黑體" w:eastAsia="微軟正黑體" w:hAnsi="微軟正黑體" w:hint="eastAsia"/>
          <w:color w:val="000000"/>
          <w:sz w:val="20"/>
          <w:szCs w:val="20"/>
        </w:rPr>
        <w:t>。</w:t>
      </w:r>
    </w:p>
    <w:p w:rsidR="00381C80" w:rsidRPr="009D58E3" w:rsidRDefault="00381C80" w:rsidP="00381C80">
      <w:pPr>
        <w:spacing w:line="240" w:lineRule="exact"/>
        <w:jc w:val="both"/>
        <w:rPr>
          <w:rFonts w:ascii="微軟正黑體" w:eastAsia="微軟正黑體" w:hAnsi="微軟正黑體"/>
          <w:color w:val="000000"/>
          <w:sz w:val="20"/>
          <w:szCs w:val="20"/>
        </w:rPr>
      </w:pPr>
    </w:p>
    <w:p w:rsidR="00381C80" w:rsidRPr="000E2DB5" w:rsidRDefault="00381C80" w:rsidP="00381C80">
      <w:pPr>
        <w:spacing w:line="400" w:lineRule="exact"/>
        <w:jc w:val="center"/>
        <w:rPr>
          <w:rFonts w:ascii="微軟正黑體" w:eastAsia="微軟正黑體" w:hAnsi="微軟正黑體"/>
          <w:color w:val="000000"/>
        </w:rPr>
      </w:pPr>
      <w:r w:rsidRPr="000E2DB5">
        <w:rPr>
          <w:rFonts w:ascii="微軟正黑體" w:eastAsia="微軟正黑體" w:hAnsi="微軟正黑體"/>
          <w:color w:val="000000"/>
        </w:rPr>
        <w:t>圖</w:t>
      </w:r>
      <w:r w:rsidRPr="000E2DB5">
        <w:rPr>
          <w:rFonts w:ascii="微軟正黑體" w:eastAsia="微軟正黑體" w:hAnsi="微軟正黑體" w:hint="eastAsia"/>
          <w:color w:val="000000"/>
        </w:rPr>
        <w:t>4</w:t>
      </w:r>
      <w:r w:rsidRPr="000E2DB5">
        <w:rPr>
          <w:rFonts w:ascii="微軟正黑體" w:eastAsia="微軟正黑體" w:hAnsi="微軟正黑體"/>
          <w:color w:val="000000"/>
        </w:rPr>
        <w:t xml:space="preserve">  2010年到2019年間</w:t>
      </w:r>
      <w:r w:rsidRPr="000E2DB5">
        <w:rPr>
          <w:rFonts w:ascii="微軟正黑體" w:eastAsia="微軟正黑體" w:hAnsi="微軟正黑體" w:hint="eastAsia"/>
          <w:color w:val="000000"/>
        </w:rPr>
        <w:t>厚生年金保險費收入概況</w:t>
      </w:r>
    </w:p>
    <w:p w:rsidR="00381C80" w:rsidRPr="008D73DD" w:rsidRDefault="00381C80" w:rsidP="00381C80">
      <w:pPr>
        <w:snapToGrid w:val="0"/>
        <w:spacing w:beforeLines="50" w:before="180"/>
        <w:contextualSpacing/>
        <w:rPr>
          <w:rFonts w:eastAsia="標楷體"/>
          <w:color w:val="000000"/>
          <w:sz w:val="14"/>
          <w:szCs w:val="14"/>
        </w:rPr>
      </w:pPr>
    </w:p>
    <w:p w:rsidR="00381C80" w:rsidRDefault="00381C80" w:rsidP="00381C80">
      <w:pPr>
        <w:spacing w:beforeLines="30" w:before="108" w:line="400" w:lineRule="exact"/>
        <w:jc w:val="both"/>
      </w:pPr>
    </w:p>
    <w:p w:rsidR="00381C80" w:rsidRDefault="00381C80" w:rsidP="00381C80">
      <w:pPr>
        <w:spacing w:beforeLines="30" w:before="108" w:line="400" w:lineRule="exact"/>
        <w:jc w:val="both"/>
      </w:pPr>
    </w:p>
    <w:p w:rsidR="00381C80" w:rsidRDefault="00381C80" w:rsidP="00381C80">
      <w:pPr>
        <w:spacing w:afterLines="50" w:after="180" w:line="400" w:lineRule="exact"/>
        <w:rPr>
          <w:rFonts w:ascii="微軟正黑體" w:eastAsia="微軟正黑體" w:hAnsi="微軟正黑體"/>
          <w:b/>
          <w:sz w:val="28"/>
          <w:szCs w:val="28"/>
        </w:rPr>
      </w:pPr>
    </w:p>
    <w:p w:rsidR="00381C80" w:rsidRPr="002C79AA" w:rsidRDefault="00381C80" w:rsidP="00381C80">
      <w:pPr>
        <w:spacing w:afterLines="50" w:after="180" w:line="400" w:lineRule="exact"/>
        <w:rPr>
          <w:rFonts w:ascii="微軟正黑體" w:eastAsia="微軟正黑體" w:hAnsi="微軟正黑體"/>
          <w:sz w:val="28"/>
          <w:szCs w:val="28"/>
        </w:rPr>
      </w:pPr>
      <w:r w:rsidRPr="002C79AA">
        <w:rPr>
          <w:rFonts w:ascii="微軟正黑體" w:eastAsia="微軟正黑體" w:hAnsi="微軟正黑體" w:hint="eastAsia"/>
          <w:b/>
          <w:sz w:val="28"/>
          <w:szCs w:val="28"/>
        </w:rPr>
        <w:lastRenderedPageBreak/>
        <w:t>二、</w:t>
      </w:r>
      <w:r w:rsidRPr="008D73DD">
        <w:rPr>
          <w:rFonts w:ascii="微軟正黑體" w:eastAsia="微軟正黑體" w:hAnsi="微軟正黑體" w:hint="eastAsia"/>
          <w:b/>
          <w:sz w:val="28"/>
          <w:szCs w:val="28"/>
        </w:rPr>
        <w:t>厚生年金收入面修正探討</w:t>
      </w:r>
    </w:p>
    <w:p w:rsidR="00381C80" w:rsidRPr="00E923D9" w:rsidRDefault="00381C80" w:rsidP="00381C80">
      <w:pPr>
        <w:spacing w:beforeLines="30" w:before="108" w:line="400" w:lineRule="exact"/>
        <w:jc w:val="both"/>
        <w:rPr>
          <w:rFonts w:ascii="微軟正黑體" w:eastAsia="微軟正黑體" w:hAnsi="微軟正黑體"/>
          <w:kern w:val="0"/>
        </w:rPr>
      </w:pPr>
      <w:r w:rsidRPr="00E923D9">
        <w:rPr>
          <w:rFonts w:ascii="微軟正黑體" w:eastAsia="微軟正黑體" w:hAnsi="微軟正黑體" w:hint="eastAsia"/>
          <w:kern w:val="0"/>
        </w:rPr>
        <w:t xml:space="preserve">    從圖3可知，厚生年金的收入財源主要以保險費及國庫負擔為主。此外，目前財務處理方式仍處於部</w:t>
      </w:r>
      <w:r w:rsidRPr="00BC1914">
        <w:rPr>
          <w:rFonts w:ascii="微軟正黑體" w:eastAsia="微軟正黑體" w:hAnsi="微軟正黑體" w:hint="eastAsia"/>
          <w:kern w:val="0"/>
        </w:rPr>
        <w:t>分</w:t>
      </w:r>
      <w:r w:rsidRPr="00E923D9">
        <w:rPr>
          <w:rFonts w:ascii="微軟正黑體" w:eastAsia="微軟正黑體" w:hAnsi="微軟正黑體" w:hint="eastAsia"/>
          <w:kern w:val="0"/>
        </w:rPr>
        <w:t>儲備階段，所累積基金的投資績效，亦為收入面的財源之一。以下即就保險費、國庫負擔及基金收益等三項分別探討。</w:t>
      </w:r>
    </w:p>
    <w:p w:rsidR="00381C80" w:rsidRPr="00E923D9" w:rsidRDefault="00381C80" w:rsidP="00BD50E5">
      <w:pPr>
        <w:numPr>
          <w:ilvl w:val="1"/>
          <w:numId w:val="47"/>
        </w:numPr>
        <w:spacing w:beforeLines="30" w:before="108" w:line="400" w:lineRule="exact"/>
        <w:ind w:left="426"/>
        <w:jc w:val="both"/>
        <w:rPr>
          <w:rFonts w:ascii="微軟正黑體" w:eastAsia="微軟正黑體" w:hAnsi="微軟正黑體"/>
          <w:kern w:val="0"/>
        </w:rPr>
      </w:pPr>
      <w:r w:rsidRPr="00E923D9">
        <w:rPr>
          <w:rFonts w:ascii="微軟正黑體" w:eastAsia="微軟正黑體" w:hAnsi="微軟正黑體" w:hint="eastAsia"/>
          <w:kern w:val="0"/>
        </w:rPr>
        <w:t>保險費收入</w:t>
      </w:r>
    </w:p>
    <w:p w:rsidR="00381C80" w:rsidRPr="00E923D9" w:rsidRDefault="00381C80" w:rsidP="00381C80">
      <w:pPr>
        <w:spacing w:beforeLines="30" w:before="108" w:line="400" w:lineRule="exact"/>
        <w:jc w:val="both"/>
        <w:rPr>
          <w:rFonts w:ascii="微軟正黑體" w:eastAsia="微軟正黑體" w:hAnsi="微軟正黑體"/>
          <w:kern w:val="0"/>
        </w:rPr>
      </w:pPr>
      <w:r w:rsidRPr="00E923D9">
        <w:rPr>
          <w:rFonts w:ascii="微軟正黑體" w:eastAsia="微軟正黑體" w:hAnsi="微軟正黑體" w:hint="eastAsia"/>
          <w:kern w:val="0"/>
        </w:rPr>
        <w:t xml:space="preserve">    厚生年金</w:t>
      </w:r>
      <w:r>
        <w:rPr>
          <w:rFonts w:ascii="微軟正黑體" w:eastAsia="微軟正黑體" w:hAnsi="微軟正黑體" w:hint="eastAsia"/>
          <w:kern w:val="0"/>
        </w:rPr>
        <w:t>的保險費，是以被保險人月薪對照到投保薪資分級表中的標準報酬月額(</w:t>
      </w:r>
      <w:r w:rsidRPr="00E923D9">
        <w:rPr>
          <w:rFonts w:ascii="微軟正黑體" w:eastAsia="微軟正黑體" w:hAnsi="微軟正黑體" w:hint="eastAsia"/>
          <w:kern w:val="0"/>
        </w:rPr>
        <w:t>standard monthly remuneration</w:t>
      </w:r>
      <w:r>
        <w:rPr>
          <w:rFonts w:ascii="微軟正黑體" w:eastAsia="微軟正黑體" w:hAnsi="微軟正黑體" w:hint="eastAsia"/>
          <w:kern w:val="0"/>
        </w:rPr>
        <w:t>)及獎金(</w:t>
      </w:r>
      <w:r w:rsidRPr="00E923D9">
        <w:rPr>
          <w:rFonts w:ascii="微軟正黑體" w:eastAsia="微軟正黑體" w:hAnsi="微軟正黑體" w:hint="eastAsia"/>
          <w:kern w:val="0"/>
        </w:rPr>
        <w:t>bonus</w:t>
      </w:r>
      <w:r>
        <w:rPr>
          <w:rFonts w:ascii="微軟正黑體" w:eastAsia="微軟正黑體" w:hAnsi="微軟正黑體" w:hint="eastAsia"/>
          <w:kern w:val="0"/>
        </w:rPr>
        <w:t>)</w:t>
      </w:r>
      <w:r w:rsidRPr="00E923D9">
        <w:rPr>
          <w:rFonts w:ascii="微軟正黑體" w:eastAsia="微軟正黑體" w:hAnsi="微軟正黑體" w:hint="eastAsia"/>
          <w:kern w:val="0"/>
        </w:rPr>
        <w:t>為費基，並乘上法定保險費率來計算。所以包括被保險人人數、法定保險費率、標準報酬月額及獎金的成長情況，即為影響保險費收入變動性的基本因素。</w:t>
      </w:r>
    </w:p>
    <w:p w:rsidR="00381C80" w:rsidRPr="00E923D9" w:rsidRDefault="00381C80" w:rsidP="00381C80">
      <w:pPr>
        <w:spacing w:beforeLines="30" w:before="108" w:line="400" w:lineRule="exact"/>
        <w:jc w:val="both"/>
        <w:rPr>
          <w:rFonts w:ascii="微軟正黑體" w:eastAsia="微軟正黑體" w:hAnsi="微軟正黑體"/>
          <w:kern w:val="0"/>
        </w:rPr>
      </w:pPr>
      <w:r w:rsidRPr="00E923D9">
        <w:rPr>
          <w:rFonts w:ascii="微軟正黑體" w:eastAsia="微軟正黑體" w:hAnsi="微軟正黑體" w:hint="eastAsia"/>
          <w:kern w:val="0"/>
        </w:rPr>
        <w:t xml:space="preserve">    從圖4可看出，在被保險人人數、平均標準報酬月額及獎金等三項的年成長率正負互見的情況，2010年至2016年間保險費收入的持續成長，主要來自於法定保險費率的逐年調升；自2017年起保險費率不再調升，保險費收入的成長，隨之趨緩。進一步比較被保險人人數、平均標準報酬月額及獎金等三項的變動趨勢，從圖4可知，三個收入面參數，以被保險人人數較具穩定性的正成長率，尤其在2016年中旬將非典型工作者條件</w:t>
      </w:r>
      <w:r w:rsidRPr="00BC1914">
        <w:rPr>
          <w:rFonts w:ascii="微軟正黑體" w:eastAsia="微軟正黑體" w:hAnsi="微軟正黑體" w:hint="eastAsia"/>
          <w:kern w:val="0"/>
        </w:rPr>
        <w:t>正</w:t>
      </w:r>
      <w:r w:rsidRPr="00E923D9">
        <w:rPr>
          <w:rFonts w:ascii="微軟正黑體" w:eastAsia="微軟正黑體" w:hAnsi="微軟正黑體" w:hint="eastAsia"/>
          <w:kern w:val="0"/>
        </w:rPr>
        <w:t>式納保後，當年度成長率更是明顯。相照之下，標準報酬月額與獎金的成長率則是正負互見且較不穩定。綜合前述，若欲以保險費收入來因應日益提高的年金給付支出，原則上仍需仰賴</w:t>
      </w:r>
      <w:r w:rsidRPr="00B520B8">
        <w:rPr>
          <w:rFonts w:ascii="微軟正黑體" w:eastAsia="微軟正黑體" w:hAnsi="微軟正黑體" w:hint="eastAsia"/>
          <w:b/>
          <w:kern w:val="0"/>
        </w:rPr>
        <w:t>提高保險費率</w:t>
      </w:r>
      <w:r w:rsidRPr="00E923D9">
        <w:rPr>
          <w:rFonts w:ascii="微軟正黑體" w:eastAsia="微軟正黑體" w:hAnsi="微軟正黑體" w:hint="eastAsia"/>
          <w:kern w:val="0"/>
        </w:rPr>
        <w:t>與</w:t>
      </w:r>
      <w:r w:rsidRPr="00B520B8">
        <w:rPr>
          <w:rFonts w:ascii="微軟正黑體" w:eastAsia="微軟正黑體" w:hAnsi="微軟正黑體" w:hint="eastAsia"/>
          <w:b/>
          <w:kern w:val="0"/>
        </w:rPr>
        <w:t>擴大強制納保對象</w:t>
      </w:r>
      <w:r w:rsidRPr="00E923D9">
        <w:rPr>
          <w:rFonts w:ascii="微軟正黑體" w:eastAsia="微軟正黑體" w:hAnsi="微軟正黑體" w:hint="eastAsia"/>
          <w:kern w:val="0"/>
        </w:rPr>
        <w:t>等較具全面性影響的方式</w:t>
      </w:r>
      <w:r w:rsidRPr="00BC1914">
        <w:rPr>
          <w:rFonts w:ascii="微軟正黑體" w:eastAsia="微軟正黑體" w:hAnsi="微軟正黑體" w:hint="eastAsia"/>
          <w:kern w:val="0"/>
        </w:rPr>
        <w:t>，</w:t>
      </w:r>
      <w:r w:rsidRPr="00E923D9">
        <w:rPr>
          <w:rFonts w:ascii="微軟正黑體" w:eastAsia="微軟正黑體" w:hAnsi="微軟正黑體" w:hint="eastAsia"/>
          <w:kern w:val="0"/>
        </w:rPr>
        <w:t>以因應景氣對薪資及獎金可能帶來的不確定性影響。</w:t>
      </w:r>
    </w:p>
    <w:p w:rsidR="00381C80" w:rsidRPr="00E923D9" w:rsidRDefault="00381C80" w:rsidP="00BD50E5">
      <w:pPr>
        <w:numPr>
          <w:ilvl w:val="1"/>
          <w:numId w:val="47"/>
        </w:numPr>
        <w:spacing w:beforeLines="30" w:before="108" w:line="400" w:lineRule="exact"/>
        <w:ind w:left="426"/>
        <w:jc w:val="both"/>
        <w:rPr>
          <w:rFonts w:ascii="微軟正黑體" w:eastAsia="微軟正黑體" w:hAnsi="微軟正黑體"/>
          <w:kern w:val="0"/>
        </w:rPr>
      </w:pPr>
      <w:r w:rsidRPr="00E923D9">
        <w:rPr>
          <w:rFonts w:ascii="微軟正黑體" w:eastAsia="微軟正黑體" w:hAnsi="微軟正黑體" w:hint="eastAsia"/>
          <w:kern w:val="0"/>
        </w:rPr>
        <w:t>國庫負擔</w:t>
      </w:r>
    </w:p>
    <w:p w:rsidR="00381C80" w:rsidRPr="00E923D9" w:rsidRDefault="00381C80" w:rsidP="00381C80">
      <w:pPr>
        <w:spacing w:beforeLines="30" w:before="108" w:line="400" w:lineRule="exact"/>
        <w:jc w:val="both"/>
        <w:rPr>
          <w:rFonts w:ascii="微軟正黑體" w:eastAsia="微軟正黑體" w:hAnsi="微軟正黑體"/>
          <w:kern w:val="0"/>
        </w:rPr>
      </w:pPr>
      <w:r w:rsidRPr="00E923D9">
        <w:rPr>
          <w:rFonts w:ascii="微軟正黑體" w:eastAsia="微軟正黑體" w:hAnsi="微軟正黑體" w:hint="eastAsia"/>
          <w:kern w:val="0"/>
        </w:rPr>
        <w:t xml:space="preserve">    厚生年金的財務運作中，政府補助全額事務費，從圖3可發現，2010到2019年間，國庫負擔占總收入比重從2010年約25%，逐年降低至2017年的20%左右，爾後又緩升到2019年的21%，並無確定性的變動趨勢。政府若非補助保險費或年金給付，原則上人口老化趨勢並不會對政府所需投入的財政補助有太大影響，然於其他社會保險制度，政府會針對保險費或給付給予補助，故人口高齡化趨勢仍會間接影響政府對厚生年金的財源支應能力，有必要予以探討。</w:t>
      </w:r>
    </w:p>
    <w:p w:rsidR="00381C80" w:rsidRDefault="00381C80" w:rsidP="00381C80">
      <w:pPr>
        <w:spacing w:beforeLines="30" w:before="108" w:line="400" w:lineRule="exact"/>
        <w:jc w:val="both"/>
        <w:rPr>
          <w:rFonts w:ascii="微軟正黑體" w:eastAsia="微軟正黑體" w:hAnsi="微軟正黑體"/>
          <w:kern w:val="0"/>
        </w:rPr>
      </w:pPr>
      <w:r w:rsidRPr="00E923D9">
        <w:rPr>
          <w:rFonts w:ascii="微軟正黑體" w:eastAsia="微軟正黑體" w:hAnsi="微軟正黑體" w:hint="eastAsia"/>
          <w:kern w:val="0"/>
        </w:rPr>
        <w:t xml:space="preserve">    為強化對全體社會保險制度的財政支應能力，政府在2014年將消費稅從5%提高到8%，並將所增加的財源，全數運用在融通社會保險的支出；原本規劃在2015年10月實施第二階段，提高消費稅至10%，經過數次的延後，</w:t>
      </w:r>
      <w:r w:rsidRPr="00522AA2">
        <w:rPr>
          <w:rFonts w:ascii="微軟正黑體" w:eastAsia="微軟正黑體" w:hAnsi="微軟正黑體" w:hint="eastAsia"/>
          <w:kern w:val="0"/>
        </w:rPr>
        <w:t>亦</w:t>
      </w:r>
      <w:r w:rsidRPr="00E923D9">
        <w:rPr>
          <w:rFonts w:ascii="微軟正黑體" w:eastAsia="微軟正黑體" w:hAnsi="微軟正黑體" w:hint="eastAsia"/>
          <w:kern w:val="0"/>
        </w:rPr>
        <w:t>於2019年</w:t>
      </w:r>
      <w:r w:rsidRPr="00BC1914">
        <w:rPr>
          <w:rFonts w:ascii="微軟正黑體" w:eastAsia="微軟正黑體" w:hAnsi="微軟正黑體" w:hint="eastAsia"/>
          <w:kern w:val="0"/>
        </w:rPr>
        <w:t>10</w:t>
      </w:r>
      <w:r w:rsidRPr="00E923D9">
        <w:rPr>
          <w:rFonts w:ascii="微軟正黑體" w:eastAsia="微軟正黑體" w:hAnsi="微軟正黑體" w:hint="eastAsia"/>
          <w:kern w:val="0"/>
        </w:rPr>
        <w:t>月實施。若從整體面評估，提高消費稅所帶來的財源效益，2014年提高消費稅的措施，讓該年度消費稅收的年成長率高達48%，但2015年即下降到8.7%，2016年更呈現-1.1%的負成長率，雖在2017年及2018年回復1.6%到1.7%，但到2019年底提高消費稅率後才帶動稅收在當年度有將近</w:t>
      </w:r>
      <w:r w:rsidRPr="00E923D9">
        <w:rPr>
          <w:rFonts w:ascii="微軟正黑體" w:eastAsia="微軟正黑體" w:hAnsi="微軟正黑體"/>
          <w:kern w:val="0"/>
        </w:rPr>
        <w:t>9%</w:t>
      </w:r>
      <w:r>
        <w:rPr>
          <w:rFonts w:ascii="微軟正黑體" w:eastAsia="微軟正黑體" w:hAnsi="微軟正黑體" w:hint="eastAsia"/>
          <w:kern w:val="0"/>
        </w:rPr>
        <w:t>的年成長率</w:t>
      </w:r>
      <w:r w:rsidRPr="009E4D42">
        <w:rPr>
          <w:rFonts w:ascii="微軟正黑體" w:eastAsia="微軟正黑體" w:hAnsi="微軟正黑體" w:hint="eastAsia"/>
          <w:kern w:val="0"/>
        </w:rPr>
        <w:t>(總</w:t>
      </w:r>
      <w:r w:rsidRPr="00E923D9">
        <w:rPr>
          <w:rFonts w:ascii="微軟正黑體" w:eastAsia="微軟正黑體" w:hAnsi="微軟正黑體" w:hint="eastAsia"/>
          <w:kern w:val="0"/>
        </w:rPr>
        <w:t>務省統計局，</w:t>
      </w:r>
      <w:r w:rsidRPr="00E923D9">
        <w:rPr>
          <w:rFonts w:ascii="微軟正黑體" w:eastAsia="微軟正黑體" w:hAnsi="微軟正黑體"/>
          <w:kern w:val="0"/>
        </w:rPr>
        <w:t>2021</w:t>
      </w:r>
      <w:r>
        <w:rPr>
          <w:rFonts w:ascii="微軟正黑體" w:eastAsia="微軟正黑體" w:hAnsi="微軟正黑體" w:hint="eastAsia"/>
          <w:kern w:val="0"/>
        </w:rPr>
        <w:t>)</w:t>
      </w:r>
      <w:r w:rsidRPr="00E923D9">
        <w:rPr>
          <w:rFonts w:ascii="微軟正黑體" w:eastAsia="微軟正黑體" w:hAnsi="微軟正黑體" w:hint="eastAsia"/>
          <w:kern w:val="0"/>
        </w:rPr>
        <w:t>，此次提高消費稅率所帶來的較長期財政效益，尚待時間評估。</w:t>
      </w:r>
    </w:p>
    <w:p w:rsidR="00381C80" w:rsidRPr="00E923D9" w:rsidRDefault="00381C80" w:rsidP="00381C80">
      <w:pPr>
        <w:spacing w:beforeLines="30" w:before="108" w:line="400" w:lineRule="exact"/>
        <w:jc w:val="both"/>
        <w:rPr>
          <w:rFonts w:ascii="微軟正黑體" w:eastAsia="微軟正黑體" w:hAnsi="微軟正黑體"/>
          <w:kern w:val="0"/>
        </w:rPr>
      </w:pPr>
    </w:p>
    <w:p w:rsidR="00381C80" w:rsidRPr="00E923D9" w:rsidRDefault="00381C80" w:rsidP="00BD50E5">
      <w:pPr>
        <w:numPr>
          <w:ilvl w:val="1"/>
          <w:numId w:val="47"/>
        </w:numPr>
        <w:spacing w:beforeLines="30" w:before="108" w:line="400" w:lineRule="exact"/>
        <w:ind w:left="426"/>
        <w:jc w:val="both"/>
        <w:rPr>
          <w:rFonts w:ascii="微軟正黑體" w:eastAsia="微軟正黑體" w:hAnsi="微軟正黑體"/>
          <w:kern w:val="0"/>
        </w:rPr>
      </w:pPr>
      <w:r w:rsidRPr="00E923D9">
        <w:rPr>
          <w:rFonts w:ascii="微軟正黑體" w:eastAsia="微軟正黑體" w:hAnsi="微軟正黑體" w:hint="eastAsia"/>
          <w:kern w:val="0"/>
        </w:rPr>
        <w:lastRenderedPageBreak/>
        <w:t>基金收益</w:t>
      </w:r>
    </w:p>
    <w:p w:rsidR="00381C80" w:rsidRPr="00E923D9" w:rsidRDefault="00381C80" w:rsidP="00381C80">
      <w:pPr>
        <w:spacing w:beforeLines="30" w:before="108" w:line="400" w:lineRule="exact"/>
        <w:jc w:val="both"/>
        <w:rPr>
          <w:rFonts w:ascii="微軟正黑體" w:eastAsia="微軟正黑體" w:hAnsi="微軟正黑體"/>
          <w:kern w:val="0"/>
        </w:rPr>
      </w:pPr>
      <w:r w:rsidRPr="00E923D9">
        <w:rPr>
          <w:rFonts w:ascii="微軟正黑體" w:eastAsia="微軟正黑體" w:hAnsi="微軟正黑體" w:hint="eastAsia"/>
          <w:kern w:val="0"/>
        </w:rPr>
        <w:t xml:space="preserve">    為配合2004年公共年金修正案，確保厚生年金在未來100年費率趨勢及年金給付納入總體經濟指數的調整機制，透過平穩財務逐步走向隨收隨付制，GPIF確立了以100年為期的財務重計算，在基金維持能支應1年給付需求為前提條件下</w:t>
      </w:r>
      <w:r w:rsidRPr="00BC1914">
        <w:rPr>
          <w:rFonts w:ascii="微軟正黑體" w:eastAsia="微軟正黑體" w:hAnsi="微軟正黑體" w:hint="eastAsia"/>
          <w:kern w:val="0"/>
        </w:rPr>
        <w:t>，</w:t>
      </w:r>
      <w:r w:rsidRPr="00E923D9">
        <w:rPr>
          <w:rFonts w:ascii="微軟正黑體" w:eastAsia="微軟正黑體" w:hAnsi="微軟正黑體" w:hint="eastAsia"/>
          <w:kern w:val="0"/>
        </w:rPr>
        <w:t>擬定安全且具投資效率的長期動態投資策略</w:t>
      </w:r>
      <w:r>
        <w:rPr>
          <w:rFonts w:ascii="微軟正黑體" w:eastAsia="微軟正黑體" w:hAnsi="微軟正黑體" w:hint="eastAsia"/>
          <w:kern w:val="0"/>
        </w:rPr>
        <w:t>(</w:t>
      </w:r>
      <w:r w:rsidRPr="00E923D9">
        <w:rPr>
          <w:rFonts w:ascii="微軟正黑體" w:eastAsia="微軟正黑體" w:hAnsi="微軟正黑體" w:hint="eastAsia"/>
          <w:kern w:val="0"/>
        </w:rPr>
        <w:t>Government Pension Investment Fund, 2020</w:t>
      </w:r>
      <w:r>
        <w:rPr>
          <w:rFonts w:ascii="微軟正黑體" w:eastAsia="微軟正黑體" w:hAnsi="微軟正黑體" w:hint="eastAsia"/>
          <w:kern w:val="0"/>
        </w:rPr>
        <w:t>)</w:t>
      </w:r>
      <w:r w:rsidRPr="00E923D9">
        <w:rPr>
          <w:rFonts w:ascii="微軟正黑體" w:eastAsia="微軟正黑體" w:hAnsi="微軟正黑體" w:hint="eastAsia"/>
          <w:kern w:val="0"/>
        </w:rPr>
        <w:t>。</w:t>
      </w:r>
    </w:p>
    <w:p w:rsidR="00381C80" w:rsidRDefault="00381C80" w:rsidP="00381C80">
      <w:pPr>
        <w:spacing w:line="400" w:lineRule="exact"/>
        <w:jc w:val="both"/>
        <w:rPr>
          <w:rFonts w:ascii="微軟正黑體" w:eastAsia="微軟正黑體" w:hAnsi="微軟正黑體"/>
        </w:rPr>
      </w:pPr>
      <w:r>
        <w:rPr>
          <w:noProof/>
        </w:rPr>
        <w:drawing>
          <wp:anchor distT="0" distB="0" distL="114300" distR="114300" simplePos="0" relativeHeight="252487680" behindDoc="0" locked="0" layoutInCell="1" allowOverlap="1" wp14:anchorId="1EB37FE5" wp14:editId="673E269E">
            <wp:simplePos x="0" y="0"/>
            <wp:positionH relativeFrom="column">
              <wp:posOffset>-6350</wp:posOffset>
            </wp:positionH>
            <wp:positionV relativeFrom="paragraph">
              <wp:posOffset>195580</wp:posOffset>
            </wp:positionV>
            <wp:extent cx="5712460" cy="2973070"/>
            <wp:effectExtent l="0" t="0" r="2540" b="0"/>
            <wp:wrapNone/>
            <wp:docPr id="21523" name="圖片 21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21"/>
                    <pic:cNvPicPr>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2460" cy="2973070"/>
                    </a:xfrm>
                    <a:prstGeom prst="rect">
                      <a:avLst/>
                    </a:prstGeom>
                    <a:noFill/>
                  </pic:spPr>
                </pic:pic>
              </a:graphicData>
            </a:graphic>
            <wp14:sizeRelH relativeFrom="page">
              <wp14:pctWidth>0</wp14:pctWidth>
            </wp14:sizeRelH>
            <wp14:sizeRelV relativeFrom="page">
              <wp14:pctHeight>0</wp14:pctHeight>
            </wp14:sizeRelV>
          </wp:anchor>
        </w:drawing>
      </w: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line="400" w:lineRule="exact"/>
        <w:jc w:val="both"/>
        <w:rPr>
          <w:rFonts w:ascii="微軟正黑體" w:eastAsia="微軟正黑體" w:hAnsi="微軟正黑體"/>
        </w:rPr>
      </w:pPr>
    </w:p>
    <w:p w:rsidR="00381C80" w:rsidRDefault="00381C80" w:rsidP="00381C80">
      <w:pPr>
        <w:spacing w:beforeLines="30" w:before="108" w:line="240" w:lineRule="exact"/>
        <w:jc w:val="both"/>
        <w:rPr>
          <w:rFonts w:ascii="微軟正黑體" w:eastAsia="微軟正黑體" w:hAnsi="微軟正黑體"/>
          <w:color w:val="000000"/>
          <w:sz w:val="20"/>
          <w:szCs w:val="20"/>
        </w:rPr>
      </w:pPr>
    </w:p>
    <w:p w:rsidR="00381C80" w:rsidRDefault="00381C80" w:rsidP="00381C80">
      <w:pPr>
        <w:spacing w:line="240" w:lineRule="exact"/>
        <w:jc w:val="both"/>
        <w:rPr>
          <w:rFonts w:ascii="微軟正黑體" w:eastAsia="微軟正黑體" w:hAnsi="微軟正黑體"/>
          <w:color w:val="000000"/>
          <w:sz w:val="20"/>
          <w:szCs w:val="20"/>
        </w:rPr>
      </w:pPr>
      <w:r w:rsidRPr="00F80A8D">
        <w:rPr>
          <w:rFonts w:ascii="微軟正黑體" w:eastAsia="微軟正黑體" w:hAnsi="微軟正黑體"/>
          <w:color w:val="000000"/>
          <w:sz w:val="20"/>
          <w:szCs w:val="20"/>
        </w:rPr>
        <w:t>資料來源: Government Pension Investment Fund</w:t>
      </w:r>
      <w:r>
        <w:rPr>
          <w:rFonts w:ascii="微軟正黑體" w:eastAsia="微軟正黑體" w:hAnsi="微軟正黑體" w:hint="eastAsia"/>
          <w:color w:val="000000"/>
          <w:sz w:val="20"/>
          <w:szCs w:val="20"/>
        </w:rPr>
        <w:t>(</w:t>
      </w:r>
      <w:r w:rsidRPr="00F80A8D">
        <w:rPr>
          <w:rFonts w:ascii="微軟正黑體" w:eastAsia="微軟正黑體" w:hAnsi="微軟正黑體"/>
          <w:color w:val="000000"/>
          <w:sz w:val="20"/>
          <w:szCs w:val="20"/>
        </w:rPr>
        <w:t>2020</w:t>
      </w:r>
      <w:r>
        <w:rPr>
          <w:rFonts w:ascii="微軟正黑體" w:eastAsia="微軟正黑體" w:hAnsi="微軟正黑體" w:hint="eastAsia"/>
          <w:color w:val="000000"/>
          <w:sz w:val="20"/>
          <w:szCs w:val="20"/>
        </w:rPr>
        <w:t>)</w:t>
      </w:r>
      <w:r w:rsidRPr="00F80A8D">
        <w:rPr>
          <w:rFonts w:ascii="微軟正黑體" w:eastAsia="微軟正黑體" w:hAnsi="微軟正黑體"/>
          <w:color w:val="000000"/>
          <w:sz w:val="20"/>
          <w:szCs w:val="20"/>
        </w:rPr>
        <w:t>。</w:t>
      </w:r>
    </w:p>
    <w:p w:rsidR="00381C80" w:rsidRPr="00F80A8D" w:rsidRDefault="00381C80" w:rsidP="00381C80">
      <w:pPr>
        <w:spacing w:line="240" w:lineRule="exact"/>
        <w:jc w:val="both"/>
        <w:rPr>
          <w:rFonts w:ascii="微軟正黑體" w:eastAsia="微軟正黑體" w:hAnsi="微軟正黑體"/>
          <w:sz w:val="20"/>
          <w:szCs w:val="20"/>
        </w:rPr>
      </w:pPr>
    </w:p>
    <w:p w:rsidR="00381C80" w:rsidRPr="000E2DB5" w:rsidRDefault="00381C80" w:rsidP="00381C80">
      <w:pPr>
        <w:spacing w:line="340" w:lineRule="exact"/>
        <w:jc w:val="center"/>
        <w:rPr>
          <w:rFonts w:ascii="微軟正黑體" w:eastAsia="微軟正黑體" w:hAnsi="微軟正黑體"/>
          <w:color w:val="000000"/>
        </w:rPr>
      </w:pPr>
      <w:r w:rsidRPr="000E2DB5">
        <w:rPr>
          <w:rFonts w:ascii="微軟正黑體" w:eastAsia="微軟正黑體" w:hAnsi="微軟正黑體"/>
          <w:color w:val="000000"/>
        </w:rPr>
        <w:t>圖</w:t>
      </w:r>
      <w:r w:rsidRPr="000E2DB5">
        <w:rPr>
          <w:rFonts w:ascii="微軟正黑體" w:eastAsia="微軟正黑體" w:hAnsi="微軟正黑體" w:hint="eastAsia"/>
          <w:color w:val="000000"/>
        </w:rPr>
        <w:t>5</w:t>
      </w:r>
      <w:r w:rsidRPr="000E2DB5">
        <w:rPr>
          <w:rFonts w:ascii="微軟正黑體" w:eastAsia="微軟正黑體" w:hAnsi="微軟正黑體"/>
          <w:color w:val="000000"/>
        </w:rPr>
        <w:t xml:space="preserve">  2010年到2019年</w:t>
      </w:r>
      <w:r w:rsidRPr="000E2DB5">
        <w:rPr>
          <w:rFonts w:ascii="微軟正黑體" w:eastAsia="微軟正黑體" w:hAnsi="微軟正黑體" w:hint="eastAsia"/>
          <w:color w:val="000000"/>
        </w:rPr>
        <w:t>間厚生年金基金與國民年金基金的</w:t>
      </w:r>
    </w:p>
    <w:p w:rsidR="00381C80" w:rsidRPr="000E2DB5" w:rsidRDefault="00381C80" w:rsidP="00381C80">
      <w:pPr>
        <w:spacing w:line="340" w:lineRule="exact"/>
        <w:jc w:val="center"/>
        <w:rPr>
          <w:rFonts w:ascii="微軟正黑體" w:eastAsia="微軟正黑體" w:hAnsi="微軟正黑體"/>
          <w:color w:val="000000"/>
        </w:rPr>
      </w:pPr>
      <w:r w:rsidRPr="000E2DB5">
        <w:rPr>
          <w:rFonts w:ascii="微軟正黑體" w:eastAsia="微軟正黑體" w:hAnsi="微軟正黑體" w:hint="eastAsia"/>
          <w:color w:val="000000"/>
        </w:rPr>
        <w:t>資產</w:t>
      </w:r>
      <w:r w:rsidRPr="000E2DB5">
        <w:rPr>
          <w:rFonts w:ascii="微軟正黑體" w:eastAsia="微軟正黑體" w:hAnsi="微軟正黑體" w:hint="eastAsia"/>
        </w:rPr>
        <w:t>配</w:t>
      </w:r>
      <w:r w:rsidRPr="000E2DB5">
        <w:rPr>
          <w:rFonts w:ascii="微軟正黑體" w:eastAsia="微軟正黑體" w:hAnsi="微軟正黑體" w:hint="eastAsia"/>
          <w:color w:val="000000"/>
        </w:rPr>
        <w:t>置與投資績效情況</w:t>
      </w:r>
    </w:p>
    <w:p w:rsidR="00381C80" w:rsidRDefault="00381C80" w:rsidP="00381C80">
      <w:pPr>
        <w:spacing w:beforeLines="30" w:before="108" w:line="400" w:lineRule="exact"/>
        <w:jc w:val="both"/>
        <w:rPr>
          <w:rFonts w:ascii="微軟正黑體" w:eastAsia="微軟正黑體" w:hAnsi="微軟正黑體"/>
        </w:rPr>
      </w:pPr>
    </w:p>
    <w:p w:rsidR="00381C80" w:rsidRPr="00E923D9" w:rsidRDefault="00381C80" w:rsidP="00381C80">
      <w:pPr>
        <w:spacing w:beforeLines="30" w:before="108" w:line="400" w:lineRule="exact"/>
        <w:jc w:val="both"/>
        <w:rPr>
          <w:rFonts w:ascii="微軟正黑體" w:eastAsia="微軟正黑體" w:hAnsi="微軟正黑體"/>
          <w:kern w:val="0"/>
        </w:rPr>
      </w:pPr>
      <w:r>
        <w:rPr>
          <w:rFonts w:ascii="微軟正黑體" w:eastAsia="微軟正黑體" w:hAnsi="微軟正黑體" w:hint="eastAsia"/>
        </w:rPr>
        <w:t xml:space="preserve">    </w:t>
      </w:r>
      <w:r w:rsidRPr="008D73DD">
        <w:rPr>
          <w:rFonts w:ascii="微軟正黑體" w:eastAsia="微軟正黑體" w:hAnsi="微軟正黑體" w:hint="eastAsia"/>
        </w:rPr>
        <w:t>面對人口老化帶來的給付提高壓力，從圖5可看出，GPIF在資產配置策略上，逐年提高股票及海外資產的配置比重。以國內投資為例，整體投資比重從2010年的81%左右，逐年降至2019年的53%；投資國內債券的比重，也從2010年約67%，快速降</w:t>
      </w:r>
      <w:r w:rsidRPr="00E923D9">
        <w:rPr>
          <w:rFonts w:ascii="微軟正黑體" w:eastAsia="微軟正黑體" w:hAnsi="微軟正黑體" w:hint="eastAsia"/>
          <w:kern w:val="0"/>
        </w:rPr>
        <w:t>到2019年的24%。隨著投資策略轉向強調長期收益性，2010年到2019年的報酬率，多為正報酬率，自2001</w:t>
      </w:r>
      <w:r w:rsidRPr="00BC1914">
        <w:rPr>
          <w:rFonts w:ascii="微軟正黑體" w:eastAsia="微軟正黑體" w:hAnsi="微軟正黑體" w:hint="eastAsia"/>
          <w:kern w:val="0"/>
        </w:rPr>
        <w:t>年</w:t>
      </w:r>
      <w:r w:rsidRPr="00E923D9">
        <w:rPr>
          <w:rFonts w:ascii="微軟正黑體" w:eastAsia="微軟正黑體" w:hAnsi="微軟正黑體" w:hint="eastAsia"/>
          <w:kern w:val="0"/>
        </w:rPr>
        <w:t>到2019年為止，年化的累積報酬率則為2.58%</w:t>
      </w:r>
      <w:r>
        <w:rPr>
          <w:rFonts w:ascii="微軟正黑體" w:eastAsia="微軟正黑體" w:hAnsi="微軟正黑體" w:hint="eastAsia"/>
          <w:kern w:val="0"/>
        </w:rPr>
        <w:t>(</w:t>
      </w:r>
      <w:r w:rsidRPr="00E923D9">
        <w:rPr>
          <w:rFonts w:ascii="微軟正黑體" w:eastAsia="微軟正黑體" w:hAnsi="微軟正黑體" w:hint="eastAsia"/>
          <w:kern w:val="0"/>
        </w:rPr>
        <w:t>GPIF, 2020</w:t>
      </w:r>
      <w:r>
        <w:rPr>
          <w:rFonts w:ascii="微軟正黑體" w:eastAsia="微軟正黑體" w:hAnsi="微軟正黑體" w:hint="eastAsia"/>
          <w:kern w:val="0"/>
        </w:rPr>
        <w:t>)</w:t>
      </w:r>
      <w:r w:rsidRPr="00E923D9">
        <w:rPr>
          <w:rFonts w:ascii="微軟正黑體" w:eastAsia="微軟正黑體" w:hAnsi="微軟正黑體" w:hint="eastAsia"/>
          <w:kern w:val="0"/>
        </w:rPr>
        <w:t>。因此，從GPIF近年來資產配置策略所帶來的投資績效可看出，股票及海外投資固然屬較高風險的資產配置，但若能透過專業投資行為，則可在適度承受風險下創造額外的投資收益財源。</w:t>
      </w:r>
    </w:p>
    <w:p w:rsidR="00381C80" w:rsidRDefault="00381C80" w:rsidP="00381C80">
      <w:pPr>
        <w:spacing w:beforeLines="30" w:before="108" w:line="400" w:lineRule="exact"/>
        <w:rPr>
          <w:rFonts w:ascii="微軟正黑體" w:eastAsia="微軟正黑體" w:hAnsi="微軟正黑體"/>
        </w:rPr>
      </w:pPr>
      <w:r w:rsidRPr="00E923D9">
        <w:rPr>
          <w:rFonts w:ascii="微軟正黑體" w:eastAsia="微軟正黑體" w:hAnsi="微軟正黑體" w:hint="eastAsia"/>
          <w:kern w:val="0"/>
        </w:rPr>
        <w:t xml:space="preserve">    綜合前述，厚生年金自1990年代起，收入面的主要修正方向，包括</w:t>
      </w:r>
      <w:r w:rsidRPr="00B520B8">
        <w:rPr>
          <w:rFonts w:ascii="微軟正黑體" w:eastAsia="微軟正黑體" w:hAnsi="微軟正黑體" w:hint="eastAsia"/>
          <w:b/>
          <w:kern w:val="0"/>
        </w:rPr>
        <w:t>明訂未來費率趨勢、擴大強制納保對象、提高消費稅來強化政府補助的財源及提高基金投資績效</w:t>
      </w:r>
      <w:r w:rsidRPr="00E923D9">
        <w:rPr>
          <w:rFonts w:ascii="微軟正黑體" w:eastAsia="微軟正黑體" w:hAnsi="微軟正黑體" w:hint="eastAsia"/>
          <w:kern w:val="0"/>
        </w:rPr>
        <w:t>等四項措施。截至2019年所顯示的統計數據來看，</w:t>
      </w:r>
      <w:r w:rsidRPr="00B520B8">
        <w:rPr>
          <w:rFonts w:ascii="微軟正黑體" w:eastAsia="微軟正黑體" w:hAnsi="微軟正黑體" w:hint="eastAsia"/>
          <w:b/>
          <w:kern w:val="0"/>
        </w:rPr>
        <w:t>提高費率及擴大納保對象</w:t>
      </w:r>
      <w:r w:rsidRPr="00E923D9">
        <w:rPr>
          <w:rFonts w:ascii="微軟正黑體" w:eastAsia="微軟正黑體" w:hAnsi="微軟正黑體" w:hint="eastAsia"/>
          <w:kern w:val="0"/>
        </w:rPr>
        <w:t>等二項係較能帶來穩定成長財源的措施。不過面對自2017年後不再提高的費率，以及納保對象擴大所帶來的未來相對給付責任，僅仰賴給付面的指數調整因子及年金基金投資績效，能否</w:t>
      </w:r>
      <w:r w:rsidRPr="00E923D9">
        <w:rPr>
          <w:rFonts w:ascii="微軟正黑體" w:eastAsia="微軟正黑體" w:hAnsi="微軟正黑體" w:hint="eastAsia"/>
          <w:kern w:val="0"/>
        </w:rPr>
        <w:lastRenderedPageBreak/>
        <w:t>讓收入面持續足以支應成長中的支出面，將有待時間驗證。至於政府額外財源的部分，</w:t>
      </w:r>
      <w:r w:rsidRPr="008D73DD">
        <w:rPr>
          <w:rFonts w:ascii="微軟正黑體" w:eastAsia="微軟正黑體" w:hAnsi="微軟正黑體" w:hint="eastAsia"/>
        </w:rPr>
        <w:t>由數次提高消費稅的經驗可知，透過單一的指定用途稅來強化政府補助的財源，所能帶來的增益效果相當短暫。因此，是否再尋求其他指定用途稅與消費稅做為搭配性的額外政府補助財源，亦為尚待評估的方向</w:t>
      </w:r>
      <w:r>
        <w:rPr>
          <w:rFonts w:ascii="微軟正黑體" w:eastAsia="微軟正黑體" w:hAnsi="微軟正黑體" w:hint="eastAsia"/>
        </w:rPr>
        <w:t>。</w:t>
      </w:r>
    </w:p>
    <w:p w:rsidR="00381C80" w:rsidRPr="00D175C2" w:rsidRDefault="00381C80" w:rsidP="001A6182">
      <w:pPr>
        <w:spacing w:beforeLines="200" w:before="720" w:line="400" w:lineRule="exact"/>
        <w:ind w:left="480" w:hangingChars="150" w:hanging="480"/>
        <w:jc w:val="center"/>
        <w:rPr>
          <w:rFonts w:ascii="微軟正黑體" w:eastAsia="微軟正黑體" w:hAnsi="微軟正黑體"/>
          <w:sz w:val="32"/>
          <w:szCs w:val="32"/>
        </w:rPr>
      </w:pPr>
      <w:r w:rsidRPr="00BC1914">
        <w:rPr>
          <w:rFonts w:ascii="微軟正黑體" w:eastAsia="微軟正黑體" w:hAnsi="微軟正黑體"/>
          <w:b/>
          <w:sz w:val="32"/>
          <w:szCs w:val="32"/>
        </w:rPr>
        <w:t>伍</w:t>
      </w:r>
      <w:r w:rsidRPr="00A2403E">
        <w:rPr>
          <w:rFonts w:ascii="微軟正黑體" w:eastAsia="微軟正黑體" w:hAnsi="微軟正黑體"/>
          <w:b/>
          <w:sz w:val="32"/>
          <w:szCs w:val="32"/>
        </w:rPr>
        <w:t>、</w:t>
      </w:r>
      <w:r w:rsidRPr="008D73DD">
        <w:rPr>
          <w:rFonts w:ascii="微軟正黑體" w:eastAsia="微軟正黑體" w:hAnsi="微軟正黑體" w:hint="eastAsia"/>
          <w:b/>
          <w:sz w:val="32"/>
          <w:szCs w:val="32"/>
        </w:rPr>
        <w:t>國內勞保老年給付財務運作探討</w:t>
      </w:r>
    </w:p>
    <w:p w:rsidR="00381C80" w:rsidRPr="00390F6A" w:rsidRDefault="00381C80" w:rsidP="00CE5F4E">
      <w:pPr>
        <w:autoSpaceDE w:val="0"/>
        <w:autoSpaceDN w:val="0"/>
        <w:adjustRightInd w:val="0"/>
        <w:spacing w:beforeLines="100" w:before="360" w:line="400" w:lineRule="exact"/>
        <w:jc w:val="both"/>
        <w:rPr>
          <w:rStyle w:val="st"/>
          <w:rFonts w:ascii="微軟正黑體" w:eastAsia="微軟正黑體" w:hAnsi="微軟正黑體"/>
        </w:rPr>
      </w:pPr>
      <w:r>
        <w:rPr>
          <w:rStyle w:val="st"/>
          <w:rFonts w:hint="eastAsia"/>
        </w:rPr>
        <w:t xml:space="preserve">   </w:t>
      </w:r>
      <w:r w:rsidRPr="00067CEB">
        <w:rPr>
          <w:rStyle w:val="st"/>
          <w:rFonts w:hint="eastAsia"/>
        </w:rPr>
        <w:t xml:space="preserve"> </w:t>
      </w:r>
      <w:r w:rsidRPr="00067CEB">
        <w:rPr>
          <w:rStyle w:val="st"/>
          <w:rFonts w:ascii="微軟正黑體" w:eastAsia="微軟正黑體" w:hAnsi="微軟正黑體"/>
        </w:rPr>
        <w:t>國內勞工保險收入面財源主要來自</w:t>
      </w:r>
      <w:r w:rsidRPr="00B520B8">
        <w:rPr>
          <w:rStyle w:val="st"/>
          <w:rFonts w:ascii="微軟正黑體" w:eastAsia="微軟正黑體" w:hAnsi="微軟正黑體"/>
          <w:b/>
        </w:rPr>
        <w:t>勞、資、政三方負擔的保險費</w:t>
      </w:r>
      <w:r w:rsidRPr="00067CEB">
        <w:rPr>
          <w:rStyle w:val="st"/>
          <w:rFonts w:ascii="微軟正黑體" w:eastAsia="微軟正黑體" w:hAnsi="微軟正黑體"/>
        </w:rPr>
        <w:t>，財務處理方式則是採行部</w:t>
      </w:r>
      <w:r w:rsidRPr="00BC1914">
        <w:rPr>
          <w:rStyle w:val="st"/>
          <w:rFonts w:ascii="微軟正黑體" w:eastAsia="微軟正黑體" w:hAnsi="微軟正黑體" w:hint="eastAsia"/>
        </w:rPr>
        <w:t>分</w:t>
      </w:r>
      <w:r w:rsidRPr="00067CEB">
        <w:rPr>
          <w:rStyle w:val="st"/>
          <w:rFonts w:ascii="微軟正黑體" w:eastAsia="微軟正黑體" w:hAnsi="微軟正黑體"/>
        </w:rPr>
        <w:t>儲備</w:t>
      </w:r>
      <w:r w:rsidRPr="00067CEB">
        <w:rPr>
          <w:rStyle w:val="st"/>
          <w:rFonts w:ascii="微軟正黑體" w:eastAsia="微軟正黑體" w:hAnsi="微軟正黑體"/>
          <w:vertAlign w:val="superscript"/>
        </w:rPr>
        <w:footnoteReference w:id="22"/>
      </w:r>
      <w:r w:rsidRPr="00067CEB">
        <w:rPr>
          <w:rStyle w:val="st"/>
          <w:rFonts w:ascii="微軟正黑體" w:eastAsia="微軟正黑體" w:hAnsi="微軟正黑體"/>
        </w:rPr>
        <w:t>。面對人口快速高齡化，勞保雖然自1990年代起開始陸續推動相關收支面修正，但因為勞保老年年金是2008年7月立法通過，並自2009年正式實施，相關收支修正在2008年確立未來進程後，除了2012年將初次投保年齡上限提高到65歲之外</w:t>
      </w:r>
      <w:r w:rsidRPr="00BC1914">
        <w:rPr>
          <w:rStyle w:val="st"/>
          <w:rFonts w:ascii="微軟正黑體" w:eastAsia="微軟正黑體" w:hAnsi="微軟正黑體" w:hint="eastAsia"/>
        </w:rPr>
        <w:t>，</w:t>
      </w:r>
      <w:r w:rsidRPr="00617B66">
        <w:rPr>
          <w:rStyle w:val="st"/>
          <w:rFonts w:ascii="微軟正黑體" w:eastAsia="微軟正黑體" w:hAnsi="微軟正黑體"/>
        </w:rPr>
        <w:t>並</w:t>
      </w:r>
      <w:r w:rsidRPr="00067CEB">
        <w:rPr>
          <w:rStyle w:val="st"/>
          <w:rFonts w:ascii="微軟正黑體" w:eastAsia="微軟正黑體" w:hAnsi="微軟正黑體"/>
        </w:rPr>
        <w:t>無進一步重大調整。因此，近年來勞保普通事故的收支面變動情況，主要是來自於2008年法案的修正影響。</w:t>
      </w:r>
    </w:p>
    <w:p w:rsidR="00381C80" w:rsidRPr="00E923D9" w:rsidRDefault="00381C80" w:rsidP="00381C80">
      <w:pPr>
        <w:spacing w:beforeLines="30" w:before="108" w:line="400" w:lineRule="exact"/>
        <w:jc w:val="both"/>
        <w:rPr>
          <w:rFonts w:ascii="微軟正黑體" w:eastAsia="微軟正黑體" w:hAnsi="微軟正黑體"/>
          <w:kern w:val="0"/>
        </w:rPr>
      </w:pPr>
      <w:r w:rsidRPr="00E923D9">
        <w:rPr>
          <w:rFonts w:ascii="微軟正黑體" w:eastAsia="微軟正黑體" w:hAnsi="微軟正黑體" w:hint="eastAsia"/>
          <w:kern w:val="0"/>
        </w:rPr>
        <w:t xml:space="preserve">    勞保普通事故保險雖然是綜合性保險，但因為老年年金是當中最主要的給付主體，故收入面財源也是以支應老年給付的需求為主。因此，在此即以普通事故保險的收支為基礎，探討勞保老年給付的收入面財務情況。</w:t>
      </w:r>
    </w:p>
    <w:p w:rsidR="00381C80" w:rsidRPr="00390F6A" w:rsidRDefault="00381C80" w:rsidP="00381C80">
      <w:pPr>
        <w:spacing w:beforeLines="50" w:before="180" w:afterLines="50" w:after="180" w:line="400" w:lineRule="exact"/>
        <w:rPr>
          <w:rFonts w:ascii="微軟正黑體" w:eastAsia="微軟正黑體" w:hAnsi="微軟正黑體"/>
          <w:b/>
          <w:sz w:val="28"/>
          <w:szCs w:val="28"/>
        </w:rPr>
      </w:pPr>
      <w:r w:rsidRPr="00390F6A">
        <w:rPr>
          <w:rFonts w:ascii="微軟正黑體" w:eastAsia="微軟正黑體" w:hAnsi="微軟正黑體" w:hint="eastAsia"/>
          <w:b/>
          <w:sz w:val="28"/>
          <w:szCs w:val="28"/>
        </w:rPr>
        <w:t>一、勞保普通事故保險財務概況</w:t>
      </w: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r w:rsidRPr="00390F6A">
        <w:rPr>
          <w:rFonts w:ascii="微軟正黑體" w:eastAsia="微軟正黑體" w:hAnsi="微軟正黑體" w:hint="eastAsia"/>
        </w:rPr>
        <w:t xml:space="preserve">    從圖6可知，從整體普通事故收支面來看，2008年、2012年及2013年之所以出現較高的給付金額及年成長率，分別是因為老年給付年金化實施在即，及2012年勞保精算報告指出制度財務危機迫在眉睫，讓年長被保險人對年金給付的長期持續性失去信心，而出現選擇提領一次給付金並退保的請領潮，而使制度財務出現當年度赤字。</w:t>
      </w:r>
      <w:r w:rsidRPr="00067CEB">
        <w:rPr>
          <w:rFonts w:ascii="微軟正黑體" w:eastAsia="微軟正黑體" w:hAnsi="微軟正黑體"/>
        </w:rPr>
        <w:t>隨著</w:t>
      </w:r>
      <w:r w:rsidRPr="00BC1914">
        <w:rPr>
          <w:rFonts w:ascii="微軟正黑體" w:eastAsia="微軟正黑體" w:hAnsi="微軟正黑體" w:hint="eastAsia"/>
        </w:rPr>
        <w:t>兩</w:t>
      </w:r>
      <w:r w:rsidRPr="00067CEB">
        <w:rPr>
          <w:rFonts w:ascii="微軟正黑體" w:eastAsia="微軟正黑體" w:hAnsi="微軟正黑體"/>
        </w:rPr>
        <w:t>波短期退保潮結束，自2014年起，雖然開始出現當年度的收支盈餘，不過人口老化進而帶動老年年金請領人數增加的同時</w:t>
      </w:r>
      <w:r w:rsidRPr="00067CEB">
        <w:rPr>
          <w:rFonts w:ascii="微軟正黑體" w:eastAsia="微軟正黑體" w:hAnsi="微軟正黑體"/>
          <w:vertAlign w:val="superscript"/>
        </w:rPr>
        <w:footnoteReference w:id="23"/>
      </w:r>
      <w:r w:rsidRPr="00067CEB">
        <w:rPr>
          <w:rFonts w:ascii="微軟正黑體" w:eastAsia="微軟正黑體" w:hAnsi="微軟正黑體"/>
        </w:rPr>
        <w:t>，同步帶動普通事故保險給付金額的快速增加，但因為保險費收入沒有等同的增加幅度，故讓制度財務很快的在2016年再度出現當年度赤字，一路持續並擴大到2020年。因此，接著分析收入面變動對於近年來普通事故保險連續出現當年度赤字的影響。</w:t>
      </w: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r>
        <w:rPr>
          <w:noProof/>
        </w:rPr>
        <w:lastRenderedPageBreak/>
        <w:drawing>
          <wp:anchor distT="0" distB="0" distL="114300" distR="114300" simplePos="0" relativeHeight="252489728" behindDoc="0" locked="0" layoutInCell="1" allowOverlap="1" wp14:anchorId="565C5E9A" wp14:editId="30A626AB">
            <wp:simplePos x="0" y="0"/>
            <wp:positionH relativeFrom="column">
              <wp:posOffset>-66675</wp:posOffset>
            </wp:positionH>
            <wp:positionV relativeFrom="paragraph">
              <wp:posOffset>-34290</wp:posOffset>
            </wp:positionV>
            <wp:extent cx="5765800" cy="2919095"/>
            <wp:effectExtent l="0" t="0" r="1270" b="0"/>
            <wp:wrapNone/>
            <wp:docPr id="21532" name="圖表 215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14:sizeRelH relativeFrom="page">
              <wp14:pctWidth>0</wp14:pctWidth>
            </wp14:sizeRelH>
            <wp14:sizeRelV relativeFrom="page">
              <wp14:pctHeight>0</wp14:pctHeight>
            </wp14:sizeRelV>
          </wp:anchor>
        </w:drawing>
      </w: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snapToGrid w:val="0"/>
        <w:spacing w:beforeLines="100" w:before="360" w:line="240" w:lineRule="atLeast"/>
        <w:contextualSpacing/>
        <w:rPr>
          <w:rFonts w:eastAsia="標楷體"/>
          <w:color w:val="000000"/>
          <w:sz w:val="16"/>
          <w:szCs w:val="16"/>
        </w:rPr>
      </w:pPr>
    </w:p>
    <w:p w:rsidR="00381C80" w:rsidRDefault="00381C80" w:rsidP="00381C80">
      <w:pPr>
        <w:snapToGrid w:val="0"/>
        <w:spacing w:line="320" w:lineRule="exact"/>
        <w:contextualSpacing/>
        <w:rPr>
          <w:rFonts w:ascii="微軟正黑體" w:eastAsia="微軟正黑體" w:hAnsi="微軟正黑體"/>
          <w:color w:val="000000"/>
          <w:sz w:val="20"/>
          <w:szCs w:val="20"/>
        </w:rPr>
      </w:pPr>
    </w:p>
    <w:p w:rsidR="00381C80" w:rsidRDefault="00381C80" w:rsidP="00381C80">
      <w:pPr>
        <w:snapToGrid w:val="0"/>
        <w:spacing w:line="320" w:lineRule="exact"/>
        <w:contextualSpacing/>
        <w:rPr>
          <w:rFonts w:ascii="微軟正黑體" w:eastAsia="微軟正黑體" w:hAnsi="微軟正黑體"/>
          <w:color w:val="000000"/>
          <w:sz w:val="20"/>
          <w:szCs w:val="20"/>
        </w:rPr>
      </w:pPr>
      <w:r w:rsidRPr="0054706D">
        <w:rPr>
          <w:rFonts w:ascii="微軟正黑體" w:eastAsia="微軟正黑體" w:hAnsi="微軟正黑體" w:hint="eastAsia"/>
          <w:color w:val="000000"/>
          <w:sz w:val="20"/>
          <w:szCs w:val="20"/>
        </w:rPr>
        <w:t>資料來源</w:t>
      </w:r>
      <w:bookmarkStart w:id="49" w:name="_Hlk82525950"/>
      <w:r>
        <w:rPr>
          <w:rFonts w:ascii="微軟正黑體" w:eastAsia="微軟正黑體" w:hAnsi="微軟正黑體" w:hint="eastAsia"/>
          <w:color w:val="000000"/>
          <w:sz w:val="20"/>
          <w:szCs w:val="20"/>
        </w:rPr>
        <w:t>：勞工保險局(</w:t>
      </w:r>
      <w:r w:rsidRPr="0054706D">
        <w:rPr>
          <w:rFonts w:ascii="微軟正黑體" w:eastAsia="微軟正黑體" w:hAnsi="微軟正黑體" w:hint="eastAsia"/>
          <w:color w:val="000000"/>
          <w:sz w:val="20"/>
          <w:szCs w:val="20"/>
        </w:rPr>
        <w:t>20</w:t>
      </w:r>
      <w:r w:rsidRPr="0054706D">
        <w:rPr>
          <w:rFonts w:ascii="微軟正黑體" w:eastAsia="微軟正黑體" w:hAnsi="微軟正黑體"/>
          <w:color w:val="000000"/>
          <w:sz w:val="20"/>
          <w:szCs w:val="20"/>
        </w:rPr>
        <w:t>21b</w:t>
      </w:r>
      <w:bookmarkEnd w:id="49"/>
      <w:r>
        <w:rPr>
          <w:rFonts w:ascii="微軟正黑體" w:eastAsia="微軟正黑體" w:hAnsi="微軟正黑體" w:hint="eastAsia"/>
          <w:color w:val="000000"/>
          <w:sz w:val="20"/>
          <w:szCs w:val="20"/>
        </w:rPr>
        <w:t>)</w:t>
      </w:r>
      <w:r w:rsidRPr="0054706D">
        <w:rPr>
          <w:rFonts w:ascii="微軟正黑體" w:eastAsia="微軟正黑體" w:hAnsi="微軟正黑體" w:hint="eastAsia"/>
          <w:color w:val="000000"/>
          <w:sz w:val="20"/>
          <w:szCs w:val="20"/>
        </w:rPr>
        <w:t>。</w:t>
      </w:r>
    </w:p>
    <w:p w:rsidR="00381C80" w:rsidRDefault="00381C80" w:rsidP="00381C80">
      <w:pPr>
        <w:snapToGrid w:val="0"/>
        <w:spacing w:line="240" w:lineRule="exact"/>
        <w:contextualSpacing/>
        <w:rPr>
          <w:rFonts w:ascii="微軟正黑體" w:eastAsia="微軟正黑體" w:hAnsi="微軟正黑體"/>
          <w:color w:val="000000"/>
          <w:sz w:val="20"/>
          <w:szCs w:val="20"/>
        </w:rPr>
      </w:pPr>
    </w:p>
    <w:p w:rsidR="00381C80" w:rsidRPr="000E2DB5" w:rsidRDefault="00381C80" w:rsidP="00381C80">
      <w:pPr>
        <w:spacing w:line="400" w:lineRule="exact"/>
        <w:jc w:val="center"/>
        <w:rPr>
          <w:rFonts w:ascii="微軟正黑體" w:eastAsia="微軟正黑體" w:hAnsi="微軟正黑體"/>
          <w:color w:val="000000"/>
        </w:rPr>
      </w:pPr>
      <w:r w:rsidRPr="000E2DB5">
        <w:rPr>
          <w:rFonts w:ascii="微軟正黑體" w:eastAsia="微軟正黑體" w:hAnsi="微軟正黑體"/>
          <w:color w:val="000000"/>
        </w:rPr>
        <w:t>圖6  200</w:t>
      </w:r>
      <w:r w:rsidRPr="000E2DB5">
        <w:rPr>
          <w:rFonts w:ascii="微軟正黑體" w:eastAsia="微軟正黑體" w:hAnsi="微軟正黑體" w:hint="eastAsia"/>
          <w:color w:val="000000"/>
        </w:rPr>
        <w:t>8</w:t>
      </w:r>
      <w:r w:rsidRPr="000E2DB5">
        <w:rPr>
          <w:rFonts w:ascii="微軟正黑體" w:eastAsia="微軟正黑體" w:hAnsi="微軟正黑體"/>
          <w:color w:val="000000"/>
        </w:rPr>
        <w:t>年到2020年間</w:t>
      </w:r>
      <w:r w:rsidRPr="000E2DB5">
        <w:rPr>
          <w:rFonts w:ascii="微軟正黑體" w:eastAsia="微軟正黑體" w:hAnsi="微軟正黑體" w:hint="eastAsia"/>
          <w:color w:val="000000"/>
        </w:rPr>
        <w:t>勞保普通事故保險</w:t>
      </w:r>
      <w:r w:rsidRPr="000E2DB5">
        <w:rPr>
          <w:rFonts w:ascii="微軟正黑體" w:eastAsia="微軟正黑體" w:hAnsi="微軟正黑體"/>
          <w:color w:val="000000"/>
        </w:rPr>
        <w:t>收支概況</w:t>
      </w:r>
    </w:p>
    <w:p w:rsidR="00381C80" w:rsidRPr="00390F6A" w:rsidRDefault="00381C80" w:rsidP="00381C80">
      <w:pPr>
        <w:snapToGrid w:val="0"/>
        <w:spacing w:beforeLines="100" w:before="360" w:line="240" w:lineRule="atLeast"/>
        <w:contextualSpacing/>
        <w:rPr>
          <w:rFonts w:eastAsia="標楷體"/>
          <w:color w:val="000000"/>
          <w:sz w:val="16"/>
          <w:szCs w:val="16"/>
        </w:rPr>
      </w:pPr>
    </w:p>
    <w:p w:rsidR="00381C80" w:rsidRPr="00390F6A" w:rsidRDefault="00381C80" w:rsidP="00381C80">
      <w:pPr>
        <w:spacing w:beforeLines="100" w:before="360" w:afterLines="50" w:after="180" w:line="400" w:lineRule="exact"/>
        <w:rPr>
          <w:rFonts w:ascii="微軟正黑體" w:eastAsia="微軟正黑體" w:hAnsi="微軟正黑體"/>
          <w:b/>
          <w:sz w:val="28"/>
          <w:szCs w:val="28"/>
        </w:rPr>
      </w:pPr>
      <w:r>
        <w:rPr>
          <w:rFonts w:ascii="微軟正黑體" w:eastAsia="微軟正黑體" w:hAnsi="微軟正黑體" w:hint="eastAsia"/>
          <w:b/>
          <w:sz w:val="28"/>
          <w:szCs w:val="28"/>
        </w:rPr>
        <w:t>二、</w:t>
      </w:r>
      <w:r w:rsidRPr="00390F6A">
        <w:rPr>
          <w:rFonts w:ascii="微軟正黑體" w:eastAsia="微軟正黑體" w:hAnsi="微軟正黑體" w:hint="eastAsia"/>
          <w:b/>
          <w:sz w:val="28"/>
          <w:szCs w:val="28"/>
        </w:rPr>
        <w:t>勞保普通事故保險收入面運作情況</w:t>
      </w:r>
    </w:p>
    <w:p w:rsidR="00381C80" w:rsidRPr="000D2D89" w:rsidRDefault="00381C80" w:rsidP="00381C80">
      <w:pPr>
        <w:spacing w:beforeLines="30" w:before="108" w:line="400" w:lineRule="exact"/>
        <w:jc w:val="both"/>
        <w:rPr>
          <w:rFonts w:ascii="微軟正黑體" w:eastAsia="微軟正黑體" w:hAnsi="微軟正黑體"/>
          <w:kern w:val="0"/>
        </w:rPr>
      </w:pPr>
      <w:r w:rsidRPr="000D2D89">
        <w:rPr>
          <w:rFonts w:ascii="微軟正黑體" w:eastAsia="微軟正黑體" w:hAnsi="微軟正黑體" w:hint="eastAsia"/>
          <w:kern w:val="0"/>
        </w:rPr>
        <w:t xml:space="preserve">    </w:t>
      </w:r>
      <w:r w:rsidRPr="000D2D89">
        <w:rPr>
          <w:rFonts w:ascii="微軟正黑體" w:eastAsia="微軟正黑體" w:hAnsi="微軟正黑體"/>
          <w:kern w:val="0"/>
        </w:rPr>
        <w:t>勞保普通事故保險的財源，主要來自於勞、資、</w:t>
      </w:r>
      <w:r>
        <w:rPr>
          <w:rFonts w:ascii="微軟正黑體" w:eastAsia="微軟正黑體" w:hAnsi="微軟正黑體"/>
          <w:kern w:val="0"/>
        </w:rPr>
        <w:t>政三方負擔的保險費與基金投資收益，財務處理方式採行部份提存準備</w:t>
      </w:r>
      <w:r>
        <w:rPr>
          <w:rFonts w:ascii="微軟正黑體" w:eastAsia="微軟正黑體" w:hAnsi="微軟正黑體" w:hint="eastAsia"/>
          <w:kern w:val="0"/>
        </w:rPr>
        <w:t>(</w:t>
      </w:r>
      <w:r w:rsidRPr="000D2D89">
        <w:rPr>
          <w:rFonts w:ascii="微軟正黑體" w:eastAsia="微軟正黑體" w:hAnsi="微軟正黑體"/>
          <w:kern w:val="0"/>
        </w:rPr>
        <w:t>修正隨收隨付制</w:t>
      </w:r>
      <w:r>
        <w:rPr>
          <w:rFonts w:ascii="微軟正黑體" w:eastAsia="微軟正黑體" w:hAnsi="微軟正黑體" w:hint="eastAsia"/>
          <w:kern w:val="0"/>
        </w:rPr>
        <w:t>)</w:t>
      </w:r>
      <w:r w:rsidRPr="00B520B8">
        <w:rPr>
          <w:rFonts w:ascii="微軟正黑體" w:eastAsia="微軟正黑體" w:hAnsi="微軟正黑體"/>
          <w:kern w:val="0"/>
          <w:vertAlign w:val="superscript"/>
        </w:rPr>
        <w:footnoteReference w:id="24"/>
      </w:r>
      <w:r w:rsidRPr="000D2D89">
        <w:rPr>
          <w:rFonts w:ascii="微軟正黑體" w:eastAsia="微軟正黑體" w:hAnsi="微軟正黑體"/>
          <w:kern w:val="0"/>
        </w:rPr>
        <w:t>。政府負擔包括：</w:t>
      </w:r>
      <w:r w:rsidRPr="00B520B8">
        <w:rPr>
          <w:rFonts w:ascii="微軟正黑體" w:eastAsia="微軟正黑體" w:hAnsi="微軟正黑體"/>
          <w:b/>
          <w:kern w:val="0"/>
        </w:rPr>
        <w:t>法定的保險費分擔額、業務費</w:t>
      </w:r>
      <w:r w:rsidRPr="00B520B8">
        <w:rPr>
          <w:rFonts w:ascii="微軟正黑體" w:eastAsia="微軟正黑體" w:hAnsi="微軟正黑體"/>
          <w:b/>
          <w:kern w:val="0"/>
          <w:vertAlign w:val="superscript"/>
        </w:rPr>
        <w:footnoteReference w:id="25"/>
      </w:r>
      <w:r w:rsidRPr="00B520B8">
        <w:rPr>
          <w:rFonts w:ascii="微軟正黑體" w:eastAsia="微軟正黑體" w:hAnsi="微軟正黑體"/>
          <w:b/>
          <w:kern w:val="0"/>
        </w:rPr>
        <w:t>及最終的虧損撥補責任</w:t>
      </w:r>
      <w:r w:rsidRPr="00B520B8">
        <w:rPr>
          <w:rFonts w:ascii="微軟正黑體" w:eastAsia="微軟正黑體" w:hAnsi="微軟正黑體"/>
          <w:b/>
          <w:kern w:val="0"/>
          <w:vertAlign w:val="superscript"/>
        </w:rPr>
        <w:footnoteReference w:id="26"/>
      </w:r>
      <w:r w:rsidRPr="000D2D89">
        <w:rPr>
          <w:rFonts w:ascii="微軟正黑體" w:eastAsia="微軟正黑體" w:hAnsi="微軟正黑體"/>
          <w:kern w:val="0"/>
        </w:rPr>
        <w:t>。因資料取得限制，在此僅能單就普通事故保險費的相關財源及基金收益，探討趨勢變動。</w:t>
      </w:r>
    </w:p>
    <w:p w:rsidR="00381C80" w:rsidRPr="000D2D89" w:rsidRDefault="00381C80" w:rsidP="00BD50E5">
      <w:pPr>
        <w:numPr>
          <w:ilvl w:val="1"/>
          <w:numId w:val="46"/>
        </w:numPr>
        <w:spacing w:beforeLines="30" w:before="108" w:line="400" w:lineRule="exact"/>
        <w:ind w:left="284" w:hanging="284"/>
        <w:jc w:val="both"/>
        <w:rPr>
          <w:rFonts w:ascii="微軟正黑體" w:eastAsia="微軟正黑體" w:hAnsi="微軟正黑體"/>
          <w:kern w:val="0"/>
        </w:rPr>
      </w:pPr>
      <w:r w:rsidRPr="000D2D89">
        <w:rPr>
          <w:rFonts w:ascii="微軟正黑體" w:eastAsia="微軟正黑體" w:hAnsi="微軟正黑體" w:hint="eastAsia"/>
          <w:kern w:val="0"/>
        </w:rPr>
        <w:t>保險費收入</w:t>
      </w:r>
    </w:p>
    <w:p w:rsidR="00381C80" w:rsidRDefault="00381C80" w:rsidP="00381C80">
      <w:pPr>
        <w:spacing w:beforeLines="30" w:before="108" w:line="400" w:lineRule="exact"/>
        <w:jc w:val="both"/>
        <w:rPr>
          <w:rFonts w:ascii="微軟正黑體" w:eastAsia="微軟正黑體" w:hAnsi="微軟正黑體"/>
          <w:kern w:val="0"/>
        </w:rPr>
      </w:pPr>
      <w:r w:rsidRPr="000D2D89">
        <w:rPr>
          <w:rFonts w:ascii="微軟正黑體" w:eastAsia="微軟正黑體" w:hAnsi="微軟正黑體" w:hint="eastAsia"/>
          <w:kern w:val="0"/>
        </w:rPr>
        <w:t xml:space="preserve">    由圖7可發現，2009年到2020年間保險費收入逐年成長的主要帶動因素，是保險費率依規定逐年調升。被保險人人數的年成長率，除了2012年因為勞保精算報告指出，制度財務危機所帶來的高齡被保險人提早退保潮，以致年成長率為負值外，其餘年度雖為正值，但已呈現下降趨勢。不過同樣是短期性制度因素所帶來的退保潮，從圖7可看出，2008年及2012年之後成長率的持續回升，都僅維持2年，其後分別自2011年及2015年起，成長率幅度均開始縮小。整體而言，2013</w:t>
      </w:r>
      <w:r>
        <w:rPr>
          <w:rFonts w:ascii="微軟正黑體" w:eastAsia="微軟正黑體" w:hAnsi="微軟正黑體" w:hint="eastAsia"/>
          <w:kern w:val="0"/>
        </w:rPr>
        <w:t>年後的年度成長率回升幅度(</w:t>
      </w:r>
      <w:r w:rsidRPr="000D2D89">
        <w:rPr>
          <w:rFonts w:ascii="微軟正黑體" w:eastAsia="微軟正黑體" w:hAnsi="微軟正黑體" w:hint="eastAsia"/>
          <w:kern w:val="0"/>
        </w:rPr>
        <w:t>2013年至2018年間，約介於1.79%至0.37%</w:t>
      </w:r>
      <w:r>
        <w:rPr>
          <w:rFonts w:ascii="微軟正黑體" w:eastAsia="微軟正黑體" w:hAnsi="微軟正黑體" w:hint="eastAsia"/>
          <w:kern w:val="0"/>
        </w:rPr>
        <w:t>間)</w:t>
      </w:r>
      <w:r w:rsidRPr="000D2D89">
        <w:rPr>
          <w:rFonts w:ascii="微軟正黑體" w:eastAsia="微軟正黑體" w:hAnsi="微軟正黑體" w:hint="eastAsia"/>
          <w:kern w:val="0"/>
        </w:rPr>
        <w:t>，明顯低於2009</w:t>
      </w:r>
      <w:r>
        <w:rPr>
          <w:rFonts w:ascii="微軟正黑體" w:eastAsia="微軟正黑體" w:hAnsi="微軟正黑體" w:hint="eastAsia"/>
          <w:kern w:val="0"/>
        </w:rPr>
        <w:t>年之後的年度(</w:t>
      </w:r>
      <w:r w:rsidRPr="000D2D89">
        <w:rPr>
          <w:rFonts w:ascii="微軟正黑體" w:eastAsia="微軟正黑體" w:hAnsi="微軟正黑體" w:hint="eastAsia"/>
          <w:kern w:val="0"/>
        </w:rPr>
        <w:t>2009年至2011年間，約介於2.66%至4.08%</w:t>
      </w:r>
      <w:r>
        <w:rPr>
          <w:rFonts w:ascii="微軟正黑體" w:eastAsia="微軟正黑體" w:hAnsi="微軟正黑體" w:hint="eastAsia"/>
          <w:kern w:val="0"/>
        </w:rPr>
        <w:t>間)。若再一步比較這</w:t>
      </w:r>
      <w:r w:rsidRPr="00BC1914">
        <w:rPr>
          <w:rFonts w:ascii="微軟正黑體" w:eastAsia="微軟正黑體" w:hAnsi="微軟正黑體" w:hint="eastAsia"/>
          <w:kern w:val="0"/>
        </w:rPr>
        <w:t>兩</w:t>
      </w:r>
      <w:r w:rsidRPr="000D2D89">
        <w:rPr>
          <w:rFonts w:ascii="微軟正黑體" w:eastAsia="微軟正黑體" w:hAnsi="微軟正黑體" w:hint="eastAsia"/>
          <w:kern w:val="0"/>
        </w:rPr>
        <w:t>段期間的失業率，2013年至2018年間約介於4.18%至3.76%間，2009年至2012年間則是約在5.85%</w:t>
      </w:r>
      <w:r w:rsidRPr="000D2D89">
        <w:rPr>
          <w:rFonts w:ascii="微軟正黑體" w:eastAsia="微軟正黑體" w:hAnsi="微軟正黑體" w:hint="eastAsia"/>
          <w:kern w:val="0"/>
        </w:rPr>
        <w:lastRenderedPageBreak/>
        <w:t>至4.24%</w:t>
      </w:r>
      <w:r>
        <w:rPr>
          <w:rFonts w:ascii="微軟正黑體" w:eastAsia="微軟正黑體" w:hAnsi="微軟正黑體" w:hint="eastAsia"/>
          <w:kern w:val="0"/>
        </w:rPr>
        <w:t>之間(</w:t>
      </w:r>
      <w:r w:rsidRPr="000D2D89">
        <w:rPr>
          <w:rFonts w:ascii="微軟正黑體" w:eastAsia="微軟正黑體" w:hAnsi="微軟正黑體" w:hint="eastAsia"/>
          <w:kern w:val="0"/>
        </w:rPr>
        <w:t>行政院主計</w:t>
      </w:r>
      <w:r w:rsidRPr="00BC1914">
        <w:rPr>
          <w:rFonts w:ascii="微軟正黑體" w:eastAsia="微軟正黑體" w:hAnsi="微軟正黑體" w:hint="eastAsia"/>
          <w:kern w:val="0"/>
        </w:rPr>
        <w:t>總</w:t>
      </w:r>
      <w:r w:rsidRPr="000D2D89">
        <w:rPr>
          <w:rFonts w:ascii="微軟正黑體" w:eastAsia="微軟正黑體" w:hAnsi="微軟正黑體" w:hint="eastAsia"/>
          <w:kern w:val="0"/>
        </w:rPr>
        <w:t>處，</w:t>
      </w:r>
      <w:r w:rsidRPr="00BC1914">
        <w:rPr>
          <w:rFonts w:ascii="微軟正黑體" w:eastAsia="微軟正黑體" w:hAnsi="微軟正黑體" w:hint="eastAsia"/>
          <w:kern w:val="0"/>
        </w:rPr>
        <w:t>2021)</w:t>
      </w:r>
      <w:r w:rsidRPr="000D2D89">
        <w:rPr>
          <w:rFonts w:ascii="微軟正黑體" w:eastAsia="微軟正黑體" w:hAnsi="微軟正黑體" w:hint="eastAsia"/>
          <w:kern w:val="0"/>
        </w:rPr>
        <w:t>，前者失業率平均低於後者。由此初步可見，近10年來國內未見明顯改善的失業率情況，固然是導致被保險人人數成長率未能持續成長的原因之一，但從2009年至2011年間在較高失業率下，卻比2013年至2017年間有較高的被保險人人數成長率，可知悉少子化趨勢，隱然已經成為除了失業率外，另一個衝擊被保險人人數成長率的重要因素。</w:t>
      </w:r>
    </w:p>
    <w:p w:rsidR="00381C80" w:rsidRPr="000D2D89" w:rsidRDefault="00381C80" w:rsidP="00381C80">
      <w:pPr>
        <w:spacing w:beforeLines="30" w:before="108" w:line="400" w:lineRule="exact"/>
        <w:jc w:val="both"/>
        <w:rPr>
          <w:rFonts w:ascii="微軟正黑體" w:eastAsia="微軟正黑體" w:hAnsi="微軟正黑體"/>
          <w:kern w:val="0"/>
        </w:rPr>
      </w:pPr>
      <w:r>
        <w:rPr>
          <w:noProof/>
        </w:rPr>
        <w:drawing>
          <wp:anchor distT="0" distB="0" distL="114300" distR="114300" simplePos="0" relativeHeight="252490752" behindDoc="0" locked="0" layoutInCell="1" allowOverlap="1" wp14:anchorId="71263719" wp14:editId="621CB723">
            <wp:simplePos x="0" y="0"/>
            <wp:positionH relativeFrom="margin">
              <wp:posOffset>-24130</wp:posOffset>
            </wp:positionH>
            <wp:positionV relativeFrom="paragraph">
              <wp:posOffset>250190</wp:posOffset>
            </wp:positionV>
            <wp:extent cx="5668645" cy="2941320"/>
            <wp:effectExtent l="0" t="1905" r="0" b="0"/>
            <wp:wrapNone/>
            <wp:docPr id="21531" name="圖表 215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14:sizeRelH relativeFrom="page">
              <wp14:pctWidth>0</wp14:pctWidth>
            </wp14:sizeRelH>
            <wp14:sizeRelV relativeFrom="margin">
              <wp14:pctHeight>0</wp14:pctHeight>
            </wp14:sizeRelV>
          </wp:anchor>
        </w:drawing>
      </w: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snapToGrid w:val="0"/>
        <w:spacing w:line="240" w:lineRule="exact"/>
        <w:contextualSpacing/>
        <w:rPr>
          <w:rFonts w:ascii="微軟正黑體" w:eastAsia="微軟正黑體" w:hAnsi="微軟正黑體"/>
          <w:color w:val="000000"/>
          <w:sz w:val="20"/>
          <w:szCs w:val="20"/>
        </w:rPr>
      </w:pPr>
      <w:r w:rsidRPr="00617B66">
        <w:rPr>
          <w:rFonts w:ascii="微軟正黑體" w:eastAsia="微軟正黑體" w:hAnsi="微軟正黑體" w:hint="eastAsia"/>
          <w:color w:val="000000"/>
          <w:sz w:val="20"/>
          <w:szCs w:val="20"/>
        </w:rPr>
        <w:t>資料來源</w:t>
      </w:r>
      <w:bookmarkStart w:id="50" w:name="_Hlk83761406"/>
      <w:r w:rsidRPr="00617B66">
        <w:rPr>
          <w:rFonts w:ascii="微軟正黑體" w:eastAsia="微軟正黑體" w:hAnsi="微軟正黑體" w:hint="eastAsia"/>
          <w:color w:val="000000"/>
          <w:sz w:val="20"/>
          <w:szCs w:val="20"/>
        </w:rPr>
        <w:t>：勞工保險局(20</w:t>
      </w:r>
      <w:r w:rsidRPr="00617B66">
        <w:rPr>
          <w:rFonts w:ascii="微軟正黑體" w:eastAsia="微軟正黑體" w:hAnsi="微軟正黑體"/>
          <w:color w:val="000000"/>
          <w:sz w:val="20"/>
          <w:szCs w:val="20"/>
        </w:rPr>
        <w:t>21b</w:t>
      </w:r>
      <w:bookmarkEnd w:id="50"/>
      <w:r w:rsidRPr="00617B66">
        <w:rPr>
          <w:rFonts w:ascii="微軟正黑體" w:eastAsia="微軟正黑體" w:hAnsi="微軟正黑體" w:hint="eastAsia"/>
          <w:color w:val="000000"/>
          <w:sz w:val="20"/>
          <w:szCs w:val="20"/>
        </w:rPr>
        <w:t>)。</w:t>
      </w:r>
    </w:p>
    <w:p w:rsidR="00381C80" w:rsidRPr="00617B66" w:rsidRDefault="00381C80" w:rsidP="00381C80">
      <w:pPr>
        <w:snapToGrid w:val="0"/>
        <w:spacing w:line="240" w:lineRule="exact"/>
        <w:contextualSpacing/>
        <w:rPr>
          <w:rFonts w:ascii="微軟正黑體" w:eastAsia="微軟正黑體" w:hAnsi="微軟正黑體"/>
          <w:color w:val="000000"/>
          <w:sz w:val="20"/>
          <w:szCs w:val="20"/>
        </w:rPr>
      </w:pPr>
    </w:p>
    <w:p w:rsidR="00381C80" w:rsidRPr="000E2DB5" w:rsidRDefault="00381C80" w:rsidP="00381C80">
      <w:pPr>
        <w:spacing w:line="400" w:lineRule="exact"/>
        <w:jc w:val="center"/>
        <w:rPr>
          <w:rFonts w:ascii="微軟正黑體" w:eastAsia="微軟正黑體" w:hAnsi="微軟正黑體"/>
          <w:color w:val="000000"/>
        </w:rPr>
      </w:pPr>
      <w:r w:rsidRPr="000E2DB5">
        <w:rPr>
          <w:rFonts w:ascii="微軟正黑體" w:eastAsia="微軟正黑體" w:hAnsi="微軟正黑體"/>
          <w:color w:val="000000"/>
        </w:rPr>
        <w:t>圖</w:t>
      </w:r>
      <w:r w:rsidRPr="000E2DB5">
        <w:rPr>
          <w:rFonts w:ascii="微軟正黑體" w:eastAsia="微軟正黑體" w:hAnsi="微軟正黑體" w:hint="eastAsia"/>
          <w:color w:val="000000"/>
        </w:rPr>
        <w:t>7</w:t>
      </w:r>
      <w:r w:rsidRPr="000E2DB5">
        <w:rPr>
          <w:rFonts w:ascii="微軟正黑體" w:eastAsia="微軟正黑體" w:hAnsi="微軟正黑體"/>
          <w:color w:val="000000"/>
        </w:rPr>
        <w:t xml:space="preserve">  200</w:t>
      </w:r>
      <w:r w:rsidRPr="000E2DB5">
        <w:rPr>
          <w:rFonts w:ascii="微軟正黑體" w:eastAsia="微軟正黑體" w:hAnsi="微軟正黑體" w:hint="eastAsia"/>
          <w:color w:val="000000"/>
        </w:rPr>
        <w:t>9</w:t>
      </w:r>
      <w:r w:rsidRPr="000E2DB5">
        <w:rPr>
          <w:rFonts w:ascii="微軟正黑體" w:eastAsia="微軟正黑體" w:hAnsi="微軟正黑體"/>
          <w:color w:val="000000"/>
        </w:rPr>
        <w:t>年到2020年間</w:t>
      </w:r>
      <w:r w:rsidRPr="000E2DB5">
        <w:rPr>
          <w:rFonts w:ascii="微軟正黑體" w:eastAsia="微軟正黑體" w:hAnsi="微軟正黑體" w:hint="eastAsia"/>
          <w:color w:val="000000"/>
        </w:rPr>
        <w:t>普通事故保險費收入</w:t>
      </w:r>
      <w:r w:rsidRPr="000E2DB5">
        <w:rPr>
          <w:rFonts w:ascii="微軟正黑體" w:eastAsia="微軟正黑體" w:hAnsi="微軟正黑體"/>
          <w:color w:val="000000"/>
        </w:rPr>
        <w:t>概況</w:t>
      </w:r>
    </w:p>
    <w:p w:rsidR="00381C80" w:rsidRPr="00067CEB"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spacing w:beforeLines="30" w:before="108" w:line="400" w:lineRule="exact"/>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平均投保薪資方面，從圖7可看出，除了2009年受到2008年美國次貸事件波及，出現小幅的負成長率，其餘年度均是正成長率。自2011年起，投保薪資等級第一級的金額，除2016年外，每年都會隨著基本工資的調升而提</w:t>
      </w:r>
      <w:r w:rsidRPr="00BC1914">
        <w:rPr>
          <w:rFonts w:ascii="微軟正黑體" w:eastAsia="微軟正黑體" w:hAnsi="微軟正黑體"/>
          <w:kern w:val="0"/>
        </w:rPr>
        <w:t>高</w:t>
      </w:r>
      <w:r w:rsidRPr="00BC1914">
        <w:rPr>
          <w:rFonts w:ascii="微軟正黑體" w:eastAsia="微軟正黑體" w:hAnsi="微軟正黑體" w:hint="eastAsia"/>
          <w:kern w:val="0"/>
        </w:rPr>
        <w:t>，</w:t>
      </w:r>
      <w:r w:rsidRPr="000D2D89">
        <w:rPr>
          <w:rFonts w:ascii="微軟正黑體" w:eastAsia="微軟正黑體" w:hAnsi="微軟正黑體"/>
          <w:kern w:val="0"/>
        </w:rPr>
        <w:t>且各級投保薪資的被保險人人數占全體被保險人比率，第一級的比率也往往是最高或次高</w:t>
      </w:r>
      <w:r w:rsidRPr="00B520B8">
        <w:rPr>
          <w:rFonts w:ascii="微軟正黑體" w:eastAsia="微軟正黑體" w:hAnsi="微軟正黑體"/>
          <w:kern w:val="0"/>
          <w:vertAlign w:val="superscript"/>
        </w:rPr>
        <w:footnoteReference w:id="27"/>
      </w:r>
      <w:r w:rsidRPr="000D2D89">
        <w:rPr>
          <w:rFonts w:ascii="微軟正黑體" w:eastAsia="微軟正黑體" w:hAnsi="微軟正黑體"/>
          <w:kern w:val="0"/>
        </w:rPr>
        <w:t>，但因為每次的調幅不大</w:t>
      </w:r>
      <w:r w:rsidRPr="00B520B8">
        <w:rPr>
          <w:rFonts w:ascii="微軟正黑體" w:eastAsia="微軟正黑體" w:hAnsi="微軟正黑體"/>
          <w:kern w:val="0"/>
          <w:vertAlign w:val="superscript"/>
        </w:rPr>
        <w:footnoteReference w:id="28"/>
      </w:r>
      <w:r w:rsidRPr="000D2D89">
        <w:rPr>
          <w:rFonts w:ascii="微軟正黑體" w:eastAsia="微軟正黑體" w:hAnsi="微軟正黑體"/>
          <w:kern w:val="0"/>
        </w:rPr>
        <w:t>，再加上近年薪資水準未有明顯成長，第一級密集調升但卻無法帶動平均投保薪資的顯著成長。直至2016年5月起，勞保投保薪資分級表上限新增一級，讓月投保薪資申報上限從43,900元提高到45,800元，調幅較大且最高等級投保薪資人數所占比率亦高</w:t>
      </w:r>
      <w:r w:rsidRPr="00B520B8">
        <w:rPr>
          <w:rFonts w:ascii="微軟正黑體" w:eastAsia="微軟正黑體" w:hAnsi="微軟正黑體"/>
          <w:kern w:val="0"/>
          <w:vertAlign w:val="superscript"/>
        </w:rPr>
        <w:footnoteReference w:id="29"/>
      </w:r>
      <w:r w:rsidRPr="000D2D89">
        <w:rPr>
          <w:rFonts w:ascii="微軟正黑體" w:eastAsia="微軟正黑體" w:hAnsi="微軟正黑體"/>
          <w:kern w:val="0"/>
        </w:rPr>
        <w:t>，帶動了2016</w:t>
      </w:r>
      <w:r w:rsidRPr="00BC1914">
        <w:rPr>
          <w:rFonts w:ascii="微軟正黑體" w:eastAsia="微軟正黑體" w:hAnsi="微軟正黑體" w:hint="eastAsia"/>
          <w:kern w:val="0"/>
        </w:rPr>
        <w:t>年</w:t>
      </w:r>
      <w:r w:rsidRPr="000D2D89">
        <w:rPr>
          <w:rFonts w:ascii="微軟正黑體" w:eastAsia="微軟正黑體" w:hAnsi="微軟正黑體"/>
          <w:kern w:val="0"/>
        </w:rPr>
        <w:t>及2017年平均投保薪資有較高成長率，但到了2018年成長率又開始下降。因此，考量到雇主跟政府的保險費負擔，以及給付公式對後續財務負面影響，多年未調升的投保薪資分級表上限，也讓制度收入面無法受益</w:t>
      </w:r>
      <w:r w:rsidRPr="00BC1914">
        <w:rPr>
          <w:rFonts w:ascii="微軟正黑體" w:eastAsia="微軟正黑體" w:hAnsi="微軟正黑體" w:hint="eastAsia"/>
          <w:kern w:val="0"/>
        </w:rPr>
        <w:t>於</w:t>
      </w:r>
      <w:r w:rsidRPr="000D2D89">
        <w:rPr>
          <w:rFonts w:ascii="微軟正黑體" w:eastAsia="微軟正黑體" w:hAnsi="微軟正黑體"/>
          <w:kern w:val="0"/>
        </w:rPr>
        <w:t>薪資水準的提升。</w:t>
      </w:r>
    </w:p>
    <w:p w:rsidR="00381C80" w:rsidRPr="000D2D89" w:rsidRDefault="00381C80" w:rsidP="00BD50E5">
      <w:pPr>
        <w:numPr>
          <w:ilvl w:val="1"/>
          <w:numId w:val="46"/>
        </w:numPr>
        <w:spacing w:line="400" w:lineRule="exact"/>
        <w:ind w:left="283" w:hangingChars="118" w:hanging="283"/>
        <w:jc w:val="both"/>
        <w:rPr>
          <w:rFonts w:ascii="微軟正黑體" w:eastAsia="微軟正黑體" w:hAnsi="微軟正黑體"/>
          <w:kern w:val="0"/>
        </w:rPr>
      </w:pPr>
      <w:r w:rsidRPr="000D2D89">
        <w:rPr>
          <w:rFonts w:ascii="微軟正黑體" w:eastAsia="微軟正黑體" w:hAnsi="微軟正黑體"/>
          <w:kern w:val="0"/>
        </w:rPr>
        <w:lastRenderedPageBreak/>
        <w:t>政府負擔</w:t>
      </w:r>
    </w:p>
    <w:p w:rsidR="00381C80" w:rsidRPr="00BC1914" w:rsidRDefault="00381C80" w:rsidP="00381C80">
      <w:pPr>
        <w:spacing w:beforeLines="30" w:before="108" w:line="400" w:lineRule="exact"/>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在政府負擔方面，就保險費收入而言，政府是依據被保險人身份別做區分，負擔不同比</w:t>
      </w:r>
      <w:r w:rsidRPr="00BC1914">
        <w:rPr>
          <w:rFonts w:ascii="微軟正黑體" w:eastAsia="微軟正黑體" w:hAnsi="微軟正黑體" w:hint="eastAsia"/>
          <w:kern w:val="0"/>
        </w:rPr>
        <w:t>率</w:t>
      </w:r>
      <w:r w:rsidRPr="00BC1914">
        <w:rPr>
          <w:rFonts w:ascii="微軟正黑體" w:eastAsia="微軟正黑體" w:hAnsi="微軟正黑體"/>
          <w:kern w:val="0"/>
        </w:rPr>
        <w:t>保險費，因此各類被保險人人數的變動消長，即會影響政府所需負擔的保費金額。</w:t>
      </w:r>
    </w:p>
    <w:p w:rsidR="00381C80" w:rsidRPr="00BC1914" w:rsidRDefault="00381C80" w:rsidP="00381C80">
      <w:pPr>
        <w:spacing w:beforeLines="30" w:before="108" w:line="400" w:lineRule="exact"/>
        <w:jc w:val="both"/>
        <w:rPr>
          <w:rFonts w:ascii="微軟正黑體" w:eastAsia="微軟正黑體" w:hAnsi="微軟正黑體"/>
          <w:kern w:val="0"/>
        </w:rPr>
      </w:pPr>
      <w:r w:rsidRPr="00BC1914">
        <w:rPr>
          <w:rFonts w:ascii="微軟正黑體" w:eastAsia="微軟正黑體" w:hAnsi="微軟正黑體"/>
          <w:kern w:val="0"/>
        </w:rPr>
        <w:t xml:space="preserve">    從圖7可看出，普通事故保險費來自政府負擔的比重，近年來呈現逐漸微幅下降趨勢。整體被保險人人數及平均投保薪資年成長率消長互見，再加上政府對不同身份別被保險人負擔不同比</w:t>
      </w:r>
      <w:r w:rsidRPr="00BC1914">
        <w:rPr>
          <w:rFonts w:ascii="微軟正黑體" w:eastAsia="微軟正黑體" w:hAnsi="微軟正黑體" w:hint="eastAsia"/>
          <w:kern w:val="0"/>
        </w:rPr>
        <w:t>率</w:t>
      </w:r>
      <w:r w:rsidRPr="00BC1914">
        <w:rPr>
          <w:rFonts w:ascii="微軟正黑體" w:eastAsia="微軟正黑體" w:hAnsi="微軟正黑體"/>
          <w:kern w:val="0"/>
        </w:rPr>
        <w:t>保險費等情況，屬於政府負擔比</w:t>
      </w:r>
      <w:r w:rsidRPr="00BC1914">
        <w:rPr>
          <w:rFonts w:ascii="微軟正黑體" w:eastAsia="微軟正黑體" w:hAnsi="微軟正黑體" w:hint="eastAsia"/>
          <w:kern w:val="0"/>
        </w:rPr>
        <w:t>率</w:t>
      </w:r>
      <w:r w:rsidRPr="00BC1914">
        <w:rPr>
          <w:rFonts w:ascii="微軟正黑體" w:eastAsia="微軟正黑體" w:hAnsi="微軟正黑體"/>
          <w:kern w:val="0"/>
        </w:rPr>
        <w:t>較重的職業工會</w:t>
      </w:r>
      <w:r w:rsidRPr="00BC1914">
        <w:rPr>
          <w:rFonts w:ascii="微軟正黑體" w:eastAsia="微軟正黑體" w:hAnsi="微軟正黑體" w:hint="eastAsia"/>
          <w:kern w:val="0"/>
        </w:rPr>
        <w:t>(</w:t>
      </w:r>
      <w:r w:rsidRPr="00BC1914">
        <w:rPr>
          <w:rFonts w:ascii="微軟正黑體" w:eastAsia="微軟正黑體" w:hAnsi="微軟正黑體"/>
          <w:kern w:val="0"/>
        </w:rPr>
        <w:t>政府負擔保費的40%</w:t>
      </w:r>
      <w:r w:rsidRPr="00BC1914">
        <w:rPr>
          <w:rFonts w:ascii="微軟正黑體" w:eastAsia="微軟正黑體" w:hAnsi="微軟正黑體" w:hint="eastAsia"/>
          <w:kern w:val="0"/>
        </w:rPr>
        <w:t>)</w:t>
      </w:r>
      <w:r w:rsidRPr="00BC1914">
        <w:rPr>
          <w:rFonts w:ascii="微軟正黑體" w:eastAsia="微軟正黑體" w:hAnsi="微軟正黑體"/>
          <w:kern w:val="0"/>
        </w:rPr>
        <w:t>及漁會甲類會員</w:t>
      </w:r>
      <w:r w:rsidRPr="00BC1914">
        <w:rPr>
          <w:rFonts w:ascii="微軟正黑體" w:eastAsia="微軟正黑體" w:hAnsi="微軟正黑體" w:hint="eastAsia"/>
          <w:kern w:val="0"/>
        </w:rPr>
        <w:t>(</w:t>
      </w:r>
      <w:r w:rsidRPr="00BC1914">
        <w:rPr>
          <w:rFonts w:ascii="微軟正黑體" w:eastAsia="微軟正黑體" w:hAnsi="微軟正黑體"/>
          <w:kern w:val="0"/>
        </w:rPr>
        <w:t>政府負擔保費的80%</w:t>
      </w:r>
      <w:r w:rsidRPr="00BC1914">
        <w:rPr>
          <w:rFonts w:ascii="微軟正黑體" w:eastAsia="微軟正黑體" w:hAnsi="微軟正黑體" w:hint="eastAsia"/>
          <w:kern w:val="0"/>
        </w:rPr>
        <w:t>)</w:t>
      </w:r>
      <w:r w:rsidRPr="00BC1914">
        <w:rPr>
          <w:rFonts w:ascii="微軟正黑體" w:eastAsia="微軟正黑體" w:hAnsi="微軟正黑體"/>
          <w:kern w:val="0"/>
        </w:rPr>
        <w:t>等</w:t>
      </w:r>
      <w:r w:rsidRPr="00BC1914">
        <w:rPr>
          <w:rFonts w:ascii="微軟正黑體" w:eastAsia="微軟正黑體" w:hAnsi="微軟正黑體" w:hint="eastAsia"/>
          <w:kern w:val="0"/>
        </w:rPr>
        <w:t>兩</w:t>
      </w:r>
      <w:r w:rsidRPr="00BC1914">
        <w:rPr>
          <w:rFonts w:ascii="微軟正黑體" w:eastAsia="微軟正黑體" w:hAnsi="微軟正黑體"/>
          <w:kern w:val="0"/>
        </w:rPr>
        <w:t>大類被保險人，近年投保人數的減少趨勢，可能是影響政府總負擔比重逐年降低的重要因素。</w:t>
      </w:r>
    </w:p>
    <w:p w:rsidR="00381C80" w:rsidRPr="000D2D89" w:rsidRDefault="00381C80" w:rsidP="00381C80">
      <w:pPr>
        <w:spacing w:beforeLines="30" w:before="108" w:line="400" w:lineRule="exact"/>
        <w:jc w:val="both"/>
        <w:rPr>
          <w:rFonts w:ascii="微軟正黑體" w:eastAsia="微軟正黑體" w:hAnsi="微軟正黑體"/>
          <w:kern w:val="0"/>
        </w:rPr>
      </w:pPr>
      <w:r w:rsidRPr="00BC1914">
        <w:rPr>
          <w:rFonts w:ascii="微軟正黑體" w:eastAsia="微軟正黑體" w:hAnsi="微軟正黑體"/>
          <w:kern w:val="0"/>
        </w:rPr>
        <w:t xml:space="preserve">   依此</w:t>
      </w:r>
      <w:r w:rsidRPr="00BC1914">
        <w:rPr>
          <w:rFonts w:ascii="微軟正黑體" w:eastAsia="微軟正黑體" w:hAnsi="微軟正黑體" w:hint="eastAsia"/>
          <w:kern w:val="0"/>
        </w:rPr>
        <w:t>兩</w:t>
      </w:r>
      <w:r w:rsidRPr="00BC1914">
        <w:rPr>
          <w:rFonts w:ascii="微軟正黑體" w:eastAsia="微軟正黑體" w:hAnsi="微軟正黑體"/>
          <w:kern w:val="0"/>
        </w:rPr>
        <w:t>類被保險人占全體被保險人的比</w:t>
      </w:r>
      <w:r w:rsidRPr="00BC1914">
        <w:rPr>
          <w:rFonts w:ascii="微軟正黑體" w:eastAsia="微軟正黑體" w:hAnsi="微軟正黑體" w:hint="eastAsia"/>
          <w:kern w:val="0"/>
        </w:rPr>
        <w:t>率</w:t>
      </w:r>
      <w:r w:rsidRPr="00BC1914">
        <w:rPr>
          <w:rFonts w:ascii="微軟正黑體" w:eastAsia="微軟正黑體" w:hAnsi="微軟正黑體"/>
          <w:kern w:val="0"/>
        </w:rPr>
        <w:t>來說，職業工會被保險人比</w:t>
      </w:r>
      <w:r w:rsidRPr="00BC1914">
        <w:rPr>
          <w:rFonts w:ascii="微軟正黑體" w:eastAsia="微軟正黑體" w:hAnsi="微軟正黑體" w:hint="eastAsia"/>
          <w:kern w:val="0"/>
        </w:rPr>
        <w:t>率</w:t>
      </w:r>
      <w:r w:rsidRPr="00BC1914">
        <w:rPr>
          <w:rFonts w:ascii="微軟正黑體" w:eastAsia="微軟正黑體" w:hAnsi="微軟正黑體"/>
          <w:kern w:val="0"/>
        </w:rPr>
        <w:t>從2009年開始逐年明顯下降，從27.67%降到2020年的19.60%，漁會甲類會員則從2008年起逐年微幅下降，從3.26%降到2020年的2.47%</w:t>
      </w:r>
      <w:r w:rsidRPr="00BC1914">
        <w:rPr>
          <w:rFonts w:ascii="微軟正黑體" w:eastAsia="微軟正黑體" w:hAnsi="微軟正黑體" w:hint="eastAsia"/>
          <w:kern w:val="0"/>
        </w:rPr>
        <w:t>(</w:t>
      </w:r>
      <w:r w:rsidRPr="00BC1914">
        <w:rPr>
          <w:rFonts w:ascii="微軟正黑體" w:eastAsia="微軟正黑體" w:hAnsi="微軟正黑體"/>
          <w:kern w:val="0"/>
        </w:rPr>
        <w:t>勞工保險局，2021b</w:t>
      </w:r>
      <w:r w:rsidRPr="00BC1914">
        <w:rPr>
          <w:rFonts w:ascii="微軟正黑體" w:eastAsia="微軟正黑體" w:hAnsi="微軟正黑體" w:hint="eastAsia"/>
          <w:kern w:val="0"/>
        </w:rPr>
        <w:t>)</w:t>
      </w:r>
      <w:r w:rsidRPr="00BC1914">
        <w:rPr>
          <w:rFonts w:ascii="微軟正黑體" w:eastAsia="微軟正黑體" w:hAnsi="微軟正黑體"/>
          <w:kern w:val="0"/>
        </w:rPr>
        <w:t>。若進一步探究此上述</w:t>
      </w:r>
      <w:r w:rsidRPr="00BC1914">
        <w:rPr>
          <w:rFonts w:ascii="微軟正黑體" w:eastAsia="微軟正黑體" w:hAnsi="微軟正黑體" w:hint="eastAsia"/>
          <w:kern w:val="0"/>
        </w:rPr>
        <w:t>兩</w:t>
      </w:r>
      <w:r w:rsidRPr="00BC1914">
        <w:rPr>
          <w:rFonts w:ascii="微軟正黑體" w:eastAsia="微軟正黑體" w:hAnsi="微軟正黑體"/>
          <w:kern w:val="0"/>
        </w:rPr>
        <w:t>類保險人比</w:t>
      </w:r>
      <w:r w:rsidRPr="00BC1914">
        <w:rPr>
          <w:rFonts w:ascii="微軟正黑體" w:eastAsia="微軟正黑體" w:hAnsi="微軟正黑體" w:hint="eastAsia"/>
          <w:kern w:val="0"/>
        </w:rPr>
        <w:t>率</w:t>
      </w:r>
      <w:r w:rsidRPr="00BC1914">
        <w:rPr>
          <w:rFonts w:ascii="微軟正黑體" w:eastAsia="微軟正黑體" w:hAnsi="微軟正黑體"/>
          <w:kern w:val="0"/>
        </w:rPr>
        <w:t>逐年減少的原因，職業異動固然是部</w:t>
      </w:r>
      <w:r w:rsidRPr="00BC1914">
        <w:rPr>
          <w:rFonts w:ascii="微軟正黑體" w:eastAsia="微軟正黑體" w:hAnsi="微軟正黑體" w:hint="eastAsia"/>
          <w:kern w:val="0"/>
        </w:rPr>
        <w:t>分</w:t>
      </w:r>
      <w:r w:rsidRPr="00BC1914">
        <w:rPr>
          <w:rFonts w:ascii="微軟正黑體" w:eastAsia="微軟正黑體" w:hAnsi="微軟正黑體"/>
          <w:kern w:val="0"/>
        </w:rPr>
        <w:t>因素，</w:t>
      </w:r>
      <w:r w:rsidRPr="00155BF3">
        <w:rPr>
          <w:rFonts w:ascii="微軟正黑體" w:eastAsia="微軟正黑體" w:hAnsi="微軟正黑體" w:hint="eastAsia"/>
          <w:kern w:val="0"/>
        </w:rPr>
        <w:t>但此兩類被保險人長期以來屢見掛名加保的情況，在近年來政府的科技執法下，降低了此類取巧行為的發生，可能也是原因之一</w:t>
      </w:r>
      <w:r w:rsidRPr="000D2D89">
        <w:rPr>
          <w:rFonts w:ascii="微軟正黑體" w:eastAsia="微軟正黑體" w:hAnsi="微軟正黑體"/>
          <w:kern w:val="0"/>
        </w:rPr>
        <w:t>。因此，針對政府在保費補助上的差異性引發的取巧投保行為，該如何從制度面去做基本的修正，讓政府對保費能有正當性的補助基礎，是有需要加以探討的。</w:t>
      </w:r>
    </w:p>
    <w:p w:rsidR="00381C80" w:rsidRPr="000D2D89" w:rsidRDefault="00381C80" w:rsidP="00BD50E5">
      <w:pPr>
        <w:numPr>
          <w:ilvl w:val="1"/>
          <w:numId w:val="46"/>
        </w:numPr>
        <w:spacing w:beforeLines="30" w:before="108" w:line="400" w:lineRule="exact"/>
        <w:ind w:left="284" w:hanging="284"/>
        <w:jc w:val="both"/>
        <w:rPr>
          <w:rFonts w:ascii="微軟正黑體" w:eastAsia="微軟正黑體" w:hAnsi="微軟正黑體"/>
          <w:kern w:val="0"/>
        </w:rPr>
      </w:pPr>
      <w:r w:rsidRPr="000D2D89">
        <w:rPr>
          <w:rFonts w:ascii="微軟正黑體" w:eastAsia="微軟正黑體" w:hAnsi="微軟正黑體"/>
          <w:kern w:val="0"/>
        </w:rPr>
        <w:t>基金</w:t>
      </w:r>
      <w:r w:rsidRPr="00B03798">
        <w:rPr>
          <w:rFonts w:ascii="微軟正黑體" w:eastAsia="微軟正黑體" w:hAnsi="微軟正黑體"/>
          <w:kern w:val="0"/>
        </w:rPr>
        <w:t>投資</w:t>
      </w:r>
      <w:r w:rsidRPr="000D2D89">
        <w:rPr>
          <w:rFonts w:ascii="微軟正黑體" w:eastAsia="微軟正黑體" w:hAnsi="微軟正黑體"/>
          <w:kern w:val="0"/>
        </w:rPr>
        <w:t>收益</w:t>
      </w:r>
    </w:p>
    <w:p w:rsidR="00381C80" w:rsidRDefault="00381C80" w:rsidP="00381C80">
      <w:pPr>
        <w:spacing w:beforeLines="30" w:before="108" w:line="400" w:lineRule="exact"/>
        <w:jc w:val="both"/>
        <w:rPr>
          <w:rFonts w:ascii="微軟正黑體" w:eastAsia="微軟正黑體" w:hAnsi="微軟正黑體"/>
          <w:kern w:val="0"/>
        </w:rPr>
      </w:pPr>
      <w:r w:rsidRPr="000D2D89">
        <w:rPr>
          <w:rFonts w:ascii="微軟正黑體" w:eastAsia="微軟正黑體" w:hAnsi="微軟正黑體"/>
          <w:kern w:val="0"/>
        </w:rPr>
        <w:t xml:space="preserve">    採行部</w:t>
      </w:r>
      <w:r w:rsidRPr="00BC1914">
        <w:rPr>
          <w:rFonts w:ascii="微軟正黑體" w:eastAsia="微軟正黑體" w:hAnsi="微軟正黑體" w:hint="eastAsia"/>
          <w:kern w:val="0"/>
        </w:rPr>
        <w:t>分</w:t>
      </w:r>
      <w:r w:rsidRPr="00BC1914">
        <w:rPr>
          <w:rFonts w:ascii="微軟正黑體" w:eastAsia="微軟正黑體" w:hAnsi="微軟正黑體"/>
          <w:kern w:val="0"/>
        </w:rPr>
        <w:t>儲備且尚無走向隨收隨付制的長期規劃下，面對人口老化對制度財務帶來的衝擊，追求長期穩健的較高投資報酬率以提高勞保收入面財源</w:t>
      </w:r>
      <w:r w:rsidRPr="00BC1914">
        <w:rPr>
          <w:rFonts w:ascii="微軟正黑體" w:eastAsia="微軟正黑體" w:hAnsi="微軟正黑體" w:hint="eastAsia"/>
          <w:kern w:val="0"/>
        </w:rPr>
        <w:t>，</w:t>
      </w:r>
      <w:r w:rsidRPr="00BC1914">
        <w:rPr>
          <w:rFonts w:ascii="微軟正黑體" w:eastAsia="微軟正黑體" w:hAnsi="微軟正黑體"/>
          <w:kern w:val="0"/>
        </w:rPr>
        <w:t>係勞保基金自2000年起的資產配置思維。在此思維下，2000年起開始提高國內股票的投資</w:t>
      </w:r>
      <w:r w:rsidRPr="000D2D89">
        <w:rPr>
          <w:rFonts w:ascii="微軟正黑體" w:eastAsia="微軟正黑體" w:hAnsi="微軟正黑體"/>
          <w:kern w:val="0"/>
        </w:rPr>
        <w:t>比重，並於2001年開始委外經營；其後2003年開放海外投資，2005</w:t>
      </w:r>
      <w:r>
        <w:rPr>
          <w:rFonts w:ascii="微軟正黑體" w:eastAsia="微軟正黑體" w:hAnsi="微軟正黑體"/>
          <w:kern w:val="0"/>
        </w:rPr>
        <w:t>年也開始海外投資的委外經營。自近年的資產配置趨勢可看出</w:t>
      </w:r>
      <w:r>
        <w:rPr>
          <w:rFonts w:ascii="微軟正黑體" w:eastAsia="微軟正黑體" w:hAnsi="微軟正黑體" w:hint="eastAsia"/>
          <w:kern w:val="0"/>
        </w:rPr>
        <w:t>(</w:t>
      </w:r>
      <w:r w:rsidRPr="000D2D89">
        <w:rPr>
          <w:rFonts w:ascii="微軟正黑體" w:eastAsia="微軟正黑體" w:hAnsi="微軟正黑體"/>
          <w:kern w:val="0"/>
        </w:rPr>
        <w:t>詳見圖8</w:t>
      </w:r>
      <w:r>
        <w:rPr>
          <w:rFonts w:ascii="微軟正黑體" w:eastAsia="微軟正黑體" w:hAnsi="微軟正黑體" w:hint="eastAsia"/>
          <w:kern w:val="0"/>
        </w:rPr>
        <w:t>)</w:t>
      </w:r>
      <w:r w:rsidRPr="000D2D89">
        <w:rPr>
          <w:rFonts w:ascii="微軟正黑體" w:eastAsia="微軟正黑體" w:hAnsi="微軟正黑體"/>
          <w:kern w:val="0"/>
        </w:rPr>
        <w:t>，2008年到2018年間，國內資產的配置比重逐年下降，取而代之的是海外投資比重的提高；反映在投資報酬率，除了2008年因為次貸事件的系統性影響，以致於出現較大虧損及2009年次貸事件跌深反彈外，2010年到2020年間大多是正報酬率。</w:t>
      </w:r>
    </w:p>
    <w:p w:rsidR="00381C80" w:rsidRDefault="00381C80" w:rsidP="00381C80">
      <w:pPr>
        <w:spacing w:beforeLines="30" w:before="108" w:line="400" w:lineRule="exact"/>
        <w:jc w:val="both"/>
        <w:rPr>
          <w:rFonts w:ascii="微軟正黑體" w:eastAsia="微軟正黑體" w:hAnsi="微軟正黑體"/>
          <w:kern w:val="0"/>
        </w:rPr>
      </w:pPr>
    </w:p>
    <w:p w:rsidR="00381C80" w:rsidRDefault="00381C80" w:rsidP="00381C80">
      <w:pPr>
        <w:spacing w:beforeLines="30" w:before="108" w:line="400" w:lineRule="exact"/>
        <w:jc w:val="both"/>
        <w:rPr>
          <w:rFonts w:ascii="微軟正黑體" w:eastAsia="微軟正黑體" w:hAnsi="微軟正黑體"/>
          <w:kern w:val="0"/>
        </w:rPr>
      </w:pPr>
    </w:p>
    <w:p w:rsidR="00381C80" w:rsidRDefault="00381C80" w:rsidP="00381C80">
      <w:pPr>
        <w:spacing w:beforeLines="30" w:before="108" w:line="400" w:lineRule="exact"/>
        <w:jc w:val="both"/>
        <w:rPr>
          <w:rFonts w:ascii="微軟正黑體" w:eastAsia="微軟正黑體" w:hAnsi="微軟正黑體"/>
          <w:kern w:val="0"/>
        </w:rPr>
      </w:pPr>
    </w:p>
    <w:p w:rsidR="00381C80" w:rsidRDefault="00381C80" w:rsidP="00381C80">
      <w:pPr>
        <w:spacing w:beforeLines="30" w:before="108" w:line="400" w:lineRule="exact"/>
        <w:jc w:val="both"/>
        <w:rPr>
          <w:rFonts w:ascii="微軟正黑體" w:eastAsia="微軟正黑體" w:hAnsi="微軟正黑體"/>
          <w:kern w:val="0"/>
        </w:rPr>
      </w:pPr>
    </w:p>
    <w:p w:rsidR="00381C80" w:rsidRDefault="00381C80" w:rsidP="00381C80">
      <w:pPr>
        <w:spacing w:beforeLines="30" w:before="108" w:line="400" w:lineRule="exact"/>
        <w:jc w:val="both"/>
        <w:rPr>
          <w:rFonts w:ascii="微軟正黑體" w:eastAsia="微軟正黑體" w:hAnsi="微軟正黑體"/>
          <w:kern w:val="0"/>
        </w:rPr>
      </w:pPr>
    </w:p>
    <w:p w:rsidR="00381C80" w:rsidRDefault="00381C80" w:rsidP="00381C80">
      <w:pPr>
        <w:spacing w:beforeLines="30" w:before="108" w:line="400" w:lineRule="exact"/>
        <w:jc w:val="both"/>
        <w:rPr>
          <w:rFonts w:ascii="微軟正黑體" w:eastAsia="微軟正黑體" w:hAnsi="微軟正黑體"/>
          <w:kern w:val="0"/>
        </w:rPr>
      </w:pPr>
    </w:p>
    <w:p w:rsidR="00381C80" w:rsidRDefault="00381C80" w:rsidP="00381C80">
      <w:pPr>
        <w:spacing w:beforeLines="30" w:before="108" w:line="400" w:lineRule="exact"/>
        <w:jc w:val="both"/>
        <w:rPr>
          <w:rFonts w:ascii="微軟正黑體" w:eastAsia="微軟正黑體" w:hAnsi="微軟正黑體"/>
          <w:kern w:val="0"/>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r>
        <w:rPr>
          <w:noProof/>
        </w:rPr>
        <w:lastRenderedPageBreak/>
        <w:drawing>
          <wp:anchor distT="0" distB="0" distL="114300" distR="114300" simplePos="0" relativeHeight="252491776" behindDoc="0" locked="0" layoutInCell="1" allowOverlap="1" wp14:anchorId="02AA99B4" wp14:editId="65D735A7">
            <wp:simplePos x="0" y="0"/>
            <wp:positionH relativeFrom="margin">
              <wp:posOffset>-39370</wp:posOffset>
            </wp:positionH>
            <wp:positionV relativeFrom="paragraph">
              <wp:posOffset>106045</wp:posOffset>
            </wp:positionV>
            <wp:extent cx="5775960" cy="2839085"/>
            <wp:effectExtent l="0" t="0" r="1905" b="1905"/>
            <wp:wrapNone/>
            <wp:docPr id="21530" name="圖表 215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page">
              <wp14:pctWidth>0</wp14:pctWidth>
            </wp14:sizeRelH>
            <wp14:sizeRelV relativeFrom="page">
              <wp14:pctHeight>0</wp14:pctHeight>
            </wp14:sizeRelV>
          </wp:anchor>
        </w:drawing>
      </w: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autoSpaceDE w:val="0"/>
        <w:autoSpaceDN w:val="0"/>
        <w:adjustRightInd w:val="0"/>
        <w:spacing w:beforeLines="30" w:before="108" w:line="400" w:lineRule="exact"/>
        <w:jc w:val="both"/>
        <w:rPr>
          <w:rFonts w:ascii="微軟正黑體" w:eastAsia="微軟正黑體" w:hAnsi="微軟正黑體"/>
        </w:rPr>
      </w:pPr>
    </w:p>
    <w:p w:rsidR="00381C80" w:rsidRDefault="00381C80" w:rsidP="00381C80">
      <w:pPr>
        <w:snapToGrid w:val="0"/>
        <w:spacing w:line="240" w:lineRule="exact"/>
        <w:contextualSpacing/>
        <w:rPr>
          <w:rFonts w:ascii="微軟正黑體" w:eastAsia="微軟正黑體" w:hAnsi="微軟正黑體"/>
          <w:color w:val="000000"/>
          <w:sz w:val="20"/>
          <w:szCs w:val="20"/>
        </w:rPr>
      </w:pPr>
    </w:p>
    <w:p w:rsidR="00381C80" w:rsidRDefault="00381C80" w:rsidP="00381C80">
      <w:pPr>
        <w:snapToGrid w:val="0"/>
        <w:spacing w:line="240" w:lineRule="exact"/>
        <w:contextualSpacing/>
        <w:rPr>
          <w:rFonts w:ascii="微軟正黑體" w:eastAsia="微軟正黑體" w:hAnsi="微軟正黑體"/>
          <w:color w:val="000000"/>
          <w:sz w:val="20"/>
          <w:szCs w:val="20"/>
        </w:rPr>
      </w:pPr>
      <w:r w:rsidRPr="00FB4636">
        <w:rPr>
          <w:rFonts w:ascii="微軟正黑體" w:eastAsia="微軟正黑體" w:hAnsi="微軟正黑體" w:hint="eastAsia"/>
          <w:color w:val="000000"/>
          <w:sz w:val="20"/>
          <w:szCs w:val="20"/>
        </w:rPr>
        <w:t>資料來源：勞動部勞動基金運用局</w:t>
      </w:r>
      <w:r>
        <w:rPr>
          <w:rFonts w:ascii="微軟正黑體" w:eastAsia="微軟正黑體" w:hAnsi="微軟正黑體" w:hint="eastAsia"/>
          <w:color w:val="000000"/>
          <w:sz w:val="20"/>
          <w:szCs w:val="20"/>
        </w:rPr>
        <w:t>(</w:t>
      </w:r>
      <w:r w:rsidRPr="00FB4636">
        <w:rPr>
          <w:rFonts w:ascii="微軟正黑體" w:eastAsia="微軟正黑體" w:hAnsi="微軟正黑體" w:hint="eastAsia"/>
          <w:color w:val="000000"/>
          <w:sz w:val="20"/>
          <w:szCs w:val="20"/>
        </w:rPr>
        <w:t>20</w:t>
      </w:r>
      <w:r w:rsidRPr="00FB4636">
        <w:rPr>
          <w:rFonts w:ascii="微軟正黑體" w:eastAsia="微軟正黑體" w:hAnsi="微軟正黑體"/>
          <w:color w:val="000000"/>
          <w:sz w:val="20"/>
          <w:szCs w:val="20"/>
        </w:rPr>
        <w:t>21</w:t>
      </w:r>
      <w:r>
        <w:rPr>
          <w:rFonts w:ascii="微軟正黑體" w:eastAsia="微軟正黑體" w:hAnsi="微軟正黑體" w:hint="eastAsia"/>
          <w:color w:val="000000"/>
          <w:sz w:val="20"/>
          <w:szCs w:val="20"/>
        </w:rPr>
        <w:t>)</w:t>
      </w:r>
      <w:r w:rsidRPr="00FB4636">
        <w:rPr>
          <w:rFonts w:ascii="微軟正黑體" w:eastAsia="微軟正黑體" w:hAnsi="微軟正黑體" w:hint="eastAsia"/>
          <w:color w:val="000000"/>
          <w:sz w:val="20"/>
          <w:szCs w:val="20"/>
        </w:rPr>
        <w:t>。</w:t>
      </w:r>
    </w:p>
    <w:p w:rsidR="00381C80" w:rsidRPr="00FB4636" w:rsidRDefault="00381C80" w:rsidP="00381C80">
      <w:pPr>
        <w:snapToGrid w:val="0"/>
        <w:spacing w:line="240" w:lineRule="exact"/>
        <w:contextualSpacing/>
        <w:rPr>
          <w:rFonts w:ascii="微軟正黑體" w:eastAsia="微軟正黑體" w:hAnsi="微軟正黑體"/>
          <w:color w:val="000000"/>
          <w:sz w:val="20"/>
          <w:szCs w:val="20"/>
        </w:rPr>
      </w:pPr>
    </w:p>
    <w:p w:rsidR="00381C80" w:rsidRPr="000E2DB5" w:rsidRDefault="00381C80" w:rsidP="00381C80">
      <w:pPr>
        <w:spacing w:line="400" w:lineRule="exact"/>
        <w:jc w:val="center"/>
        <w:rPr>
          <w:rFonts w:ascii="微軟正黑體" w:eastAsia="微軟正黑體" w:hAnsi="微軟正黑體"/>
          <w:color w:val="000000"/>
        </w:rPr>
      </w:pPr>
      <w:r w:rsidRPr="000E2DB5">
        <w:rPr>
          <w:rFonts w:ascii="微軟正黑體" w:eastAsia="微軟正黑體" w:hAnsi="微軟正黑體"/>
          <w:color w:val="000000"/>
        </w:rPr>
        <w:t>圖</w:t>
      </w:r>
      <w:r w:rsidRPr="000E2DB5">
        <w:rPr>
          <w:rFonts w:ascii="微軟正黑體" w:eastAsia="微軟正黑體" w:hAnsi="微軟正黑體" w:hint="eastAsia"/>
          <w:color w:val="000000"/>
        </w:rPr>
        <w:t>8</w:t>
      </w:r>
      <w:r w:rsidRPr="000E2DB5">
        <w:rPr>
          <w:rFonts w:ascii="微軟正黑體" w:eastAsia="微軟正黑體" w:hAnsi="微軟正黑體"/>
          <w:color w:val="000000"/>
        </w:rPr>
        <w:t xml:space="preserve">  200</w:t>
      </w:r>
      <w:r w:rsidRPr="000E2DB5">
        <w:rPr>
          <w:rFonts w:ascii="微軟正黑體" w:eastAsia="微軟正黑體" w:hAnsi="微軟正黑體" w:hint="eastAsia"/>
          <w:color w:val="000000"/>
        </w:rPr>
        <w:t>8</w:t>
      </w:r>
      <w:r w:rsidRPr="000E2DB5">
        <w:rPr>
          <w:rFonts w:ascii="微軟正黑體" w:eastAsia="微軟正黑體" w:hAnsi="微軟正黑體"/>
          <w:color w:val="000000"/>
        </w:rPr>
        <w:t>年到2020年間</w:t>
      </w:r>
      <w:r w:rsidRPr="000E2DB5">
        <w:rPr>
          <w:rFonts w:ascii="微軟正黑體" w:eastAsia="微軟正黑體" w:hAnsi="微軟正黑體" w:hint="eastAsia"/>
          <w:color w:val="000000"/>
        </w:rPr>
        <w:t>勞保基金投資</w:t>
      </w:r>
      <w:r w:rsidRPr="000E2DB5">
        <w:rPr>
          <w:rFonts w:ascii="微軟正黑體" w:eastAsia="微軟正黑體" w:hAnsi="微軟正黑體"/>
          <w:color w:val="000000"/>
        </w:rPr>
        <w:t>概況</w:t>
      </w:r>
    </w:p>
    <w:p w:rsidR="00381C80" w:rsidRPr="008C770C" w:rsidRDefault="00381C80" w:rsidP="00381C80">
      <w:pPr>
        <w:snapToGrid w:val="0"/>
        <w:spacing w:line="240" w:lineRule="atLeast"/>
        <w:contextualSpacing/>
        <w:rPr>
          <w:rFonts w:eastAsia="標楷體"/>
          <w:color w:val="000000"/>
          <w:sz w:val="18"/>
          <w:szCs w:val="18"/>
        </w:rPr>
      </w:pPr>
    </w:p>
    <w:p w:rsidR="00381C80" w:rsidRPr="008C770C" w:rsidRDefault="00381C80" w:rsidP="00381C8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t xml:space="preserve">    </w:t>
      </w:r>
      <w:r w:rsidRPr="008C770C">
        <w:rPr>
          <w:rFonts w:ascii="微軟正黑體" w:eastAsia="微軟正黑體" w:hAnsi="微軟正黑體" w:hint="eastAsia"/>
        </w:rPr>
        <w:t>因此，若勞保仍維持採行</w:t>
      </w:r>
      <w:r w:rsidRPr="00BC1914">
        <w:rPr>
          <w:rFonts w:ascii="微軟正黑體" w:eastAsia="微軟正黑體" w:hAnsi="微軟正黑體" w:hint="eastAsia"/>
        </w:rPr>
        <w:t>部分儲備制，老年年金的定期性調整是以物價指數為基礎，且請領給付人數逐年提高的情</w:t>
      </w:r>
      <w:r w:rsidRPr="008C770C">
        <w:rPr>
          <w:rFonts w:ascii="微軟正黑體" w:eastAsia="微軟正黑體" w:hAnsi="微軟正黑體" w:hint="eastAsia"/>
        </w:rPr>
        <w:t>況下，基金資產適度投資股票並進行海外投資，理論上是可以透過較高的報酬率來增加收入面財源，也可以避免收入面財源過度集中在國內經濟行為的系統性風險。但投資本身即存在風險，過度仰賴假設性的投資報酬率，是否會對制度的長期財務運作帶來潛在風險，也是另一個值得探討的角度，但勞保即將轉為隨收隨付制，將無法期待投資運用收益來緩解勞保財務壓力。</w:t>
      </w:r>
    </w:p>
    <w:p w:rsidR="00381C80" w:rsidRPr="00390F6A" w:rsidRDefault="00381C80" w:rsidP="00381C80">
      <w:pPr>
        <w:spacing w:beforeLines="100" w:before="360" w:afterLines="50" w:after="180" w:line="400" w:lineRule="exact"/>
        <w:rPr>
          <w:rFonts w:ascii="微軟正黑體" w:eastAsia="微軟正黑體" w:hAnsi="微軟正黑體"/>
          <w:b/>
          <w:sz w:val="28"/>
          <w:szCs w:val="28"/>
        </w:rPr>
      </w:pPr>
      <w:r>
        <w:rPr>
          <w:rFonts w:ascii="微軟正黑體" w:eastAsia="微軟正黑體" w:hAnsi="微軟正黑體" w:hint="eastAsia"/>
          <w:b/>
          <w:sz w:val="28"/>
          <w:szCs w:val="28"/>
        </w:rPr>
        <w:t>三、</w:t>
      </w:r>
      <w:r w:rsidRPr="000E3A50">
        <w:rPr>
          <w:rFonts w:ascii="微軟正黑體" w:eastAsia="微軟正黑體" w:hAnsi="微軟正黑體" w:hint="eastAsia"/>
          <w:b/>
          <w:sz w:val="28"/>
          <w:szCs w:val="28"/>
        </w:rPr>
        <w:t>勞保普通事故保險收入面改革討論</w:t>
      </w:r>
    </w:p>
    <w:p w:rsidR="00381C80" w:rsidRPr="000D2D89" w:rsidRDefault="00381C80" w:rsidP="00381C80">
      <w:pPr>
        <w:spacing w:beforeLines="30" w:before="108" w:line="400" w:lineRule="exact"/>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針對前述對勞保老年年金的三項收入面財源分析，本文參考德國法定年金及日本厚生年金的運作經驗，進一步提出討論。</w:t>
      </w:r>
    </w:p>
    <w:p w:rsidR="00381C80" w:rsidRPr="000D2D89" w:rsidRDefault="00381C80" w:rsidP="00BD50E5">
      <w:pPr>
        <w:numPr>
          <w:ilvl w:val="1"/>
          <w:numId w:val="45"/>
        </w:numPr>
        <w:spacing w:beforeLines="30" w:before="108" w:line="400" w:lineRule="exact"/>
        <w:ind w:left="426" w:hanging="426"/>
        <w:jc w:val="both"/>
        <w:rPr>
          <w:rFonts w:ascii="微軟正黑體" w:eastAsia="微軟正黑體" w:hAnsi="微軟正黑體"/>
          <w:kern w:val="0"/>
        </w:rPr>
      </w:pPr>
      <w:r w:rsidRPr="000D2D89">
        <w:rPr>
          <w:rFonts w:ascii="微軟正黑體" w:eastAsia="微軟正黑體" w:hAnsi="微軟正黑體"/>
          <w:kern w:val="0"/>
        </w:rPr>
        <w:t>保險費收入</w:t>
      </w:r>
    </w:p>
    <w:p w:rsidR="00381C80" w:rsidRDefault="00381C80" w:rsidP="00381C80">
      <w:pPr>
        <w:spacing w:beforeLines="30" w:before="108" w:line="400" w:lineRule="exact"/>
        <w:jc w:val="both"/>
        <w:rPr>
          <w:rFonts w:ascii="微軟正黑體" w:eastAsia="微軟正黑體" w:hAnsi="微軟正黑體"/>
          <w:kern w:val="0"/>
        </w:rPr>
      </w:pPr>
      <w:r w:rsidRPr="000D2D89">
        <w:rPr>
          <w:rFonts w:ascii="微軟正黑體" w:eastAsia="微軟正黑體" w:hAnsi="微軟正黑體"/>
          <w:kern w:val="0"/>
        </w:rPr>
        <w:t xml:space="preserve">    前述分析顯示，受限於勞動參與率及少子化趨勢，被保險人人數無法有效增加，投保薪資分級表上限亦沒有法定定期調整依據，勞保普通事故近年來保險費收入的成長，主要仰賴保險費率的定期調升。相照之下，德日</w:t>
      </w:r>
      <w:r w:rsidRPr="00BC1914">
        <w:rPr>
          <w:rFonts w:ascii="微軟正黑體" w:eastAsia="微軟正黑體" w:hAnsi="微軟正黑體" w:hint="eastAsia"/>
          <w:kern w:val="0"/>
        </w:rPr>
        <w:t>兩</w:t>
      </w:r>
      <w:r w:rsidRPr="00BC1914">
        <w:rPr>
          <w:rFonts w:ascii="微軟正黑體" w:eastAsia="微軟正黑體" w:hAnsi="微軟正黑體"/>
          <w:kern w:val="0"/>
        </w:rPr>
        <w:t>國的</w:t>
      </w:r>
      <w:r w:rsidRPr="00BC1914">
        <w:rPr>
          <w:rFonts w:ascii="微軟正黑體" w:eastAsia="微軟正黑體" w:hAnsi="微軟正黑體" w:hint="eastAsia"/>
          <w:kern w:val="0"/>
        </w:rPr>
        <w:t>兩</w:t>
      </w:r>
      <w:r w:rsidRPr="00BC1914">
        <w:rPr>
          <w:rFonts w:ascii="微軟正黑體" w:eastAsia="微軟正黑體" w:hAnsi="微軟正黑體"/>
          <w:kern w:val="0"/>
        </w:rPr>
        <w:t>個公共年金保費穩定持續成長，除日本一樣是來自於保險費率定期調升之外，</w:t>
      </w:r>
      <w:r w:rsidRPr="00BC1914">
        <w:rPr>
          <w:rFonts w:ascii="微軟正黑體" w:eastAsia="微軟正黑體" w:hAnsi="微軟正黑體" w:hint="eastAsia"/>
          <w:kern w:val="0"/>
        </w:rPr>
        <w:t>兩</w:t>
      </w:r>
      <w:r w:rsidRPr="00BC1914">
        <w:rPr>
          <w:rFonts w:ascii="微軟正黑體" w:eastAsia="微軟正黑體" w:hAnsi="微軟正黑體"/>
          <w:kern w:val="0"/>
        </w:rPr>
        <w:t>國都採行若干擴大費基措施。此外，面對費基擴大連動未來年金給付額外增加壓力，</w:t>
      </w:r>
      <w:r w:rsidRPr="00BC1914">
        <w:rPr>
          <w:rFonts w:ascii="微軟正黑體" w:eastAsia="微軟正黑體" w:hAnsi="微軟正黑體" w:hint="eastAsia"/>
          <w:kern w:val="0"/>
        </w:rPr>
        <w:t>兩</w:t>
      </w:r>
      <w:r w:rsidRPr="000D2D89">
        <w:rPr>
          <w:rFonts w:ascii="微軟正黑體" w:eastAsia="微軟正黑體" w:hAnsi="微軟正黑體"/>
          <w:kern w:val="0"/>
        </w:rPr>
        <w:t>國亦均透過</w:t>
      </w:r>
      <w:r w:rsidRPr="00B520B8">
        <w:rPr>
          <w:rFonts w:ascii="微軟正黑體" w:eastAsia="微軟正黑體" w:hAnsi="微軟正黑體"/>
          <w:b/>
          <w:kern w:val="0"/>
        </w:rPr>
        <w:t>年金給付的「指數調整」機制</w:t>
      </w:r>
      <w:r w:rsidRPr="000D2D89">
        <w:rPr>
          <w:rFonts w:ascii="微軟正黑體" w:eastAsia="微軟正黑體" w:hAnsi="微軟正黑體"/>
          <w:kern w:val="0"/>
        </w:rPr>
        <w:t>，讓制度財務能在未來少子高齡化趨勢中維持一定程度的平衡。換言之，參考德日經驗，勞保老年年金在收入面修正，必須連同支出面一起做統整性的財務調整規劃。</w:t>
      </w:r>
    </w:p>
    <w:p w:rsidR="00381C80" w:rsidRDefault="00381C80" w:rsidP="00381C80">
      <w:pPr>
        <w:spacing w:beforeLines="30" w:before="108" w:line="400" w:lineRule="exact"/>
        <w:jc w:val="both"/>
        <w:rPr>
          <w:rFonts w:ascii="微軟正黑體" w:eastAsia="微軟正黑體" w:hAnsi="微軟正黑體"/>
          <w:kern w:val="0"/>
        </w:rPr>
      </w:pPr>
    </w:p>
    <w:p w:rsidR="00381C80" w:rsidRPr="000D2D89" w:rsidRDefault="00381C80" w:rsidP="00381C80">
      <w:pPr>
        <w:spacing w:beforeLines="30" w:before="108" w:line="400" w:lineRule="exact"/>
        <w:jc w:val="both"/>
        <w:rPr>
          <w:rFonts w:ascii="微軟正黑體" w:eastAsia="微軟正黑體" w:hAnsi="微軟正黑體"/>
          <w:kern w:val="0"/>
        </w:rPr>
      </w:pPr>
    </w:p>
    <w:p w:rsidR="00381C80" w:rsidRPr="000D2D89" w:rsidRDefault="00381C80" w:rsidP="00BD50E5">
      <w:pPr>
        <w:numPr>
          <w:ilvl w:val="0"/>
          <w:numId w:val="50"/>
        </w:numPr>
        <w:spacing w:beforeLines="30" w:before="108" w:line="400" w:lineRule="exact"/>
        <w:ind w:left="567" w:hanging="425"/>
        <w:jc w:val="both"/>
        <w:rPr>
          <w:rFonts w:ascii="微軟正黑體" w:eastAsia="微軟正黑體" w:hAnsi="微軟正黑體"/>
          <w:kern w:val="0"/>
        </w:rPr>
      </w:pPr>
      <w:r w:rsidRPr="000D2D89">
        <w:rPr>
          <w:rFonts w:ascii="微軟正黑體" w:eastAsia="微軟正黑體" w:hAnsi="微軟正黑體"/>
          <w:kern w:val="0"/>
        </w:rPr>
        <w:lastRenderedPageBreak/>
        <w:t>修正給付公式後提高投保薪資分級表上限</w:t>
      </w:r>
    </w:p>
    <w:p w:rsidR="00381C80" w:rsidRPr="000D2D89" w:rsidRDefault="00381C80" w:rsidP="00381C80">
      <w:pPr>
        <w:spacing w:beforeLines="30" w:before="108" w:line="400" w:lineRule="exact"/>
        <w:ind w:leftChars="236" w:left="566"/>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關於薪資費基的修正，日本厚生年金是額外納入獎金，國內勞保則視獎金的性質是否符合勞動基準法第2條第3款規定之「工資」</w:t>
      </w:r>
      <w:r w:rsidRPr="00A63B5D">
        <w:rPr>
          <w:rFonts w:ascii="微軟正黑體" w:eastAsia="微軟正黑體" w:hAnsi="微軟正黑體"/>
          <w:kern w:val="0"/>
          <w:vertAlign w:val="superscript"/>
        </w:rPr>
        <w:footnoteReference w:id="30"/>
      </w:r>
      <w:r w:rsidRPr="000D2D89">
        <w:rPr>
          <w:rFonts w:ascii="微軟正黑體" w:eastAsia="微軟正黑體" w:hAnsi="微軟正黑體"/>
          <w:kern w:val="0"/>
        </w:rPr>
        <w:t>而定，符合工資定義，才會列入投保薪資的採計。因之勞保若要將所有獎金都列入投保薪資採計中，一來涉及其他相關法令的修正與配合，需要有更周延評估，二來從厚生年金的運作經驗中也知，納入獎金，固然可以擴大費基，但仍屬較不穩定之額外財源，所能達到的穩定收入面效益較有限。</w:t>
      </w:r>
    </w:p>
    <w:p w:rsidR="00381C80" w:rsidRPr="00BC1914" w:rsidRDefault="00381C80" w:rsidP="00381C80">
      <w:pPr>
        <w:spacing w:beforeLines="30" w:before="108" w:line="400" w:lineRule="exact"/>
        <w:ind w:leftChars="236" w:left="566"/>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相較於獎金全額納入費基的諸多考量，參考德國法定年金，定期提高費基採計的所得上限門檻，以提高勞保投保薪資分級表上限，一來屬於勞保體制內的修正，考量層面較為單純，二來實際薪資高於投保薪資分級表上限的被保險人人數已有相當</w:t>
      </w:r>
      <w:r w:rsidRPr="00BC1914">
        <w:rPr>
          <w:rFonts w:ascii="微軟正黑體" w:eastAsia="微軟正黑體" w:hAnsi="微軟正黑體"/>
          <w:kern w:val="0"/>
        </w:rPr>
        <w:t>比</w:t>
      </w:r>
      <w:r w:rsidRPr="00BC1914">
        <w:rPr>
          <w:rFonts w:ascii="微軟正黑體" w:eastAsia="微軟正黑體" w:hAnsi="微軟正黑體" w:hint="eastAsia"/>
          <w:kern w:val="0"/>
        </w:rPr>
        <w:t>率</w:t>
      </w:r>
      <w:r w:rsidRPr="00BC1914">
        <w:rPr>
          <w:rFonts w:ascii="微軟正黑體" w:eastAsia="微軟正黑體" w:hAnsi="微軟正黑體"/>
          <w:kern w:val="0"/>
        </w:rPr>
        <w:t>，適度調高投保薪資分級表上限對收入面所帶來的效益，較具長期穩定性。</w:t>
      </w:r>
    </w:p>
    <w:p w:rsidR="00381C80" w:rsidRPr="000D2D89" w:rsidRDefault="00381C80" w:rsidP="00381C80">
      <w:pPr>
        <w:spacing w:beforeLines="30" w:before="108" w:line="400" w:lineRule="exact"/>
        <w:ind w:leftChars="236" w:left="566"/>
        <w:jc w:val="both"/>
        <w:rPr>
          <w:rFonts w:ascii="微軟正黑體" w:eastAsia="微軟正黑體" w:hAnsi="微軟正黑體"/>
          <w:kern w:val="0"/>
        </w:rPr>
      </w:pPr>
      <w:r w:rsidRPr="00BC1914">
        <w:rPr>
          <w:rFonts w:ascii="微軟正黑體" w:eastAsia="微軟正黑體" w:hAnsi="微軟正黑體" w:hint="eastAsia"/>
          <w:kern w:val="0"/>
        </w:rPr>
        <w:t xml:space="preserve">    </w:t>
      </w:r>
      <w:r w:rsidRPr="00BC1914">
        <w:rPr>
          <w:rFonts w:ascii="微軟正黑體" w:eastAsia="微軟正黑體" w:hAnsi="微軟正黑體"/>
          <w:kern w:val="0"/>
        </w:rPr>
        <w:t>不過調整投保薪資分級表上限，攸關被保險人、雇主與政府的提撥負擔，在目前給付公式下，</w:t>
      </w:r>
      <w:r w:rsidRPr="00BC1914">
        <w:rPr>
          <w:rFonts w:ascii="微軟正黑體" w:eastAsia="微軟正黑體" w:hAnsi="微軟正黑體" w:hint="eastAsia"/>
          <w:kern w:val="0"/>
        </w:rPr>
        <w:t>恐</w:t>
      </w:r>
      <w:r w:rsidRPr="00BC1914">
        <w:rPr>
          <w:rFonts w:ascii="微軟正黑體" w:eastAsia="微軟正黑體" w:hAnsi="微軟正黑體"/>
          <w:kern w:val="0"/>
        </w:rPr>
        <w:t>直接衝擊未來財務。現行勞保年金給付計算係以「平均月投保薪資乘上年資再乘以給付率1.55%」，勞保條例第19條規定，平均月投保薪資是按被保險人</w:t>
      </w:r>
      <w:r w:rsidRPr="00BC1914">
        <w:rPr>
          <w:rFonts w:ascii="微軟正黑體" w:eastAsia="微軟正黑體" w:hAnsi="微軟正黑體"/>
          <w:b/>
          <w:kern w:val="0"/>
        </w:rPr>
        <w:t>加保期間最高</w:t>
      </w:r>
      <w:r w:rsidRPr="00BC1914">
        <w:rPr>
          <w:rFonts w:ascii="微軟正黑體" w:eastAsia="微軟正黑體" w:hAnsi="微軟正黑體" w:hint="eastAsia"/>
          <w:b/>
          <w:kern w:val="0"/>
        </w:rPr>
        <w:t>60</w:t>
      </w:r>
      <w:r w:rsidRPr="00BC1914">
        <w:rPr>
          <w:rFonts w:ascii="微軟正黑體" w:eastAsia="微軟正黑體" w:hAnsi="微軟正黑體"/>
          <w:b/>
          <w:kern w:val="0"/>
        </w:rPr>
        <w:t>個月</w:t>
      </w:r>
      <w:r w:rsidRPr="00BC1914">
        <w:rPr>
          <w:rFonts w:ascii="微軟正黑體" w:eastAsia="微軟正黑體" w:hAnsi="微軟正黑體"/>
          <w:kern w:val="0"/>
        </w:rPr>
        <w:t>平均計算，並非所有投保期間之投保薪資平均，亦無針對不同投保薪資水準</w:t>
      </w:r>
      <w:r w:rsidRPr="000D2D89">
        <w:rPr>
          <w:rFonts w:ascii="微軟正黑體" w:eastAsia="微軟正黑體" w:hAnsi="微軟正黑體"/>
          <w:kern w:val="0"/>
        </w:rPr>
        <w:t>給予不同給付率，原則上以個人公平性為依歸，無特別的所得重分配效果。為此，鄭清霞、洪明皇、王靜</w:t>
      </w:r>
      <w:r>
        <w:rPr>
          <w:rFonts w:ascii="微軟正黑體" w:eastAsia="微軟正黑體" w:hAnsi="微軟正黑體"/>
          <w:kern w:val="0"/>
        </w:rPr>
        <w:t>怡、李佩芳</w:t>
      </w:r>
      <w:r>
        <w:rPr>
          <w:rFonts w:ascii="微軟正黑體" w:eastAsia="微軟正黑體" w:hAnsi="微軟正黑體" w:hint="eastAsia"/>
          <w:kern w:val="0"/>
        </w:rPr>
        <w:t>(</w:t>
      </w:r>
      <w:r w:rsidRPr="000D2D89">
        <w:rPr>
          <w:rFonts w:ascii="微軟正黑體" w:eastAsia="微軟正黑體" w:hAnsi="微軟正黑體"/>
          <w:kern w:val="0"/>
        </w:rPr>
        <w:t>2017</w:t>
      </w:r>
      <w:r>
        <w:rPr>
          <w:rFonts w:ascii="微軟正黑體" w:eastAsia="微軟正黑體" w:hAnsi="微軟正黑體" w:hint="eastAsia"/>
          <w:kern w:val="0"/>
        </w:rPr>
        <w:t>)</w:t>
      </w:r>
      <w:r w:rsidRPr="000D2D89">
        <w:rPr>
          <w:rFonts w:ascii="微軟正黑體" w:eastAsia="微軟正黑體" w:hAnsi="微軟正黑體"/>
          <w:kern w:val="0"/>
        </w:rPr>
        <w:t>提出基本年金構想，各制度有相同的基本年金給付水準設計，制度間可以通算並發揮若干所得重分配效果，也可避免民</w:t>
      </w:r>
      <w:r>
        <w:rPr>
          <w:rFonts w:ascii="微軟正黑體" w:eastAsia="微軟正黑體" w:hAnsi="微軟正黑體"/>
          <w:kern w:val="0"/>
        </w:rPr>
        <w:t>眾技巧性選擇勞工保險投保。主要規劃是將給付公式採行全部投保薪資</w:t>
      </w:r>
      <w:r>
        <w:rPr>
          <w:rFonts w:ascii="微軟正黑體" w:eastAsia="微軟正黑體" w:hAnsi="微軟正黑體" w:hint="eastAsia"/>
          <w:kern w:val="0"/>
        </w:rPr>
        <w:t>(</w:t>
      </w:r>
      <w:r w:rsidRPr="000D2D89">
        <w:rPr>
          <w:rFonts w:ascii="微軟正黑體" w:eastAsia="微軟正黑體" w:hAnsi="微軟正黑體"/>
          <w:kern w:val="0"/>
        </w:rPr>
        <w:t>而非最高60</w:t>
      </w:r>
      <w:r>
        <w:rPr>
          <w:rFonts w:ascii="微軟正黑體" w:eastAsia="微軟正黑體" w:hAnsi="微軟正黑體"/>
          <w:kern w:val="0"/>
        </w:rPr>
        <w:t>個月</w:t>
      </w:r>
      <w:r>
        <w:rPr>
          <w:rFonts w:ascii="微軟正黑體" w:eastAsia="微軟正黑體" w:hAnsi="微軟正黑體" w:hint="eastAsia"/>
          <w:kern w:val="0"/>
        </w:rPr>
        <w:t>)</w:t>
      </w:r>
      <w:r w:rsidRPr="000D2D89">
        <w:rPr>
          <w:rFonts w:ascii="微軟正黑體" w:eastAsia="微軟正黑體" w:hAnsi="微軟正黑體"/>
          <w:kern w:val="0"/>
        </w:rPr>
        <w:t>，並將投保薪資採取階段差別化給付率。</w:t>
      </w:r>
    </w:p>
    <w:p w:rsidR="00381C80" w:rsidRPr="000D2D89" w:rsidRDefault="00381C80" w:rsidP="00381C80">
      <w:pPr>
        <w:spacing w:beforeLines="30" w:before="108" w:line="400" w:lineRule="exact"/>
        <w:ind w:leftChars="236" w:left="566"/>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有關投保薪資級距調整依據，因為勞工平均薪資水準的變動，不僅反映國內總體經濟面，也反映被保險人、雇主及政府的提撥負擔能力，可考慮以平均薪資成長率，做為投保薪資分級表上限的調整指標依據。但因現行老年年金給付額是依據消費者物價指數變動來連動調整，一旦出現較長期性的物價指數成長率高於平均薪資成長率，將不利於年金財務與年金世代公平。故考量到保費提撥負擔及制度收支連動，併同採行平均薪資及物價水準的變動，做為投保薪資分級表上限的調整依據，係是較具周延性的方向。最後，我們仍要強調，調整法制化投保薪資分級表上限前，宜先實施增加平均投保薪資採計月數，才能降低對年金財務及年金世代公平的負面影響。</w:t>
      </w:r>
    </w:p>
    <w:p w:rsidR="00381C80" w:rsidRPr="000D2D89" w:rsidRDefault="00381C80" w:rsidP="00BD50E5">
      <w:pPr>
        <w:numPr>
          <w:ilvl w:val="0"/>
          <w:numId w:val="50"/>
        </w:numPr>
        <w:spacing w:beforeLines="30" w:before="108" w:line="400" w:lineRule="exact"/>
        <w:jc w:val="both"/>
        <w:rPr>
          <w:rFonts w:ascii="微軟正黑體" w:eastAsia="微軟正黑體" w:hAnsi="微軟正黑體"/>
          <w:kern w:val="0"/>
        </w:rPr>
      </w:pPr>
      <w:r w:rsidRPr="000D2D89">
        <w:rPr>
          <w:rFonts w:ascii="微軟正黑體" w:eastAsia="微軟正黑體" w:hAnsi="微軟正黑體"/>
          <w:kern w:val="0"/>
        </w:rPr>
        <w:t>擴大強制納保對象</w:t>
      </w:r>
    </w:p>
    <w:p w:rsidR="00381C80" w:rsidRPr="00BC1914" w:rsidRDefault="00381C80" w:rsidP="00381C80">
      <w:pPr>
        <w:spacing w:beforeLines="30" w:before="108" w:line="400" w:lineRule="exact"/>
        <w:ind w:leftChars="236" w:left="566"/>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現行勞保普通事故保險未將自僱者及員工人數5人以下企業的受僱者，列為</w:t>
      </w:r>
      <w:r w:rsidRPr="000D2D89">
        <w:rPr>
          <w:rFonts w:ascii="微軟正黑體" w:eastAsia="微軟正黑體" w:hAnsi="微軟正黑體"/>
          <w:kern w:val="0"/>
        </w:rPr>
        <w:lastRenderedPageBreak/>
        <w:t>強制納保對象。基本上，這</w:t>
      </w:r>
      <w:r w:rsidRPr="00BC1914">
        <w:rPr>
          <w:rFonts w:ascii="微軟正黑體" w:eastAsia="微軟正黑體" w:hAnsi="微軟正黑體" w:hint="eastAsia"/>
          <w:kern w:val="0"/>
        </w:rPr>
        <w:t>兩</w:t>
      </w:r>
      <w:r w:rsidRPr="00BC1914">
        <w:rPr>
          <w:rFonts w:ascii="微軟正黑體" w:eastAsia="微軟正黑體" w:hAnsi="微軟正黑體"/>
          <w:kern w:val="0"/>
        </w:rPr>
        <w:t>大類勞動人口群，前者有一部</w:t>
      </w:r>
      <w:r w:rsidRPr="00BC1914">
        <w:rPr>
          <w:rFonts w:ascii="微軟正黑體" w:eastAsia="微軟正黑體" w:hAnsi="微軟正黑體" w:hint="eastAsia"/>
          <w:kern w:val="0"/>
        </w:rPr>
        <w:t>分</w:t>
      </w:r>
      <w:r w:rsidRPr="00BC1914">
        <w:rPr>
          <w:rFonts w:ascii="微軟正黑體" w:eastAsia="微軟正黑體" w:hAnsi="微軟正黑體"/>
          <w:kern w:val="0"/>
        </w:rPr>
        <w:t>是高收入者，後者則有一定比</w:t>
      </w:r>
      <w:r w:rsidRPr="00BC1914">
        <w:rPr>
          <w:rFonts w:ascii="微軟正黑體" w:eastAsia="微軟正黑體" w:hAnsi="微軟正黑體" w:hint="eastAsia"/>
          <w:kern w:val="0"/>
        </w:rPr>
        <w:t>率</w:t>
      </w:r>
      <w:r w:rsidRPr="00BC1914">
        <w:rPr>
          <w:rFonts w:ascii="微軟正黑體" w:eastAsia="微軟正黑體" w:hAnsi="微軟正黑體"/>
          <w:kern w:val="0"/>
        </w:rPr>
        <w:t>是薪資偏低者。</w:t>
      </w:r>
    </w:p>
    <w:p w:rsidR="00381C80" w:rsidRPr="00BC1914" w:rsidRDefault="00381C80" w:rsidP="00381C80">
      <w:pPr>
        <w:spacing w:beforeLines="30" w:before="108" w:line="400" w:lineRule="exact"/>
        <w:ind w:leftChars="236" w:left="566"/>
        <w:jc w:val="both"/>
        <w:rPr>
          <w:rFonts w:ascii="微軟正黑體" w:eastAsia="微軟正黑體" w:hAnsi="微軟正黑體"/>
          <w:kern w:val="0"/>
        </w:rPr>
      </w:pPr>
      <w:r w:rsidRPr="00BC1914">
        <w:rPr>
          <w:rFonts w:ascii="微軟正黑體" w:eastAsia="微軟正黑體" w:hAnsi="微軟正黑體" w:hint="eastAsia"/>
          <w:kern w:val="0"/>
        </w:rPr>
        <w:t xml:space="preserve">    </w:t>
      </w:r>
      <w:r w:rsidRPr="00BC1914">
        <w:rPr>
          <w:rFonts w:ascii="微軟正黑體" w:eastAsia="微軟正黑體" w:hAnsi="微軟正黑體"/>
          <w:kern w:val="0"/>
        </w:rPr>
        <w:t>從勞保老年年金的費基面來看，當費基越集中在受僱者且未廣納不同工作型態的受僱者時，景氣變動對勞動市場條件所帶來的負面衝擊，越易導致保險費收入的波動性。故若能將自僱者與企業員工未滿5人的受僱者亦一併列入強制納保對象，勞動市場條件不佳時，部</w:t>
      </w:r>
      <w:r w:rsidRPr="00BC1914">
        <w:rPr>
          <w:rFonts w:ascii="微軟正黑體" w:eastAsia="微軟正黑體" w:hAnsi="微軟正黑體" w:hint="eastAsia"/>
          <w:kern w:val="0"/>
        </w:rPr>
        <w:t>分</w:t>
      </w:r>
      <w:r w:rsidRPr="00BC1914">
        <w:rPr>
          <w:rFonts w:ascii="微軟正黑體" w:eastAsia="微軟正黑體" w:hAnsi="微軟正黑體"/>
          <w:kern w:val="0"/>
        </w:rPr>
        <w:t>自僱者的較高收入有助於穩定保險費財源，必須轉換為受僱於未滿5人企業的勞工，也可以因為尚留在勞保的費基中而有助於降低勞保保險費財源所受到的衝擊。</w:t>
      </w:r>
    </w:p>
    <w:p w:rsidR="00381C80" w:rsidRPr="00BC1914" w:rsidRDefault="00381C80" w:rsidP="00381C80">
      <w:pPr>
        <w:spacing w:beforeLines="30" w:before="108" w:line="400" w:lineRule="exact"/>
        <w:ind w:leftChars="236" w:left="566"/>
        <w:jc w:val="both"/>
        <w:rPr>
          <w:rFonts w:ascii="微軟正黑體" w:eastAsia="微軟正黑體" w:hAnsi="微軟正黑體"/>
          <w:kern w:val="0"/>
        </w:rPr>
      </w:pPr>
      <w:r w:rsidRPr="00BC1914">
        <w:rPr>
          <w:rFonts w:ascii="微軟正黑體" w:eastAsia="微軟正黑體" w:hAnsi="微軟正黑體"/>
          <w:kern w:val="0"/>
        </w:rPr>
        <w:t xml:space="preserve">    惟若欲將此</w:t>
      </w:r>
      <w:r w:rsidRPr="00BC1914">
        <w:rPr>
          <w:rFonts w:ascii="微軟正黑體" w:eastAsia="微軟正黑體" w:hAnsi="微軟正黑體" w:hint="eastAsia"/>
          <w:kern w:val="0"/>
        </w:rPr>
        <w:t>兩</w:t>
      </w:r>
      <w:r w:rsidRPr="00BC1914">
        <w:rPr>
          <w:rFonts w:ascii="微軟正黑體" w:eastAsia="微軟正黑體" w:hAnsi="微軟正黑體"/>
          <w:kern w:val="0"/>
        </w:rPr>
        <w:t>類勞動人口群納為強制納保對象，前曾述及，自僱者方面涉及到收入認定及保費負擔問題，這部分建議可廣納其他國家的實施經驗，做為中長期的規劃方向。至於員工未滿5人企業的強制納保，雖涉及雇主的保費負擔能力，但基於受僱者的勞動權益保障，建議宜列為短期修正方向。</w:t>
      </w:r>
    </w:p>
    <w:p w:rsidR="00381C80" w:rsidRPr="00BC1914" w:rsidRDefault="00381C80" w:rsidP="00BD50E5">
      <w:pPr>
        <w:numPr>
          <w:ilvl w:val="1"/>
          <w:numId w:val="45"/>
        </w:numPr>
        <w:spacing w:beforeLines="30" w:before="108" w:line="400" w:lineRule="exact"/>
        <w:ind w:left="426" w:hanging="426"/>
        <w:jc w:val="both"/>
        <w:rPr>
          <w:rFonts w:ascii="微軟正黑體" w:eastAsia="微軟正黑體" w:hAnsi="微軟正黑體"/>
          <w:kern w:val="0"/>
        </w:rPr>
      </w:pPr>
      <w:r w:rsidRPr="00BC1914">
        <w:rPr>
          <w:rFonts w:ascii="微軟正黑體" w:eastAsia="微軟正黑體" w:hAnsi="微軟正黑體"/>
          <w:kern w:val="0"/>
        </w:rPr>
        <w:t>政府負擔</w:t>
      </w:r>
    </w:p>
    <w:p w:rsidR="00381C80" w:rsidRPr="00BC1914" w:rsidRDefault="00381C80" w:rsidP="00381C80">
      <w:pPr>
        <w:spacing w:beforeLines="30" w:before="108" w:line="400" w:lineRule="exact"/>
        <w:jc w:val="both"/>
        <w:rPr>
          <w:rFonts w:ascii="微軟正黑體" w:eastAsia="微軟正黑體" w:hAnsi="微軟正黑體"/>
          <w:kern w:val="0"/>
        </w:rPr>
      </w:pPr>
      <w:r w:rsidRPr="00BC1914">
        <w:rPr>
          <w:rFonts w:ascii="微軟正黑體" w:eastAsia="微軟正黑體" w:hAnsi="微軟正黑體" w:hint="eastAsia"/>
          <w:kern w:val="0"/>
        </w:rPr>
        <w:t xml:space="preserve">    </w:t>
      </w:r>
      <w:r w:rsidRPr="00BC1914">
        <w:rPr>
          <w:rFonts w:ascii="微軟正黑體" w:eastAsia="微軟正黑體" w:hAnsi="微軟正黑體"/>
          <w:kern w:val="0"/>
        </w:rPr>
        <w:t>政府負擔應併同財源籌措與財務處理一起討論，現行勞保的政府財政責任，包括了法定保險費分擔比</w:t>
      </w:r>
      <w:r w:rsidRPr="00BC1914">
        <w:rPr>
          <w:rFonts w:ascii="微軟正黑體" w:eastAsia="微軟正黑體" w:hAnsi="微軟正黑體" w:hint="eastAsia"/>
          <w:kern w:val="0"/>
        </w:rPr>
        <w:t>率(</w:t>
      </w:r>
      <w:r w:rsidRPr="00BC1914">
        <w:rPr>
          <w:rFonts w:ascii="微軟正黑體" w:eastAsia="微軟正黑體" w:hAnsi="微軟正黑體"/>
          <w:kern w:val="0"/>
        </w:rPr>
        <w:t>勞保條例第15條</w:t>
      </w:r>
      <w:r w:rsidRPr="00BC1914">
        <w:rPr>
          <w:rFonts w:ascii="微軟正黑體" w:eastAsia="微軟正黑體" w:hAnsi="微軟正黑體" w:hint="eastAsia"/>
          <w:kern w:val="0"/>
        </w:rPr>
        <w:t>)</w:t>
      </w:r>
      <w:r w:rsidRPr="00BC1914">
        <w:rPr>
          <w:rFonts w:ascii="微軟正黑體" w:eastAsia="微軟正黑體" w:hAnsi="微軟正黑體"/>
          <w:kern w:val="0"/>
        </w:rPr>
        <w:t>、業務費</w:t>
      </w:r>
      <w:r>
        <w:rPr>
          <w:rFonts w:ascii="微軟正黑體" w:eastAsia="微軟正黑體" w:hAnsi="微軟正黑體" w:hint="eastAsia"/>
          <w:kern w:val="0"/>
        </w:rPr>
        <w:t>(</w:t>
      </w:r>
      <w:r w:rsidRPr="000D2D89">
        <w:rPr>
          <w:rFonts w:ascii="微軟正黑體" w:eastAsia="微軟正黑體" w:hAnsi="微軟正黑體"/>
          <w:kern w:val="0"/>
        </w:rPr>
        <w:t>勞保條例第68條</w:t>
      </w:r>
      <w:r>
        <w:rPr>
          <w:rFonts w:ascii="微軟正黑體" w:eastAsia="微軟正黑體" w:hAnsi="微軟正黑體" w:hint="eastAsia"/>
          <w:kern w:val="0"/>
        </w:rPr>
        <w:t>)</w:t>
      </w:r>
      <w:r w:rsidRPr="000D2D89">
        <w:rPr>
          <w:rFonts w:ascii="微軟正黑體" w:eastAsia="微軟正黑體" w:hAnsi="微軟正黑體"/>
          <w:kern w:val="0"/>
        </w:rPr>
        <w:t>以及虧損撥補責任</w:t>
      </w:r>
      <w:r>
        <w:rPr>
          <w:rFonts w:ascii="微軟正黑體" w:eastAsia="微軟正黑體" w:hAnsi="微軟正黑體" w:hint="eastAsia"/>
          <w:kern w:val="0"/>
        </w:rPr>
        <w:t>(</w:t>
      </w:r>
      <w:r w:rsidRPr="000D2D89">
        <w:rPr>
          <w:rFonts w:ascii="微軟正黑體" w:eastAsia="微軟正黑體" w:hAnsi="微軟正黑體"/>
          <w:kern w:val="0"/>
        </w:rPr>
        <w:t>勞保條例第69</w:t>
      </w:r>
      <w:r>
        <w:rPr>
          <w:rFonts w:ascii="微軟正黑體" w:eastAsia="微軟正黑體" w:hAnsi="微軟正黑體"/>
          <w:kern w:val="0"/>
        </w:rPr>
        <w:t>條</w:t>
      </w:r>
      <w:r>
        <w:rPr>
          <w:rFonts w:ascii="微軟正黑體" w:eastAsia="微軟正黑體" w:hAnsi="微軟正黑體" w:hint="eastAsia"/>
          <w:kern w:val="0"/>
        </w:rPr>
        <w:t>)</w:t>
      </w:r>
      <w:r w:rsidRPr="000D2D89">
        <w:rPr>
          <w:rFonts w:ascii="微軟正黑體" w:eastAsia="微軟正黑體" w:hAnsi="微軟正黑體"/>
          <w:kern w:val="0"/>
        </w:rPr>
        <w:t>。換言之，政府主要在收入面進行保費補助，部分提存準備制的收入面補貼，等於是政府負擔也進入提存，但如果是隨收隨付制，政府保費補貼則與支出面補貼幾乎相同。日本厚生年金的政府財政補助全額事務費，另外對制度支出面做全面性補助，德國亦是從支出面給予直接性的補助，亦即德</w:t>
      </w:r>
      <w:r w:rsidRPr="00BC1914">
        <w:rPr>
          <w:rFonts w:ascii="微軟正黑體" w:eastAsia="微軟正黑體" w:hAnsi="微軟正黑體"/>
          <w:kern w:val="0"/>
        </w:rPr>
        <w:t>日</w:t>
      </w:r>
      <w:r w:rsidRPr="00BC1914">
        <w:rPr>
          <w:rFonts w:ascii="微軟正黑體" w:eastAsia="微軟正黑體" w:hAnsi="微軟正黑體" w:hint="eastAsia"/>
          <w:kern w:val="0"/>
        </w:rPr>
        <w:t>兩</w:t>
      </w:r>
      <w:r w:rsidRPr="00BC1914">
        <w:rPr>
          <w:rFonts w:ascii="微軟正黑體" w:eastAsia="微軟正黑體" w:hAnsi="微軟正黑體"/>
          <w:kern w:val="0"/>
        </w:rPr>
        <w:t>國政府都在支出面補助，並未參與被保險人的保險費分擔責任。</w:t>
      </w:r>
    </w:p>
    <w:p w:rsidR="00381C80" w:rsidRPr="000D2D89" w:rsidRDefault="00381C80" w:rsidP="00381C80">
      <w:pPr>
        <w:spacing w:beforeLines="30" w:before="108" w:line="400" w:lineRule="exact"/>
        <w:jc w:val="both"/>
        <w:rPr>
          <w:rFonts w:ascii="微軟正黑體" w:eastAsia="微軟正黑體" w:hAnsi="微軟正黑體"/>
          <w:kern w:val="0"/>
        </w:rPr>
      </w:pPr>
      <w:r w:rsidRPr="00BC1914">
        <w:rPr>
          <w:rFonts w:ascii="微軟正黑體" w:eastAsia="微軟正黑體" w:hAnsi="微軟正黑體" w:hint="eastAsia"/>
          <w:kern w:val="0"/>
        </w:rPr>
        <w:t xml:space="preserve">    </w:t>
      </w:r>
      <w:r w:rsidRPr="00BC1914">
        <w:rPr>
          <w:rFonts w:ascii="微軟正黑體" w:eastAsia="微軟正黑體" w:hAnsi="微軟正黑體"/>
          <w:kern w:val="0"/>
        </w:rPr>
        <w:t>前曾述及，政府對勞保不同職業別被保險人，負擔了不同比</w:t>
      </w:r>
      <w:r w:rsidRPr="00BC1914">
        <w:rPr>
          <w:rFonts w:ascii="微軟正黑體" w:eastAsia="微軟正黑體" w:hAnsi="微軟正黑體" w:hint="eastAsia"/>
          <w:kern w:val="0"/>
        </w:rPr>
        <w:t>率</w:t>
      </w:r>
      <w:r w:rsidRPr="00BC1914">
        <w:rPr>
          <w:rFonts w:ascii="微軟正黑體" w:eastAsia="微軟正黑體" w:hAnsi="微軟正黑體"/>
          <w:kern w:val="0"/>
        </w:rPr>
        <w:t>的保費責任，容易誘使部</w:t>
      </w:r>
      <w:r w:rsidRPr="00BC1914">
        <w:rPr>
          <w:rFonts w:ascii="微軟正黑體" w:eastAsia="微軟正黑體" w:hAnsi="微軟正黑體" w:hint="eastAsia"/>
          <w:kern w:val="0"/>
        </w:rPr>
        <w:t>分</w:t>
      </w:r>
      <w:r w:rsidRPr="00BC1914">
        <w:rPr>
          <w:rFonts w:ascii="微軟正黑體" w:eastAsia="微軟正黑體" w:hAnsi="微軟正黑體"/>
          <w:kern w:val="0"/>
        </w:rPr>
        <w:t>民眾掛名加保的投機行為，不僅徒增公平性爭議也加重政府負擔。面對前述問題，根本之計應是讓政府不再參與保險費的分擔責任，或是對全體被保險人採齊一性的保費分擔比率，但因政府負擔不同比率保費責任，已是運作已久的機制，若欲修正將會涉及被保險人與</w:t>
      </w:r>
      <w:r w:rsidRPr="00BC1914">
        <w:rPr>
          <w:rFonts w:ascii="微軟正黑體" w:eastAsia="微軟正黑體" w:hAnsi="微軟正黑體" w:hint="eastAsia"/>
          <w:kern w:val="0"/>
        </w:rPr>
        <w:t>雇</w:t>
      </w:r>
      <w:r w:rsidRPr="00BC1914">
        <w:rPr>
          <w:rFonts w:ascii="微軟正黑體" w:eastAsia="微軟正黑體" w:hAnsi="微軟正黑體"/>
          <w:kern w:val="0"/>
        </w:rPr>
        <w:t>主的意見相左，短期上推動較為困難。</w:t>
      </w:r>
    </w:p>
    <w:p w:rsidR="00381C80" w:rsidRDefault="00381C80" w:rsidP="00381C80">
      <w:pPr>
        <w:spacing w:beforeLines="30" w:before="108" w:line="400" w:lineRule="exact"/>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相較於政府保費補助責任議題之複雜性，目前較可行的政府財務責任修正，是針對財務虧損的撥補責任界定上的適切性。現行勞保條例對政府在制度虧損的財政撥補並未訂定上限，易導致制度在欠缺明確的財務責任基礎下，不易客觀精算未來的財務情況，以提前做整體收支參數的必要性調整。在這方面，從勞保條例第13</w:t>
      </w:r>
      <w:r>
        <w:rPr>
          <w:rFonts w:ascii="微軟正黑體" w:eastAsia="微軟正黑體" w:hAnsi="微軟正黑體"/>
          <w:kern w:val="0"/>
        </w:rPr>
        <w:t>條論之，其訂有當保險基金餘額足以</w:t>
      </w:r>
      <w:r>
        <w:rPr>
          <w:rFonts w:ascii="微軟正黑體" w:eastAsia="微軟正黑體" w:hAnsi="微軟正黑體" w:hint="eastAsia"/>
          <w:kern w:val="0"/>
        </w:rPr>
        <w:t>(</w:t>
      </w:r>
      <w:r>
        <w:rPr>
          <w:rFonts w:ascii="微軟正黑體" w:eastAsia="微軟正黑體" w:hAnsi="微軟正黑體"/>
          <w:kern w:val="0"/>
        </w:rPr>
        <w:t>或不足以</w:t>
      </w:r>
      <w:r>
        <w:rPr>
          <w:rFonts w:ascii="微軟正黑體" w:eastAsia="微軟正黑體" w:hAnsi="微軟正黑體" w:hint="eastAsia"/>
          <w:kern w:val="0"/>
        </w:rPr>
        <w:t>)</w:t>
      </w:r>
      <w:r w:rsidRPr="000D2D89">
        <w:rPr>
          <w:rFonts w:ascii="微軟正黑體" w:eastAsia="微軟正黑體" w:hAnsi="微軟正黑體"/>
          <w:kern w:val="0"/>
        </w:rPr>
        <w:t>支付未來20</w:t>
      </w:r>
      <w:r>
        <w:rPr>
          <w:rFonts w:ascii="微軟正黑體" w:eastAsia="微軟正黑體" w:hAnsi="微軟正黑體"/>
          <w:kern w:val="0"/>
        </w:rPr>
        <w:t>年保險給付時，普通事故保險費率不予調高</w:t>
      </w:r>
      <w:r>
        <w:rPr>
          <w:rFonts w:ascii="微軟正黑體" w:eastAsia="微軟正黑體" w:hAnsi="微軟正黑體" w:hint="eastAsia"/>
          <w:kern w:val="0"/>
        </w:rPr>
        <w:t>(</w:t>
      </w:r>
      <w:r>
        <w:rPr>
          <w:rFonts w:ascii="微軟正黑體" w:eastAsia="微軟正黑體" w:hAnsi="微軟正黑體"/>
          <w:kern w:val="0"/>
        </w:rPr>
        <w:t>或應予調高</w:t>
      </w:r>
      <w:r>
        <w:rPr>
          <w:rFonts w:ascii="微軟正黑體" w:eastAsia="微軟正黑體" w:hAnsi="微軟正黑體" w:hint="eastAsia"/>
          <w:kern w:val="0"/>
        </w:rPr>
        <w:t>)</w:t>
      </w:r>
      <w:r w:rsidRPr="000D2D89">
        <w:rPr>
          <w:rFonts w:ascii="微軟正黑體" w:eastAsia="微軟正黑體" w:hAnsi="微軟正黑體"/>
          <w:kern w:val="0"/>
        </w:rPr>
        <w:t>之規定，可見未來勞保的主要財源仍建立在保險制的基礎。在此情況，建議政府對制度財務虧損的撥補責任，宜訂有上限金額，除了避免政府補貼淪為政治工具之外，也讓制度財務在長期精算上，較有確切依據。</w:t>
      </w:r>
    </w:p>
    <w:p w:rsidR="00381C80" w:rsidRPr="000D2D89" w:rsidRDefault="00381C80" w:rsidP="00381C80">
      <w:pPr>
        <w:spacing w:beforeLines="30" w:before="108" w:line="400" w:lineRule="exact"/>
        <w:jc w:val="both"/>
        <w:rPr>
          <w:rFonts w:ascii="微軟正黑體" w:eastAsia="微軟正黑體" w:hAnsi="微軟正黑體"/>
          <w:kern w:val="0"/>
        </w:rPr>
      </w:pPr>
    </w:p>
    <w:p w:rsidR="00381C80" w:rsidRPr="000D2D89" w:rsidRDefault="00381C80" w:rsidP="00381C80">
      <w:pPr>
        <w:spacing w:beforeLines="30" w:before="108" w:line="400" w:lineRule="exact"/>
        <w:jc w:val="both"/>
        <w:rPr>
          <w:rFonts w:ascii="微軟正黑體" w:eastAsia="微軟正黑體" w:hAnsi="微軟正黑體"/>
          <w:kern w:val="0"/>
        </w:rPr>
      </w:pPr>
      <w:r>
        <w:rPr>
          <w:rFonts w:ascii="微軟正黑體" w:eastAsia="微軟正黑體" w:hAnsi="微軟正黑體" w:hint="eastAsia"/>
          <w:kern w:val="0"/>
        </w:rPr>
        <w:lastRenderedPageBreak/>
        <w:t xml:space="preserve">    </w:t>
      </w:r>
      <w:r w:rsidRPr="000D2D89">
        <w:rPr>
          <w:rFonts w:ascii="微軟正黑體" w:eastAsia="微軟正黑體" w:hAnsi="微軟正黑體"/>
          <w:kern w:val="0"/>
        </w:rPr>
        <w:t>此外，少子化所帶來的勞動力人口減少及薪資水準的沉滯，均已衝擊以薪資所得為基礎的保險制費基，透過階段性提高保險費率以增加保費收入，考量到被保險人及雇主的保費負擔，調幅亦無法完全因應已陷入惡化的制度財務需求，所以參考日本厚生年金的修正經驗，</w:t>
      </w:r>
      <w:r w:rsidRPr="00B520B8">
        <w:rPr>
          <w:rFonts w:ascii="微軟正黑體" w:eastAsia="微軟正黑體" w:hAnsi="微軟正黑體"/>
          <w:b/>
          <w:kern w:val="0"/>
        </w:rPr>
        <w:t>適度導入稅收做為財源</w:t>
      </w:r>
      <w:r w:rsidRPr="000D2D89">
        <w:rPr>
          <w:rFonts w:ascii="微軟正黑體" w:eastAsia="微軟正黑體" w:hAnsi="微軟正黑體"/>
          <w:kern w:val="0"/>
        </w:rPr>
        <w:t>，有助於降低財源過度集中的可能系統性風險。實際運作上，建議可採行政府的年度定額財政撥補方式，並增訂確切財政來源之規定，以提高輔助財源的長期穩定性。</w:t>
      </w:r>
    </w:p>
    <w:p w:rsidR="00381C80" w:rsidRPr="000D2D89" w:rsidRDefault="00381C80" w:rsidP="00BD50E5">
      <w:pPr>
        <w:numPr>
          <w:ilvl w:val="1"/>
          <w:numId w:val="45"/>
        </w:numPr>
        <w:spacing w:beforeLines="30" w:before="108" w:line="400" w:lineRule="exact"/>
        <w:ind w:left="426" w:hanging="426"/>
        <w:jc w:val="both"/>
        <w:rPr>
          <w:rFonts w:ascii="微軟正黑體" w:eastAsia="微軟正黑體" w:hAnsi="微軟正黑體"/>
          <w:kern w:val="0"/>
        </w:rPr>
      </w:pPr>
      <w:r w:rsidRPr="000D2D89">
        <w:rPr>
          <w:rFonts w:ascii="微軟正黑體" w:eastAsia="微軟正黑體" w:hAnsi="微軟正黑體"/>
          <w:kern w:val="0"/>
        </w:rPr>
        <w:t>基金投資收益</w:t>
      </w:r>
    </w:p>
    <w:p w:rsidR="00381C80" w:rsidRPr="000D2D89" w:rsidRDefault="00381C80" w:rsidP="00381C80">
      <w:pPr>
        <w:spacing w:beforeLines="30" w:before="108" w:line="400" w:lineRule="exact"/>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基於現行勞工保險定位在部份提存準備制，基金的存續與投資運用是未來必須正視的問題。前曾述及，近20年來可投資標的之鬆綁及適度委外操作，的確在某種程度上提高勞保基金的投資績效。</w:t>
      </w:r>
      <w:r w:rsidRPr="00155BF3">
        <w:rPr>
          <w:rFonts w:ascii="微軟正黑體" w:eastAsia="微軟正黑體" w:hAnsi="微軟正黑體" w:hint="eastAsia"/>
          <w:kern w:val="0"/>
        </w:rPr>
        <w:t>但相對的，勞保基金的存在除了讓制度在面對潛在財務危機時，屢屢將無法確保的「提高基金投資績效」列為修正方案之一，也讓勞保在進行財務精算時，無法做出確切的投資績效假設，來進行較保守的未來財務評估</w:t>
      </w:r>
      <w:r w:rsidRPr="000D2D89">
        <w:rPr>
          <w:rFonts w:ascii="微軟正黑體" w:eastAsia="微軟正黑體" w:hAnsi="微軟正黑體"/>
          <w:kern w:val="0"/>
        </w:rPr>
        <w:t>。</w:t>
      </w:r>
    </w:p>
    <w:p w:rsidR="00381C80" w:rsidRPr="000D2D89" w:rsidRDefault="00381C80" w:rsidP="00381C80">
      <w:pPr>
        <w:spacing w:beforeLines="30" w:before="108" w:line="400" w:lineRule="exact"/>
        <w:jc w:val="both"/>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關於勞保基金在投資績效的財務定位，長期以來未有明確的法定依據，以致衍生出包括勞保基金是否該成為國內股市的護盤工具及基金投資績效往往被視為是造成制度財務危機的究因等問題，因而引發勞保基金在存續適切性上的爭議。因此，討論提高勞保基金投資績效前，宜先立法明訂勞保普通事故保險的財務重計算機制，據以訂定勞保基金的投資績效指標，方能有客觀的法源依據，以評估基金的投資績效。更重要的是，2026年基金即將用罄，勞保財務</w:t>
      </w:r>
      <w:r w:rsidRPr="000D2D89">
        <w:rPr>
          <w:rFonts w:ascii="微軟正黑體" w:eastAsia="微軟正黑體" w:hAnsi="微軟正黑體" w:hint="eastAsia"/>
          <w:kern w:val="0"/>
        </w:rPr>
        <w:t>若</w:t>
      </w:r>
      <w:r w:rsidRPr="000D2D89">
        <w:rPr>
          <w:rFonts w:ascii="微軟正黑體" w:eastAsia="微軟正黑體" w:hAnsi="微軟正黑體"/>
          <w:kern w:val="0"/>
        </w:rPr>
        <w:t>轉為隨收隨付制，基金投資績效已經對改善勞保財務的影響力微乎其微。因之，建議參考日本與德國作法，增訂適切的年金給付調整因子，應是重要的規劃方向。</w:t>
      </w:r>
    </w:p>
    <w:p w:rsidR="00381C80" w:rsidRPr="00D175C2" w:rsidRDefault="00381C80" w:rsidP="00381C80">
      <w:pPr>
        <w:spacing w:beforeLines="150" w:before="540" w:line="400" w:lineRule="exact"/>
        <w:ind w:left="480" w:hangingChars="150" w:hanging="480"/>
        <w:jc w:val="center"/>
        <w:rPr>
          <w:rFonts w:ascii="微軟正黑體" w:eastAsia="微軟正黑體" w:hAnsi="微軟正黑體"/>
          <w:sz w:val="32"/>
          <w:szCs w:val="32"/>
        </w:rPr>
      </w:pPr>
      <w:r w:rsidRPr="00BC1914">
        <w:rPr>
          <w:rFonts w:ascii="微軟正黑體" w:eastAsia="微軟正黑體" w:hAnsi="微軟正黑體" w:hint="eastAsia"/>
          <w:b/>
          <w:sz w:val="32"/>
          <w:szCs w:val="32"/>
        </w:rPr>
        <w:t>陸</w:t>
      </w:r>
      <w:r w:rsidRPr="00A2403E">
        <w:rPr>
          <w:rFonts w:ascii="微軟正黑體" w:eastAsia="微軟正黑體" w:hAnsi="微軟正黑體"/>
          <w:b/>
          <w:sz w:val="32"/>
          <w:szCs w:val="32"/>
        </w:rPr>
        <w:t>、</w:t>
      </w:r>
      <w:r>
        <w:rPr>
          <w:rFonts w:ascii="微軟正黑體" w:eastAsia="微軟正黑體" w:hAnsi="微軟正黑體" w:hint="eastAsia"/>
          <w:b/>
          <w:sz w:val="32"/>
          <w:szCs w:val="32"/>
        </w:rPr>
        <w:t>結語</w:t>
      </w:r>
    </w:p>
    <w:p w:rsidR="00381C80" w:rsidRPr="000D2D89" w:rsidRDefault="00381C80" w:rsidP="00381C80">
      <w:pPr>
        <w:autoSpaceDE w:val="0"/>
        <w:autoSpaceDN w:val="0"/>
        <w:adjustRightInd w:val="0"/>
        <w:spacing w:beforeLines="100" w:before="360" w:line="400" w:lineRule="exact"/>
        <w:jc w:val="both"/>
        <w:rPr>
          <w:rStyle w:val="st"/>
          <w:rFonts w:ascii="微軟正黑體" w:eastAsia="微軟正黑體" w:hAnsi="微軟正黑體"/>
        </w:rPr>
      </w:pPr>
      <w:r w:rsidRPr="000D2D89">
        <w:rPr>
          <w:rStyle w:val="st"/>
          <w:rFonts w:ascii="微軟正黑體" w:eastAsia="微軟正黑體" w:hAnsi="微軟正黑體" w:hint="eastAsia"/>
        </w:rPr>
        <w:t xml:space="preserve">    </w:t>
      </w:r>
      <w:r w:rsidRPr="000D2D89">
        <w:rPr>
          <w:rStyle w:val="st"/>
          <w:rFonts w:ascii="微軟正黑體" w:eastAsia="微軟正黑體" w:hAnsi="微軟正黑體"/>
        </w:rPr>
        <w:t>年金制度是收入面提撥至支出面給付的長期性質，其面對長遠性社經變數變動帶來的挑戰，精算健全性</w:t>
      </w:r>
      <w:r>
        <w:rPr>
          <w:rStyle w:val="st"/>
          <w:rFonts w:ascii="微軟正黑體" w:eastAsia="微軟正黑體" w:hAnsi="微軟正黑體" w:hint="eastAsia"/>
        </w:rPr>
        <w:t>(</w:t>
      </w:r>
      <w:r w:rsidRPr="00B520B8">
        <w:rPr>
          <w:rStyle w:val="st"/>
          <w:rFonts w:ascii="微軟正黑體" w:eastAsia="微軟正黑體" w:hAnsi="微軟正黑體"/>
          <w:b/>
        </w:rPr>
        <w:t>actuarial soundness</w:t>
      </w:r>
      <w:r>
        <w:rPr>
          <w:rStyle w:val="st"/>
          <w:rFonts w:ascii="微軟正黑體" w:eastAsia="微軟正黑體" w:hAnsi="微軟正黑體" w:hint="eastAsia"/>
        </w:rPr>
        <w:t>)</w:t>
      </w:r>
      <w:r w:rsidRPr="000D2D89">
        <w:rPr>
          <w:rStyle w:val="st"/>
          <w:rFonts w:ascii="微軟正黑體" w:eastAsia="微軟正黑體" w:hAnsi="微軟正黑體" w:hint="eastAsia"/>
        </w:rPr>
        <w:t>是</w:t>
      </w:r>
      <w:r w:rsidRPr="000D2D89">
        <w:rPr>
          <w:rStyle w:val="st"/>
          <w:rFonts w:ascii="微軟正黑體" w:eastAsia="微軟正黑體" w:hAnsi="微軟正黑體"/>
        </w:rPr>
        <w:t>保險財務基本要求</w:t>
      </w:r>
      <w:r w:rsidRPr="000D2D89">
        <w:rPr>
          <w:rStyle w:val="st"/>
          <w:rFonts w:ascii="微軟正黑體" w:eastAsia="微軟正黑體" w:hAnsi="微軟正黑體" w:hint="eastAsia"/>
        </w:rPr>
        <w:t>，</w:t>
      </w:r>
      <w:r w:rsidRPr="000D2D89">
        <w:rPr>
          <w:rStyle w:val="st"/>
          <w:rFonts w:ascii="微軟正黑體" w:eastAsia="微軟正黑體" w:hAnsi="微軟正黑體"/>
        </w:rPr>
        <w:t>亦為參與長期保險</w:t>
      </w:r>
      <w:r w:rsidRPr="000D2D89">
        <w:rPr>
          <w:rStyle w:val="st"/>
          <w:rFonts w:ascii="微軟正黑體" w:eastAsia="微軟正黑體" w:hAnsi="微軟正黑體" w:hint="eastAsia"/>
        </w:rPr>
        <w:t>的</w:t>
      </w:r>
      <w:r w:rsidRPr="000D2D89">
        <w:rPr>
          <w:rStyle w:val="st"/>
          <w:rFonts w:ascii="微軟正黑體" w:eastAsia="微軟正黑體" w:hAnsi="微軟正黑體"/>
        </w:rPr>
        <w:t>信心來源。勞工保險是社會保險，依法強制參加，透過源源不斷的新進參與者，更涉及世代所得重分配，其精算健全性與商業保險不同，能夠</w:t>
      </w:r>
      <w:r w:rsidRPr="00B520B8">
        <w:rPr>
          <w:rStyle w:val="st"/>
          <w:rFonts w:ascii="微軟正黑體" w:eastAsia="微軟正黑體" w:hAnsi="微軟正黑體"/>
          <w:b/>
        </w:rPr>
        <w:t>如期提供保險給付的履行能力</w:t>
      </w:r>
      <w:r>
        <w:rPr>
          <w:rStyle w:val="st"/>
          <w:rFonts w:ascii="微軟正黑體" w:eastAsia="微軟正黑體" w:hAnsi="微軟正黑體" w:hint="eastAsia"/>
        </w:rPr>
        <w:t>(</w:t>
      </w:r>
      <w:r w:rsidRPr="000D2D89">
        <w:rPr>
          <w:rStyle w:val="st"/>
          <w:rFonts w:ascii="微軟正黑體" w:eastAsia="微軟正黑體" w:hAnsi="微軟正黑體"/>
        </w:rPr>
        <w:t>Myers,1955；Rejda,1999</w:t>
      </w:r>
      <w:r>
        <w:rPr>
          <w:rStyle w:val="st"/>
          <w:rFonts w:ascii="微軟正黑體" w:eastAsia="微軟正黑體" w:hAnsi="微軟正黑體" w:hint="eastAsia"/>
        </w:rPr>
        <w:t>)</w:t>
      </w:r>
      <w:r>
        <w:rPr>
          <w:rStyle w:val="st"/>
          <w:rFonts w:ascii="微軟正黑體" w:eastAsia="微軟正黑體" w:hAnsi="微軟正黑體"/>
        </w:rPr>
        <w:t>，能夠長期精算平衡</w:t>
      </w:r>
      <w:r>
        <w:rPr>
          <w:rStyle w:val="st"/>
          <w:rFonts w:ascii="微軟正黑體" w:eastAsia="微軟正黑體" w:hAnsi="微軟正黑體" w:hint="eastAsia"/>
        </w:rPr>
        <w:t>(</w:t>
      </w:r>
      <w:r w:rsidRPr="000D2D89">
        <w:rPr>
          <w:rStyle w:val="st"/>
          <w:rFonts w:ascii="微軟正黑體" w:eastAsia="微軟正黑體" w:hAnsi="微軟正黑體"/>
        </w:rPr>
        <w:t>actuarial balance</w:t>
      </w:r>
      <w:r>
        <w:rPr>
          <w:rStyle w:val="st"/>
          <w:rFonts w:ascii="微軟正黑體" w:eastAsia="微軟正黑體" w:hAnsi="微軟正黑體" w:hint="eastAsia"/>
        </w:rPr>
        <w:t>)</w:t>
      </w:r>
      <w:r w:rsidRPr="000D2D89">
        <w:rPr>
          <w:rStyle w:val="st"/>
          <w:rFonts w:ascii="微軟正黑體" w:eastAsia="微軟正黑體" w:hAnsi="微軟正黑體"/>
        </w:rPr>
        <w:t>就可稱其達到精算健全性，所謂的長期精算平</w:t>
      </w:r>
      <w:r>
        <w:rPr>
          <w:rStyle w:val="st"/>
          <w:rFonts w:ascii="微軟正黑體" w:eastAsia="微軟正黑體" w:hAnsi="微軟正黑體"/>
        </w:rPr>
        <w:t>衡係指，長期的保費收入以及利息收入足以支付給付支出以及行政費用</w:t>
      </w:r>
      <w:r>
        <w:rPr>
          <w:rStyle w:val="st"/>
          <w:rFonts w:ascii="微軟正黑體" w:eastAsia="微軟正黑體" w:hAnsi="微軟正黑體" w:hint="eastAsia"/>
        </w:rPr>
        <w:t>(</w:t>
      </w:r>
      <w:r w:rsidRPr="000D2D89">
        <w:rPr>
          <w:rStyle w:val="st"/>
          <w:rFonts w:ascii="微軟正黑體" w:eastAsia="微軟正黑體" w:hAnsi="微軟正黑體"/>
        </w:rPr>
        <w:t>Myers, 1955</w:t>
      </w:r>
      <w:r>
        <w:rPr>
          <w:rStyle w:val="st"/>
          <w:rFonts w:ascii="微軟正黑體" w:eastAsia="微軟正黑體" w:hAnsi="微軟正黑體" w:hint="eastAsia"/>
        </w:rPr>
        <w:t>)</w:t>
      </w:r>
      <w:r w:rsidRPr="000D2D89">
        <w:rPr>
          <w:rStyle w:val="st"/>
          <w:rFonts w:ascii="微軟正黑體" w:eastAsia="微軟正黑體" w:hAnsi="微軟正黑體"/>
        </w:rPr>
        <w:t>。但Rejda</w:t>
      </w:r>
      <w:r>
        <w:rPr>
          <w:rStyle w:val="st"/>
          <w:rFonts w:ascii="微軟正黑體" w:eastAsia="微軟正黑體" w:hAnsi="微軟正黑體" w:hint="eastAsia"/>
        </w:rPr>
        <w:t>(</w:t>
      </w:r>
      <w:r w:rsidRPr="000D2D89">
        <w:rPr>
          <w:rStyle w:val="st"/>
          <w:rFonts w:ascii="微軟正黑體" w:eastAsia="微軟正黑體" w:hAnsi="微軟正黑體"/>
        </w:rPr>
        <w:t>1999</w:t>
      </w:r>
      <w:r>
        <w:rPr>
          <w:rStyle w:val="st"/>
          <w:rFonts w:ascii="微軟正黑體" w:eastAsia="微軟正黑體" w:hAnsi="微軟正黑體" w:hint="eastAsia"/>
        </w:rPr>
        <w:t>)</w:t>
      </w:r>
      <w:r w:rsidRPr="000D2D89">
        <w:rPr>
          <w:rStyle w:val="st"/>
          <w:rFonts w:ascii="微軟正黑體" w:eastAsia="微軟正黑體" w:hAnsi="微軟正黑體"/>
        </w:rPr>
        <w:t>特別指出，</w:t>
      </w:r>
      <w:r w:rsidRPr="00B520B8">
        <w:rPr>
          <w:rStyle w:val="st"/>
          <w:rFonts w:ascii="微軟正黑體" w:eastAsia="微軟正黑體" w:hAnsi="微軟正黑體"/>
          <w:b/>
        </w:rPr>
        <w:t>能夠支持制度永續發展的費率規劃，必須是落在後繼世代實際能夠接受的範圍</w:t>
      </w:r>
      <w:r w:rsidRPr="000D2D89">
        <w:rPr>
          <w:rStyle w:val="st"/>
          <w:rFonts w:ascii="微軟正黑體" w:eastAsia="微軟正黑體" w:hAnsi="微軟正黑體"/>
        </w:rPr>
        <w:t>。</w:t>
      </w:r>
    </w:p>
    <w:p w:rsidR="00381C80" w:rsidRDefault="00381C80" w:rsidP="00381C80">
      <w:pPr>
        <w:spacing w:beforeLines="30" w:before="108" w:line="400" w:lineRule="exact"/>
        <w:rPr>
          <w:rFonts w:ascii="微軟正黑體" w:eastAsia="微軟正黑體" w:hAnsi="微軟正黑體"/>
          <w:kern w:val="0"/>
        </w:rPr>
      </w:pPr>
      <w:r>
        <w:rPr>
          <w:rFonts w:ascii="微軟正黑體" w:eastAsia="微軟正黑體" w:hAnsi="微軟正黑體" w:hint="eastAsia"/>
          <w:kern w:val="0"/>
        </w:rPr>
        <w:t xml:space="preserve">    </w:t>
      </w:r>
      <w:r w:rsidRPr="000D2D89">
        <w:rPr>
          <w:rFonts w:ascii="微軟正黑體" w:eastAsia="微軟正黑體" w:hAnsi="微軟正黑體"/>
          <w:kern w:val="0"/>
        </w:rPr>
        <w:t>過渡性的修正措施，固然有其階段性的必要與效用，但若欲求得制度財務的長期平衡，根本之計仍須從法規面建立前瞻性與動態性的財務規範，才能讓運作面有法源依據來進行收支調控。以勞保老年年金收入面而言，首先，先行調整給付公式後，法制化勞保投保薪資分級表上限的調整，評估將自僱者及受僱於未滿5人企業的受僱者，予以強</w:t>
      </w:r>
      <w:r w:rsidRPr="000D2D89">
        <w:rPr>
          <w:rFonts w:ascii="微軟正黑體" w:eastAsia="微軟正黑體" w:hAnsi="微軟正黑體"/>
          <w:kern w:val="0"/>
        </w:rPr>
        <w:lastRenderedPageBreak/>
        <w:t>制納保的可行性，藉此擴大老年年金在收入面的費基，以求得收入面較穩定的成長基礎。其次，宜先確定勞保基金的投資績效定位，並可參考日本厚生年金及德國法定年金的修正模式，增訂適切的年金給付調整因子，將不確定投資報酬率，適度轉換為較具可預測性的人口結構與總體經濟因子。</w:t>
      </w:r>
      <w:r w:rsidRPr="000D2D89">
        <w:rPr>
          <w:rFonts w:ascii="微軟正黑體" w:eastAsia="微軟正黑體" w:hAnsi="微軟正黑體" w:hint="eastAsia"/>
          <w:kern w:val="0"/>
        </w:rPr>
        <w:t>第三</w:t>
      </w:r>
      <w:r w:rsidRPr="000D2D89">
        <w:rPr>
          <w:rFonts w:ascii="微軟正黑體" w:eastAsia="微軟正黑體" w:hAnsi="微軟正黑體"/>
          <w:kern w:val="0"/>
        </w:rPr>
        <w:t>，</w:t>
      </w:r>
      <w:r w:rsidRPr="000D2D89">
        <w:rPr>
          <w:rFonts w:ascii="微軟正黑體" w:eastAsia="微軟正黑體" w:hAnsi="微軟正黑體" w:hint="eastAsia"/>
          <w:kern w:val="0"/>
        </w:rPr>
        <w:t>有關</w:t>
      </w:r>
      <w:r w:rsidRPr="000D2D89">
        <w:rPr>
          <w:rFonts w:ascii="微軟正黑體" w:eastAsia="微軟正黑體" w:hAnsi="微軟正黑體"/>
          <w:kern w:val="0"/>
        </w:rPr>
        <w:t>政府的財</w:t>
      </w:r>
      <w:r w:rsidRPr="000D2D89">
        <w:rPr>
          <w:rFonts w:ascii="微軟正黑體" w:eastAsia="微軟正黑體" w:hAnsi="微軟正黑體" w:hint="eastAsia"/>
          <w:kern w:val="0"/>
        </w:rPr>
        <w:t>務責任</w:t>
      </w:r>
      <w:r w:rsidRPr="000D2D89">
        <w:rPr>
          <w:rFonts w:ascii="微軟正黑體" w:eastAsia="微軟正黑體" w:hAnsi="微軟正黑體"/>
          <w:kern w:val="0"/>
        </w:rPr>
        <w:t>，面對政府</w:t>
      </w:r>
      <w:r w:rsidRPr="00BC1914">
        <w:rPr>
          <w:rFonts w:ascii="微軟正黑體" w:eastAsia="微軟正黑體" w:hAnsi="微軟正黑體" w:hint="eastAsia"/>
          <w:kern w:val="0"/>
        </w:rPr>
        <w:t>依</w:t>
      </w:r>
      <w:r w:rsidRPr="00BC1914">
        <w:rPr>
          <w:rFonts w:ascii="微軟正黑體" w:eastAsia="微軟正黑體" w:hAnsi="微軟正黑體"/>
          <w:kern w:val="0"/>
        </w:rPr>
        <w:t>不同職業別的被保險人，予以不同保險費</w:t>
      </w:r>
      <w:r w:rsidRPr="00BC1914">
        <w:rPr>
          <w:rFonts w:ascii="微軟正黑體" w:eastAsia="微軟正黑體" w:hAnsi="微軟正黑體" w:hint="eastAsia"/>
          <w:kern w:val="0"/>
        </w:rPr>
        <w:t>負擔比率</w:t>
      </w:r>
      <w:r w:rsidRPr="00BC1914">
        <w:rPr>
          <w:rFonts w:ascii="微軟正黑體" w:eastAsia="微軟正黑體" w:hAnsi="微軟正黑體"/>
          <w:kern w:val="0"/>
        </w:rPr>
        <w:t>的現有規定，雖行之有年，短期內修正成不再</w:t>
      </w:r>
      <w:r w:rsidRPr="00BC1914">
        <w:rPr>
          <w:rFonts w:ascii="微軟正黑體" w:eastAsia="微軟正黑體" w:hAnsi="微軟正黑體" w:hint="eastAsia"/>
          <w:kern w:val="0"/>
        </w:rPr>
        <w:t>負擔</w:t>
      </w:r>
      <w:r w:rsidRPr="00BC1914">
        <w:rPr>
          <w:rFonts w:ascii="微軟正黑體" w:eastAsia="微軟正黑體" w:hAnsi="微軟正黑體"/>
          <w:kern w:val="0"/>
        </w:rPr>
        <w:t>保險費或將保險費</w:t>
      </w:r>
      <w:r w:rsidRPr="00BC1914">
        <w:rPr>
          <w:rFonts w:ascii="微軟正黑體" w:eastAsia="微軟正黑體" w:hAnsi="微軟正黑體" w:hint="eastAsia"/>
          <w:kern w:val="0"/>
        </w:rPr>
        <w:t>負擔</w:t>
      </w:r>
      <w:r w:rsidRPr="00BC1914">
        <w:rPr>
          <w:rFonts w:ascii="微軟正黑體" w:eastAsia="微軟正黑體" w:hAnsi="微軟正黑體"/>
          <w:kern w:val="0"/>
        </w:rPr>
        <w:t>比</w:t>
      </w:r>
      <w:r w:rsidRPr="00BC1914">
        <w:rPr>
          <w:rFonts w:ascii="微軟正黑體" w:eastAsia="微軟正黑體" w:hAnsi="微軟正黑體" w:hint="eastAsia"/>
          <w:kern w:val="0"/>
        </w:rPr>
        <w:t>率</w:t>
      </w:r>
      <w:r w:rsidRPr="00BC1914">
        <w:rPr>
          <w:rFonts w:ascii="微軟正黑體" w:eastAsia="微軟正黑體" w:hAnsi="微軟正黑體"/>
          <w:kern w:val="0"/>
        </w:rPr>
        <w:t>均一化，有其實務的困難性</w:t>
      </w:r>
      <w:r w:rsidRPr="00BC1914">
        <w:rPr>
          <w:rFonts w:ascii="微軟正黑體" w:eastAsia="微軟正黑體" w:hAnsi="微軟正黑體" w:hint="eastAsia"/>
          <w:kern w:val="0"/>
        </w:rPr>
        <w:t>，</w:t>
      </w:r>
      <w:r w:rsidRPr="00BC1914">
        <w:rPr>
          <w:rFonts w:ascii="微軟正黑體" w:eastAsia="微軟正黑體" w:hAnsi="微軟正黑體"/>
          <w:kern w:val="0"/>
        </w:rPr>
        <w:t>故建議可從政府定額補助支出面開始修正，一方面透過導入稅收財源協助平穩保險費財</w:t>
      </w:r>
      <w:r w:rsidRPr="000D2D89">
        <w:rPr>
          <w:rFonts w:ascii="微軟正黑體" w:eastAsia="微軟正黑體" w:hAnsi="微軟正黑體"/>
          <w:kern w:val="0"/>
        </w:rPr>
        <w:t>源的變動性，另方面亦可做為未來政府逐步退出保險費補助責任的前置準備</w:t>
      </w:r>
      <w:r>
        <w:rPr>
          <w:rFonts w:ascii="微軟正黑體" w:eastAsia="微軟正黑體" w:hAnsi="微軟正黑體" w:hint="eastAsia"/>
          <w:kern w:val="0"/>
        </w:rPr>
        <w:t>。</w:t>
      </w:r>
    </w:p>
    <w:p w:rsidR="00EC36F4" w:rsidRDefault="00EC36F4" w:rsidP="00381C80">
      <w:pPr>
        <w:spacing w:beforeLines="30" w:before="108" w:line="400" w:lineRule="exact"/>
        <w:rPr>
          <w:rFonts w:ascii="微軟正黑體" w:eastAsia="微軟正黑體" w:hAnsi="微軟正黑體"/>
        </w:rPr>
        <w:sectPr w:rsidR="00EC36F4" w:rsidSect="001D5C1C">
          <w:pgSz w:w="11906" w:h="16838"/>
          <w:pgMar w:top="1134" w:right="1418" w:bottom="1134" w:left="1418" w:header="340" w:footer="340" w:gutter="0"/>
          <w:cols w:space="425"/>
          <w:docGrid w:type="lines" w:linePitch="360"/>
        </w:sectPr>
      </w:pPr>
    </w:p>
    <w:p w:rsidR="00EC36F4" w:rsidRPr="00390F6A" w:rsidRDefault="00EC36F4" w:rsidP="00EC36F4">
      <w:pPr>
        <w:spacing w:line="400" w:lineRule="exact"/>
        <w:ind w:left="480" w:hangingChars="150" w:hanging="480"/>
        <w:jc w:val="center"/>
        <w:rPr>
          <w:rFonts w:ascii="微軟正黑體" w:eastAsia="微軟正黑體" w:hAnsi="微軟正黑體"/>
          <w:b/>
          <w:sz w:val="32"/>
          <w:szCs w:val="32"/>
        </w:rPr>
      </w:pPr>
      <w:r w:rsidRPr="00390F6A">
        <w:rPr>
          <w:rFonts w:ascii="微軟正黑體" w:eastAsia="微軟正黑體" w:hAnsi="微軟正黑體"/>
          <w:b/>
          <w:sz w:val="32"/>
          <w:szCs w:val="32"/>
        </w:rPr>
        <w:lastRenderedPageBreak/>
        <w:t>參考文獻</w:t>
      </w:r>
    </w:p>
    <w:p w:rsidR="00EC36F4" w:rsidRPr="00224180" w:rsidRDefault="00EC36F4" w:rsidP="00EC36F4">
      <w:pPr>
        <w:spacing w:beforeLines="50" w:before="180" w:afterLines="50" w:after="180" w:line="400" w:lineRule="exact"/>
        <w:rPr>
          <w:rFonts w:ascii="微軟正黑體" w:eastAsia="微軟正黑體" w:hAnsi="微軟正黑體"/>
          <w:b/>
          <w:color w:val="000000"/>
          <w:sz w:val="28"/>
          <w:szCs w:val="28"/>
        </w:rPr>
      </w:pPr>
      <w:r w:rsidRPr="00224180">
        <w:rPr>
          <w:rFonts w:ascii="微軟正黑體" w:eastAsia="微軟正黑體" w:hAnsi="微軟正黑體" w:hint="eastAsia"/>
          <w:b/>
          <w:color w:val="000000"/>
          <w:sz w:val="28"/>
          <w:szCs w:val="28"/>
        </w:rPr>
        <w:t>一、</w:t>
      </w:r>
      <w:r w:rsidRPr="00224180">
        <w:rPr>
          <w:rFonts w:ascii="微軟正黑體" w:eastAsia="微軟正黑體" w:hAnsi="微軟正黑體"/>
          <w:b/>
          <w:color w:val="000000"/>
          <w:sz w:val="28"/>
          <w:szCs w:val="28"/>
        </w:rPr>
        <w:t>中文部分</w:t>
      </w:r>
    </w:p>
    <w:p w:rsidR="00EC36F4" w:rsidRPr="000D2D89" w:rsidRDefault="00EC36F4" w:rsidP="00BD50E5">
      <w:pPr>
        <w:numPr>
          <w:ilvl w:val="0"/>
          <w:numId w:val="52"/>
        </w:numPr>
        <w:spacing w:line="400" w:lineRule="exact"/>
        <w:jc w:val="both"/>
        <w:rPr>
          <w:rFonts w:ascii="微軟正黑體" w:eastAsia="微軟正黑體" w:hAnsi="微軟正黑體"/>
        </w:rPr>
      </w:pPr>
      <w:r w:rsidRPr="000D2D89">
        <w:rPr>
          <w:rFonts w:ascii="微軟正黑體" w:eastAsia="微軟正黑體" w:hAnsi="微軟正黑體" w:hint="eastAsia"/>
        </w:rPr>
        <w:t>王靜怡、鄭清霞</w:t>
      </w:r>
      <w:r>
        <w:rPr>
          <w:rFonts w:ascii="微軟正黑體" w:eastAsia="微軟正黑體" w:hAnsi="微軟正黑體" w:hint="eastAsia"/>
        </w:rPr>
        <w:t>(</w:t>
      </w:r>
      <w:r w:rsidRPr="000D2D89">
        <w:rPr>
          <w:rFonts w:ascii="微軟正黑體" w:eastAsia="微軟正黑體" w:hAnsi="微軟正黑體" w:hint="eastAsia"/>
        </w:rPr>
        <w:t>2016</w:t>
      </w:r>
      <w:r>
        <w:rPr>
          <w:rFonts w:ascii="微軟正黑體" w:eastAsia="微軟正黑體" w:hAnsi="微軟正黑體" w:hint="eastAsia"/>
        </w:rPr>
        <w:t>)</w:t>
      </w:r>
      <w:r w:rsidRPr="000D2D89">
        <w:rPr>
          <w:rFonts w:ascii="微軟正黑體" w:eastAsia="微軟正黑體" w:hAnsi="微軟正黑體" w:hint="eastAsia"/>
        </w:rPr>
        <w:t>。〈我國勞保老年年金世代年金權益探討_從世代會計觀點〉。《社會政策與社會工作學刊》，20</w:t>
      </w:r>
      <w:r>
        <w:rPr>
          <w:rFonts w:ascii="微軟正黑體" w:eastAsia="微軟正黑體" w:hAnsi="微軟正黑體" w:hint="eastAsia"/>
        </w:rPr>
        <w:t>(</w:t>
      </w:r>
      <w:r w:rsidRPr="000D2D89">
        <w:rPr>
          <w:rFonts w:ascii="微軟正黑體" w:eastAsia="微軟正黑體" w:hAnsi="微軟正黑體" w:hint="eastAsia"/>
        </w:rPr>
        <w:t>2</w:t>
      </w:r>
      <w:r>
        <w:rPr>
          <w:rFonts w:ascii="微軟正黑體" w:eastAsia="微軟正黑體" w:hAnsi="微軟正黑體" w:hint="eastAsia"/>
        </w:rPr>
        <w:t>)</w:t>
      </w:r>
      <w:r w:rsidRPr="000D2D89">
        <w:rPr>
          <w:rFonts w:ascii="微軟正黑體" w:eastAsia="微軟正黑體" w:hAnsi="微軟正黑體" w:hint="eastAsia"/>
        </w:rPr>
        <w:t>，83-124。</w:t>
      </w:r>
    </w:p>
    <w:p w:rsidR="00EC36F4" w:rsidRDefault="00EC36F4" w:rsidP="00BD50E5">
      <w:pPr>
        <w:numPr>
          <w:ilvl w:val="0"/>
          <w:numId w:val="52"/>
        </w:numPr>
        <w:spacing w:line="400" w:lineRule="exact"/>
        <w:rPr>
          <w:rFonts w:ascii="微軟正黑體" w:eastAsia="微軟正黑體" w:hAnsi="微軟正黑體"/>
        </w:rPr>
      </w:pPr>
      <w:r w:rsidRPr="003B4454">
        <w:rPr>
          <w:rFonts w:ascii="微軟正黑體" w:eastAsia="微軟正黑體" w:hAnsi="微軟正黑體" w:hint="eastAsia"/>
        </w:rPr>
        <w:t>行政院主計</w:t>
      </w:r>
      <w:r w:rsidRPr="00BC1914">
        <w:rPr>
          <w:rFonts w:ascii="微軟正黑體" w:eastAsia="微軟正黑體" w:hAnsi="微軟正黑體" w:hint="eastAsia"/>
        </w:rPr>
        <w:t>總</w:t>
      </w:r>
      <w:r w:rsidRPr="003B4454">
        <w:rPr>
          <w:rFonts w:ascii="微軟正黑體" w:eastAsia="微軟正黑體" w:hAnsi="微軟正黑體" w:hint="eastAsia"/>
        </w:rPr>
        <w:t>處(2018)。〈「臺灣地區失業率(民國89年至民國106年)」。</w:t>
      </w:r>
    </w:p>
    <w:p w:rsidR="00EC36F4" w:rsidRDefault="00EC36F4" w:rsidP="00EC36F4">
      <w:pPr>
        <w:spacing w:line="400" w:lineRule="exact"/>
        <w:ind w:left="480"/>
        <w:rPr>
          <w:rFonts w:ascii="微軟正黑體" w:eastAsia="微軟正黑體" w:hAnsi="微軟正黑體"/>
        </w:rPr>
      </w:pPr>
      <w:r w:rsidRPr="003B4454">
        <w:rPr>
          <w:rFonts w:ascii="微軟正黑體" w:eastAsia="微軟正黑體" w:hAnsi="微軟正黑體" w:hint="eastAsia"/>
        </w:rPr>
        <w:t>資料搜尋日期：2021年10月17日。網址：</w:t>
      </w:r>
    </w:p>
    <w:p w:rsidR="00EC36F4" w:rsidRPr="00BE1687" w:rsidRDefault="0004578D" w:rsidP="00EC36F4">
      <w:pPr>
        <w:spacing w:line="400" w:lineRule="exact"/>
        <w:ind w:left="480"/>
        <w:jc w:val="both"/>
        <w:rPr>
          <w:rFonts w:ascii="微軟正黑體" w:eastAsia="微軟正黑體" w:hAnsi="微軟正黑體"/>
          <w:strike/>
        </w:rPr>
      </w:pPr>
      <w:hyperlink r:id="rId149" w:history="1">
        <w:r w:rsidR="00EC36F4" w:rsidRPr="00BE1687">
          <w:rPr>
            <w:rStyle w:val="af7"/>
            <w:rFonts w:ascii="微軟正黑體" w:eastAsia="微軟正黑體" w:hAnsi="微軟正黑體" w:hint="eastAsia"/>
            <w:color w:val="auto"/>
            <w:u w:val="none"/>
          </w:rPr>
          <w:t>http://win.dgbas.gov.tw/dgbas04/bc4/timeser/comuse_c_t14.asp?chk1=0&amp;chk2=0&amp;chk3=3&amp;chk31=0&amp;chk32=0&amp;chk33=0&amp;chk34=0&amp;chk35=0&amp;chk36=0&amp;chk4=0&amp;chk41=0&amp;chk42=0&amp;chk5=0&amp;chk6=0&amp;chk7=0&amp;R1=1&amp;yearb=89&amp;yeare=106</w:t>
        </w:r>
      </w:hyperlink>
      <w:r w:rsidR="00EC36F4" w:rsidRPr="00BE1687">
        <w:rPr>
          <w:rFonts w:ascii="微軟正黑體" w:eastAsia="微軟正黑體" w:hAnsi="微軟正黑體" w:hint="eastAsia"/>
        </w:rPr>
        <w:t>。</w:t>
      </w:r>
    </w:p>
    <w:p w:rsidR="00EC36F4" w:rsidRPr="000D2D89"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邵靄如(</w:t>
      </w:r>
      <w:r w:rsidRPr="000D2D89">
        <w:rPr>
          <w:rFonts w:ascii="微軟正黑體" w:eastAsia="微軟正黑體" w:hAnsi="微軟正黑體" w:hint="eastAsia"/>
        </w:rPr>
        <w:t>2012</w:t>
      </w:r>
      <w:r>
        <w:rPr>
          <w:rFonts w:ascii="微軟正黑體" w:eastAsia="微軟正黑體" w:hAnsi="微軟正黑體" w:hint="eastAsia"/>
        </w:rPr>
        <w:t>)</w:t>
      </w:r>
      <w:r w:rsidRPr="000D2D89">
        <w:rPr>
          <w:rFonts w:ascii="微軟正黑體" w:eastAsia="微軟正黑體" w:hAnsi="微軟正黑體" w:hint="eastAsia"/>
        </w:rPr>
        <w:t>。《勞工保險普通事故保險費率精算及財務評估精算評估報告書》。勞工保險局101年度委託研究報告。</w:t>
      </w:r>
    </w:p>
    <w:p w:rsidR="00EC36F4"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厚生勞動省(</w:t>
      </w:r>
      <w:r w:rsidRPr="000D2D89">
        <w:rPr>
          <w:rFonts w:ascii="微軟正黑體" w:eastAsia="微軟正黑體" w:hAnsi="微軟正黑體"/>
        </w:rPr>
        <w:t>2021a</w:t>
      </w:r>
      <w:r>
        <w:rPr>
          <w:rFonts w:ascii="微軟正黑體" w:eastAsia="微軟正黑體" w:hAnsi="微軟正黑體" w:hint="eastAsia"/>
        </w:rPr>
        <w:t>)</w:t>
      </w:r>
      <w:r w:rsidRPr="000D2D89">
        <w:rPr>
          <w:rFonts w:ascii="微軟正黑體" w:eastAsia="微軟正黑體" w:hAnsi="微軟正黑體" w:hint="eastAsia"/>
        </w:rPr>
        <w:t>。〈公的年金各制度の財政収支状況〉。</w:t>
      </w:r>
    </w:p>
    <w:p w:rsidR="00EC36F4" w:rsidRPr="000D2D89" w:rsidRDefault="00EC36F4" w:rsidP="00EC36F4">
      <w:pPr>
        <w:spacing w:line="400" w:lineRule="exact"/>
        <w:ind w:left="480"/>
        <w:rPr>
          <w:rFonts w:ascii="微軟正黑體" w:eastAsia="微軟正黑體" w:hAnsi="微軟正黑體"/>
        </w:rPr>
      </w:pPr>
      <w:r w:rsidRPr="000D2D89">
        <w:rPr>
          <w:rFonts w:ascii="微軟正黑體" w:eastAsia="微軟正黑體" w:hAnsi="微軟正黑體" w:hint="eastAsia"/>
        </w:rPr>
        <w:t>資料搜尋日期：</w:t>
      </w:r>
      <w:r w:rsidRPr="000D2D89">
        <w:rPr>
          <w:rFonts w:ascii="微軟正黑體" w:eastAsia="微軟正黑體" w:hAnsi="微軟正黑體"/>
        </w:rPr>
        <w:t>2021</w:t>
      </w:r>
      <w:r w:rsidRPr="000D2D89">
        <w:rPr>
          <w:rFonts w:ascii="微軟正黑體" w:eastAsia="微軟正黑體" w:hAnsi="微軟正黑體" w:hint="eastAsia"/>
        </w:rPr>
        <w:t>年</w:t>
      </w:r>
      <w:r w:rsidRPr="000D2D89">
        <w:rPr>
          <w:rFonts w:ascii="微軟正黑體" w:eastAsia="微軟正黑體" w:hAnsi="微軟正黑體"/>
        </w:rPr>
        <w:t>10</w:t>
      </w:r>
      <w:r w:rsidRPr="000D2D89">
        <w:rPr>
          <w:rFonts w:ascii="微軟正黑體" w:eastAsia="微軟正黑體" w:hAnsi="微軟正黑體" w:hint="eastAsia"/>
        </w:rPr>
        <w:t>月</w:t>
      </w:r>
      <w:r w:rsidRPr="000D2D89">
        <w:rPr>
          <w:rFonts w:ascii="微軟正黑體" w:eastAsia="微軟正黑體" w:hAnsi="微軟正黑體"/>
        </w:rPr>
        <w:t>17</w:t>
      </w:r>
      <w:r w:rsidRPr="000D2D89">
        <w:rPr>
          <w:rFonts w:ascii="微軟正黑體" w:eastAsia="微軟正黑體" w:hAnsi="微軟正黑體" w:hint="eastAsia"/>
        </w:rPr>
        <w:t>日。網址：</w:t>
      </w:r>
      <w:r w:rsidRPr="000D2D89">
        <w:rPr>
          <w:rFonts w:ascii="微軟正黑體" w:eastAsia="微軟正黑體" w:hAnsi="微軟正黑體"/>
        </w:rPr>
        <w:t>https://www.mhlw.go.jp/stf/seisakunitsuite/bunya/0000128082.html</w:t>
      </w:r>
      <w:r>
        <w:rPr>
          <w:rFonts w:ascii="微軟正黑體" w:eastAsia="微軟正黑體" w:hAnsi="微軟正黑體" w:hint="eastAsia"/>
        </w:rPr>
        <w:t>。</w:t>
      </w:r>
    </w:p>
    <w:p w:rsidR="00EC36F4" w:rsidRDefault="00EC36F4" w:rsidP="00BD50E5">
      <w:pPr>
        <w:numPr>
          <w:ilvl w:val="0"/>
          <w:numId w:val="52"/>
        </w:numPr>
        <w:spacing w:line="400" w:lineRule="exact"/>
        <w:jc w:val="both"/>
        <w:rPr>
          <w:rFonts w:ascii="微軟正黑體" w:eastAsia="微軟正黑體" w:hAnsi="微軟正黑體"/>
        </w:rPr>
      </w:pPr>
      <w:r w:rsidRPr="00D80C32">
        <w:rPr>
          <w:rFonts w:ascii="微軟正黑體" w:eastAsia="微軟正黑體" w:hAnsi="微軟正黑體" w:hint="eastAsia"/>
        </w:rPr>
        <w:t>厚生勞動省(</w:t>
      </w:r>
      <w:r w:rsidRPr="00D80C32">
        <w:rPr>
          <w:rFonts w:ascii="微軟正黑體" w:eastAsia="微軟正黑體" w:hAnsi="微軟正黑體"/>
        </w:rPr>
        <w:t>2021b</w:t>
      </w:r>
      <w:r w:rsidRPr="00D80C32">
        <w:rPr>
          <w:rFonts w:ascii="微軟正黑體" w:eastAsia="微軟正黑體" w:hAnsi="微軟正黑體" w:hint="eastAsia"/>
        </w:rPr>
        <w:t>)。〈厚生年金保険〉。</w:t>
      </w:r>
    </w:p>
    <w:p w:rsidR="00EC36F4" w:rsidRPr="00D80C32" w:rsidRDefault="00EC36F4" w:rsidP="00EC36F4">
      <w:pPr>
        <w:spacing w:line="400" w:lineRule="exact"/>
        <w:ind w:left="480"/>
        <w:rPr>
          <w:rFonts w:ascii="微軟正黑體" w:eastAsia="微軟正黑體" w:hAnsi="微軟正黑體"/>
        </w:rPr>
      </w:pPr>
      <w:r w:rsidRPr="00D80C32">
        <w:rPr>
          <w:rFonts w:ascii="微軟正黑體" w:eastAsia="微軟正黑體" w:hAnsi="微軟正黑體" w:hint="eastAsia"/>
        </w:rPr>
        <w:t>資料搜尋日期：</w:t>
      </w:r>
      <w:r w:rsidRPr="00D80C32">
        <w:rPr>
          <w:rFonts w:ascii="微軟正黑體" w:eastAsia="微軟正黑體" w:hAnsi="微軟正黑體"/>
        </w:rPr>
        <w:t>2021</w:t>
      </w:r>
      <w:r w:rsidRPr="00D80C32">
        <w:rPr>
          <w:rFonts w:ascii="微軟正黑體" w:eastAsia="微軟正黑體" w:hAnsi="微軟正黑體" w:hint="eastAsia"/>
        </w:rPr>
        <w:t>年</w:t>
      </w:r>
      <w:r w:rsidRPr="00D80C32">
        <w:rPr>
          <w:rFonts w:ascii="微軟正黑體" w:eastAsia="微軟正黑體" w:hAnsi="微軟正黑體"/>
        </w:rPr>
        <w:t>10</w:t>
      </w:r>
      <w:r w:rsidRPr="00D80C32">
        <w:rPr>
          <w:rFonts w:ascii="微軟正黑體" w:eastAsia="微軟正黑體" w:hAnsi="微軟正黑體" w:hint="eastAsia"/>
        </w:rPr>
        <w:t>月</w:t>
      </w:r>
      <w:r w:rsidRPr="00D80C32">
        <w:rPr>
          <w:rFonts w:ascii="微軟正黑體" w:eastAsia="微軟正黑體" w:hAnsi="微軟正黑體"/>
        </w:rPr>
        <w:t>17</w:t>
      </w:r>
      <w:r w:rsidRPr="00D80C32">
        <w:rPr>
          <w:rFonts w:ascii="微軟正黑體" w:eastAsia="微軟正黑體" w:hAnsi="微軟正黑體" w:hint="eastAsia"/>
        </w:rPr>
        <w:t>日。網址：</w:t>
      </w:r>
      <w:r w:rsidRPr="00D80C32">
        <w:rPr>
          <w:rFonts w:ascii="微軟正黑體" w:eastAsia="微軟正黑體" w:hAnsi="微軟正黑體"/>
        </w:rPr>
        <w:t xml:space="preserve"> https://www.mhlw.go.jp/topics/bukyoku/nenkin/nenkin/toukei/nenpou/2008/index.html</w:t>
      </w:r>
      <w:r>
        <w:rPr>
          <w:rFonts w:ascii="微軟正黑體" w:eastAsia="微軟正黑體" w:hAnsi="微軟正黑體" w:hint="eastAsia"/>
        </w:rPr>
        <w:t>。</w:t>
      </w:r>
    </w:p>
    <w:p w:rsidR="00EC36F4" w:rsidRPr="000D2D89"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傅從喜、林志鴻、張秋蘭、藍科正(</w:t>
      </w:r>
      <w:r w:rsidRPr="000D2D89">
        <w:rPr>
          <w:rFonts w:ascii="微軟正黑體" w:eastAsia="微軟正黑體" w:hAnsi="微軟正黑體" w:hint="eastAsia"/>
        </w:rPr>
        <w:t>2008</w:t>
      </w:r>
      <w:r>
        <w:rPr>
          <w:rFonts w:ascii="微軟正黑體" w:eastAsia="微軟正黑體" w:hAnsi="微軟正黑體" w:hint="eastAsia"/>
        </w:rPr>
        <w:t>)</w:t>
      </w:r>
      <w:r w:rsidRPr="000D2D89">
        <w:rPr>
          <w:rFonts w:ascii="微軟正黑體" w:eastAsia="微軟正黑體" w:hAnsi="微軟正黑體" w:hint="eastAsia"/>
        </w:rPr>
        <w:t>。《德國、日本、美國及韓國社會年金保險制度面臨問題及改革方向之研究》。內政部委託研究報告。</w:t>
      </w:r>
    </w:p>
    <w:p w:rsidR="00EC36F4" w:rsidRPr="000D2D89" w:rsidRDefault="00EC36F4" w:rsidP="00BD50E5">
      <w:pPr>
        <w:numPr>
          <w:ilvl w:val="0"/>
          <w:numId w:val="52"/>
        </w:numPr>
        <w:spacing w:line="400" w:lineRule="exact"/>
        <w:jc w:val="both"/>
        <w:rPr>
          <w:rFonts w:ascii="微軟正黑體" w:eastAsia="微軟正黑體" w:hAnsi="微軟正黑體"/>
        </w:rPr>
      </w:pPr>
      <w:r w:rsidRPr="000D2D89">
        <w:rPr>
          <w:rFonts w:ascii="微軟正黑體" w:eastAsia="微軟正黑體" w:hAnsi="微軟正黑體" w:hint="eastAsia"/>
        </w:rPr>
        <w:t>勞工委員會(2013)。〈勞保年金改革方案草案說明簡報〉。網址：http://www.eysc.ey.gov.tw/Upload/RelFile/105/696516/4e307025-8f10-404f-ae05-60c840760adb.ppt。</w:t>
      </w:r>
    </w:p>
    <w:p w:rsidR="00EC36F4"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勞工保險局(</w:t>
      </w:r>
      <w:r w:rsidRPr="000D2D89">
        <w:rPr>
          <w:rFonts w:ascii="微軟正黑體" w:eastAsia="微軟正黑體" w:hAnsi="微軟正黑體" w:hint="eastAsia"/>
        </w:rPr>
        <w:t>2021a</w:t>
      </w:r>
      <w:r>
        <w:rPr>
          <w:rFonts w:ascii="微軟正黑體" w:eastAsia="微軟正黑體" w:hAnsi="微軟正黑體" w:hint="eastAsia"/>
        </w:rPr>
        <w:t>)</w:t>
      </w:r>
      <w:r w:rsidRPr="000D2D89">
        <w:rPr>
          <w:rFonts w:ascii="微軟正黑體" w:eastAsia="微軟正黑體" w:hAnsi="微軟正黑體" w:hint="eastAsia"/>
        </w:rPr>
        <w:t>。〈勞工保險簡介〉。資料搜尋日期：2021年10月17日。</w:t>
      </w:r>
    </w:p>
    <w:p w:rsidR="00EC36F4" w:rsidRPr="000D2D89" w:rsidRDefault="00EC36F4" w:rsidP="00EC36F4">
      <w:pPr>
        <w:spacing w:line="400" w:lineRule="exact"/>
        <w:ind w:left="480"/>
        <w:jc w:val="both"/>
        <w:rPr>
          <w:rFonts w:ascii="微軟正黑體" w:eastAsia="微軟正黑體" w:hAnsi="微軟正黑體"/>
        </w:rPr>
      </w:pPr>
      <w:r w:rsidRPr="000D2D89">
        <w:rPr>
          <w:rFonts w:ascii="微軟正黑體" w:eastAsia="微軟正黑體" w:hAnsi="微軟正黑體" w:hint="eastAsia"/>
        </w:rPr>
        <w:t>網址：https://www.bli.gov.tw/0000105.html４４４４</w:t>
      </w:r>
      <w:r>
        <w:rPr>
          <w:rFonts w:ascii="微軟正黑體" w:eastAsia="微軟正黑體" w:hAnsi="微軟正黑體" w:hint="eastAsia"/>
        </w:rPr>
        <w:t>。</w:t>
      </w:r>
    </w:p>
    <w:p w:rsidR="00EC36F4" w:rsidRPr="000D2D89"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勞工保險局(</w:t>
      </w:r>
      <w:r w:rsidRPr="000D2D89">
        <w:rPr>
          <w:rFonts w:ascii="微軟正黑體" w:eastAsia="微軟正黑體" w:hAnsi="微軟正黑體" w:hint="eastAsia"/>
        </w:rPr>
        <w:t>2021b</w:t>
      </w:r>
      <w:r>
        <w:rPr>
          <w:rFonts w:ascii="微軟正黑體" w:eastAsia="微軟正黑體" w:hAnsi="微軟正黑體" w:hint="eastAsia"/>
        </w:rPr>
        <w:t>)</w:t>
      </w:r>
      <w:r w:rsidRPr="000D2D89">
        <w:rPr>
          <w:rFonts w:ascii="微軟正黑體" w:eastAsia="微軟正黑體" w:hAnsi="微軟正黑體" w:hint="eastAsia"/>
        </w:rPr>
        <w:t>。〈2020年勞工保險統計年報。資料搜尋日期：2021年10月17日。網址：https://www.bli.gov.tw/0013087.html</w:t>
      </w:r>
      <w:r>
        <w:rPr>
          <w:rFonts w:ascii="微軟正黑體" w:eastAsia="微軟正黑體" w:hAnsi="微軟正黑體" w:hint="eastAsia"/>
        </w:rPr>
        <w:t>。</w:t>
      </w:r>
    </w:p>
    <w:p w:rsidR="00EC36F4" w:rsidRPr="000D2D89" w:rsidRDefault="00EC36F4" w:rsidP="00BD50E5">
      <w:pPr>
        <w:numPr>
          <w:ilvl w:val="0"/>
          <w:numId w:val="52"/>
        </w:numPr>
        <w:spacing w:line="400" w:lineRule="exact"/>
        <w:jc w:val="both"/>
        <w:rPr>
          <w:rFonts w:ascii="微軟正黑體" w:eastAsia="微軟正黑體" w:hAnsi="微軟正黑體"/>
        </w:rPr>
      </w:pPr>
      <w:r w:rsidRPr="000D2D89">
        <w:rPr>
          <w:rFonts w:ascii="微軟正黑體" w:eastAsia="微軟正黑體" w:hAnsi="微軟正黑體" w:hint="eastAsia"/>
        </w:rPr>
        <w:t>勞動部(2017)。〈勞保年金改革相關說明〉。資料搜尋日期：2021年10月17日。網址：https://www.mol.gov.tw/topic/3078/31137/31141/。</w:t>
      </w:r>
    </w:p>
    <w:p w:rsidR="00EC36F4" w:rsidRPr="000D2D89"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勞動部勞動基金運用局(</w:t>
      </w:r>
      <w:r w:rsidRPr="000D2D89">
        <w:rPr>
          <w:rFonts w:ascii="微軟正黑體" w:eastAsia="微軟正黑體" w:hAnsi="微軟正黑體" w:hint="eastAsia"/>
        </w:rPr>
        <w:t>2021</w:t>
      </w:r>
      <w:r>
        <w:rPr>
          <w:rFonts w:ascii="微軟正黑體" w:eastAsia="微軟正黑體" w:hAnsi="微軟正黑體" w:hint="eastAsia"/>
        </w:rPr>
        <w:t>)</w:t>
      </w:r>
      <w:r w:rsidRPr="000D2D89">
        <w:rPr>
          <w:rFonts w:ascii="微軟正黑體" w:eastAsia="微軟正黑體" w:hAnsi="微軟正黑體" w:hint="eastAsia"/>
        </w:rPr>
        <w:t>。〈勞工保險基金投資運用情形〉。資料搜尋日期：2021年10月17日。網址：https://www.blf.gov.tw/8812/8945/8989/8994/</w:t>
      </w:r>
      <w:r>
        <w:rPr>
          <w:rFonts w:ascii="微軟正黑體" w:eastAsia="微軟正黑體" w:hAnsi="微軟正黑體" w:hint="eastAsia"/>
        </w:rPr>
        <w:t>。</w:t>
      </w:r>
    </w:p>
    <w:p w:rsidR="00EC36F4" w:rsidRPr="000D2D89"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鄭清霞(</w:t>
      </w:r>
      <w:r w:rsidRPr="000D2D89">
        <w:rPr>
          <w:rFonts w:ascii="微軟正黑體" w:eastAsia="微軟正黑體" w:hAnsi="微軟正黑體" w:hint="eastAsia"/>
        </w:rPr>
        <w:t>2016a</w:t>
      </w:r>
      <w:r>
        <w:rPr>
          <w:rFonts w:ascii="微軟正黑體" w:eastAsia="微軟正黑體" w:hAnsi="微軟正黑體" w:hint="eastAsia"/>
        </w:rPr>
        <w:t>)</w:t>
      </w:r>
      <w:r w:rsidRPr="000D2D89">
        <w:rPr>
          <w:rFonts w:ascii="微軟正黑體" w:eastAsia="微軟正黑體" w:hAnsi="微軟正黑體" w:hint="eastAsia"/>
        </w:rPr>
        <w:t>。〈勞工保險老年年金自動調整機制之探討〉。《靜宜人文社會學報》。10</w:t>
      </w:r>
      <w:r>
        <w:rPr>
          <w:rFonts w:ascii="微軟正黑體" w:eastAsia="微軟正黑體" w:hAnsi="微軟正黑體" w:hint="eastAsia"/>
        </w:rPr>
        <w:t>(1)</w:t>
      </w:r>
      <w:r w:rsidRPr="000D2D89">
        <w:rPr>
          <w:rFonts w:ascii="微軟正黑體" w:eastAsia="微軟正黑體" w:hAnsi="微軟正黑體" w:hint="eastAsia"/>
        </w:rPr>
        <w:t>，87-122。</w:t>
      </w:r>
    </w:p>
    <w:p w:rsidR="00EC36F4" w:rsidRPr="000D2D89"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鄭清霞(</w:t>
      </w:r>
      <w:r w:rsidRPr="000D2D89">
        <w:rPr>
          <w:rFonts w:ascii="微軟正黑體" w:eastAsia="微軟正黑體" w:hAnsi="微軟正黑體" w:hint="eastAsia"/>
        </w:rPr>
        <w:t>2016b</w:t>
      </w:r>
      <w:r>
        <w:rPr>
          <w:rFonts w:ascii="微軟正黑體" w:eastAsia="微軟正黑體" w:hAnsi="微軟正黑體" w:hint="eastAsia"/>
        </w:rPr>
        <w:t>)</w:t>
      </w:r>
      <w:r w:rsidRPr="000D2D89">
        <w:rPr>
          <w:rFonts w:ascii="微軟正黑體" w:eastAsia="微軟正黑體" w:hAnsi="微軟正黑體" w:hint="eastAsia"/>
        </w:rPr>
        <w:t>。〈台灣長期照護保險的費率預測與調整規劃〉。《社會政策與社會工</w:t>
      </w:r>
      <w:r w:rsidRPr="000D2D89">
        <w:rPr>
          <w:rFonts w:ascii="微軟正黑體" w:eastAsia="微軟正黑體" w:hAnsi="微軟正黑體" w:hint="eastAsia"/>
        </w:rPr>
        <w:lastRenderedPageBreak/>
        <w:t>作學刊》。20</w:t>
      </w:r>
      <w:r>
        <w:rPr>
          <w:rFonts w:ascii="微軟正黑體" w:eastAsia="微軟正黑體" w:hAnsi="微軟正黑體" w:hint="eastAsia"/>
        </w:rPr>
        <w:t>(1)</w:t>
      </w:r>
      <w:r w:rsidRPr="000D2D89">
        <w:rPr>
          <w:rFonts w:ascii="微軟正黑體" w:eastAsia="微軟正黑體" w:hAnsi="微軟正黑體" w:hint="eastAsia"/>
        </w:rPr>
        <w:t>，49-84。</w:t>
      </w:r>
    </w:p>
    <w:p w:rsidR="00EC36F4" w:rsidRPr="000D2D89"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鄭清霞、王靜怡(</w:t>
      </w:r>
      <w:r w:rsidRPr="000D2D89">
        <w:rPr>
          <w:rFonts w:ascii="微軟正黑體" w:eastAsia="微軟正黑體" w:hAnsi="微軟正黑體" w:hint="eastAsia"/>
        </w:rPr>
        <w:t>2014</w:t>
      </w:r>
      <w:r>
        <w:rPr>
          <w:rFonts w:ascii="微軟正黑體" w:eastAsia="微軟正黑體" w:hAnsi="微軟正黑體" w:hint="eastAsia"/>
        </w:rPr>
        <w:t>)。〈社會性長期照護保險的財務處理〉。《台灣社會福利學刊》，</w:t>
      </w:r>
      <w:r w:rsidRPr="000D2D89">
        <w:rPr>
          <w:rFonts w:ascii="微軟正黑體" w:eastAsia="微軟正黑體" w:hAnsi="微軟正黑體" w:hint="eastAsia"/>
        </w:rPr>
        <w:t>12</w:t>
      </w:r>
      <w:r>
        <w:rPr>
          <w:rFonts w:ascii="微軟正黑體" w:eastAsia="微軟正黑體" w:hAnsi="微軟正黑體" w:hint="eastAsia"/>
        </w:rPr>
        <w:t>(1)</w:t>
      </w:r>
      <w:r w:rsidRPr="000D2D89">
        <w:rPr>
          <w:rFonts w:ascii="微軟正黑體" w:eastAsia="微軟正黑體" w:hAnsi="微軟正黑體" w:hint="eastAsia"/>
        </w:rPr>
        <w:t>，65-119。</w:t>
      </w:r>
    </w:p>
    <w:p w:rsidR="00EC36F4" w:rsidRPr="000D2D89" w:rsidRDefault="00EC36F4" w:rsidP="00BD50E5">
      <w:pPr>
        <w:numPr>
          <w:ilvl w:val="0"/>
          <w:numId w:val="52"/>
        </w:numPr>
        <w:spacing w:line="400" w:lineRule="exact"/>
        <w:jc w:val="both"/>
        <w:rPr>
          <w:rFonts w:ascii="微軟正黑體" w:eastAsia="微軟正黑體" w:hAnsi="微軟正黑體"/>
        </w:rPr>
      </w:pPr>
      <w:r w:rsidRPr="000D2D89">
        <w:rPr>
          <w:rFonts w:ascii="微軟正黑體" w:eastAsia="微軟正黑體" w:hAnsi="微軟正黑體" w:hint="eastAsia"/>
        </w:rPr>
        <w:t>鄭清霞、洪明皇、王靜怡、李佩芳</w:t>
      </w:r>
      <w:r>
        <w:rPr>
          <w:rFonts w:ascii="微軟正黑體" w:eastAsia="微軟正黑體" w:hAnsi="微軟正黑體" w:hint="eastAsia"/>
        </w:rPr>
        <w:t>(</w:t>
      </w:r>
      <w:r w:rsidRPr="000D2D89">
        <w:rPr>
          <w:rFonts w:ascii="微軟正黑體" w:eastAsia="微軟正黑體" w:hAnsi="微軟正黑體" w:hint="eastAsia"/>
        </w:rPr>
        <w:t>2017</w:t>
      </w:r>
      <w:r>
        <w:rPr>
          <w:rFonts w:ascii="微軟正黑體" w:eastAsia="微軟正黑體" w:hAnsi="微軟正黑體" w:hint="eastAsia"/>
        </w:rPr>
        <w:t>)</w:t>
      </w:r>
      <w:r w:rsidRPr="000D2D89">
        <w:rPr>
          <w:rFonts w:ascii="微軟正黑體" w:eastAsia="微軟正黑體" w:hAnsi="微軟正黑體" w:hint="eastAsia"/>
        </w:rPr>
        <w:t>。〈台灣年金改革的老年基本年金規劃〉。《台灣社會福利學刊》，13</w:t>
      </w:r>
      <w:r>
        <w:rPr>
          <w:rFonts w:ascii="微軟正黑體" w:eastAsia="微軟正黑體" w:hAnsi="微軟正黑體" w:hint="eastAsia"/>
        </w:rPr>
        <w:t>(2)</w:t>
      </w:r>
      <w:r w:rsidRPr="000D2D89">
        <w:rPr>
          <w:rFonts w:ascii="微軟正黑體" w:eastAsia="微軟正黑體" w:hAnsi="微軟正黑體" w:hint="eastAsia"/>
        </w:rPr>
        <w:t>，117-160。</w:t>
      </w:r>
    </w:p>
    <w:p w:rsidR="00EC36F4" w:rsidRPr="000D2D89" w:rsidRDefault="00EC36F4" w:rsidP="00BD50E5">
      <w:pPr>
        <w:numPr>
          <w:ilvl w:val="0"/>
          <w:numId w:val="52"/>
        </w:numPr>
        <w:spacing w:line="400" w:lineRule="exact"/>
        <w:jc w:val="both"/>
        <w:rPr>
          <w:rFonts w:ascii="微軟正黑體" w:eastAsia="微軟正黑體" w:hAnsi="微軟正黑體"/>
        </w:rPr>
      </w:pPr>
      <w:r>
        <w:rPr>
          <w:rFonts w:ascii="微軟正黑體" w:eastAsia="微軟正黑體" w:hAnsi="微軟正黑體" w:hint="eastAsia"/>
        </w:rPr>
        <w:t>魏吉漳、周瑞芝(</w:t>
      </w:r>
      <w:r w:rsidRPr="000D2D89">
        <w:rPr>
          <w:rFonts w:ascii="微軟正黑體" w:eastAsia="微軟正黑體" w:hAnsi="微軟正黑體" w:hint="eastAsia"/>
        </w:rPr>
        <w:t>2016</w:t>
      </w:r>
      <w:r>
        <w:rPr>
          <w:rFonts w:ascii="微軟正黑體" w:eastAsia="微軟正黑體" w:hAnsi="微軟正黑體" w:hint="eastAsia"/>
        </w:rPr>
        <w:t>)</w:t>
      </w:r>
      <w:r w:rsidRPr="000D2D89">
        <w:rPr>
          <w:rFonts w:ascii="微軟正黑體" w:eastAsia="微軟正黑體" w:hAnsi="微軟正黑體" w:hint="eastAsia"/>
        </w:rPr>
        <w:t>。《勞工保險普通事故保險費率精算及財務評估精算評估報告書》。勞工保險局104年度委託研究報告。</w:t>
      </w:r>
    </w:p>
    <w:p w:rsidR="00EC36F4" w:rsidRPr="0003187A" w:rsidRDefault="00EC36F4" w:rsidP="00BD50E5">
      <w:pPr>
        <w:numPr>
          <w:ilvl w:val="0"/>
          <w:numId w:val="52"/>
        </w:numPr>
        <w:spacing w:line="400" w:lineRule="exact"/>
        <w:jc w:val="both"/>
        <w:rPr>
          <w:rFonts w:ascii="微軟正黑體" w:eastAsia="微軟正黑體" w:hAnsi="微軟正黑體"/>
          <w:color w:val="000000"/>
        </w:rPr>
      </w:pPr>
      <w:r>
        <w:rPr>
          <w:rFonts w:ascii="微軟正黑體" w:eastAsia="微軟正黑體" w:hAnsi="微軟正黑體" w:hint="eastAsia"/>
        </w:rPr>
        <w:t>魏吉漳、周瑞芝(</w:t>
      </w:r>
      <w:r w:rsidRPr="000D2D89">
        <w:rPr>
          <w:rFonts w:ascii="微軟正黑體" w:eastAsia="微軟正黑體" w:hAnsi="微軟正黑體" w:hint="eastAsia"/>
        </w:rPr>
        <w:t>2018</w:t>
      </w:r>
      <w:r>
        <w:rPr>
          <w:rFonts w:ascii="微軟正黑體" w:eastAsia="微軟正黑體" w:hAnsi="微軟正黑體" w:hint="eastAsia"/>
        </w:rPr>
        <w:t>)</w:t>
      </w:r>
      <w:r w:rsidRPr="000D2D89">
        <w:rPr>
          <w:rFonts w:ascii="微軟正黑體" w:eastAsia="微軟正黑體" w:hAnsi="微軟正黑體" w:hint="eastAsia"/>
        </w:rPr>
        <w:t>。《勞工保險普通事故保險費率精算及財務評估精算評估報告書》。勞工保險局107年度委託研究報告。</w:t>
      </w:r>
    </w:p>
    <w:p w:rsidR="00EC36F4" w:rsidRPr="00EF76D2" w:rsidRDefault="00EC36F4" w:rsidP="00EC36F4">
      <w:pPr>
        <w:spacing w:beforeLines="50" w:before="180" w:afterLines="50" w:after="180" w:line="400" w:lineRule="exact"/>
        <w:rPr>
          <w:rFonts w:ascii="微軟正黑體" w:eastAsia="微軟正黑體" w:hAnsi="微軟正黑體"/>
          <w:b/>
          <w:color w:val="000000"/>
          <w:sz w:val="28"/>
          <w:szCs w:val="28"/>
        </w:rPr>
      </w:pPr>
      <w:r w:rsidRPr="00224180">
        <w:rPr>
          <w:rFonts w:ascii="微軟正黑體" w:eastAsia="微軟正黑體" w:hAnsi="微軟正黑體" w:hint="eastAsia"/>
          <w:b/>
          <w:color w:val="000000"/>
          <w:sz w:val="28"/>
          <w:szCs w:val="28"/>
        </w:rPr>
        <w:t>二、</w:t>
      </w:r>
      <w:r w:rsidRPr="00224180">
        <w:rPr>
          <w:rFonts w:ascii="微軟正黑體" w:eastAsia="微軟正黑體" w:hAnsi="微軟正黑體"/>
          <w:b/>
          <w:color w:val="000000"/>
          <w:sz w:val="28"/>
          <w:szCs w:val="28"/>
        </w:rPr>
        <w:t>外文部分</w:t>
      </w:r>
    </w:p>
    <w:p w:rsidR="00EC36F4" w:rsidRDefault="00EC36F4" w:rsidP="00BD50E5">
      <w:pPr>
        <w:numPr>
          <w:ilvl w:val="0"/>
          <w:numId w:val="51"/>
        </w:numPr>
        <w:spacing w:line="400" w:lineRule="exact"/>
        <w:ind w:left="426" w:hanging="284"/>
        <w:jc w:val="both"/>
        <w:rPr>
          <w:rFonts w:ascii="微軟正黑體" w:eastAsia="微軟正黑體" w:hAnsi="微軟正黑體"/>
        </w:rPr>
      </w:pPr>
      <w:r w:rsidRPr="009E4D42">
        <w:rPr>
          <w:rFonts w:ascii="微軟正黑體" w:eastAsia="微軟正黑體" w:hAnsi="微軟正黑體" w:hint="eastAsia"/>
        </w:rPr>
        <w:t>總</w:t>
      </w:r>
      <w:r>
        <w:rPr>
          <w:rFonts w:ascii="微軟正黑體" w:eastAsia="微軟正黑體" w:hAnsi="微軟正黑體" w:hint="eastAsia"/>
        </w:rPr>
        <w:t>務省統計局(</w:t>
      </w:r>
      <w:r w:rsidRPr="000D2D89">
        <w:rPr>
          <w:rFonts w:ascii="微軟正黑體" w:eastAsia="微軟正黑體" w:hAnsi="微軟正黑體"/>
        </w:rPr>
        <w:t>2021</w:t>
      </w:r>
      <w:r>
        <w:rPr>
          <w:rFonts w:ascii="微軟正黑體" w:eastAsia="微軟正黑體" w:hAnsi="微軟正黑體" w:hint="eastAsia"/>
        </w:rPr>
        <w:t>)</w:t>
      </w:r>
      <w:r w:rsidRPr="000D2D89">
        <w:rPr>
          <w:rFonts w:ascii="微軟正黑體" w:eastAsia="微軟正黑體" w:hAnsi="微軟正黑體" w:hint="eastAsia"/>
        </w:rPr>
        <w:t>。〈日本統計年鑑〉。資料搜尋日期：</w:t>
      </w:r>
      <w:r w:rsidRPr="000D2D89">
        <w:rPr>
          <w:rFonts w:ascii="微軟正黑體" w:eastAsia="微軟正黑體" w:hAnsi="微軟正黑體"/>
        </w:rPr>
        <w:t>2021</w:t>
      </w:r>
      <w:r w:rsidRPr="000D2D89">
        <w:rPr>
          <w:rFonts w:ascii="微軟正黑體" w:eastAsia="微軟正黑體" w:hAnsi="微軟正黑體" w:hint="eastAsia"/>
        </w:rPr>
        <w:t>年</w:t>
      </w:r>
      <w:r w:rsidRPr="000D2D89">
        <w:rPr>
          <w:rFonts w:ascii="微軟正黑體" w:eastAsia="微軟正黑體" w:hAnsi="微軟正黑體"/>
        </w:rPr>
        <w:t>10</w:t>
      </w:r>
      <w:r w:rsidRPr="000D2D89">
        <w:rPr>
          <w:rFonts w:ascii="微軟正黑體" w:eastAsia="微軟正黑體" w:hAnsi="微軟正黑體" w:hint="eastAsia"/>
        </w:rPr>
        <w:t>月</w:t>
      </w:r>
      <w:r w:rsidRPr="000D2D89">
        <w:rPr>
          <w:rFonts w:ascii="微軟正黑體" w:eastAsia="微軟正黑體" w:hAnsi="微軟正黑體"/>
        </w:rPr>
        <w:t>17</w:t>
      </w:r>
      <w:r w:rsidRPr="000D2D89">
        <w:rPr>
          <w:rFonts w:ascii="微軟正黑體" w:eastAsia="微軟正黑體" w:hAnsi="微軟正黑體" w:hint="eastAsia"/>
        </w:rPr>
        <w:t>日。網址：</w:t>
      </w:r>
      <w:r w:rsidRPr="000D2D89">
        <w:rPr>
          <w:rFonts w:ascii="微軟正黑體" w:eastAsia="微軟正黑體" w:hAnsi="微軟正黑體"/>
        </w:rPr>
        <w:t>https://www.stat.go.jp/data/nenkan/index2.html</w:t>
      </w:r>
      <w:r>
        <w:rPr>
          <w:rFonts w:ascii="微軟正黑體" w:eastAsia="微軟正黑體" w:hAnsi="微軟正黑體" w:hint="eastAsia"/>
        </w:rPr>
        <w:t>。</w:t>
      </w:r>
    </w:p>
    <w:p w:rsidR="00EC36F4" w:rsidRPr="000D2D89" w:rsidRDefault="00EC36F4" w:rsidP="00BD50E5">
      <w:pPr>
        <w:numPr>
          <w:ilvl w:val="0"/>
          <w:numId w:val="51"/>
        </w:numPr>
        <w:spacing w:line="400" w:lineRule="exact"/>
        <w:ind w:left="426" w:hanging="284"/>
        <w:jc w:val="both"/>
        <w:rPr>
          <w:rFonts w:ascii="微軟正黑體" w:eastAsia="微軟正黑體" w:hAnsi="微軟正黑體"/>
        </w:rPr>
      </w:pPr>
      <w:r w:rsidRPr="000D2D89">
        <w:rPr>
          <w:rFonts w:ascii="微軟正黑體" w:eastAsia="微軟正黑體" w:hAnsi="微軟正黑體"/>
        </w:rPr>
        <w:t>Becker, G.S. and Barro, R.J. (1988). A Reformulation of Economics and Sociobiology. Journal of Economic Literature, 14, 817-826.</w:t>
      </w:r>
    </w:p>
    <w:p w:rsidR="00EC36F4" w:rsidRPr="000D2D89" w:rsidRDefault="00EC36F4" w:rsidP="00BD50E5">
      <w:pPr>
        <w:numPr>
          <w:ilvl w:val="0"/>
          <w:numId w:val="51"/>
        </w:numPr>
        <w:spacing w:line="400" w:lineRule="exact"/>
        <w:ind w:left="426" w:hanging="284"/>
        <w:jc w:val="both"/>
        <w:rPr>
          <w:rFonts w:ascii="微軟正黑體" w:eastAsia="微軟正黑體" w:hAnsi="微軟正黑體"/>
        </w:rPr>
      </w:pPr>
      <w:r w:rsidRPr="000D2D89">
        <w:rPr>
          <w:rFonts w:ascii="微軟正黑體" w:eastAsia="微軟正黑體" w:hAnsi="微軟正黑體" w:hint="eastAsia"/>
        </w:rPr>
        <w:t>Börsch-Supan, A. H. and Wilke, C. B. (2003). The German Public Pension System: How it was, How it Will Be. Retrieved October 17, 2021 from：https://www.nber.org/system/files/working_papers/w10525/w10525.pdf</w:t>
      </w:r>
    </w:p>
    <w:p w:rsidR="00EC36F4" w:rsidRPr="000D2D89" w:rsidRDefault="00EC36F4" w:rsidP="00BD50E5">
      <w:pPr>
        <w:numPr>
          <w:ilvl w:val="0"/>
          <w:numId w:val="51"/>
        </w:numPr>
        <w:spacing w:line="400" w:lineRule="exact"/>
        <w:ind w:left="426" w:hanging="284"/>
        <w:jc w:val="both"/>
        <w:rPr>
          <w:rFonts w:ascii="微軟正黑體" w:eastAsia="微軟正黑體" w:hAnsi="微軟正黑體"/>
        </w:rPr>
      </w:pPr>
      <w:r w:rsidRPr="000D2D89">
        <w:rPr>
          <w:rFonts w:ascii="微軟正黑體" w:eastAsia="微軟正黑體" w:hAnsi="微軟正黑體" w:hint="eastAsia"/>
        </w:rPr>
        <w:t>Brand, M. (2007). Social Security Systems in Transition: A Comparison of Germany and Poland. Retrieved October 17, 2021 from：http://martin-brand.de/wp-content/uploads/paper-the-system-of-social-security-in-poland-and-germany1.pdf.</w:t>
      </w:r>
    </w:p>
    <w:p w:rsidR="00EC36F4" w:rsidRPr="000D2D89" w:rsidRDefault="00EC36F4" w:rsidP="00BD50E5">
      <w:pPr>
        <w:numPr>
          <w:ilvl w:val="0"/>
          <w:numId w:val="51"/>
        </w:numPr>
        <w:spacing w:line="400" w:lineRule="exact"/>
        <w:ind w:left="426" w:hanging="284"/>
        <w:jc w:val="both"/>
        <w:rPr>
          <w:rFonts w:ascii="微軟正黑體" w:eastAsia="微軟正黑體" w:hAnsi="微軟正黑體"/>
        </w:rPr>
      </w:pPr>
      <w:r w:rsidRPr="000D2D89">
        <w:rPr>
          <w:rFonts w:ascii="微軟正黑體" w:eastAsia="微軟正黑體" w:hAnsi="微軟正黑體"/>
        </w:rPr>
        <w:t>Bruckner and Hungerford (2021). Failure to Contribute: An Estimate of the Consequences of Non-and Underpayment of Self-Employment Taxes by Independent Contractors, and On-Demand Workers on Social Security. Indiana Journal Law and Social Equality, 9(1), 52-93.</w:t>
      </w:r>
    </w:p>
    <w:p w:rsidR="00EC36F4" w:rsidRPr="000D2D89" w:rsidRDefault="00EC36F4" w:rsidP="00BD50E5">
      <w:pPr>
        <w:numPr>
          <w:ilvl w:val="0"/>
          <w:numId w:val="51"/>
        </w:numPr>
        <w:spacing w:line="400" w:lineRule="exact"/>
        <w:ind w:left="426" w:hanging="284"/>
        <w:jc w:val="both"/>
        <w:rPr>
          <w:rFonts w:ascii="微軟正黑體" w:eastAsia="微軟正黑體" w:hAnsi="微軟正黑體"/>
        </w:rPr>
      </w:pPr>
      <w:r w:rsidRPr="000D2D89">
        <w:rPr>
          <w:rFonts w:ascii="微軟正黑體" w:eastAsia="微軟正黑體" w:hAnsi="微軟正黑體" w:hint="eastAsia"/>
        </w:rPr>
        <w:t>Bucci, V. (2019). Presumptive Taxation Methods: A Review of the Empirical Literature, Journal of Economic Surveys. Retrieved October 17, 2021 from：http://dx.doi.org/10.1111/joes.12304</w:t>
      </w:r>
    </w:p>
    <w:p w:rsidR="00EC36F4" w:rsidRPr="000D2D89" w:rsidRDefault="00EC36F4" w:rsidP="00BD50E5">
      <w:pPr>
        <w:numPr>
          <w:ilvl w:val="0"/>
          <w:numId w:val="51"/>
        </w:numPr>
        <w:spacing w:line="400" w:lineRule="exact"/>
        <w:ind w:left="426" w:hanging="284"/>
        <w:jc w:val="both"/>
        <w:rPr>
          <w:rFonts w:ascii="微軟正黑體" w:eastAsia="微軟正黑體" w:hAnsi="微軟正黑體"/>
        </w:rPr>
      </w:pPr>
      <w:r w:rsidRPr="000D2D89">
        <w:rPr>
          <w:rFonts w:ascii="微軟正黑體" w:eastAsia="微軟正黑體" w:hAnsi="微軟正黑體"/>
        </w:rPr>
        <w:t>Cigno, A. (1993). Intergenerational Transfers Without Altruism. European Journal of Political Economy. 9, 505-518.</w:t>
      </w:r>
    </w:p>
    <w:p w:rsidR="00EC36F4" w:rsidRPr="000D2D89" w:rsidRDefault="00EC36F4" w:rsidP="00BD50E5">
      <w:pPr>
        <w:numPr>
          <w:ilvl w:val="0"/>
          <w:numId w:val="51"/>
        </w:numPr>
        <w:spacing w:line="400" w:lineRule="exact"/>
        <w:ind w:left="426" w:hanging="284"/>
        <w:jc w:val="both"/>
        <w:rPr>
          <w:rFonts w:ascii="微軟正黑體" w:eastAsia="微軟正黑體" w:hAnsi="微軟正黑體"/>
        </w:rPr>
      </w:pPr>
      <w:r w:rsidRPr="000D2D89">
        <w:rPr>
          <w:rFonts w:ascii="微軟正黑體" w:eastAsia="微軟正黑體" w:hAnsi="微軟正黑體"/>
        </w:rPr>
        <w:t>Enders, W. and Lapan, H. (1982). Social Security Taxation and Intergenerational Risk Sharing. International Economic Review, 23, 647-658.</w:t>
      </w:r>
    </w:p>
    <w:p w:rsidR="00EC36F4" w:rsidRPr="000D2D89" w:rsidRDefault="00EC36F4" w:rsidP="00BD50E5">
      <w:pPr>
        <w:numPr>
          <w:ilvl w:val="0"/>
          <w:numId w:val="51"/>
        </w:numPr>
        <w:spacing w:line="400" w:lineRule="exact"/>
        <w:ind w:left="426" w:hanging="284"/>
        <w:rPr>
          <w:rFonts w:ascii="微軟正黑體" w:eastAsia="微軟正黑體" w:hAnsi="微軟正黑體"/>
        </w:rPr>
      </w:pPr>
      <w:r w:rsidRPr="000D2D89">
        <w:rPr>
          <w:rFonts w:ascii="微軟正黑體" w:eastAsia="微軟正黑體" w:hAnsi="微軟正黑體" w:hint="eastAsia"/>
        </w:rPr>
        <w:t>Eurostat (2021). Environmental Tax Revenues. Retrieved October 17, 2021 from：https://ec.europa.eu/eurostat/databrowser/view/env_ac_tax/default/table?la</w:t>
      </w:r>
      <w:r w:rsidRPr="000D2D89">
        <w:rPr>
          <w:rFonts w:ascii="微軟正黑體" w:eastAsia="微軟正黑體" w:hAnsi="微軟正黑體" w:hint="eastAsia"/>
        </w:rPr>
        <w:lastRenderedPageBreak/>
        <w:t>ng=en</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t>Feldstein , M. and Samwick, A. (2002). Potential Paths of Social Security Reform. Tax Policy and the Economy, 16, 181-224.</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t>Feldstein, M. (1996). The Missing Piece in Policy Analysis: Social Security Reform. The American Economic Review, 86(2), 1-14.</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t>Gordon, R. and Varian, H. (1988). Intergenerational Risk Sharing. Journal of Public Economics, 37, 185-202.</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hint="eastAsia"/>
        </w:rPr>
        <w:t>Government Pension Investment Fund (2020). Our Performance. Retrieved October 17, 2021 from：https://www.gpif.go.jp/en/performance/past</w:t>
      </w:r>
    </w:p>
    <w:p w:rsidR="00EC36F4" w:rsidRPr="000D2D89" w:rsidRDefault="00EC36F4" w:rsidP="00BE1687">
      <w:pPr>
        <w:numPr>
          <w:ilvl w:val="0"/>
          <w:numId w:val="51"/>
        </w:numPr>
        <w:spacing w:line="400" w:lineRule="exact"/>
        <w:ind w:left="482" w:hanging="340"/>
        <w:rPr>
          <w:rFonts w:ascii="微軟正黑體" w:eastAsia="微軟正黑體" w:hAnsi="微軟正黑體"/>
        </w:rPr>
      </w:pPr>
      <w:r w:rsidRPr="000D2D89">
        <w:rPr>
          <w:rFonts w:ascii="微軟正黑體" w:eastAsia="微軟正黑體" w:hAnsi="微軟正黑體" w:hint="eastAsia"/>
        </w:rPr>
        <w:t xml:space="preserve">Government Pension Investment Fund (2020). Our Performance: Past Performance. Retrieved October 17, 2021 from： https://www.gpif.go.jp/en/performance/past-performances.html </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t xml:space="preserve">Homburg, S. (1990). The Efficiency of Unfunded Pension Schemes. Journal of Institutional and Theoretical Economics, 146, 640-647. </w:t>
      </w:r>
    </w:p>
    <w:p w:rsidR="00EC36F4" w:rsidRPr="000D2D89" w:rsidRDefault="00EC36F4" w:rsidP="00BE1687">
      <w:pPr>
        <w:numPr>
          <w:ilvl w:val="0"/>
          <w:numId w:val="51"/>
        </w:numPr>
        <w:spacing w:line="400" w:lineRule="exact"/>
        <w:ind w:left="482" w:hanging="340"/>
        <w:rPr>
          <w:rFonts w:ascii="微軟正黑體" w:eastAsia="微軟正黑體" w:hAnsi="微軟正黑體"/>
        </w:rPr>
      </w:pPr>
      <w:r w:rsidRPr="000D2D89">
        <w:rPr>
          <w:rFonts w:ascii="微軟正黑體" w:eastAsia="微軟正黑體" w:hAnsi="微軟正黑體" w:hint="eastAsia"/>
        </w:rPr>
        <w:t>International Social Security Association (2012). Handbook on the Extension of Social Security Coverage to the Self-Employed. Retrieved October 17, 2021 from：https://ww1.issa.int/sites/default/files/documents/publications/2_handbook-extension-selfemployed-</w:t>
      </w:r>
      <w:r w:rsidRPr="000D2D89">
        <w:rPr>
          <w:rFonts w:ascii="微軟正黑體" w:eastAsia="微軟正黑體" w:hAnsi="微軟正黑體"/>
        </w:rPr>
        <w:t>26571.pdf</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hint="eastAsia"/>
        </w:rPr>
        <w:t>Kashiwase, K., Nozaki, M. and Tokuoka, K. (2012). Pension Reforms in Japan, IMF Working Paper, WP/12/285. Retrieved October 17, 2021 from：https://www.imf.org/external/pubs/ft/wp/2012/wp12285.pdf</w:t>
      </w:r>
    </w:p>
    <w:p w:rsidR="00EC36F4" w:rsidRPr="000D2D89" w:rsidRDefault="00EC36F4" w:rsidP="00BE1687">
      <w:pPr>
        <w:numPr>
          <w:ilvl w:val="0"/>
          <w:numId w:val="51"/>
        </w:numPr>
        <w:spacing w:line="400" w:lineRule="exact"/>
        <w:ind w:left="482" w:hanging="340"/>
        <w:rPr>
          <w:rFonts w:ascii="微軟正黑體" w:eastAsia="微軟正黑體" w:hAnsi="微軟正黑體"/>
        </w:rPr>
      </w:pPr>
      <w:r w:rsidRPr="000D2D89">
        <w:rPr>
          <w:rFonts w:ascii="微軟正黑體" w:eastAsia="微軟正黑體" w:hAnsi="微軟正黑體" w:hint="eastAsia"/>
        </w:rPr>
        <w:t>Mineva and Stefanov (2018). Evasion of Taxes and Social Security Contributions. Retrieved October 17, 2021 from：https://csd.bg/fileadmin/user_upload/publications_library/files/2020_01/Undeclared/Evasion_of_Taxes_and_Social_Security_Contributions_Sep2018.pd</w:t>
      </w:r>
      <w:r w:rsidRPr="000D2D89">
        <w:rPr>
          <w:rFonts w:ascii="微軟正黑體" w:eastAsia="微軟正黑體" w:hAnsi="微軟正黑體"/>
        </w:rPr>
        <w:t>f</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hint="eastAsia"/>
        </w:rPr>
        <w:t xml:space="preserve">Ministry of Health, Labour and Welfare (2011). Annual Health, Labour and Welfare Report 2008-2009. Retrieved October 17, 2021 from：http://www.mhlw.go.jp/english/wp/wp-hw3/index.html </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t>Myers, R. J. (1955). Old-Age and Survivors Insurance Administrative Expenses. Social Security Bulletin, 18(7), 17-19.</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t>Nakashima, K. (2009). Current Status and Issues of Japan’s Public Pension. NLI Research Instate.</w:t>
      </w:r>
    </w:p>
    <w:p w:rsidR="00EC36F4" w:rsidRPr="000D2D89" w:rsidRDefault="00EC36F4" w:rsidP="00BE1687">
      <w:pPr>
        <w:numPr>
          <w:ilvl w:val="0"/>
          <w:numId w:val="51"/>
        </w:numPr>
        <w:spacing w:line="400" w:lineRule="exact"/>
        <w:ind w:left="482" w:hanging="340"/>
        <w:rPr>
          <w:rFonts w:ascii="微軟正黑體" w:eastAsia="微軟正黑體" w:hAnsi="微軟正黑體"/>
        </w:rPr>
      </w:pPr>
      <w:r w:rsidRPr="000D2D89">
        <w:rPr>
          <w:rFonts w:ascii="微軟正黑體" w:eastAsia="微軟正黑體" w:hAnsi="微軟正黑體" w:hint="eastAsia"/>
        </w:rPr>
        <w:t>OECD (2019). Pensions at a Glance 2019: OECD and G20 Indicators, OECD Publishing, Paris. Retrieved October 17, 2021 from：https://doi.org/10.1787/b6d3dcfc-en.</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lastRenderedPageBreak/>
        <w:t>Rejda, G. E.(1999). Social Insurance and Economic Security. USA: Prentice-Hall.</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t>Sakamoto, J. (2005). Japan’s Pension Reform. SP Discussion Paper N0.0541. https://siteresourcesqa.worldbank.org/SOCIALPROTECTION/Resources/SP-Discussion-papers/Pensions-DP/0541.pdf</w:t>
      </w:r>
    </w:p>
    <w:p w:rsidR="00EC36F4" w:rsidRPr="000D2D89" w:rsidRDefault="00EC36F4" w:rsidP="00BE1687">
      <w:pPr>
        <w:numPr>
          <w:ilvl w:val="0"/>
          <w:numId w:val="51"/>
        </w:numPr>
        <w:spacing w:line="400" w:lineRule="exact"/>
        <w:ind w:left="482" w:hanging="340"/>
        <w:rPr>
          <w:rFonts w:ascii="微軟正黑體" w:eastAsia="微軟正黑體" w:hAnsi="微軟正黑體"/>
        </w:rPr>
      </w:pPr>
      <w:r w:rsidRPr="000D2D89">
        <w:rPr>
          <w:rFonts w:ascii="微軟正黑體" w:eastAsia="微軟正黑體" w:hAnsi="微軟正黑體" w:hint="eastAsia"/>
        </w:rPr>
        <w:t>Siebert, H. (2003) Germany’s Social Security System under Strain. Kiel Working Paper No. 1155. Retrieved October 17, 2021 from：http://www.isn.ethz.ch/isn/Digital-Library/Publications/Detail/?ots591=eb06339b-2726-928e-0216-1b3f15392dd8&amp;lng=en&amp;id=103035</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t>Sinn, H.W. (2000). Why a Funded Pension System is Needed and Why It is Not Needed. International Tax and Public Finance, 7, 389-410.</w:t>
      </w:r>
    </w:p>
    <w:p w:rsidR="00EC36F4" w:rsidRPr="000D2D89"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hint="eastAsia"/>
        </w:rPr>
        <w:t>Statistic Portal of the Pension Insurance (2021). Rentenversicherung in Zeitreihen. Retrieved October 17, 2021 from：https://statistik-rente.de/drv/</w:t>
      </w:r>
    </w:p>
    <w:p w:rsidR="00EC36F4" w:rsidRPr="00E26191" w:rsidRDefault="00EC36F4" w:rsidP="007B6CEE">
      <w:pPr>
        <w:numPr>
          <w:ilvl w:val="0"/>
          <w:numId w:val="51"/>
        </w:numPr>
        <w:spacing w:line="400" w:lineRule="exact"/>
        <w:ind w:left="482" w:hanging="340"/>
        <w:jc w:val="both"/>
        <w:rPr>
          <w:rFonts w:ascii="微軟正黑體" w:eastAsia="微軟正黑體" w:hAnsi="微軟正黑體"/>
        </w:rPr>
      </w:pPr>
      <w:r w:rsidRPr="000D2D89">
        <w:rPr>
          <w:rFonts w:ascii="微軟正黑體" w:eastAsia="微軟正黑體" w:hAnsi="微軟正黑體"/>
        </w:rPr>
        <w:t>Yashiro, N. and Oshio, T. (1999). Social and Retirement in Japan, from Social Security and Retirement around the World, edited by Jonathan Gruber and David A. Wise , University of Chicago Pre</w:t>
      </w:r>
    </w:p>
    <w:p w:rsidR="00EC36F4" w:rsidRPr="00EC36F4" w:rsidRDefault="00EC36F4" w:rsidP="00381C80">
      <w:pPr>
        <w:spacing w:beforeLines="30" w:before="108" w:line="400" w:lineRule="exact"/>
        <w:rPr>
          <w:rFonts w:ascii="微軟正黑體" w:eastAsia="微軟正黑體" w:hAnsi="微軟正黑體"/>
        </w:rPr>
      </w:pPr>
    </w:p>
    <w:p w:rsidR="00C60E23" w:rsidRPr="00EC36F4" w:rsidRDefault="009B5021" w:rsidP="00EC36F4">
      <w:pPr>
        <w:widowControl/>
        <w:rPr>
          <w:rFonts w:ascii="微軟正黑體" w:eastAsia="微軟正黑體" w:hAnsi="微軟正黑體"/>
          <w:kern w:val="0"/>
        </w:rPr>
        <w:sectPr w:rsidR="00C60E23" w:rsidRPr="00EC36F4" w:rsidSect="001D5C1C">
          <w:pgSz w:w="11906" w:h="16838"/>
          <w:pgMar w:top="1134" w:right="1418" w:bottom="1134" w:left="1418" w:header="340" w:footer="340" w:gutter="0"/>
          <w:cols w:space="425"/>
          <w:docGrid w:type="lines" w:linePitch="360"/>
        </w:sectPr>
      </w:pPr>
      <w:r>
        <w:rPr>
          <w:rFonts w:ascii="微軟正黑體" w:eastAsia="微軟正黑體" w:hAnsi="微軟正黑體"/>
          <w:b/>
          <w:sz w:val="60"/>
          <w:szCs w:val="60"/>
        </w:rPr>
        <w:br w:type="page"/>
      </w:r>
    </w:p>
    <w:p w:rsidR="00681820" w:rsidRDefault="00681820" w:rsidP="004D043F">
      <w:pPr>
        <w:spacing w:line="700" w:lineRule="exact"/>
        <w:jc w:val="center"/>
        <w:rPr>
          <w:rFonts w:ascii="微軟正黑體" w:eastAsia="微軟正黑體" w:hAnsi="微軟正黑體"/>
          <w:b/>
          <w:sz w:val="60"/>
          <w:szCs w:val="60"/>
        </w:rPr>
      </w:pPr>
    </w:p>
    <w:p w:rsidR="00681820" w:rsidRPr="009E7F98" w:rsidRDefault="00681820" w:rsidP="00681820">
      <w:pPr>
        <w:spacing w:line="700" w:lineRule="exact"/>
        <w:jc w:val="center"/>
        <w:rPr>
          <w:rFonts w:ascii="微軟正黑體" w:eastAsia="微軟正黑體" w:hAnsi="微軟正黑體"/>
          <w:b/>
          <w:color w:val="000000" w:themeColor="text1"/>
          <w:sz w:val="56"/>
          <w:szCs w:val="56"/>
        </w:rPr>
      </w:pPr>
      <w:r w:rsidRPr="00463C02">
        <w:rPr>
          <w:rFonts w:ascii="微軟正黑體" w:eastAsia="微軟正黑體" w:hAnsi="微軟正黑體" w:hint="eastAsia"/>
          <w:b/>
          <w:sz w:val="56"/>
          <w:szCs w:val="56"/>
        </w:rPr>
        <w:t>全球化與高齡化浪潮下的台灣銀髮與高齡就業及老年經濟安全</w:t>
      </w:r>
      <w:r w:rsidRPr="009E7F98">
        <w:rPr>
          <w:rFonts w:ascii="微軟正黑體" w:eastAsia="微軟正黑體" w:hAnsi="微軟正黑體" w:hint="eastAsia"/>
          <w:b/>
          <w:color w:val="000000" w:themeColor="text1"/>
          <w:sz w:val="56"/>
          <w:szCs w:val="56"/>
        </w:rPr>
        <w:t>：</w:t>
      </w:r>
    </w:p>
    <w:p w:rsidR="00681820" w:rsidRPr="00843908" w:rsidRDefault="00681820" w:rsidP="00681820">
      <w:pPr>
        <w:spacing w:line="700" w:lineRule="exact"/>
        <w:ind w:leftChars="-118" w:left="-283" w:rightChars="-119" w:right="-286"/>
        <w:jc w:val="center"/>
        <w:rPr>
          <w:rFonts w:ascii="微軟正黑體" w:eastAsia="微軟正黑體" w:hAnsi="微軟正黑體"/>
          <w:b/>
          <w:sz w:val="60"/>
          <w:szCs w:val="60"/>
        </w:rPr>
      </w:pPr>
      <w:r w:rsidRPr="00912795">
        <w:rPr>
          <w:rFonts w:ascii="微軟正黑體" w:eastAsia="微軟正黑體" w:hAnsi="微軟正黑體" w:hint="eastAsia"/>
          <w:b/>
          <w:sz w:val="56"/>
          <w:szCs w:val="56"/>
        </w:rPr>
        <w:t>催生社會團結經濟與融合性就業政策</w:t>
      </w:r>
    </w:p>
    <w:p w:rsidR="00681820" w:rsidRPr="00E26191" w:rsidRDefault="00681820" w:rsidP="00681820">
      <w:pPr>
        <w:spacing w:line="400" w:lineRule="exact"/>
        <w:rPr>
          <w:rFonts w:ascii="微軟正黑體" w:eastAsia="微軟正黑體" w:hAnsi="微軟正黑體"/>
        </w:rPr>
      </w:pPr>
    </w:p>
    <w:p w:rsidR="004D043F" w:rsidRPr="005713A9" w:rsidRDefault="00681820" w:rsidP="00681820">
      <w:pPr>
        <w:spacing w:line="700" w:lineRule="exact"/>
        <w:jc w:val="right"/>
        <w:rPr>
          <w:rFonts w:ascii="微軟正黑體" w:eastAsia="微軟正黑體" w:hAnsi="微軟正黑體"/>
          <w:b/>
          <w:sz w:val="60"/>
          <w:szCs w:val="60"/>
        </w:rPr>
      </w:pPr>
      <w:r w:rsidRPr="00912795">
        <w:rPr>
          <w:rFonts w:ascii="微軟正黑體" w:eastAsia="微軟正黑體" w:hAnsi="微軟正黑體" w:hint="eastAsia"/>
          <w:kern w:val="0"/>
        </w:rPr>
        <w:t>中正大學勞工關係學系教授</w:t>
      </w:r>
      <w:r>
        <w:rPr>
          <w:rFonts w:ascii="微軟正黑體" w:eastAsia="微軟正黑體" w:hAnsi="微軟正黑體" w:hint="eastAsia"/>
          <w:kern w:val="0"/>
        </w:rPr>
        <w:t xml:space="preserve">  周玟琪</w:t>
      </w:r>
    </w:p>
    <w:p w:rsidR="004D043F" w:rsidRDefault="004D043F" w:rsidP="004D043F">
      <w:pPr>
        <w:tabs>
          <w:tab w:val="left" w:pos="5100"/>
        </w:tabs>
        <w:spacing w:line="600" w:lineRule="exact"/>
        <w:ind w:right="1202"/>
        <w:rPr>
          <w:rFonts w:ascii="微軟正黑體" w:eastAsia="微軟正黑體" w:hAnsi="微軟正黑體"/>
          <w:b/>
        </w:rPr>
      </w:pPr>
      <w:r w:rsidRPr="00E01F34">
        <w:rPr>
          <w:rFonts w:ascii="微軟正黑體" w:eastAsia="微軟正黑體" w:hAnsi="微軟正黑體"/>
          <w:b/>
          <w:noProof/>
          <w:sz w:val="36"/>
          <w:szCs w:val="36"/>
        </w:rPr>
        <mc:AlternateContent>
          <mc:Choice Requires="wps">
            <w:drawing>
              <wp:anchor distT="0" distB="0" distL="114300" distR="114300" simplePos="0" relativeHeight="252055552" behindDoc="1" locked="0" layoutInCell="1" allowOverlap="1" wp14:anchorId="0C322868" wp14:editId="7B44D500">
                <wp:simplePos x="0" y="0"/>
                <wp:positionH relativeFrom="column">
                  <wp:posOffset>-900430</wp:posOffset>
                </wp:positionH>
                <wp:positionV relativeFrom="paragraph">
                  <wp:posOffset>194311</wp:posOffset>
                </wp:positionV>
                <wp:extent cx="7543800" cy="2476500"/>
                <wp:effectExtent l="0" t="0" r="0" b="0"/>
                <wp:wrapNone/>
                <wp:docPr id="2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476500"/>
                        </a:xfrm>
                        <a:prstGeom prst="rect">
                          <a:avLst/>
                        </a:prstGeom>
                        <a:solidFill>
                          <a:schemeClr val="accent4">
                            <a:lumMod val="20000"/>
                            <a:lumOff val="80000"/>
                          </a:schemeClr>
                        </a:solidFill>
                        <a:ln w="9525">
                          <a:noFill/>
                          <a:miter lim="800000"/>
                          <a:headEnd/>
                          <a:tailEnd/>
                        </a:ln>
                      </wps:spPr>
                      <wps:txbx>
                        <w:txbxContent>
                          <w:p w:rsidR="00745375" w:rsidRDefault="00745375" w:rsidP="004D04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70.9pt;margin-top:15.3pt;width:594pt;height:19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" fillcolor="#e5dfec [663]" stroked="f">
                <v:textbox>
                  <w:txbxContent>
                    <w:p w:rsidR="00745375" w:rsidRDefault="00745375" w:rsidP="004D043F"/>
                  </w:txbxContent>
                </v:textbox>
              </v:shape>
            </w:pict>
          </mc:Fallback>
        </mc:AlternateContent>
      </w:r>
      <w:r>
        <w:rPr>
          <w:rFonts w:ascii="微軟正黑體" w:eastAsia="微軟正黑體" w:hAnsi="微軟正黑體"/>
          <w:b/>
        </w:rPr>
        <w:tab/>
      </w:r>
    </w:p>
    <w:p w:rsidR="00681820" w:rsidRPr="00751BFC" w:rsidRDefault="00681820" w:rsidP="00532AD2">
      <w:pPr>
        <w:pStyle w:val="af0"/>
        <w:numPr>
          <w:ilvl w:val="0"/>
          <w:numId w:val="53"/>
        </w:numPr>
        <w:spacing w:line="560" w:lineRule="exact"/>
        <w:ind w:leftChars="0" w:left="850" w:hangingChars="236" w:hanging="850"/>
        <w:jc w:val="both"/>
        <w:rPr>
          <w:rFonts w:ascii="微軟正黑體" w:eastAsia="微軟正黑體" w:hAnsi="微軟正黑體"/>
          <w:sz w:val="36"/>
          <w:szCs w:val="36"/>
        </w:rPr>
      </w:pPr>
      <w:r w:rsidRPr="00751BFC">
        <w:rPr>
          <w:rFonts w:ascii="微軟正黑體" w:eastAsia="微軟正黑體" w:hAnsi="微軟正黑體" w:hint="eastAsia"/>
          <w:sz w:val="36"/>
          <w:szCs w:val="36"/>
        </w:rPr>
        <w:t>經濟全球化與少子女高齡化的雙重挑戰</w:t>
      </w:r>
    </w:p>
    <w:p w:rsidR="00681820" w:rsidRPr="00B53ABC" w:rsidRDefault="00681820" w:rsidP="00532AD2">
      <w:pPr>
        <w:pStyle w:val="af0"/>
        <w:numPr>
          <w:ilvl w:val="0"/>
          <w:numId w:val="53"/>
        </w:numPr>
        <w:spacing w:line="560" w:lineRule="exact"/>
        <w:ind w:leftChars="0" w:left="850" w:hangingChars="236" w:hanging="850"/>
        <w:jc w:val="both"/>
        <w:rPr>
          <w:rFonts w:ascii="微軟正黑體" w:eastAsia="微軟正黑體" w:hAnsi="微軟正黑體"/>
          <w:sz w:val="36"/>
          <w:szCs w:val="36"/>
        </w:rPr>
      </w:pPr>
      <w:r>
        <w:rPr>
          <w:rFonts w:ascii="微軟正黑體" w:eastAsia="微軟正黑體" w:hAnsi="微軟正黑體" w:hint="eastAsia"/>
          <w:sz w:val="36"/>
          <w:szCs w:val="36"/>
        </w:rPr>
        <w:t>台灣全球化、高齡化與社會發展不均等現況與</w:t>
      </w:r>
      <w:r w:rsidRPr="00B53ABC">
        <w:rPr>
          <w:rFonts w:ascii="微軟正黑體" w:eastAsia="微軟正黑體" w:hAnsi="微軟正黑體" w:hint="eastAsia"/>
          <w:sz w:val="36"/>
          <w:szCs w:val="36"/>
        </w:rPr>
        <w:t>影響</w:t>
      </w:r>
    </w:p>
    <w:p w:rsidR="00681820" w:rsidRPr="00B53ABC" w:rsidRDefault="00681820" w:rsidP="00532AD2">
      <w:pPr>
        <w:pStyle w:val="af0"/>
        <w:numPr>
          <w:ilvl w:val="0"/>
          <w:numId w:val="53"/>
        </w:numPr>
        <w:spacing w:line="560" w:lineRule="exact"/>
        <w:ind w:leftChars="0" w:left="850" w:hangingChars="236" w:hanging="850"/>
        <w:jc w:val="both"/>
        <w:rPr>
          <w:rFonts w:ascii="微軟正黑體" w:eastAsia="微軟正黑體" w:hAnsi="微軟正黑體"/>
          <w:sz w:val="36"/>
          <w:szCs w:val="36"/>
        </w:rPr>
      </w:pPr>
      <w:r w:rsidRPr="00751BFC">
        <w:rPr>
          <w:rFonts w:ascii="微軟正黑體" w:eastAsia="微軟正黑體" w:hAnsi="微軟正黑體" w:hint="eastAsia"/>
          <w:sz w:val="36"/>
          <w:szCs w:val="36"/>
        </w:rPr>
        <w:t>我國55歲以上銀髮與高齡就業率偏低且性別差異</w:t>
      </w:r>
      <w:r>
        <w:rPr>
          <w:rFonts w:ascii="微軟正黑體" w:eastAsia="微軟正黑體" w:hAnsi="微軟正黑體" w:hint="eastAsia"/>
          <w:sz w:val="36"/>
          <w:szCs w:val="36"/>
        </w:rPr>
        <w:t>大</w:t>
      </w:r>
    </w:p>
    <w:p w:rsidR="00681820" w:rsidRDefault="00681820" w:rsidP="00532AD2">
      <w:pPr>
        <w:pStyle w:val="af0"/>
        <w:numPr>
          <w:ilvl w:val="0"/>
          <w:numId w:val="53"/>
        </w:numPr>
        <w:spacing w:line="560" w:lineRule="exact"/>
        <w:ind w:leftChars="0" w:left="850" w:hangingChars="236" w:hanging="850"/>
        <w:jc w:val="both"/>
        <w:rPr>
          <w:rFonts w:ascii="微軟正黑體" w:eastAsia="微軟正黑體" w:hAnsi="微軟正黑體"/>
          <w:sz w:val="36"/>
          <w:szCs w:val="36"/>
        </w:rPr>
      </w:pPr>
      <w:r w:rsidRPr="00751BFC">
        <w:rPr>
          <w:rFonts w:ascii="微軟正黑體" w:eastAsia="微軟正黑體" w:hAnsi="微軟正黑體" w:hint="eastAsia"/>
          <w:sz w:val="36"/>
          <w:szCs w:val="36"/>
        </w:rPr>
        <w:t>我國老年經濟安全、老年貧窮現況與勞保年金改革</w:t>
      </w:r>
    </w:p>
    <w:p w:rsidR="004D043F" w:rsidRPr="00681820" w:rsidRDefault="00681820" w:rsidP="00532AD2">
      <w:pPr>
        <w:pStyle w:val="af0"/>
        <w:numPr>
          <w:ilvl w:val="0"/>
          <w:numId w:val="53"/>
        </w:numPr>
        <w:spacing w:line="560" w:lineRule="exact"/>
        <w:ind w:leftChars="0" w:left="850" w:hangingChars="236" w:hanging="850"/>
        <w:jc w:val="both"/>
        <w:rPr>
          <w:rFonts w:ascii="微軟正黑體" w:eastAsia="微軟正黑體" w:hAnsi="微軟正黑體"/>
          <w:sz w:val="36"/>
          <w:szCs w:val="36"/>
        </w:rPr>
      </w:pPr>
      <w:r w:rsidRPr="00681820">
        <w:rPr>
          <w:rFonts w:ascii="微軟正黑體" w:eastAsia="微軟正黑體" w:hAnsi="微軟正黑體" w:hint="eastAsia"/>
          <w:sz w:val="36"/>
          <w:szCs w:val="36"/>
        </w:rPr>
        <w:t>落實中高齡者與高齡者就業促進法與催生社會團結經濟與融合性就業政策</w:t>
      </w:r>
    </w:p>
    <w:p w:rsidR="00681820" w:rsidRDefault="00681820" w:rsidP="00CF60EC">
      <w:pPr>
        <w:spacing w:line="560" w:lineRule="exact"/>
        <w:ind w:right="1202"/>
        <w:rPr>
          <w:rFonts w:ascii="微軟正黑體" w:eastAsia="微軟正黑體" w:hAnsi="微軟正黑體"/>
          <w:b/>
        </w:rPr>
      </w:pPr>
    </w:p>
    <w:p w:rsidR="00532AD2" w:rsidRDefault="00532AD2" w:rsidP="00CF60EC">
      <w:pPr>
        <w:spacing w:line="500" w:lineRule="exact"/>
        <w:ind w:right="1202"/>
        <w:rPr>
          <w:rFonts w:ascii="微軟正黑體" w:eastAsia="微軟正黑體" w:hAnsi="微軟正黑體"/>
          <w:b/>
        </w:rPr>
      </w:pPr>
    </w:p>
    <w:p w:rsidR="004D043F" w:rsidRDefault="004D043F" w:rsidP="004D043F">
      <w:pPr>
        <w:snapToGrid w:val="0"/>
        <w:spacing w:line="400" w:lineRule="exact"/>
        <w:ind w:left="1"/>
        <w:jc w:val="center"/>
        <w:rPr>
          <w:rFonts w:ascii="微軟正黑體" w:eastAsia="微軟正黑體" w:hAnsi="微軟正黑體"/>
          <w:b/>
          <w:sz w:val="36"/>
          <w:szCs w:val="36"/>
        </w:rPr>
      </w:pPr>
      <w:r>
        <w:rPr>
          <w:rFonts w:ascii="微軟正黑體" w:eastAsia="微軟正黑體" w:hAnsi="微軟正黑體" w:hint="eastAsia"/>
          <w:b/>
          <w:sz w:val="36"/>
          <w:szCs w:val="36"/>
        </w:rPr>
        <w:t>摘  要</w:t>
      </w:r>
    </w:p>
    <w:p w:rsidR="004D043F" w:rsidRDefault="004D043F" w:rsidP="004D043F">
      <w:pPr>
        <w:spacing w:line="400" w:lineRule="exact"/>
        <w:ind w:right="1202"/>
        <w:jc w:val="center"/>
        <w:rPr>
          <w:rFonts w:ascii="微軟正黑體" w:eastAsia="微軟正黑體" w:hAnsi="微軟正黑體"/>
          <w:b/>
        </w:rPr>
      </w:pPr>
    </w:p>
    <w:p w:rsidR="0002061E" w:rsidRPr="00A076B5" w:rsidRDefault="00842817" w:rsidP="00681820">
      <w:pPr>
        <w:spacing w:line="400" w:lineRule="exact"/>
        <w:ind w:right="-1"/>
        <w:jc w:val="both"/>
        <w:rPr>
          <w:rFonts w:ascii="微軟正黑體" w:eastAsia="微軟正黑體" w:hAnsi="微軟正黑體"/>
          <w:b/>
        </w:rPr>
      </w:pPr>
      <w:r w:rsidRPr="00A076B5">
        <w:rPr>
          <w:rFonts w:ascii="微軟正黑體" w:eastAsia="微軟正黑體" w:hAnsi="微軟正黑體" w:hint="eastAsia"/>
          <w:b/>
        </w:rPr>
        <w:t xml:space="preserve">    </w:t>
      </w:r>
      <w:r w:rsidR="00681820" w:rsidRPr="00922C17">
        <w:rPr>
          <w:rFonts w:ascii="微軟正黑體" w:eastAsia="微軟正黑體" w:hAnsi="微軟正黑體" w:hint="eastAsia"/>
          <w:kern w:val="0"/>
        </w:rPr>
        <w:t>本文從全球化經濟的不均等受益與少子女高齡化的老年經濟安全風險之雙重發展脈絡，檢視我國勞工權益與就業機會不均等的現況，如55歲以上銀髮人才或65歲高齡者就業率低、性別差異大與衍生出的老年經濟安全風險、老年貧窮及老年貧窮女性化等問題，進而倡議為何需要透過發展「社會團結經濟」與「融合性就業促進政策」，落實台灣於2019年11月15日立法院三讀通過的「中高齡者與高齡者就業促進法」。本文亦將建議勞保年金改革，需同時搭配銀髮及高齡就業促進政策之推動，才能有助於化解世代不均與強化老年經濟安全；其次，結合「社會投資」與「社會創新」政策，並「肯定每一份工作的獨特價值」，透過有助於</w:t>
      </w:r>
      <w:r w:rsidR="00681820">
        <w:rPr>
          <w:rFonts w:ascii="微軟正黑體" w:eastAsia="微軟正黑體" w:hAnsi="微軟正黑體" w:hint="eastAsia"/>
          <w:kern w:val="0"/>
        </w:rPr>
        <w:t>生命豐富、</w:t>
      </w:r>
      <w:r w:rsidR="00681820" w:rsidRPr="00922C17">
        <w:rPr>
          <w:rFonts w:ascii="微軟正黑體" w:eastAsia="微軟正黑體" w:hAnsi="微軟正黑體" w:hint="eastAsia"/>
          <w:kern w:val="0"/>
        </w:rPr>
        <w:t>健康促進與社會連結的工作機會提供，降低失能期間與醫療支出；同時，透過擴大永續且創新的公共服務之社會投資，包括教育訓練與</w:t>
      </w:r>
      <w:r w:rsidR="00681820">
        <w:rPr>
          <w:rFonts w:ascii="微軟正黑體" w:eastAsia="微軟正黑體" w:hAnsi="微軟正黑體" w:hint="eastAsia"/>
          <w:kern w:val="0"/>
        </w:rPr>
        <w:t>職涯多樣可能之</w:t>
      </w:r>
      <w:r w:rsidR="00681820" w:rsidRPr="00922C17">
        <w:rPr>
          <w:rFonts w:ascii="微軟正黑體" w:eastAsia="微軟正黑體" w:hAnsi="微軟正黑體" w:hint="eastAsia"/>
          <w:kern w:val="0"/>
        </w:rPr>
        <w:t>工作機會提供</w:t>
      </w:r>
      <w:r w:rsidR="00444BCF">
        <w:rPr>
          <w:rFonts w:ascii="微軟正黑體" w:eastAsia="微軟正黑體" w:hAnsi="微軟正黑體" w:hint="eastAsia"/>
          <w:kern w:val="0"/>
        </w:rPr>
        <w:t>，以</w:t>
      </w:r>
      <w:r w:rsidR="00681820">
        <w:rPr>
          <w:rFonts w:ascii="微軟正黑體" w:eastAsia="微軟正黑體" w:hAnsi="微軟正黑體" w:hint="eastAsia"/>
          <w:kern w:val="0"/>
        </w:rPr>
        <w:t>支持</w:t>
      </w:r>
      <w:r w:rsidR="00681820" w:rsidRPr="00922C17">
        <w:rPr>
          <w:rFonts w:ascii="微軟正黑體" w:eastAsia="微軟正黑體" w:hAnsi="微軟正黑體" w:hint="eastAsia"/>
          <w:kern w:val="0"/>
        </w:rPr>
        <w:t>想要</w:t>
      </w:r>
      <w:r w:rsidR="00681820">
        <w:rPr>
          <w:rFonts w:ascii="微軟正黑體" w:eastAsia="微軟正黑體" w:hAnsi="微軟正黑體" w:hint="eastAsia"/>
          <w:kern w:val="0"/>
        </w:rPr>
        <w:t>工作者</w:t>
      </w:r>
      <w:r w:rsidR="00681820" w:rsidRPr="00922C17">
        <w:rPr>
          <w:rFonts w:ascii="微軟正黑體" w:eastAsia="微軟正黑體" w:hAnsi="微軟正黑體" w:hint="eastAsia"/>
          <w:kern w:val="0"/>
        </w:rPr>
        <w:t>，不論男性與女性，不論年齡高低，只要有意願與能力，都能找到友善家庭照顧需求的就業機會，進而</w:t>
      </w:r>
      <w:r w:rsidR="00681820">
        <w:rPr>
          <w:rFonts w:ascii="微軟正黑體" w:eastAsia="微軟正黑體" w:hAnsi="微軟正黑體" w:hint="eastAsia"/>
          <w:kern w:val="0"/>
        </w:rPr>
        <w:t>實踐</w:t>
      </w:r>
      <w:r w:rsidR="00681820" w:rsidRPr="00922C17">
        <w:rPr>
          <w:rFonts w:ascii="微軟正黑體" w:eastAsia="微軟正黑體" w:hAnsi="微軟正黑體" w:hint="eastAsia"/>
          <w:kern w:val="0"/>
        </w:rPr>
        <w:t>經濟安全、健康促進、社會參與</w:t>
      </w:r>
      <w:r w:rsidR="00681820">
        <w:rPr>
          <w:rFonts w:ascii="微軟正黑體" w:eastAsia="微軟正黑體" w:hAnsi="微軟正黑體" w:hint="eastAsia"/>
          <w:kern w:val="0"/>
        </w:rPr>
        <w:t>及</w:t>
      </w:r>
      <w:r w:rsidR="00681820" w:rsidRPr="00922C17">
        <w:rPr>
          <w:rFonts w:ascii="微軟正黑體" w:eastAsia="微軟正黑體" w:hAnsi="微軟正黑體" w:hint="eastAsia"/>
          <w:kern w:val="0"/>
        </w:rPr>
        <w:t>世代互助，最後才有可能達到永續發展的目標。</w:t>
      </w:r>
    </w:p>
    <w:p w:rsidR="00681820" w:rsidRPr="00E26191" w:rsidRDefault="00681820" w:rsidP="00681820">
      <w:pPr>
        <w:spacing w:afterLines="50" w:after="180" w:line="400" w:lineRule="exact"/>
        <w:jc w:val="center"/>
        <w:rPr>
          <w:rFonts w:ascii="微軟正黑體" w:eastAsia="微軟正黑體" w:hAnsi="微軟正黑體"/>
          <w:b/>
          <w:sz w:val="32"/>
          <w:szCs w:val="32"/>
        </w:rPr>
      </w:pPr>
      <w:r w:rsidRPr="00751BFC">
        <w:rPr>
          <w:rFonts w:ascii="微軟正黑體" w:eastAsia="微軟正黑體" w:hAnsi="微軟正黑體" w:hint="eastAsia"/>
          <w:b/>
          <w:sz w:val="32"/>
          <w:szCs w:val="32"/>
        </w:rPr>
        <w:lastRenderedPageBreak/>
        <w:t>壹、經濟全球化與少子女高齡化的雙重挑</w:t>
      </w:r>
      <w:r w:rsidRPr="00B53ABC">
        <w:rPr>
          <w:rFonts w:ascii="微軟正黑體" w:eastAsia="微軟正黑體" w:hAnsi="微軟正黑體" w:hint="eastAsia"/>
          <w:b/>
          <w:sz w:val="32"/>
          <w:szCs w:val="32"/>
        </w:rPr>
        <w:t>戰</w:t>
      </w:r>
    </w:p>
    <w:p w:rsidR="00681820" w:rsidRPr="00F4475C" w:rsidRDefault="00681820" w:rsidP="00681820">
      <w:pPr>
        <w:autoSpaceDE w:val="0"/>
        <w:autoSpaceDN w:val="0"/>
        <w:adjustRightInd w:val="0"/>
        <w:spacing w:beforeLines="100" w:before="360" w:line="400" w:lineRule="exact"/>
        <w:jc w:val="both"/>
        <w:rPr>
          <w:rFonts w:ascii="微軟正黑體" w:eastAsia="微軟正黑體" w:hAnsi="微軟正黑體"/>
        </w:rPr>
      </w:pPr>
      <w:r w:rsidRPr="00E26191">
        <w:rPr>
          <w:rFonts w:ascii="微軟正黑體" w:eastAsia="微軟正黑體" w:hAnsi="微軟正黑體"/>
        </w:rPr>
        <w:t xml:space="preserve">    </w:t>
      </w:r>
      <w:r w:rsidRPr="001873F7">
        <w:rPr>
          <w:rFonts w:ascii="微軟正黑體" w:eastAsia="微軟正黑體" w:hAnsi="微軟正黑體" w:hint="eastAsia"/>
        </w:rPr>
        <w:t>經濟全球化與少子女高齡化，在過去三十年間，正從各方面衝擊</w:t>
      </w:r>
      <w:r>
        <w:rPr>
          <w:rFonts w:ascii="微軟正黑體" w:eastAsia="微軟正黑體" w:hAnsi="微軟正黑體" w:hint="eastAsia"/>
        </w:rPr>
        <w:t>著</w:t>
      </w:r>
      <w:r w:rsidRPr="001873F7">
        <w:rPr>
          <w:rFonts w:ascii="微軟正黑體" w:eastAsia="微軟正黑體" w:hAnsi="微軟正黑體" w:hint="eastAsia"/>
        </w:rPr>
        <w:t>台灣。如果我們未能更全面正視，台灣雖是全球第21大經濟體，第15大出口經濟體，在瑞士洛桑管理學院的世界競爭力報告，台灣甚至進入第</w:t>
      </w:r>
      <w:r>
        <w:rPr>
          <w:rFonts w:ascii="微軟正黑體" w:eastAsia="微軟正黑體" w:hAnsi="微軟正黑體" w:hint="eastAsia"/>
        </w:rPr>
        <w:t>8</w:t>
      </w:r>
      <w:r w:rsidRPr="001873F7">
        <w:rPr>
          <w:rFonts w:ascii="微軟正黑體" w:eastAsia="微軟正黑體" w:hAnsi="微軟正黑體" w:hint="eastAsia"/>
        </w:rPr>
        <w:t>名(國發會 2021:17)。從2019年到2021年，台灣的經濟重返亞洲四小龍之首；但是在這些表面光鮮亮麗的經濟發展背後所付出的社會代價，卻是驚人的，而且大家正一起承擔這些集體不良社會後果</w:t>
      </w:r>
      <w:r>
        <w:rPr>
          <w:rFonts w:ascii="微軟正黑體" w:eastAsia="微軟正黑體" w:hAnsi="微軟正黑體" w:hint="eastAsia"/>
        </w:rPr>
        <w:t>，我們的確應再次省思與檢視經濟發展的結果是否創造與增進大多數人民的幸福。</w:t>
      </w:r>
    </w:p>
    <w:p w:rsidR="00681820" w:rsidRPr="001873F7" w:rsidRDefault="00681820" w:rsidP="0068182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t xml:space="preserve">    首先，台灣目前</w:t>
      </w:r>
      <w:r w:rsidRPr="001873F7">
        <w:rPr>
          <w:rFonts w:ascii="微軟正黑體" w:eastAsia="微軟正黑體" w:hAnsi="微軟正黑體" w:hint="eastAsia"/>
        </w:rPr>
        <w:t>全年總工時仍是</w:t>
      </w:r>
      <w:r>
        <w:rPr>
          <w:rFonts w:ascii="微軟正黑體" w:eastAsia="微軟正黑體" w:hAnsi="微軟正黑體" w:hint="eastAsia"/>
        </w:rPr>
        <w:t>全世界</w:t>
      </w:r>
      <w:r w:rsidRPr="001873F7">
        <w:rPr>
          <w:rFonts w:ascii="微軟正黑體" w:eastAsia="微軟正黑體" w:hAnsi="微軟正黑體" w:hint="eastAsia"/>
        </w:rPr>
        <w:t>最長的第</w:t>
      </w:r>
      <w:r>
        <w:rPr>
          <w:rFonts w:ascii="微軟正黑體" w:eastAsia="微軟正黑體" w:hAnsi="微軟正黑體" w:hint="eastAsia"/>
        </w:rPr>
        <w:t>4</w:t>
      </w:r>
      <w:r w:rsidRPr="001873F7">
        <w:rPr>
          <w:rFonts w:ascii="微軟正黑體" w:eastAsia="微軟正黑體" w:hAnsi="微軟正黑體" w:hint="eastAsia"/>
        </w:rPr>
        <w:t>名，</w:t>
      </w:r>
      <w:r>
        <w:rPr>
          <w:rFonts w:ascii="微軟正黑體" w:eastAsia="微軟正黑體" w:hAnsi="微軟正黑體" w:hint="eastAsia"/>
        </w:rPr>
        <w:t>全年總工時約為2</w:t>
      </w:r>
      <w:r>
        <w:rPr>
          <w:rFonts w:ascii="微軟正黑體" w:eastAsia="微軟正黑體" w:hAnsi="微軟正黑體"/>
        </w:rPr>
        <w:t>,</w:t>
      </w:r>
      <w:r>
        <w:rPr>
          <w:rFonts w:ascii="微軟正黑體" w:eastAsia="微軟正黑體" w:hAnsi="微軟正黑體" w:hint="eastAsia"/>
        </w:rPr>
        <w:t>021小時，韓國約為1</w:t>
      </w:r>
      <w:r>
        <w:rPr>
          <w:rFonts w:ascii="微軟正黑體" w:eastAsia="微軟正黑體" w:hAnsi="微軟正黑體"/>
        </w:rPr>
        <w:t>,</w:t>
      </w:r>
      <w:r>
        <w:rPr>
          <w:rFonts w:ascii="微軟正黑體" w:eastAsia="微軟正黑體" w:hAnsi="微軟正黑體" w:hint="eastAsia"/>
        </w:rPr>
        <w:t>908小時，排名第6名</w:t>
      </w:r>
      <w:r w:rsidRPr="001873F7">
        <w:rPr>
          <w:rFonts w:ascii="微軟正黑體" w:eastAsia="微軟正黑體" w:hAnsi="微軟正黑體" w:hint="eastAsia"/>
        </w:rPr>
        <w:t>(勞動部國際勞動統計 20</w:t>
      </w:r>
      <w:r>
        <w:rPr>
          <w:rFonts w:ascii="微軟正黑體" w:eastAsia="微軟正黑體" w:hAnsi="微軟正黑體" w:hint="eastAsia"/>
        </w:rPr>
        <w:t>20</w:t>
      </w:r>
      <w:r w:rsidRPr="001873F7">
        <w:rPr>
          <w:rFonts w:ascii="微軟正黑體" w:eastAsia="微軟正黑體" w:hAnsi="微軟正黑體" w:hint="eastAsia"/>
        </w:rPr>
        <w:t>:9</w:t>
      </w:r>
      <w:r>
        <w:rPr>
          <w:rFonts w:ascii="微軟正黑體" w:eastAsia="微軟正黑體" w:hAnsi="微軟正黑體" w:hint="eastAsia"/>
        </w:rPr>
        <w:t>4</w:t>
      </w:r>
      <w:r w:rsidRPr="001873F7">
        <w:rPr>
          <w:rFonts w:ascii="微軟正黑體" w:eastAsia="微軟正黑體" w:hAnsi="微軟正黑體" w:hint="eastAsia"/>
        </w:rPr>
        <w:t>)，製造業勞動者每小時</w:t>
      </w:r>
      <w:r>
        <w:rPr>
          <w:rFonts w:ascii="微軟正黑體" w:eastAsia="微軟正黑體" w:hAnsi="微軟正黑體" w:hint="eastAsia"/>
        </w:rPr>
        <w:t>勞動</w:t>
      </w:r>
      <w:r w:rsidRPr="001873F7">
        <w:rPr>
          <w:rFonts w:ascii="微軟正黑體" w:eastAsia="微軟正黑體" w:hAnsi="微軟正黑體" w:hint="eastAsia"/>
        </w:rPr>
        <w:t>報酬</w:t>
      </w:r>
      <w:r>
        <w:rPr>
          <w:rFonts w:ascii="微軟正黑體" w:eastAsia="微軟正黑體" w:hAnsi="微軟正黑體" w:hint="eastAsia"/>
        </w:rPr>
        <w:t>成本</w:t>
      </w:r>
      <w:r w:rsidRPr="001873F7">
        <w:rPr>
          <w:rFonts w:ascii="微軟正黑體" w:eastAsia="微軟正黑體" w:hAnsi="微軟正黑體" w:hint="eastAsia"/>
        </w:rPr>
        <w:t>僅有9.8美元(包含直接工資、社會保險支出、勞工相關稅賦)，韓國為23</w:t>
      </w:r>
      <w:r>
        <w:rPr>
          <w:rFonts w:ascii="微軟正黑體" w:eastAsia="微軟正黑體" w:hAnsi="微軟正黑體"/>
        </w:rPr>
        <w:t>.</w:t>
      </w:r>
      <w:r>
        <w:rPr>
          <w:rFonts w:ascii="微軟正黑體" w:eastAsia="微軟正黑體" w:hAnsi="微軟正黑體" w:hint="eastAsia"/>
        </w:rPr>
        <w:t>0</w:t>
      </w:r>
      <w:r w:rsidRPr="001873F7">
        <w:rPr>
          <w:rFonts w:ascii="微軟正黑體" w:eastAsia="微軟正黑體" w:hAnsi="微軟正黑體" w:hint="eastAsia"/>
        </w:rPr>
        <w:t>美元、日本為26.5美元、</w:t>
      </w:r>
      <w:r>
        <w:rPr>
          <w:rFonts w:ascii="微軟正黑體" w:eastAsia="微軟正黑體" w:hAnsi="微軟正黑體" w:hint="eastAsia"/>
        </w:rPr>
        <w:t>英國為2</w:t>
      </w:r>
      <w:r>
        <w:rPr>
          <w:rFonts w:ascii="微軟正黑體" w:eastAsia="微軟正黑體" w:hAnsi="微軟正黑體"/>
        </w:rPr>
        <w:t>8.4</w:t>
      </w:r>
      <w:r>
        <w:rPr>
          <w:rFonts w:ascii="微軟正黑體" w:eastAsia="微軟正黑體" w:hAnsi="微軟正黑體" w:hint="eastAsia"/>
        </w:rPr>
        <w:t>美元、</w:t>
      </w:r>
      <w:r w:rsidRPr="001873F7">
        <w:rPr>
          <w:rFonts w:ascii="微軟正黑體" w:eastAsia="微軟正黑體" w:hAnsi="微軟正黑體" w:hint="eastAsia"/>
        </w:rPr>
        <w:t>美國為39美元、德國為43.2</w:t>
      </w:r>
      <w:r>
        <w:rPr>
          <w:rFonts w:ascii="微軟正黑體" w:eastAsia="微軟正黑體" w:hAnsi="微軟正黑體" w:hint="eastAsia"/>
        </w:rPr>
        <w:t>美元(</w:t>
      </w:r>
      <w:r w:rsidRPr="001873F7">
        <w:rPr>
          <w:rFonts w:ascii="微軟正黑體" w:eastAsia="微軟正黑體" w:hAnsi="微軟正黑體" w:hint="eastAsia"/>
        </w:rPr>
        <w:t>勞動部國際勞動統計</w:t>
      </w:r>
      <w:r>
        <w:rPr>
          <w:rFonts w:ascii="微軟正黑體" w:eastAsia="微軟正黑體" w:hAnsi="微軟正黑體" w:hint="eastAsia"/>
        </w:rPr>
        <w:t xml:space="preserve"> </w:t>
      </w:r>
      <w:r w:rsidRPr="001873F7">
        <w:rPr>
          <w:rFonts w:ascii="微軟正黑體" w:eastAsia="微軟正黑體" w:hAnsi="微軟正黑體" w:hint="eastAsia"/>
        </w:rPr>
        <w:t>2019:99</w:t>
      </w:r>
      <w:r>
        <w:rPr>
          <w:rFonts w:ascii="微軟正黑體" w:eastAsia="微軟正黑體" w:hAnsi="微軟正黑體" w:hint="eastAsia"/>
        </w:rPr>
        <w:t>)</w:t>
      </w:r>
      <w:r w:rsidRPr="001873F7">
        <w:rPr>
          <w:rFonts w:ascii="微軟正黑體" w:eastAsia="微軟正黑體" w:hAnsi="微軟正黑體" w:hint="eastAsia"/>
        </w:rPr>
        <w:t>。勞動報酬</w:t>
      </w:r>
      <w:r>
        <w:rPr>
          <w:rFonts w:ascii="微軟正黑體" w:eastAsia="微軟正黑體" w:hAnsi="微軟正黑體" w:hint="eastAsia"/>
        </w:rPr>
        <w:t>占</w:t>
      </w:r>
      <w:r w:rsidRPr="001873F7">
        <w:rPr>
          <w:rFonts w:ascii="微軟正黑體" w:eastAsia="微軟正黑體" w:hAnsi="微軟正黑體" w:hint="eastAsia"/>
        </w:rPr>
        <w:t>國內生產毛額GDP的比重也從1990年的51.71%下降至2020年的46.03%</w:t>
      </w:r>
      <w:r w:rsidRPr="00BB2EB3">
        <w:rPr>
          <w:rFonts w:ascii="微軟正黑體" w:eastAsia="微軟正黑體" w:hAnsi="微軟正黑體" w:hint="eastAsia"/>
          <w:color w:val="000000" w:themeColor="text1"/>
        </w:rPr>
        <w:t>(行政院主計總處</w:t>
      </w:r>
      <w:r w:rsidRPr="00BB2EB3">
        <w:rPr>
          <w:rFonts w:ascii="微軟正黑體" w:eastAsia="微軟正黑體" w:hAnsi="微軟正黑體" w:hint="eastAsia"/>
        </w:rPr>
        <w:t xml:space="preserve">國民所得統計摘要 </w:t>
      </w:r>
      <w:r w:rsidRPr="001873F7">
        <w:rPr>
          <w:rFonts w:ascii="微軟正黑體" w:eastAsia="微軟正黑體" w:hAnsi="微軟正黑體" w:hint="eastAsia"/>
        </w:rPr>
        <w:t>2020:23)。台灣接單海外生產的比重，</w:t>
      </w:r>
      <w:r>
        <w:rPr>
          <w:rFonts w:ascii="微軟正黑體" w:eastAsia="微軟正黑體" w:hAnsi="微軟正黑體" w:hint="eastAsia"/>
        </w:rPr>
        <w:t>卻</w:t>
      </w:r>
      <w:r w:rsidRPr="001873F7">
        <w:rPr>
          <w:rFonts w:ascii="微軟正黑體" w:eastAsia="微軟正黑體" w:hAnsi="微軟正黑體" w:hint="eastAsia"/>
        </w:rPr>
        <w:t>從1999年的12.24%，上升到2020年的54%，台灣引以為傲的資訊通信產品，更是超過90%</w:t>
      </w:r>
      <w:r>
        <w:rPr>
          <w:rFonts w:ascii="微軟正黑體" w:eastAsia="微軟正黑體" w:hAnsi="微軟正黑體" w:hint="eastAsia"/>
        </w:rPr>
        <w:t>以上在海外生產(</w:t>
      </w:r>
      <w:r w:rsidRPr="001873F7">
        <w:rPr>
          <w:rFonts w:ascii="微軟正黑體" w:eastAsia="微軟正黑體" w:hAnsi="微軟正黑體" w:hint="eastAsia"/>
        </w:rPr>
        <w:t>國發會重要統計資料手冊 2021:38</w:t>
      </w:r>
      <w:r>
        <w:rPr>
          <w:rFonts w:ascii="微軟正黑體" w:eastAsia="微軟正黑體" w:hAnsi="微軟正黑體" w:hint="eastAsia"/>
        </w:rPr>
        <w:t>)</w:t>
      </w:r>
      <w:r w:rsidRPr="001873F7">
        <w:rPr>
          <w:rFonts w:ascii="微軟正黑體" w:eastAsia="微軟正黑體" w:hAnsi="微軟正黑體" w:hint="eastAsia"/>
        </w:rPr>
        <w:t>，「台灣接單，海外生產」模式對於台灣將</w:t>
      </w:r>
      <w:r>
        <w:rPr>
          <w:rFonts w:ascii="微軟正黑體" w:eastAsia="微軟正黑體" w:hAnsi="微軟正黑體" w:hint="eastAsia"/>
        </w:rPr>
        <w:t>損及</w:t>
      </w:r>
      <w:r w:rsidRPr="001873F7">
        <w:rPr>
          <w:rFonts w:ascii="微軟正黑體" w:eastAsia="微軟正黑體" w:hAnsi="微軟正黑體" w:hint="eastAsia"/>
        </w:rPr>
        <w:t>技術優勢、跨國勞工替代</w:t>
      </w:r>
      <w:r>
        <w:rPr>
          <w:rFonts w:ascii="微軟正黑體" w:eastAsia="微軟正黑體" w:hAnsi="微軟正黑體" w:hint="eastAsia"/>
        </w:rPr>
        <w:t>，亦將</w:t>
      </w:r>
      <w:r w:rsidRPr="001873F7">
        <w:rPr>
          <w:rFonts w:ascii="微軟正黑體" w:eastAsia="微軟正黑體" w:hAnsi="微軟正黑體" w:hint="eastAsia"/>
        </w:rPr>
        <w:t>導致本國失業率上升與薪資下滑，進而造成所得差距擴大等社會代價(林向愷 2015)。</w:t>
      </w:r>
    </w:p>
    <w:p w:rsidR="00681820" w:rsidRPr="00BB2EB3" w:rsidRDefault="00681820" w:rsidP="0068182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t xml:space="preserve">    </w:t>
      </w:r>
      <w:r w:rsidRPr="001873F7">
        <w:rPr>
          <w:rFonts w:ascii="微軟正黑體" w:eastAsia="微軟正黑體" w:hAnsi="微軟正黑體" w:hint="eastAsia"/>
        </w:rPr>
        <w:t>台灣經濟成長領航的電子及半導體產業等相關受益就業人數大約不到100萬人(製造業總人口數為301萬人)，服務業總就業人數為680萬人</w:t>
      </w:r>
      <w:r>
        <w:rPr>
          <w:rFonts w:ascii="微軟正黑體" w:eastAsia="微軟正黑體" w:hAnsi="微軟正黑體" w:hint="eastAsia"/>
        </w:rPr>
        <w:t>，代工及出口為主的製造業以全球競爭為由調薪有限，低薪低物價卻對本國服務業產業發展與升級不利。</w:t>
      </w:r>
      <w:r w:rsidRPr="001873F7">
        <w:rPr>
          <w:rFonts w:ascii="微軟正黑體" w:eastAsia="微軟正黑體" w:hAnsi="微軟正黑體" w:hint="eastAsia"/>
        </w:rPr>
        <w:t>台灣的外籍勞工人數從2009年的35萬1千人，</w:t>
      </w:r>
      <w:r>
        <w:rPr>
          <w:rFonts w:ascii="微軟正黑體" w:eastAsia="微軟正黑體" w:hAnsi="微軟正黑體" w:hint="eastAsia"/>
        </w:rPr>
        <w:t>目前已增加一倍以上，2020</w:t>
      </w:r>
      <w:r w:rsidRPr="001873F7">
        <w:rPr>
          <w:rFonts w:ascii="微軟正黑體" w:eastAsia="微軟正黑體" w:hAnsi="微軟正黑體" w:hint="eastAsia"/>
        </w:rPr>
        <w:t>年</w:t>
      </w:r>
      <w:r>
        <w:rPr>
          <w:rFonts w:ascii="微軟正黑體" w:eastAsia="微軟正黑體" w:hAnsi="微軟正黑體" w:hint="eastAsia"/>
        </w:rPr>
        <w:t>為</w:t>
      </w:r>
      <w:r w:rsidRPr="001873F7">
        <w:rPr>
          <w:rFonts w:ascii="微軟正黑體" w:eastAsia="微軟正黑體" w:hAnsi="微軟正黑體" w:hint="eastAsia"/>
        </w:rPr>
        <w:t>7</w:t>
      </w:r>
      <w:r>
        <w:rPr>
          <w:rFonts w:ascii="微軟正黑體" w:eastAsia="微軟正黑體" w:hAnsi="微軟正黑體" w:hint="eastAsia"/>
        </w:rPr>
        <w:t>0</w:t>
      </w:r>
      <w:r w:rsidRPr="001873F7">
        <w:rPr>
          <w:rFonts w:ascii="微軟正黑體" w:eastAsia="微軟正黑體" w:hAnsi="微軟正黑體" w:hint="eastAsia"/>
        </w:rPr>
        <w:t>萬</w:t>
      </w:r>
      <w:r>
        <w:rPr>
          <w:rFonts w:ascii="微軟正黑體" w:eastAsia="微軟正黑體" w:hAnsi="微軟正黑體" w:hint="eastAsia"/>
        </w:rPr>
        <w:t>9</w:t>
      </w:r>
      <w:r w:rsidRPr="001873F7">
        <w:rPr>
          <w:rFonts w:ascii="微軟正黑體" w:eastAsia="微軟正黑體" w:hAnsi="微軟正黑體" w:hint="eastAsia"/>
        </w:rPr>
        <w:t>千人，</w:t>
      </w:r>
      <w:r>
        <w:rPr>
          <w:rFonts w:ascii="微軟正黑體" w:eastAsia="微軟正黑體" w:hAnsi="微軟正黑體" w:hint="eastAsia"/>
        </w:rPr>
        <w:t>占</w:t>
      </w:r>
      <w:r w:rsidRPr="001873F7">
        <w:rPr>
          <w:rFonts w:ascii="微軟正黑體" w:eastAsia="微軟正黑體" w:hAnsi="微軟正黑體" w:hint="eastAsia"/>
        </w:rPr>
        <w:t>本國勞動力的比率已來到</w:t>
      </w:r>
      <w:r>
        <w:rPr>
          <w:rFonts w:ascii="微軟正黑體" w:eastAsia="微軟正黑體" w:hAnsi="微軟正黑體" w:hint="eastAsia"/>
        </w:rPr>
        <w:t>5</w:t>
      </w:r>
      <w:r>
        <w:rPr>
          <w:rFonts w:ascii="微軟正黑體" w:eastAsia="微軟正黑體" w:hAnsi="微軟正黑體"/>
        </w:rPr>
        <w:t>.</w:t>
      </w:r>
      <w:r>
        <w:rPr>
          <w:rFonts w:ascii="微軟正黑體" w:eastAsia="微軟正黑體" w:hAnsi="微軟正黑體" w:hint="eastAsia"/>
        </w:rPr>
        <w:t>9</w:t>
      </w:r>
      <w:r w:rsidRPr="001873F7">
        <w:rPr>
          <w:rFonts w:ascii="微軟正黑體" w:eastAsia="微軟正黑體" w:hAnsi="微軟正黑體" w:hint="eastAsia"/>
        </w:rPr>
        <w:t>%，日本</w:t>
      </w:r>
      <w:r>
        <w:rPr>
          <w:rFonts w:ascii="微軟正黑體" w:eastAsia="微軟正黑體" w:hAnsi="微軟正黑體" w:hint="eastAsia"/>
        </w:rPr>
        <w:t>為2</w:t>
      </w:r>
      <w:r>
        <w:rPr>
          <w:rFonts w:ascii="微軟正黑體" w:eastAsia="微軟正黑體" w:hAnsi="微軟正黑體"/>
        </w:rPr>
        <w:t>.</w:t>
      </w:r>
      <w:r>
        <w:rPr>
          <w:rFonts w:ascii="微軟正黑體" w:eastAsia="微軟正黑體" w:hAnsi="微軟正黑體" w:hint="eastAsia"/>
        </w:rPr>
        <w:t>5</w:t>
      </w:r>
      <w:r>
        <w:rPr>
          <w:rFonts w:ascii="微軟正黑體" w:eastAsia="微軟正黑體" w:hAnsi="微軟正黑體"/>
        </w:rPr>
        <w:t>%</w:t>
      </w:r>
      <w:r>
        <w:rPr>
          <w:rFonts w:ascii="微軟正黑體" w:eastAsia="微軟正黑體" w:hAnsi="微軟正黑體" w:hint="eastAsia"/>
        </w:rPr>
        <w:t>，</w:t>
      </w:r>
      <w:r w:rsidRPr="001873F7">
        <w:rPr>
          <w:rFonts w:ascii="微軟正黑體" w:eastAsia="微軟正黑體" w:hAnsi="微軟正黑體" w:hint="eastAsia"/>
        </w:rPr>
        <w:t>韓國</w:t>
      </w:r>
      <w:r>
        <w:rPr>
          <w:rFonts w:ascii="微軟正黑體" w:eastAsia="微軟正黑體" w:hAnsi="微軟正黑體" w:hint="eastAsia"/>
        </w:rPr>
        <w:t>為1.9%</w:t>
      </w:r>
      <w:r>
        <w:rPr>
          <w:rFonts w:ascii="微軟正黑體" w:eastAsia="微軟正黑體" w:hAnsi="微軟正黑體"/>
        </w:rPr>
        <w:t>(</w:t>
      </w:r>
      <w:r>
        <w:rPr>
          <w:rFonts w:ascii="微軟正黑體" w:eastAsia="微軟正黑體" w:hAnsi="微軟正黑體" w:hint="eastAsia"/>
        </w:rPr>
        <w:t>2017年)(</w:t>
      </w:r>
      <w:r w:rsidRPr="001873F7">
        <w:rPr>
          <w:rFonts w:ascii="微軟正黑體" w:eastAsia="微軟正黑體" w:hAnsi="微軟正黑體" w:hint="eastAsia"/>
        </w:rPr>
        <w:t>勞動部國際勞動統計 20</w:t>
      </w:r>
      <w:r>
        <w:rPr>
          <w:rFonts w:ascii="微軟正黑體" w:eastAsia="微軟正黑體" w:hAnsi="微軟正黑體" w:hint="eastAsia"/>
        </w:rPr>
        <w:t>20</w:t>
      </w:r>
      <w:r w:rsidRPr="001873F7">
        <w:rPr>
          <w:rFonts w:ascii="微軟正黑體" w:eastAsia="微軟正黑體" w:hAnsi="微軟正黑體" w:hint="eastAsia"/>
        </w:rPr>
        <w:t>:</w:t>
      </w:r>
      <w:r>
        <w:rPr>
          <w:rFonts w:ascii="微軟正黑體" w:eastAsia="微軟正黑體" w:hAnsi="微軟正黑體" w:hint="eastAsia"/>
        </w:rPr>
        <w:t>65</w:t>
      </w:r>
      <w:r w:rsidRPr="001873F7">
        <w:rPr>
          <w:rFonts w:ascii="微軟正黑體" w:eastAsia="微軟正黑體" w:hAnsi="微軟正黑體" w:hint="eastAsia"/>
        </w:rPr>
        <w:t>)。</w:t>
      </w:r>
      <w:r w:rsidRPr="00BB2EB3">
        <w:rPr>
          <w:rFonts w:ascii="微軟正黑體" w:eastAsia="微軟正黑體" w:hAnsi="微軟正黑體" w:hint="eastAsia"/>
        </w:rPr>
        <w:t>台灣每戶五分位所得差距，在1980年時為4.17倍，但在1990年擴大為5.18倍，2001年達到6.39倍，之後的二十年幾乎都維持在6倍</w:t>
      </w:r>
      <w:r>
        <w:rPr>
          <w:rFonts w:ascii="微軟正黑體" w:eastAsia="微軟正黑體" w:hAnsi="微軟正黑體" w:hint="eastAsia"/>
        </w:rPr>
        <w:t>左右</w:t>
      </w:r>
      <w:r w:rsidRPr="00BB2EB3">
        <w:rPr>
          <w:rFonts w:ascii="微軟正黑體" w:eastAsia="微軟正黑體" w:hAnsi="微軟正黑體" w:hint="eastAsia"/>
        </w:rPr>
        <w:t>，2020年為6.13倍(主計總處 2021)。</w:t>
      </w:r>
    </w:p>
    <w:p w:rsidR="00681820" w:rsidRPr="007B13DE" w:rsidRDefault="00681820" w:rsidP="00681820">
      <w:pPr>
        <w:pStyle w:val="af8"/>
        <w:spacing w:afterLines="30" w:after="108" w:line="400" w:lineRule="exact"/>
        <w:rPr>
          <w:rFonts w:ascii="微軟正黑體" w:eastAsia="微軟正黑體" w:hAnsi="微軟正黑體"/>
          <w:kern w:val="0"/>
          <w:sz w:val="24"/>
          <w:szCs w:val="24"/>
        </w:rPr>
      </w:pPr>
    </w:p>
    <w:p w:rsidR="00681820" w:rsidRDefault="00681820" w:rsidP="00681820">
      <w:pPr>
        <w:pStyle w:val="af8"/>
        <w:spacing w:afterLines="30" w:after="108" w:line="400" w:lineRule="exact"/>
        <w:rPr>
          <w:rFonts w:ascii="微軟正黑體" w:eastAsia="微軟正黑體" w:hAnsi="微軟正黑體"/>
          <w:kern w:val="0"/>
          <w:sz w:val="24"/>
          <w:szCs w:val="24"/>
        </w:rPr>
      </w:pPr>
    </w:p>
    <w:p w:rsidR="00681820" w:rsidRDefault="00681820" w:rsidP="00681820">
      <w:pPr>
        <w:pStyle w:val="af8"/>
        <w:spacing w:afterLines="30" w:after="108" w:line="400" w:lineRule="exact"/>
        <w:rPr>
          <w:rFonts w:ascii="微軟正黑體" w:eastAsia="微軟正黑體" w:hAnsi="微軟正黑體"/>
          <w:kern w:val="0"/>
          <w:sz w:val="24"/>
          <w:szCs w:val="24"/>
        </w:rPr>
      </w:pPr>
    </w:p>
    <w:p w:rsidR="00681820" w:rsidRDefault="00681820" w:rsidP="00681820">
      <w:pPr>
        <w:pStyle w:val="af8"/>
        <w:spacing w:line="400" w:lineRule="atLeast"/>
        <w:rPr>
          <w:rFonts w:ascii="微軟正黑體" w:eastAsia="微軟正黑體" w:hAnsi="微軟正黑體"/>
          <w:kern w:val="0"/>
          <w:sz w:val="24"/>
          <w:szCs w:val="24"/>
        </w:rPr>
      </w:pPr>
    </w:p>
    <w:p w:rsidR="00681820" w:rsidRDefault="00681820" w:rsidP="00681820">
      <w:pPr>
        <w:pStyle w:val="af8"/>
        <w:spacing w:line="400" w:lineRule="atLeast"/>
        <w:rPr>
          <w:rFonts w:ascii="微軟正黑體" w:eastAsia="微軟正黑體" w:hAnsi="微軟正黑體"/>
          <w:kern w:val="0"/>
          <w:sz w:val="24"/>
          <w:szCs w:val="24"/>
        </w:rPr>
      </w:pPr>
    </w:p>
    <w:p w:rsidR="00681820" w:rsidRPr="005F6EDA" w:rsidRDefault="00681820" w:rsidP="00681820">
      <w:pPr>
        <w:spacing w:line="400" w:lineRule="atLeast"/>
      </w:pPr>
    </w:p>
    <w:p w:rsidR="00681820" w:rsidRPr="00A027F2" w:rsidRDefault="00681820" w:rsidP="00681820">
      <w:pPr>
        <w:pStyle w:val="af8"/>
        <w:spacing w:afterLines="30" w:after="108" w:line="400" w:lineRule="exact"/>
        <w:jc w:val="center"/>
        <w:rPr>
          <w:rFonts w:ascii="微軟正黑體" w:eastAsia="微軟正黑體" w:hAnsi="微軟正黑體"/>
          <w:kern w:val="0"/>
          <w:sz w:val="24"/>
          <w:szCs w:val="24"/>
          <w:lang w:eastAsia="ja-JP"/>
        </w:rPr>
      </w:pPr>
      <w:r>
        <w:rPr>
          <w:rFonts w:ascii="微軟正黑體" w:eastAsia="微軟正黑體" w:hAnsi="微軟正黑體" w:hint="eastAsia"/>
          <w:kern w:val="0"/>
          <w:sz w:val="24"/>
          <w:szCs w:val="24"/>
        </w:rPr>
        <w:lastRenderedPageBreak/>
        <w:t>表</w:t>
      </w:r>
      <w:r w:rsidRPr="00A027F2">
        <w:rPr>
          <w:rFonts w:ascii="微軟正黑體" w:eastAsia="微軟正黑體" w:hAnsi="微軟正黑體"/>
          <w:kern w:val="0"/>
          <w:sz w:val="24"/>
          <w:szCs w:val="24"/>
          <w:lang w:eastAsia="ja-JP"/>
        </w:rPr>
        <w:t xml:space="preserve">1 </w:t>
      </w:r>
      <w:r>
        <w:rPr>
          <w:rFonts w:ascii="微軟正黑體" w:eastAsia="微軟正黑體" w:hAnsi="微軟正黑體" w:hint="eastAsia"/>
          <w:kern w:val="0"/>
          <w:sz w:val="24"/>
          <w:szCs w:val="24"/>
        </w:rPr>
        <w:t xml:space="preserve"> </w:t>
      </w:r>
      <w:r w:rsidRPr="00A027F2">
        <w:rPr>
          <w:rFonts w:ascii="微軟正黑體" w:eastAsia="微軟正黑體" w:hAnsi="微軟正黑體"/>
          <w:kern w:val="0"/>
          <w:sz w:val="24"/>
          <w:szCs w:val="24"/>
          <w:lang w:eastAsia="ja-JP"/>
        </w:rPr>
        <w:t>台灣</w:t>
      </w:r>
      <w:r>
        <w:rPr>
          <w:rFonts w:ascii="微軟正黑體" w:eastAsia="微軟正黑體" w:hAnsi="微軟正黑體"/>
          <w:kern w:val="0"/>
          <w:sz w:val="24"/>
          <w:szCs w:val="24"/>
          <w:lang w:eastAsia="ja-JP"/>
        </w:rPr>
        <w:t>1990-202</w:t>
      </w:r>
      <w:r>
        <w:rPr>
          <w:rFonts w:ascii="微軟正黑體" w:eastAsia="微軟正黑體" w:hAnsi="微軟正黑體" w:hint="eastAsia"/>
          <w:kern w:val="0"/>
          <w:sz w:val="24"/>
          <w:szCs w:val="24"/>
        </w:rPr>
        <w:t>0</w:t>
      </w:r>
      <w:r w:rsidRPr="00BB2EB3">
        <w:rPr>
          <w:rFonts w:ascii="微軟正黑體" w:eastAsia="微軟正黑體" w:hAnsi="微軟正黑體" w:hint="eastAsia"/>
          <w:kern w:val="0"/>
          <w:sz w:val="24"/>
          <w:szCs w:val="24"/>
        </w:rPr>
        <w:t>年</w:t>
      </w:r>
      <w:r w:rsidRPr="00A027F2">
        <w:rPr>
          <w:rFonts w:ascii="微軟正黑體" w:eastAsia="微軟正黑體" w:hAnsi="微軟正黑體"/>
          <w:kern w:val="0"/>
          <w:sz w:val="24"/>
          <w:szCs w:val="24"/>
          <w:lang w:eastAsia="ja-JP"/>
        </w:rPr>
        <w:t>全球化、高齡化與就業及社會保障</w:t>
      </w:r>
    </w:p>
    <w:tbl>
      <w:tblPr>
        <w:tblStyle w:val="a5"/>
        <w:tblW w:w="9783" w:type="dxa"/>
        <w:jc w:val="center"/>
        <w:tblLayout w:type="fixed"/>
        <w:tblLook w:val="04A0" w:firstRow="1" w:lastRow="0" w:firstColumn="1" w:lastColumn="0" w:noHBand="0" w:noVBand="1"/>
      </w:tblPr>
      <w:tblGrid>
        <w:gridCol w:w="713"/>
        <w:gridCol w:w="794"/>
        <w:gridCol w:w="679"/>
        <w:gridCol w:w="678"/>
        <w:gridCol w:w="680"/>
        <w:gridCol w:w="680"/>
        <w:gridCol w:w="680"/>
        <w:gridCol w:w="794"/>
        <w:gridCol w:w="680"/>
        <w:gridCol w:w="680"/>
        <w:gridCol w:w="680"/>
        <w:gridCol w:w="680"/>
        <w:gridCol w:w="680"/>
        <w:gridCol w:w="685"/>
      </w:tblGrid>
      <w:tr w:rsidR="00681820" w:rsidRPr="00A027F2" w:rsidTr="00681820">
        <w:trPr>
          <w:trHeight w:val="620"/>
          <w:tblHeader/>
          <w:jc w:val="center"/>
        </w:trPr>
        <w:tc>
          <w:tcPr>
            <w:tcW w:w="713" w:type="dxa"/>
            <w:vMerge w:val="restart"/>
            <w:shd w:val="clear" w:color="auto" w:fill="8064A2" w:themeFill="accent4"/>
            <w:vAlign w:val="center"/>
          </w:tcPr>
          <w:p w:rsidR="00681820" w:rsidRPr="00D37CEE" w:rsidRDefault="00681820" w:rsidP="00681820">
            <w:pPr>
              <w:spacing w:line="400" w:lineRule="exact"/>
              <w:ind w:rightChars="-42" w:right="-101"/>
              <w:jc w:val="both"/>
              <w:rPr>
                <w:rFonts w:ascii="微軟正黑體" w:eastAsia="微軟正黑體" w:hAnsi="微軟正黑體"/>
                <w:b/>
                <w:sz w:val="22"/>
                <w:szCs w:val="22"/>
              </w:rPr>
            </w:pPr>
            <w:r w:rsidRPr="00D37CEE">
              <w:rPr>
                <w:rFonts w:ascii="微軟正黑體" w:eastAsia="微軟正黑體" w:hAnsi="微軟正黑體" w:hint="eastAsia"/>
                <w:b/>
                <w:color w:val="FFFFFF" w:themeColor="background1"/>
                <w:sz w:val="22"/>
                <w:szCs w:val="22"/>
              </w:rPr>
              <w:t>年分</w:t>
            </w:r>
          </w:p>
        </w:tc>
        <w:tc>
          <w:tcPr>
            <w:tcW w:w="2151" w:type="dxa"/>
            <w:gridSpan w:val="3"/>
            <w:shd w:val="clear" w:color="auto" w:fill="8064A2" w:themeFill="accent4"/>
            <w:vAlign w:val="center"/>
          </w:tcPr>
          <w:p w:rsidR="00681820" w:rsidRPr="003529EE" w:rsidRDefault="00681820" w:rsidP="00681820">
            <w:pPr>
              <w:spacing w:line="320" w:lineRule="exact"/>
              <w:ind w:leftChars="-46" w:left="-110" w:rightChars="-55" w:right="-132"/>
              <w:jc w:val="center"/>
              <w:rPr>
                <w:rFonts w:ascii="微軟正黑體" w:eastAsia="微軟正黑體" w:hAnsi="微軟正黑體"/>
                <w:b/>
                <w:color w:val="FFFFFF" w:themeColor="background1"/>
                <w:sz w:val="22"/>
                <w:szCs w:val="22"/>
              </w:rPr>
            </w:pPr>
            <w:r w:rsidRPr="003529EE">
              <w:rPr>
                <w:rFonts w:ascii="微軟正黑體" w:eastAsia="微軟正黑體" w:hAnsi="微軟正黑體" w:hint="eastAsia"/>
                <w:b/>
                <w:color w:val="FFFFFF" w:themeColor="background1"/>
                <w:sz w:val="22"/>
                <w:szCs w:val="22"/>
              </w:rPr>
              <w:t>全球化</w:t>
            </w:r>
          </w:p>
        </w:tc>
        <w:tc>
          <w:tcPr>
            <w:tcW w:w="2834" w:type="dxa"/>
            <w:gridSpan w:val="4"/>
            <w:shd w:val="clear" w:color="auto" w:fill="8064A2" w:themeFill="accent4"/>
            <w:vAlign w:val="center"/>
          </w:tcPr>
          <w:p w:rsidR="00681820" w:rsidRPr="003529EE" w:rsidRDefault="00681820" w:rsidP="00681820">
            <w:pPr>
              <w:spacing w:line="320" w:lineRule="exact"/>
              <w:ind w:leftChars="-50" w:left="-120" w:rightChars="-50" w:right="-120"/>
              <w:jc w:val="center"/>
              <w:rPr>
                <w:rFonts w:ascii="微軟正黑體" w:eastAsia="微軟正黑體" w:hAnsi="微軟正黑體"/>
                <w:b/>
                <w:color w:val="FFFFFF" w:themeColor="background1"/>
                <w:sz w:val="22"/>
                <w:szCs w:val="22"/>
              </w:rPr>
            </w:pPr>
            <w:r w:rsidRPr="003529EE">
              <w:rPr>
                <w:rFonts w:ascii="微軟正黑體" w:eastAsia="微軟正黑體" w:hAnsi="微軟正黑體" w:hint="eastAsia"/>
                <w:b/>
                <w:color w:val="FFFFFF" w:themeColor="background1"/>
                <w:sz w:val="22"/>
                <w:szCs w:val="22"/>
              </w:rPr>
              <w:t>高齡化</w:t>
            </w:r>
          </w:p>
        </w:tc>
        <w:tc>
          <w:tcPr>
            <w:tcW w:w="2040" w:type="dxa"/>
            <w:gridSpan w:val="3"/>
            <w:shd w:val="clear" w:color="auto" w:fill="8064A2" w:themeFill="accent4"/>
            <w:vAlign w:val="center"/>
          </w:tcPr>
          <w:p w:rsidR="00681820" w:rsidRPr="003529EE" w:rsidRDefault="00681820" w:rsidP="00681820">
            <w:pPr>
              <w:spacing w:line="320" w:lineRule="exact"/>
              <w:jc w:val="center"/>
              <w:rPr>
                <w:rFonts w:ascii="微軟正黑體" w:eastAsia="微軟正黑體" w:hAnsi="微軟正黑體"/>
                <w:b/>
                <w:color w:val="FFFFFF" w:themeColor="background1"/>
                <w:sz w:val="22"/>
                <w:szCs w:val="22"/>
              </w:rPr>
            </w:pPr>
            <w:r w:rsidRPr="003529EE">
              <w:rPr>
                <w:rFonts w:ascii="微軟正黑體" w:eastAsia="微軟正黑體" w:hAnsi="微軟正黑體" w:hint="eastAsia"/>
                <w:b/>
                <w:color w:val="FFFFFF" w:themeColor="background1"/>
                <w:sz w:val="22"/>
                <w:szCs w:val="22"/>
              </w:rPr>
              <w:t>就業</w:t>
            </w:r>
          </w:p>
        </w:tc>
        <w:tc>
          <w:tcPr>
            <w:tcW w:w="2045" w:type="dxa"/>
            <w:gridSpan w:val="3"/>
            <w:shd w:val="clear" w:color="auto" w:fill="8064A2" w:themeFill="accent4"/>
            <w:vAlign w:val="center"/>
          </w:tcPr>
          <w:p w:rsidR="00681820" w:rsidRPr="003529EE" w:rsidRDefault="00681820" w:rsidP="00681820">
            <w:pPr>
              <w:spacing w:line="320" w:lineRule="exact"/>
              <w:jc w:val="center"/>
              <w:rPr>
                <w:rFonts w:ascii="微軟正黑體" w:eastAsia="微軟正黑體" w:hAnsi="微軟正黑體"/>
                <w:b/>
                <w:color w:val="FFFFFF" w:themeColor="background1"/>
                <w:sz w:val="22"/>
                <w:szCs w:val="22"/>
              </w:rPr>
            </w:pPr>
            <w:r w:rsidRPr="003529EE">
              <w:rPr>
                <w:rFonts w:ascii="微軟正黑體" w:eastAsia="微軟正黑體" w:hAnsi="微軟正黑體" w:hint="eastAsia"/>
                <w:b/>
                <w:color w:val="FFFFFF" w:themeColor="background1"/>
                <w:sz w:val="22"/>
                <w:szCs w:val="22"/>
              </w:rPr>
              <w:t>社會保障</w:t>
            </w:r>
          </w:p>
        </w:tc>
      </w:tr>
      <w:tr w:rsidR="00681820" w:rsidRPr="00A027F2" w:rsidTr="00CB3328">
        <w:trPr>
          <w:trHeight w:val="3109"/>
          <w:tblHeader/>
          <w:jc w:val="center"/>
        </w:trPr>
        <w:tc>
          <w:tcPr>
            <w:tcW w:w="713" w:type="dxa"/>
            <w:vMerge/>
            <w:shd w:val="clear" w:color="auto" w:fill="8064A2" w:themeFill="accent4"/>
            <w:vAlign w:val="center"/>
          </w:tcPr>
          <w:p w:rsidR="00681820" w:rsidRPr="00A027F2" w:rsidRDefault="00681820" w:rsidP="00681820">
            <w:pPr>
              <w:spacing w:line="400" w:lineRule="exact"/>
              <w:ind w:rightChars="-42" w:right="-101"/>
              <w:jc w:val="both"/>
              <w:rPr>
                <w:rFonts w:ascii="微軟正黑體" w:eastAsia="微軟正黑體" w:hAnsi="微軟正黑體"/>
                <w:sz w:val="22"/>
                <w:szCs w:val="22"/>
              </w:rPr>
            </w:pPr>
          </w:p>
        </w:tc>
        <w:tc>
          <w:tcPr>
            <w:tcW w:w="794" w:type="dxa"/>
            <w:shd w:val="clear" w:color="auto" w:fill="E5DFEC" w:themeFill="accent4" w:themeFillTint="33"/>
          </w:tcPr>
          <w:p w:rsidR="00681820" w:rsidRDefault="00681820" w:rsidP="005A483B">
            <w:pPr>
              <w:spacing w:beforeLines="30" w:before="108" w:line="240" w:lineRule="exact"/>
              <w:ind w:leftChars="-46" w:left="-110" w:rightChars="-55" w:right="-132"/>
              <w:jc w:val="center"/>
              <w:rPr>
                <w:rFonts w:ascii="微軟正黑體" w:eastAsia="微軟正黑體" w:hAnsi="微軟正黑體"/>
                <w:sz w:val="22"/>
                <w:szCs w:val="22"/>
              </w:rPr>
            </w:pPr>
            <w:r>
              <w:rPr>
                <w:rFonts w:ascii="微軟正黑體" w:eastAsia="微軟正黑體" w:hAnsi="微軟正黑體" w:hint="eastAsia"/>
                <w:sz w:val="22"/>
                <w:szCs w:val="22"/>
              </w:rPr>
              <w:t>經</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濟</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成</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長</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率</w:t>
            </w:r>
          </w:p>
          <w:p w:rsidR="00681820" w:rsidRPr="00A027F2" w:rsidRDefault="00681820" w:rsidP="00CB3328">
            <w:pPr>
              <w:spacing w:beforeLines="10" w:before="36" w:line="240" w:lineRule="exact"/>
              <w:ind w:leftChars="-46" w:left="-110" w:rightChars="-55" w:right="-132"/>
              <w:jc w:val="center"/>
              <w:rPr>
                <w:rFonts w:ascii="微軟正黑體" w:eastAsia="微軟正黑體" w:hAnsi="微軟正黑體"/>
                <w:sz w:val="22"/>
                <w:szCs w:val="22"/>
              </w:rPr>
            </w:pPr>
            <w:r>
              <w:rPr>
                <w:rFonts w:ascii="微軟正黑體" w:eastAsia="微軟正黑體" w:hAnsi="微軟正黑體" w:hint="eastAsia"/>
                <w:sz w:val="22"/>
                <w:szCs w:val="22"/>
              </w:rPr>
              <w:t>(</w:t>
            </w:r>
            <w:r w:rsidRPr="00A027F2">
              <w:rPr>
                <w:rFonts w:ascii="微軟正黑體" w:eastAsia="微軟正黑體" w:hAnsi="微軟正黑體" w:hint="eastAsia"/>
                <w:sz w:val="22"/>
                <w:szCs w:val="22"/>
              </w:rPr>
              <w:t>％</w:t>
            </w:r>
            <w:r>
              <w:rPr>
                <w:rFonts w:ascii="微軟正黑體" w:eastAsia="微軟正黑體" w:hAnsi="微軟正黑體" w:hint="eastAsia"/>
                <w:sz w:val="22"/>
                <w:szCs w:val="22"/>
              </w:rPr>
              <w:t>)</w:t>
            </w:r>
          </w:p>
        </w:tc>
        <w:tc>
          <w:tcPr>
            <w:tcW w:w="679" w:type="dxa"/>
            <w:shd w:val="clear" w:color="auto" w:fill="E5DFEC" w:themeFill="accent4" w:themeFillTint="33"/>
          </w:tcPr>
          <w:p w:rsidR="00681820" w:rsidRDefault="00681820" w:rsidP="005A483B">
            <w:pPr>
              <w:spacing w:beforeLines="30" w:before="108"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台</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灣</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接</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單</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海</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外</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生</w:t>
            </w:r>
          </w:p>
          <w:p w:rsidR="00681820" w:rsidRPr="00A027F2"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產</w:t>
            </w:r>
          </w:p>
          <w:p w:rsidR="00681820" w:rsidRPr="00A027F2" w:rsidRDefault="00681820" w:rsidP="00CB3328">
            <w:pPr>
              <w:spacing w:beforeLines="10" w:before="36" w:line="240" w:lineRule="exact"/>
              <w:jc w:val="center"/>
              <w:rPr>
                <w:rFonts w:ascii="微軟正黑體" w:eastAsia="微軟正黑體" w:hAnsi="微軟正黑體"/>
                <w:sz w:val="22"/>
                <w:szCs w:val="22"/>
              </w:rPr>
            </w:pPr>
            <w:r>
              <w:rPr>
                <w:rFonts w:ascii="微軟正黑體" w:eastAsia="微軟正黑體" w:hAnsi="微軟正黑體" w:hint="eastAsia"/>
                <w:sz w:val="22"/>
                <w:szCs w:val="22"/>
              </w:rPr>
              <w:t>(</w:t>
            </w:r>
            <w:r w:rsidRPr="00A027F2">
              <w:rPr>
                <w:rFonts w:ascii="微軟正黑體" w:eastAsia="微軟正黑體" w:hAnsi="微軟正黑體" w:hint="eastAsia"/>
                <w:sz w:val="22"/>
                <w:szCs w:val="22"/>
              </w:rPr>
              <w:t>％</w:t>
            </w:r>
            <w:r>
              <w:rPr>
                <w:rFonts w:ascii="微軟正黑體" w:eastAsia="微軟正黑體" w:hAnsi="微軟正黑體" w:hint="eastAsia"/>
                <w:sz w:val="22"/>
                <w:szCs w:val="22"/>
              </w:rPr>
              <w:t>)</w:t>
            </w:r>
          </w:p>
        </w:tc>
        <w:tc>
          <w:tcPr>
            <w:tcW w:w="678" w:type="dxa"/>
            <w:shd w:val="clear" w:color="auto" w:fill="E5DFEC" w:themeFill="accent4" w:themeFillTint="33"/>
          </w:tcPr>
          <w:p w:rsidR="00681820" w:rsidRDefault="00681820" w:rsidP="005A483B">
            <w:pPr>
              <w:spacing w:beforeLines="30" w:before="108"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外</w:t>
            </w:r>
          </w:p>
          <w:p w:rsidR="00681820" w:rsidRPr="00A027F2"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籍</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勞</w:t>
            </w:r>
          </w:p>
          <w:p w:rsidR="00681820" w:rsidRPr="00A027F2"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工</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人</w:t>
            </w:r>
          </w:p>
          <w:p w:rsidR="00681820" w:rsidRPr="00A027F2"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數</w:t>
            </w:r>
          </w:p>
          <w:p w:rsidR="00681820" w:rsidRPr="00A027F2" w:rsidRDefault="00681820" w:rsidP="00CB3328">
            <w:pPr>
              <w:spacing w:beforeLines="10" w:before="36"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(萬)</w:t>
            </w:r>
          </w:p>
        </w:tc>
        <w:tc>
          <w:tcPr>
            <w:tcW w:w="680" w:type="dxa"/>
            <w:shd w:val="clear" w:color="auto" w:fill="E5DFEC" w:themeFill="accent4" w:themeFillTint="33"/>
          </w:tcPr>
          <w:p w:rsidR="00681820" w:rsidRDefault="00681820" w:rsidP="005A483B">
            <w:pPr>
              <w:spacing w:beforeLines="30" w:before="108"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生</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育</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率</w:t>
            </w:r>
          </w:p>
          <w:p w:rsidR="00681820" w:rsidRPr="00A027F2" w:rsidRDefault="00681820" w:rsidP="00CB3328">
            <w:pPr>
              <w:spacing w:beforeLines="10" w:before="36" w:line="240" w:lineRule="exact"/>
              <w:ind w:leftChars="-46" w:left="-110" w:rightChars="-55" w:right="-132"/>
              <w:jc w:val="center"/>
              <w:rPr>
                <w:rFonts w:ascii="微軟正黑體" w:eastAsia="微軟正黑體" w:hAnsi="微軟正黑體"/>
                <w:sz w:val="22"/>
                <w:szCs w:val="22"/>
              </w:rPr>
            </w:pPr>
            <w:r>
              <w:rPr>
                <w:rFonts w:ascii="微軟正黑體" w:eastAsia="微軟正黑體" w:hAnsi="微軟正黑體" w:hint="eastAsia"/>
                <w:sz w:val="22"/>
                <w:szCs w:val="22"/>
              </w:rPr>
              <w:t>(</w:t>
            </w:r>
            <w:r w:rsidRPr="00A027F2">
              <w:rPr>
                <w:rFonts w:ascii="微軟正黑體" w:eastAsia="微軟正黑體" w:hAnsi="微軟正黑體" w:hint="eastAsia"/>
                <w:sz w:val="22"/>
                <w:szCs w:val="22"/>
              </w:rPr>
              <w:t>％</w:t>
            </w:r>
            <w:r>
              <w:rPr>
                <w:rFonts w:ascii="微軟正黑體" w:eastAsia="微軟正黑體" w:hAnsi="微軟正黑體" w:hint="eastAsia"/>
                <w:sz w:val="22"/>
                <w:szCs w:val="22"/>
              </w:rPr>
              <w:t>)</w:t>
            </w:r>
          </w:p>
        </w:tc>
        <w:tc>
          <w:tcPr>
            <w:tcW w:w="680" w:type="dxa"/>
            <w:shd w:val="clear" w:color="auto" w:fill="E5DFEC" w:themeFill="accent4" w:themeFillTint="33"/>
          </w:tcPr>
          <w:p w:rsidR="00681820" w:rsidRDefault="00681820" w:rsidP="005A483B">
            <w:pPr>
              <w:spacing w:beforeLines="30" w:before="108"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出</w:t>
            </w:r>
          </w:p>
          <w:p w:rsidR="00681820" w:rsidRPr="00A027F2"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生</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人</w:t>
            </w:r>
          </w:p>
          <w:p w:rsidR="00681820" w:rsidRPr="00A027F2"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口</w:t>
            </w:r>
          </w:p>
          <w:p w:rsidR="00681820"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數</w:t>
            </w:r>
          </w:p>
          <w:p w:rsidR="00681820" w:rsidRPr="00A027F2" w:rsidRDefault="00681820" w:rsidP="005A483B">
            <w:pPr>
              <w:spacing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目</w:t>
            </w:r>
          </w:p>
          <w:p w:rsidR="00681820" w:rsidRPr="00A027F2" w:rsidRDefault="00681820" w:rsidP="00CB3328">
            <w:pPr>
              <w:spacing w:beforeLines="10" w:before="36" w:line="240" w:lineRule="exact"/>
              <w:ind w:leftChars="-46" w:left="-110" w:rightChars="-55" w:right="-132"/>
              <w:jc w:val="center"/>
              <w:rPr>
                <w:rFonts w:ascii="微軟正黑體" w:eastAsia="微軟正黑體" w:hAnsi="微軟正黑體"/>
                <w:sz w:val="22"/>
                <w:szCs w:val="22"/>
              </w:rPr>
            </w:pPr>
            <w:r w:rsidRPr="00A027F2">
              <w:rPr>
                <w:rFonts w:ascii="微軟正黑體" w:eastAsia="微軟正黑體" w:hAnsi="微軟正黑體" w:hint="eastAsia"/>
                <w:sz w:val="22"/>
                <w:szCs w:val="22"/>
              </w:rPr>
              <w:t>(萬)</w:t>
            </w:r>
          </w:p>
        </w:tc>
        <w:tc>
          <w:tcPr>
            <w:tcW w:w="680" w:type="dxa"/>
            <w:shd w:val="clear" w:color="auto" w:fill="E5DFEC" w:themeFill="accent4" w:themeFillTint="33"/>
          </w:tcPr>
          <w:p w:rsidR="00681820" w:rsidRDefault="00681820" w:rsidP="005A483B">
            <w:pPr>
              <w:spacing w:beforeLines="30" w:before="108"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老</w:t>
            </w:r>
          </w:p>
          <w:p w:rsidR="00681820" w:rsidRPr="00A027F2"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年</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人</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口</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比</w:t>
            </w:r>
          </w:p>
          <w:p w:rsidR="00681820" w:rsidRPr="00A027F2"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率</w:t>
            </w:r>
          </w:p>
          <w:p w:rsidR="00681820" w:rsidRPr="00A027F2" w:rsidRDefault="00681820" w:rsidP="00CB3328">
            <w:pPr>
              <w:spacing w:beforeLines="10" w:before="36" w:line="240" w:lineRule="exact"/>
              <w:jc w:val="center"/>
              <w:rPr>
                <w:rFonts w:ascii="微軟正黑體" w:eastAsia="微軟正黑體" w:hAnsi="微軟正黑體"/>
                <w:sz w:val="22"/>
                <w:szCs w:val="22"/>
              </w:rPr>
            </w:pPr>
            <w:r>
              <w:rPr>
                <w:rFonts w:ascii="微軟正黑體" w:eastAsia="微軟正黑體" w:hAnsi="微軟正黑體" w:hint="eastAsia"/>
                <w:sz w:val="22"/>
                <w:szCs w:val="22"/>
              </w:rPr>
              <w:t>(</w:t>
            </w:r>
            <w:r w:rsidRPr="00A027F2">
              <w:rPr>
                <w:rFonts w:ascii="微軟正黑體" w:eastAsia="微軟正黑體" w:hAnsi="微軟正黑體" w:hint="eastAsia"/>
                <w:sz w:val="22"/>
                <w:szCs w:val="22"/>
              </w:rPr>
              <w:t>％</w:t>
            </w:r>
            <w:r>
              <w:rPr>
                <w:rFonts w:ascii="微軟正黑體" w:eastAsia="微軟正黑體" w:hAnsi="微軟正黑體" w:hint="eastAsia"/>
                <w:sz w:val="22"/>
                <w:szCs w:val="22"/>
              </w:rPr>
              <w:t>)</w:t>
            </w:r>
          </w:p>
        </w:tc>
        <w:tc>
          <w:tcPr>
            <w:tcW w:w="794" w:type="dxa"/>
            <w:shd w:val="clear" w:color="auto" w:fill="E5DFEC" w:themeFill="accent4" w:themeFillTint="33"/>
          </w:tcPr>
          <w:p w:rsidR="00681820" w:rsidRDefault="00681820" w:rsidP="005A483B">
            <w:pPr>
              <w:spacing w:beforeLines="30" w:before="108"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老</w:t>
            </w:r>
          </w:p>
          <w:p w:rsidR="00681820" w:rsidRPr="00A027F2"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年</w:t>
            </w:r>
          </w:p>
          <w:p w:rsidR="00681820"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人</w:t>
            </w:r>
          </w:p>
          <w:p w:rsidR="00681820" w:rsidRPr="00A027F2"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口</w:t>
            </w:r>
          </w:p>
          <w:p w:rsidR="00681820"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數</w:t>
            </w:r>
          </w:p>
          <w:p w:rsidR="00681820" w:rsidRPr="00A027F2"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目</w:t>
            </w:r>
          </w:p>
          <w:p w:rsidR="00681820" w:rsidRPr="00A027F2" w:rsidRDefault="00681820" w:rsidP="00CB3328">
            <w:pPr>
              <w:spacing w:beforeLines="10" w:before="36" w:line="240" w:lineRule="exact"/>
              <w:ind w:leftChars="-100" w:left="-240" w:rightChars="-100" w:right="-240"/>
              <w:jc w:val="center"/>
              <w:rPr>
                <w:rFonts w:ascii="微軟正黑體" w:eastAsia="微軟正黑體" w:hAnsi="微軟正黑體"/>
                <w:sz w:val="22"/>
                <w:szCs w:val="22"/>
              </w:rPr>
            </w:pPr>
            <w:r>
              <w:rPr>
                <w:rFonts w:ascii="微軟正黑體" w:eastAsia="微軟正黑體" w:hAnsi="微軟正黑體" w:hint="eastAsia"/>
                <w:sz w:val="22"/>
                <w:szCs w:val="22"/>
              </w:rPr>
              <w:t>(</w:t>
            </w:r>
            <w:r w:rsidRPr="00A027F2">
              <w:rPr>
                <w:rFonts w:ascii="微軟正黑體" w:eastAsia="微軟正黑體" w:hAnsi="微軟正黑體" w:hint="eastAsia"/>
                <w:sz w:val="22"/>
                <w:szCs w:val="22"/>
              </w:rPr>
              <w:t>萬</w:t>
            </w:r>
            <w:r>
              <w:rPr>
                <w:rFonts w:ascii="微軟正黑體" w:eastAsia="微軟正黑體" w:hAnsi="微軟正黑體" w:hint="eastAsia"/>
                <w:sz w:val="22"/>
                <w:szCs w:val="22"/>
              </w:rPr>
              <w:t>)</w:t>
            </w:r>
          </w:p>
        </w:tc>
        <w:tc>
          <w:tcPr>
            <w:tcW w:w="680" w:type="dxa"/>
            <w:shd w:val="clear" w:color="auto" w:fill="E5DFEC" w:themeFill="accent4" w:themeFillTint="33"/>
          </w:tcPr>
          <w:p w:rsidR="00681820" w:rsidRDefault="00681820" w:rsidP="005A483B">
            <w:pPr>
              <w:spacing w:beforeLines="30" w:before="108"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勞</w:t>
            </w:r>
          </w:p>
          <w:p w:rsidR="00681820" w:rsidRPr="00A027F2"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動</w:t>
            </w:r>
          </w:p>
          <w:p w:rsidR="00681820"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報</w:t>
            </w:r>
          </w:p>
          <w:p w:rsidR="00681820" w:rsidRPr="00A027F2"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酬</w:t>
            </w:r>
          </w:p>
          <w:p w:rsidR="00681820" w:rsidRDefault="00681820" w:rsidP="005A483B">
            <w:pPr>
              <w:spacing w:line="240" w:lineRule="exact"/>
              <w:ind w:leftChars="-50" w:left="-120" w:rightChars="-50" w:right="-120"/>
              <w:jc w:val="center"/>
              <w:rPr>
                <w:rFonts w:ascii="微軟正黑體" w:eastAsia="微軟正黑體" w:hAnsi="微軟正黑體"/>
                <w:sz w:val="22"/>
                <w:szCs w:val="22"/>
              </w:rPr>
            </w:pPr>
            <w:r>
              <w:rPr>
                <w:rFonts w:ascii="微軟正黑體" w:eastAsia="微軟正黑體" w:hAnsi="微軟正黑體" w:hint="eastAsia"/>
                <w:sz w:val="22"/>
                <w:szCs w:val="22"/>
              </w:rPr>
              <w:t>占</w:t>
            </w:r>
            <w:r w:rsidRPr="00A027F2">
              <w:rPr>
                <w:rFonts w:ascii="微軟正黑體" w:eastAsia="微軟正黑體" w:hAnsi="微軟正黑體" w:hint="eastAsia"/>
                <w:sz w:val="22"/>
                <w:szCs w:val="22"/>
              </w:rPr>
              <w:t>G</w:t>
            </w:r>
            <w:r w:rsidRPr="00A027F2">
              <w:rPr>
                <w:rFonts w:ascii="微軟正黑體" w:eastAsia="微軟正黑體" w:hAnsi="微軟正黑體"/>
                <w:sz w:val="22"/>
                <w:szCs w:val="22"/>
              </w:rPr>
              <w:t>DP</w:t>
            </w:r>
            <w:r w:rsidRPr="00A027F2">
              <w:rPr>
                <w:rFonts w:ascii="微軟正黑體" w:eastAsia="微軟正黑體" w:hAnsi="微軟正黑體" w:hint="eastAsia"/>
                <w:sz w:val="22"/>
                <w:szCs w:val="22"/>
              </w:rPr>
              <w:t>份</w:t>
            </w:r>
          </w:p>
          <w:p w:rsidR="00681820" w:rsidRPr="00A027F2"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額</w:t>
            </w:r>
          </w:p>
          <w:p w:rsidR="00681820" w:rsidRPr="00A027F2" w:rsidRDefault="00681820" w:rsidP="00CB3328">
            <w:pPr>
              <w:spacing w:beforeLines="10" w:before="36" w:line="240" w:lineRule="exact"/>
              <w:ind w:leftChars="-50" w:left="-120" w:rightChars="-50" w:right="-120"/>
              <w:jc w:val="center"/>
              <w:rPr>
                <w:rFonts w:ascii="微軟正黑體" w:eastAsia="微軟正黑體" w:hAnsi="微軟正黑體"/>
                <w:sz w:val="22"/>
                <w:szCs w:val="22"/>
              </w:rPr>
            </w:pPr>
            <w:r>
              <w:rPr>
                <w:rFonts w:ascii="微軟正黑體" w:eastAsia="微軟正黑體" w:hAnsi="微軟正黑體" w:hint="eastAsia"/>
                <w:sz w:val="22"/>
                <w:szCs w:val="22"/>
              </w:rPr>
              <w:t>(</w:t>
            </w:r>
            <w:r w:rsidRPr="00A027F2">
              <w:rPr>
                <w:rFonts w:ascii="微軟正黑體" w:eastAsia="微軟正黑體" w:hAnsi="微軟正黑體" w:hint="eastAsia"/>
                <w:sz w:val="22"/>
                <w:szCs w:val="22"/>
              </w:rPr>
              <w:t>％</w:t>
            </w:r>
            <w:r>
              <w:rPr>
                <w:rFonts w:ascii="微軟正黑體" w:eastAsia="微軟正黑體" w:hAnsi="微軟正黑體" w:hint="eastAsia"/>
                <w:sz w:val="22"/>
                <w:szCs w:val="22"/>
              </w:rPr>
              <w:t>)</w:t>
            </w:r>
          </w:p>
        </w:tc>
        <w:tc>
          <w:tcPr>
            <w:tcW w:w="680" w:type="dxa"/>
            <w:shd w:val="clear" w:color="auto" w:fill="E5DFEC" w:themeFill="accent4" w:themeFillTint="33"/>
          </w:tcPr>
          <w:p w:rsidR="00681820" w:rsidRDefault="00681820" w:rsidP="005A483B">
            <w:pPr>
              <w:spacing w:beforeLines="30" w:before="108"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營</w:t>
            </w:r>
          </w:p>
          <w:p w:rsidR="00681820" w:rsidRPr="00A027F2"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業</w:t>
            </w:r>
          </w:p>
          <w:p w:rsidR="00681820"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盈</w:t>
            </w:r>
          </w:p>
          <w:p w:rsidR="00681820" w:rsidRPr="00A027F2" w:rsidRDefault="00681820" w:rsidP="005A483B">
            <w:pPr>
              <w:spacing w:line="240" w:lineRule="exact"/>
              <w:ind w:leftChars="-50" w:left="-120" w:rightChars="-50" w:right="-120"/>
              <w:jc w:val="center"/>
              <w:rPr>
                <w:rFonts w:ascii="微軟正黑體" w:eastAsia="微軟正黑體" w:hAnsi="微軟正黑體"/>
                <w:sz w:val="22"/>
                <w:szCs w:val="22"/>
              </w:rPr>
            </w:pPr>
            <w:r w:rsidRPr="00A027F2">
              <w:rPr>
                <w:rFonts w:ascii="微軟正黑體" w:eastAsia="微軟正黑體" w:hAnsi="微軟正黑體" w:hint="eastAsia"/>
                <w:sz w:val="22"/>
                <w:szCs w:val="22"/>
              </w:rPr>
              <w:t>餘</w:t>
            </w:r>
          </w:p>
          <w:p w:rsidR="00681820" w:rsidRPr="00A027F2" w:rsidRDefault="00681820" w:rsidP="005A483B">
            <w:pPr>
              <w:spacing w:line="240" w:lineRule="exact"/>
              <w:ind w:leftChars="-50" w:left="-120" w:rightChars="-50" w:right="-120"/>
              <w:jc w:val="center"/>
              <w:rPr>
                <w:rFonts w:ascii="微軟正黑體" w:eastAsia="微軟正黑體" w:hAnsi="微軟正黑體"/>
                <w:sz w:val="22"/>
                <w:szCs w:val="22"/>
              </w:rPr>
            </w:pPr>
            <w:r>
              <w:rPr>
                <w:rFonts w:ascii="微軟正黑體" w:eastAsia="微軟正黑體" w:hAnsi="微軟正黑體" w:hint="eastAsia"/>
                <w:sz w:val="22"/>
                <w:szCs w:val="22"/>
              </w:rPr>
              <w:t>占</w:t>
            </w:r>
            <w:r w:rsidRPr="00A027F2">
              <w:rPr>
                <w:rFonts w:ascii="微軟正黑體" w:eastAsia="微軟正黑體" w:hAnsi="微軟正黑體"/>
                <w:sz w:val="22"/>
                <w:szCs w:val="22"/>
              </w:rPr>
              <w:t>GDP</w:t>
            </w:r>
          </w:p>
          <w:p w:rsidR="00681820" w:rsidRPr="00A027F2" w:rsidRDefault="00681820" w:rsidP="00CB3328">
            <w:pPr>
              <w:spacing w:beforeLines="10" w:before="36" w:line="240" w:lineRule="exact"/>
              <w:ind w:leftChars="-50" w:left="-120" w:rightChars="-50" w:right="-120"/>
              <w:jc w:val="center"/>
              <w:rPr>
                <w:rFonts w:ascii="微軟正黑體" w:eastAsia="微軟正黑體" w:hAnsi="微軟正黑體"/>
                <w:sz w:val="22"/>
                <w:szCs w:val="22"/>
              </w:rPr>
            </w:pPr>
            <w:r>
              <w:rPr>
                <w:rFonts w:ascii="微軟正黑體" w:eastAsia="微軟正黑體" w:hAnsi="微軟正黑體" w:hint="eastAsia"/>
                <w:sz w:val="22"/>
                <w:szCs w:val="22"/>
              </w:rPr>
              <w:t>(</w:t>
            </w:r>
            <w:r w:rsidRPr="00A027F2">
              <w:rPr>
                <w:rFonts w:ascii="微軟正黑體" w:eastAsia="微軟正黑體" w:hAnsi="微軟正黑體" w:hint="eastAsia"/>
                <w:sz w:val="22"/>
                <w:szCs w:val="22"/>
              </w:rPr>
              <w:t>％</w:t>
            </w:r>
            <w:r>
              <w:rPr>
                <w:rFonts w:ascii="微軟正黑體" w:eastAsia="微軟正黑體" w:hAnsi="微軟正黑體" w:hint="eastAsia"/>
                <w:sz w:val="22"/>
                <w:szCs w:val="22"/>
              </w:rPr>
              <w:t>)</w:t>
            </w:r>
          </w:p>
        </w:tc>
        <w:tc>
          <w:tcPr>
            <w:tcW w:w="680" w:type="dxa"/>
            <w:shd w:val="clear" w:color="auto" w:fill="E5DFEC" w:themeFill="accent4" w:themeFillTint="33"/>
          </w:tcPr>
          <w:p w:rsidR="00681820" w:rsidRDefault="00681820" w:rsidP="005A483B">
            <w:pPr>
              <w:spacing w:beforeLines="30" w:before="108"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青</w:t>
            </w:r>
          </w:p>
          <w:p w:rsidR="00681820" w:rsidRPr="00A027F2"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少</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年</w:t>
            </w:r>
          </w:p>
          <w:p w:rsidR="00681820" w:rsidRPr="00A027F2"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失</w:t>
            </w:r>
          </w:p>
          <w:p w:rsidR="00681820"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業</w:t>
            </w:r>
          </w:p>
          <w:p w:rsidR="00681820" w:rsidRPr="00A027F2" w:rsidRDefault="00681820" w:rsidP="005A483B">
            <w:pPr>
              <w:spacing w:line="240" w:lineRule="exact"/>
              <w:jc w:val="center"/>
              <w:rPr>
                <w:rFonts w:ascii="微軟正黑體" w:eastAsia="微軟正黑體" w:hAnsi="微軟正黑體"/>
                <w:sz w:val="22"/>
                <w:szCs w:val="22"/>
              </w:rPr>
            </w:pPr>
            <w:r w:rsidRPr="00A027F2">
              <w:rPr>
                <w:rFonts w:ascii="微軟正黑體" w:eastAsia="微軟正黑體" w:hAnsi="微軟正黑體" w:hint="eastAsia"/>
                <w:sz w:val="22"/>
                <w:szCs w:val="22"/>
              </w:rPr>
              <w:t>率</w:t>
            </w:r>
          </w:p>
          <w:p w:rsidR="00681820" w:rsidRPr="00A027F2" w:rsidRDefault="00681820" w:rsidP="00CB3328">
            <w:pPr>
              <w:spacing w:beforeLines="10" w:before="36" w:line="240" w:lineRule="exact"/>
              <w:jc w:val="center"/>
              <w:rPr>
                <w:rFonts w:ascii="微軟正黑體" w:eastAsia="微軟正黑體" w:hAnsi="微軟正黑體"/>
                <w:sz w:val="22"/>
                <w:szCs w:val="22"/>
              </w:rPr>
            </w:pPr>
            <w:r>
              <w:rPr>
                <w:rFonts w:ascii="微軟正黑體" w:eastAsia="微軟正黑體" w:hAnsi="微軟正黑體" w:hint="eastAsia"/>
                <w:sz w:val="22"/>
                <w:szCs w:val="22"/>
              </w:rPr>
              <w:t>(</w:t>
            </w:r>
            <w:r w:rsidRPr="00A027F2">
              <w:rPr>
                <w:rFonts w:ascii="微軟正黑體" w:eastAsia="微軟正黑體" w:hAnsi="微軟正黑體" w:hint="eastAsia"/>
                <w:sz w:val="22"/>
                <w:szCs w:val="22"/>
              </w:rPr>
              <w:t>％</w:t>
            </w:r>
            <w:r>
              <w:rPr>
                <w:rFonts w:ascii="微軟正黑體" w:eastAsia="微軟正黑體" w:hAnsi="微軟正黑體" w:hint="eastAsia"/>
                <w:sz w:val="22"/>
                <w:szCs w:val="22"/>
              </w:rPr>
              <w:t>)</w:t>
            </w:r>
          </w:p>
        </w:tc>
        <w:tc>
          <w:tcPr>
            <w:tcW w:w="680" w:type="dxa"/>
            <w:shd w:val="clear" w:color="auto" w:fill="E5DFEC" w:themeFill="accent4" w:themeFillTint="33"/>
          </w:tcPr>
          <w:p w:rsidR="00681820" w:rsidRPr="005A7B14" w:rsidRDefault="00681820" w:rsidP="005A483B">
            <w:pPr>
              <w:spacing w:beforeLines="30" w:before="108" w:line="240" w:lineRule="exact"/>
              <w:jc w:val="center"/>
              <w:rPr>
                <w:rFonts w:ascii="微軟正黑體" w:eastAsia="微軟正黑體" w:hAnsi="微軟正黑體"/>
                <w:strike/>
                <w:sz w:val="22"/>
                <w:szCs w:val="22"/>
              </w:rPr>
            </w:pPr>
            <w:r w:rsidRPr="005A7B14">
              <w:rPr>
                <w:rFonts w:ascii="微軟正黑體" w:eastAsia="微軟正黑體" w:hAnsi="微軟正黑體" w:hint="eastAsia"/>
                <w:sz w:val="22"/>
                <w:szCs w:val="22"/>
              </w:rPr>
              <w:t>每</w:t>
            </w:r>
          </w:p>
          <w:p w:rsidR="00681820" w:rsidRPr="005A7B14" w:rsidRDefault="00681820" w:rsidP="005A483B">
            <w:pPr>
              <w:spacing w:line="240" w:lineRule="exact"/>
              <w:jc w:val="center"/>
              <w:rPr>
                <w:rFonts w:ascii="微軟正黑體" w:eastAsia="微軟正黑體" w:hAnsi="微軟正黑體"/>
                <w:strike/>
                <w:sz w:val="22"/>
                <w:szCs w:val="22"/>
              </w:rPr>
            </w:pPr>
            <w:r w:rsidRPr="005A7B14">
              <w:rPr>
                <w:rFonts w:ascii="微軟正黑體" w:eastAsia="微軟正黑體" w:hAnsi="微軟正黑體" w:hint="eastAsia"/>
                <w:sz w:val="22"/>
                <w:szCs w:val="22"/>
              </w:rPr>
              <w:t>戶</w:t>
            </w:r>
          </w:p>
          <w:p w:rsidR="00681820" w:rsidRPr="005A7B14" w:rsidRDefault="00681820" w:rsidP="005A483B">
            <w:pPr>
              <w:spacing w:line="240" w:lineRule="exact"/>
              <w:jc w:val="center"/>
              <w:rPr>
                <w:rFonts w:ascii="微軟正黑體" w:eastAsia="微軟正黑體" w:hAnsi="微軟正黑體"/>
                <w:strike/>
                <w:sz w:val="22"/>
                <w:szCs w:val="22"/>
              </w:rPr>
            </w:pPr>
            <w:r w:rsidRPr="005A7B14">
              <w:rPr>
                <w:rFonts w:ascii="微軟正黑體" w:eastAsia="微軟正黑體" w:hAnsi="微軟正黑體" w:hint="eastAsia"/>
                <w:sz w:val="22"/>
                <w:szCs w:val="22"/>
              </w:rPr>
              <w:t>五</w:t>
            </w:r>
          </w:p>
          <w:p w:rsidR="00681820" w:rsidRPr="005A7B14" w:rsidRDefault="00681820" w:rsidP="005A483B">
            <w:pPr>
              <w:spacing w:line="240" w:lineRule="exact"/>
              <w:jc w:val="center"/>
              <w:rPr>
                <w:rFonts w:ascii="微軟正黑體" w:eastAsia="微軟正黑體" w:hAnsi="微軟正黑體"/>
                <w:strike/>
                <w:sz w:val="22"/>
                <w:szCs w:val="22"/>
              </w:rPr>
            </w:pPr>
            <w:r w:rsidRPr="005A7B14">
              <w:rPr>
                <w:rFonts w:ascii="微軟正黑體" w:eastAsia="微軟正黑體" w:hAnsi="微軟正黑體" w:hint="eastAsia"/>
                <w:sz w:val="22"/>
                <w:szCs w:val="22"/>
              </w:rPr>
              <w:t>等</w:t>
            </w:r>
          </w:p>
          <w:p w:rsidR="00681820" w:rsidRPr="005A7B14" w:rsidRDefault="00681820" w:rsidP="005A483B">
            <w:pPr>
              <w:spacing w:line="240" w:lineRule="exact"/>
              <w:jc w:val="center"/>
              <w:rPr>
                <w:rFonts w:ascii="微軟正黑體" w:eastAsia="微軟正黑體" w:hAnsi="微軟正黑體"/>
                <w:strike/>
                <w:sz w:val="22"/>
                <w:szCs w:val="22"/>
              </w:rPr>
            </w:pPr>
            <w:r w:rsidRPr="005A7B14">
              <w:rPr>
                <w:rFonts w:ascii="微軟正黑體" w:eastAsia="微軟正黑體" w:hAnsi="微軟正黑體" w:hint="eastAsia"/>
                <w:sz w:val="22"/>
                <w:szCs w:val="22"/>
              </w:rPr>
              <w:t>分</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 xml:space="preserve">位  </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所</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得</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 xml:space="preserve">差  </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距</w:t>
            </w:r>
          </w:p>
          <w:p w:rsidR="00681820" w:rsidRPr="000B4C84" w:rsidRDefault="00681820" w:rsidP="00CB3328">
            <w:pPr>
              <w:spacing w:beforeLines="10" w:before="36" w:line="240" w:lineRule="exact"/>
              <w:jc w:val="center"/>
              <w:rPr>
                <w:rFonts w:ascii="微軟正黑體" w:eastAsia="微軟正黑體" w:hAnsi="微軟正黑體"/>
                <w:sz w:val="22"/>
                <w:szCs w:val="22"/>
                <w:highlight w:val="yellow"/>
                <w:u w:val="single"/>
              </w:rPr>
            </w:pPr>
            <w:r w:rsidRPr="005A7B14">
              <w:rPr>
                <w:rFonts w:ascii="微軟正黑體" w:eastAsia="微軟正黑體" w:hAnsi="微軟正黑體" w:hint="eastAsia"/>
                <w:sz w:val="22"/>
                <w:szCs w:val="22"/>
              </w:rPr>
              <w:t>(倍)</w:t>
            </w:r>
          </w:p>
        </w:tc>
        <w:tc>
          <w:tcPr>
            <w:tcW w:w="680" w:type="dxa"/>
            <w:shd w:val="clear" w:color="auto" w:fill="E5DFEC" w:themeFill="accent4" w:themeFillTint="33"/>
          </w:tcPr>
          <w:p w:rsidR="00681820" w:rsidRPr="005A7B14" w:rsidRDefault="00681820" w:rsidP="005A483B">
            <w:pPr>
              <w:spacing w:beforeLines="30" w:before="108"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老</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年</w:t>
            </w:r>
          </w:p>
          <w:p w:rsidR="00681820" w:rsidRDefault="00681820" w:rsidP="005A483B">
            <w:pPr>
              <w:spacing w:line="240" w:lineRule="exact"/>
              <w:ind w:left="110" w:hangingChars="50" w:hanging="110"/>
              <w:rPr>
                <w:rFonts w:ascii="微軟正黑體" w:eastAsia="微軟正黑體" w:hAnsi="微軟正黑體"/>
                <w:sz w:val="22"/>
                <w:szCs w:val="22"/>
              </w:rPr>
            </w:pPr>
            <w:r w:rsidRPr="005A7B14">
              <w:rPr>
                <w:rFonts w:ascii="微軟正黑體" w:eastAsia="微軟正黑體" w:hAnsi="微軟正黑體"/>
                <w:sz w:val="22"/>
                <w:szCs w:val="22"/>
              </w:rPr>
              <w:t xml:space="preserve"> </w:t>
            </w:r>
            <w:r>
              <w:rPr>
                <w:rFonts w:ascii="微軟正黑體" w:eastAsia="微軟正黑體" w:hAnsi="微軟正黑體" w:hint="eastAsia"/>
                <w:sz w:val="22"/>
                <w:szCs w:val="22"/>
              </w:rPr>
              <w:t>戶長</w:t>
            </w:r>
          </w:p>
          <w:p w:rsidR="00681820" w:rsidRPr="005A7B14" w:rsidRDefault="00681820" w:rsidP="005A483B">
            <w:pPr>
              <w:spacing w:line="240" w:lineRule="exact"/>
              <w:rPr>
                <w:rFonts w:ascii="微軟正黑體" w:eastAsia="微軟正黑體" w:hAnsi="微軟正黑體"/>
                <w:sz w:val="22"/>
                <w:szCs w:val="22"/>
              </w:rPr>
            </w:pPr>
            <w:r>
              <w:rPr>
                <w:rFonts w:ascii="微軟正黑體" w:eastAsia="微軟正黑體" w:hAnsi="微軟正黑體" w:hint="eastAsia"/>
                <w:sz w:val="22"/>
                <w:szCs w:val="22"/>
              </w:rPr>
              <w:t xml:space="preserve"> 占</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最</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低</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所</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得</w:t>
            </w:r>
          </w:p>
          <w:p w:rsidR="00681820" w:rsidRPr="005A7B14" w:rsidRDefault="00681820" w:rsidP="005A483B">
            <w:pPr>
              <w:spacing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組</w:t>
            </w:r>
          </w:p>
          <w:p w:rsidR="00681820" w:rsidRPr="00A027F2" w:rsidRDefault="00681820" w:rsidP="00CB3328">
            <w:pPr>
              <w:spacing w:beforeLines="10" w:before="36" w:line="240" w:lineRule="exact"/>
              <w:jc w:val="center"/>
              <w:rPr>
                <w:rFonts w:ascii="微軟正黑體" w:eastAsia="微軟正黑體" w:hAnsi="微軟正黑體"/>
                <w:sz w:val="22"/>
                <w:szCs w:val="22"/>
              </w:rPr>
            </w:pPr>
            <w:r w:rsidRPr="005A7B14">
              <w:rPr>
                <w:rFonts w:ascii="微軟正黑體" w:eastAsia="微軟正黑體" w:hAnsi="微軟正黑體" w:hint="eastAsia"/>
                <w:sz w:val="22"/>
                <w:szCs w:val="22"/>
              </w:rPr>
              <w:t>(％)</w:t>
            </w:r>
          </w:p>
        </w:tc>
        <w:tc>
          <w:tcPr>
            <w:tcW w:w="685" w:type="dxa"/>
            <w:shd w:val="clear" w:color="auto" w:fill="E5DFEC" w:themeFill="accent4" w:themeFillTint="33"/>
          </w:tcPr>
          <w:p w:rsidR="00681820" w:rsidRPr="00DE033A" w:rsidRDefault="00681820" w:rsidP="005A483B">
            <w:pPr>
              <w:spacing w:beforeLines="30" w:before="108" w:line="240" w:lineRule="exact"/>
              <w:jc w:val="center"/>
              <w:rPr>
                <w:rFonts w:ascii="微軟正黑體" w:eastAsia="微軟正黑體" w:hAnsi="微軟正黑體"/>
                <w:sz w:val="22"/>
                <w:szCs w:val="22"/>
              </w:rPr>
            </w:pPr>
            <w:r w:rsidRPr="00DE033A">
              <w:rPr>
                <w:rFonts w:ascii="微軟正黑體" w:eastAsia="微軟正黑體" w:hAnsi="微軟正黑體" w:hint="eastAsia"/>
                <w:sz w:val="22"/>
                <w:szCs w:val="22"/>
              </w:rPr>
              <w:t>社</w:t>
            </w:r>
          </w:p>
          <w:p w:rsidR="00681820" w:rsidRPr="00DE033A" w:rsidRDefault="00681820" w:rsidP="005A483B">
            <w:pPr>
              <w:spacing w:line="240" w:lineRule="exact"/>
              <w:jc w:val="center"/>
              <w:rPr>
                <w:rFonts w:ascii="微軟正黑體" w:eastAsia="微軟正黑體" w:hAnsi="微軟正黑體"/>
                <w:sz w:val="22"/>
                <w:szCs w:val="22"/>
              </w:rPr>
            </w:pPr>
            <w:r w:rsidRPr="00DE033A">
              <w:rPr>
                <w:rFonts w:ascii="微軟正黑體" w:eastAsia="微軟正黑體" w:hAnsi="微軟正黑體" w:hint="eastAsia"/>
                <w:sz w:val="22"/>
                <w:szCs w:val="22"/>
              </w:rPr>
              <w:t>會</w:t>
            </w:r>
          </w:p>
          <w:p w:rsidR="00681820" w:rsidRPr="00DE033A" w:rsidRDefault="00681820" w:rsidP="005A483B">
            <w:pPr>
              <w:spacing w:line="240" w:lineRule="exact"/>
              <w:jc w:val="center"/>
              <w:rPr>
                <w:rFonts w:ascii="微軟正黑體" w:eastAsia="微軟正黑體" w:hAnsi="微軟正黑體"/>
                <w:sz w:val="22"/>
                <w:szCs w:val="22"/>
              </w:rPr>
            </w:pPr>
            <w:r w:rsidRPr="00DE033A">
              <w:rPr>
                <w:rFonts w:ascii="微軟正黑體" w:eastAsia="微軟正黑體" w:hAnsi="微軟正黑體" w:hint="eastAsia"/>
                <w:sz w:val="22"/>
                <w:szCs w:val="22"/>
              </w:rPr>
              <w:t>福</w:t>
            </w:r>
          </w:p>
          <w:p w:rsidR="00681820" w:rsidRPr="00DE033A" w:rsidRDefault="00681820" w:rsidP="005A483B">
            <w:pPr>
              <w:spacing w:line="240" w:lineRule="exact"/>
              <w:jc w:val="center"/>
              <w:rPr>
                <w:rFonts w:ascii="微軟正黑體" w:eastAsia="微軟正黑體" w:hAnsi="微軟正黑體"/>
                <w:sz w:val="22"/>
                <w:szCs w:val="22"/>
              </w:rPr>
            </w:pPr>
            <w:r w:rsidRPr="00DE033A">
              <w:rPr>
                <w:rFonts w:ascii="微軟正黑體" w:eastAsia="微軟正黑體" w:hAnsi="微軟正黑體" w:hint="eastAsia"/>
                <w:sz w:val="22"/>
                <w:szCs w:val="22"/>
              </w:rPr>
              <w:t>利</w:t>
            </w:r>
          </w:p>
          <w:p w:rsidR="00681820" w:rsidRPr="00DE033A" w:rsidRDefault="00681820" w:rsidP="005A483B">
            <w:pPr>
              <w:spacing w:line="240" w:lineRule="exact"/>
              <w:jc w:val="center"/>
              <w:rPr>
                <w:rFonts w:ascii="微軟正黑體" w:eastAsia="微軟正黑體" w:hAnsi="微軟正黑體"/>
                <w:sz w:val="22"/>
                <w:szCs w:val="22"/>
              </w:rPr>
            </w:pPr>
            <w:r w:rsidRPr="00DE033A">
              <w:rPr>
                <w:rFonts w:ascii="微軟正黑體" w:eastAsia="微軟正黑體" w:hAnsi="微軟正黑體" w:hint="eastAsia"/>
                <w:sz w:val="22"/>
                <w:szCs w:val="22"/>
              </w:rPr>
              <w:t>支</w:t>
            </w:r>
          </w:p>
          <w:p w:rsidR="00681820" w:rsidRPr="00DE033A" w:rsidRDefault="00681820" w:rsidP="005A483B">
            <w:pPr>
              <w:spacing w:line="240" w:lineRule="exact"/>
              <w:jc w:val="center"/>
              <w:rPr>
                <w:rFonts w:ascii="微軟正黑體" w:eastAsia="微軟正黑體" w:hAnsi="微軟正黑體"/>
                <w:sz w:val="22"/>
                <w:szCs w:val="22"/>
              </w:rPr>
            </w:pPr>
            <w:r w:rsidRPr="00DE033A">
              <w:rPr>
                <w:rFonts w:ascii="微軟正黑體" w:eastAsia="微軟正黑體" w:hAnsi="微軟正黑體" w:hint="eastAsia"/>
                <w:sz w:val="22"/>
                <w:szCs w:val="22"/>
              </w:rPr>
              <w:t>出</w:t>
            </w:r>
          </w:p>
          <w:p w:rsidR="00681820" w:rsidRPr="00DE033A" w:rsidRDefault="00681820" w:rsidP="005A483B">
            <w:pPr>
              <w:spacing w:line="240" w:lineRule="exact"/>
              <w:jc w:val="center"/>
              <w:rPr>
                <w:rFonts w:ascii="微軟正黑體" w:eastAsia="微軟正黑體" w:hAnsi="微軟正黑體"/>
                <w:sz w:val="22"/>
                <w:szCs w:val="22"/>
              </w:rPr>
            </w:pPr>
            <w:r>
              <w:rPr>
                <w:rFonts w:ascii="微軟正黑體" w:eastAsia="微軟正黑體" w:hAnsi="微軟正黑體" w:hint="eastAsia"/>
                <w:sz w:val="22"/>
                <w:szCs w:val="22"/>
              </w:rPr>
              <w:t>占</w:t>
            </w:r>
          </w:p>
          <w:p w:rsidR="00681820" w:rsidRPr="00DE033A" w:rsidRDefault="00681820" w:rsidP="005A483B">
            <w:pPr>
              <w:spacing w:line="240" w:lineRule="exact"/>
              <w:jc w:val="center"/>
              <w:rPr>
                <w:rFonts w:ascii="微軟正黑體" w:eastAsia="微軟正黑體" w:hAnsi="微軟正黑體"/>
                <w:sz w:val="22"/>
                <w:szCs w:val="22"/>
              </w:rPr>
            </w:pPr>
            <w:r w:rsidRPr="00DE033A">
              <w:rPr>
                <w:rFonts w:ascii="微軟正黑體" w:eastAsia="微軟正黑體" w:hAnsi="微軟正黑體" w:hint="eastAsia"/>
                <w:sz w:val="22"/>
                <w:szCs w:val="22"/>
              </w:rPr>
              <w:t>政府歲出總預算</w:t>
            </w:r>
          </w:p>
          <w:p w:rsidR="00681820" w:rsidRPr="00A027F2" w:rsidRDefault="00681820" w:rsidP="00CB3328">
            <w:pPr>
              <w:spacing w:beforeLines="10" w:before="36" w:line="240" w:lineRule="exact"/>
              <w:jc w:val="center"/>
              <w:rPr>
                <w:rFonts w:ascii="微軟正黑體" w:eastAsia="微軟正黑體" w:hAnsi="微軟正黑體"/>
                <w:sz w:val="22"/>
                <w:szCs w:val="22"/>
              </w:rPr>
            </w:pPr>
            <w:r w:rsidRPr="00DE033A">
              <w:rPr>
                <w:rFonts w:ascii="微軟正黑體" w:eastAsia="微軟正黑體" w:hAnsi="微軟正黑體" w:hint="eastAsia"/>
                <w:sz w:val="22"/>
                <w:szCs w:val="22"/>
              </w:rPr>
              <w:t>(％</w:t>
            </w:r>
            <w:r w:rsidRPr="005A7B14">
              <w:rPr>
                <w:rFonts w:ascii="微軟正黑體" w:eastAsia="微軟正黑體" w:hAnsi="微軟正黑體" w:hint="eastAsia"/>
                <w:sz w:val="22"/>
                <w:szCs w:val="22"/>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1990</w:t>
            </w:r>
          </w:p>
        </w:tc>
        <w:tc>
          <w:tcPr>
            <w:tcW w:w="794"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8</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40</w:t>
            </w:r>
          </w:p>
        </w:tc>
        <w:tc>
          <w:tcPr>
            <w:tcW w:w="679"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22</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916804" w:rsidRDefault="00681820" w:rsidP="00681820">
            <w:pPr>
              <w:spacing w:line="330" w:lineRule="exact"/>
              <w:jc w:val="center"/>
              <w:rPr>
                <w:rFonts w:ascii="微軟正黑體" w:eastAsia="微軟正黑體" w:hAnsi="微軟正黑體"/>
                <w:color w:val="000000" w:themeColor="text1"/>
                <w:sz w:val="20"/>
                <w:szCs w:val="20"/>
              </w:rPr>
            </w:pPr>
            <w:r w:rsidRPr="00916804">
              <w:rPr>
                <w:rFonts w:ascii="微軟正黑體" w:eastAsia="微軟正黑體" w:hAnsi="微軟正黑體" w:hint="eastAsia"/>
                <w:color w:val="000000" w:themeColor="text1"/>
                <w:sz w:val="20"/>
                <w:szCs w:val="20"/>
              </w:rPr>
              <w:t>29</w:t>
            </w:r>
            <w:r w:rsidRPr="00916804">
              <w:rPr>
                <w:rFonts w:ascii="微軟正黑體" w:eastAsia="微軟正黑體" w:hAnsi="微軟正黑體"/>
                <w:color w:val="000000" w:themeColor="text1"/>
                <w:sz w:val="20"/>
                <w:szCs w:val="20"/>
              </w:rPr>
              <w:t>.</w:t>
            </w:r>
            <w:r w:rsidRPr="00916804">
              <w:rPr>
                <w:rFonts w:ascii="微軟正黑體" w:eastAsia="微軟正黑體" w:hAnsi="微軟正黑體" w:hint="eastAsia"/>
                <w:color w:val="000000" w:themeColor="text1"/>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Pr>
                <w:rFonts w:ascii="微軟正黑體" w:eastAsia="微軟正黑體" w:hAnsi="微軟正黑體"/>
                <w:sz w:val="20"/>
                <w:szCs w:val="20"/>
              </w:rPr>
              <w:t>.</w:t>
            </w:r>
            <w:r>
              <w:rPr>
                <w:rFonts w:ascii="微軟正黑體" w:eastAsia="微軟正黑體" w:hAnsi="微軟正黑體" w:hint="eastAsia"/>
                <w:sz w:val="20"/>
                <w:szCs w:val="20"/>
              </w:rPr>
              <w:t>41</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23</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0</w:t>
            </w:r>
          </w:p>
        </w:tc>
        <w:tc>
          <w:tcPr>
            <w:tcW w:w="685" w:type="dxa"/>
            <w:vAlign w:val="center"/>
          </w:tcPr>
          <w:p w:rsidR="00681820" w:rsidRPr="00C06D60" w:rsidRDefault="00681820" w:rsidP="00681820">
            <w:pPr>
              <w:spacing w:line="330" w:lineRule="exact"/>
              <w:jc w:val="center"/>
              <w:rPr>
                <w:rFonts w:ascii="微軟正黑體" w:eastAsia="微軟正黑體" w:hAnsi="微軟正黑體"/>
                <w:color w:val="0000FF"/>
                <w:sz w:val="20"/>
                <w:szCs w:val="20"/>
                <w:highlight w:val="yellow"/>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1995</w:t>
            </w:r>
          </w:p>
        </w:tc>
        <w:tc>
          <w:tcPr>
            <w:tcW w:w="794"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9</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02</w:t>
            </w:r>
          </w:p>
        </w:tc>
        <w:tc>
          <w:tcPr>
            <w:tcW w:w="679"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64</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163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Pr>
                <w:rFonts w:ascii="微軟正黑體" w:eastAsia="微軟正黑體" w:hAnsi="微軟正黑體" w:hint="eastAsia"/>
                <w:sz w:val="20"/>
                <w:szCs w:val="20"/>
              </w:rPr>
              <w:t>34</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n</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a</w:t>
            </w:r>
            <w:r w:rsidRPr="00203791">
              <w:rPr>
                <w:rFonts w:ascii="微軟正黑體" w:eastAsia="微軟正黑體" w:hAnsi="微軟正黑體"/>
                <w:color w:val="000000" w:themeColor="text1"/>
                <w:sz w:val="20"/>
                <w:szCs w:val="20"/>
              </w:rPr>
              <w:t>.</w:t>
            </w:r>
          </w:p>
        </w:tc>
        <w:tc>
          <w:tcPr>
            <w:tcW w:w="685" w:type="dxa"/>
            <w:vAlign w:val="center"/>
          </w:tcPr>
          <w:p w:rsidR="00681820" w:rsidRPr="00C06D60" w:rsidRDefault="00681820" w:rsidP="00681820">
            <w:pPr>
              <w:spacing w:line="330" w:lineRule="exact"/>
              <w:jc w:val="center"/>
              <w:rPr>
                <w:rFonts w:ascii="微軟正黑體" w:eastAsia="微軟正黑體" w:hAnsi="微軟正黑體"/>
                <w:color w:val="0000FF"/>
                <w:sz w:val="20"/>
                <w:szCs w:val="20"/>
                <w:highlight w:val="yellow"/>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1996</w:t>
            </w:r>
          </w:p>
        </w:tc>
        <w:tc>
          <w:tcPr>
            <w:tcW w:w="794"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8</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66</w:t>
            </w:r>
          </w:p>
        </w:tc>
        <w:tc>
          <w:tcPr>
            <w:tcW w:w="679"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86</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169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Pr>
                <w:rFonts w:ascii="微軟正黑體" w:eastAsia="微軟正黑體" w:hAnsi="微軟正黑體" w:hint="eastAsia"/>
                <w:sz w:val="20"/>
                <w:szCs w:val="20"/>
              </w:rPr>
              <w:t>38</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n</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a</w:t>
            </w:r>
            <w:r w:rsidRPr="00203791">
              <w:rPr>
                <w:rFonts w:ascii="微軟正黑體" w:eastAsia="微軟正黑體" w:hAnsi="微軟正黑體"/>
                <w:color w:val="000000" w:themeColor="text1"/>
                <w:sz w:val="20"/>
                <w:szCs w:val="20"/>
              </w:rPr>
              <w:t>.</w:t>
            </w:r>
          </w:p>
        </w:tc>
        <w:tc>
          <w:tcPr>
            <w:tcW w:w="685" w:type="dxa"/>
            <w:vAlign w:val="center"/>
          </w:tcPr>
          <w:p w:rsidR="00681820" w:rsidRPr="00C06D60" w:rsidRDefault="00681820" w:rsidP="00681820">
            <w:pPr>
              <w:spacing w:line="330" w:lineRule="exact"/>
              <w:jc w:val="center"/>
              <w:rPr>
                <w:rFonts w:ascii="微軟正黑體" w:eastAsia="微軟正黑體" w:hAnsi="微軟正黑體"/>
                <w:color w:val="0000FF"/>
                <w:sz w:val="20"/>
                <w:szCs w:val="20"/>
                <w:highlight w:val="yellow"/>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1997</w:t>
            </w:r>
          </w:p>
        </w:tc>
        <w:tc>
          <w:tcPr>
            <w:tcW w:w="794"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8</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39</w:t>
            </w:r>
          </w:p>
        </w:tc>
        <w:tc>
          <w:tcPr>
            <w:tcW w:w="679"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06</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175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Pr>
                <w:rFonts w:ascii="微軟正黑體" w:eastAsia="微軟正黑體" w:hAnsi="微軟正黑體" w:hint="eastAsia"/>
                <w:sz w:val="20"/>
                <w:szCs w:val="20"/>
              </w:rPr>
              <w:t>41</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n</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a</w:t>
            </w:r>
            <w:r w:rsidRPr="00203791">
              <w:rPr>
                <w:rFonts w:ascii="微軟正黑體" w:eastAsia="微軟正黑體" w:hAnsi="微軟正黑體"/>
                <w:color w:val="000000" w:themeColor="text1"/>
                <w:sz w:val="20"/>
                <w:szCs w:val="20"/>
              </w:rPr>
              <w:t>.</w:t>
            </w:r>
          </w:p>
        </w:tc>
        <w:tc>
          <w:tcPr>
            <w:tcW w:w="685" w:type="dxa"/>
            <w:vAlign w:val="center"/>
          </w:tcPr>
          <w:p w:rsidR="00681820" w:rsidRPr="00C06D60" w:rsidRDefault="00681820" w:rsidP="00681820">
            <w:pPr>
              <w:spacing w:line="330" w:lineRule="exact"/>
              <w:jc w:val="center"/>
              <w:rPr>
                <w:rFonts w:ascii="微軟正黑體" w:eastAsia="微軟正黑體" w:hAnsi="微軟正黑體"/>
                <w:color w:val="0000FF"/>
                <w:sz w:val="20"/>
                <w:szCs w:val="20"/>
                <w:highlight w:val="yellow"/>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1998</w:t>
            </w:r>
          </w:p>
        </w:tc>
        <w:tc>
          <w:tcPr>
            <w:tcW w:w="794"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7</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60</w:t>
            </w:r>
          </w:p>
        </w:tc>
        <w:tc>
          <w:tcPr>
            <w:tcW w:w="679" w:type="dxa"/>
            <w:vAlign w:val="center"/>
          </w:tcPr>
          <w:p w:rsidR="00681820" w:rsidRPr="00DE033A" w:rsidRDefault="00681820" w:rsidP="00681820">
            <w:pPr>
              <w:spacing w:line="330" w:lineRule="exact"/>
              <w:jc w:val="center"/>
              <w:rPr>
                <w:rFonts w:ascii="微軟正黑體" w:eastAsia="微軟正黑體" w:hAnsi="微軟正黑體"/>
                <w:color w:val="000000" w:themeColor="text1"/>
                <w:sz w:val="20"/>
                <w:szCs w:val="20"/>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26</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181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Pr>
                <w:rFonts w:ascii="微軟正黑體" w:eastAsia="微軟正黑體" w:hAnsi="微軟正黑體" w:hint="eastAsia"/>
                <w:sz w:val="20"/>
                <w:szCs w:val="20"/>
              </w:rPr>
              <w:t>51</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n</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a</w:t>
            </w:r>
            <w:r w:rsidRPr="00203791">
              <w:rPr>
                <w:rFonts w:ascii="微軟正黑體" w:eastAsia="微軟正黑體" w:hAnsi="微軟正黑體"/>
                <w:color w:val="000000" w:themeColor="text1"/>
                <w:sz w:val="20"/>
                <w:szCs w:val="20"/>
              </w:rPr>
              <w:t>.</w:t>
            </w:r>
          </w:p>
        </w:tc>
        <w:tc>
          <w:tcPr>
            <w:tcW w:w="685" w:type="dxa"/>
            <w:vAlign w:val="center"/>
          </w:tcPr>
          <w:p w:rsidR="00681820" w:rsidRPr="00C06D60" w:rsidRDefault="00681820" w:rsidP="00681820">
            <w:pPr>
              <w:spacing w:line="330" w:lineRule="exact"/>
              <w:jc w:val="center"/>
              <w:rPr>
                <w:rFonts w:ascii="微軟正黑體" w:eastAsia="微軟正黑體" w:hAnsi="微軟正黑體"/>
                <w:color w:val="0000FF"/>
                <w:sz w:val="20"/>
                <w:szCs w:val="20"/>
                <w:highlight w:val="yellow"/>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1999</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68</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29.5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44</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186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Pr>
                <w:rFonts w:ascii="微軟正黑體" w:eastAsia="微軟正黑體" w:hAnsi="微軟正黑體" w:hint="eastAsia"/>
                <w:sz w:val="20"/>
                <w:szCs w:val="20"/>
              </w:rPr>
              <w:t>50</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n</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a</w:t>
            </w:r>
            <w:r w:rsidRPr="00203791">
              <w:rPr>
                <w:rFonts w:ascii="微軟正黑體" w:eastAsia="微軟正黑體" w:hAnsi="微軟正黑體"/>
                <w:color w:val="000000" w:themeColor="text1"/>
                <w:sz w:val="20"/>
                <w:szCs w:val="20"/>
              </w:rPr>
              <w:t>.</w:t>
            </w:r>
          </w:p>
        </w:tc>
        <w:tc>
          <w:tcPr>
            <w:tcW w:w="685" w:type="dxa"/>
            <w:vAlign w:val="center"/>
          </w:tcPr>
          <w:p w:rsidR="00681820" w:rsidRPr="00C06D60" w:rsidRDefault="00681820" w:rsidP="00681820">
            <w:pPr>
              <w:spacing w:line="330" w:lineRule="exact"/>
              <w:jc w:val="center"/>
              <w:rPr>
                <w:rFonts w:ascii="微軟正黑體" w:eastAsia="微軟正黑體" w:hAnsi="微軟正黑體"/>
                <w:color w:val="0000FF"/>
                <w:sz w:val="20"/>
                <w:szCs w:val="20"/>
                <w:highlight w:val="yellow"/>
              </w:rPr>
            </w:pPr>
            <w:r w:rsidRPr="00DE033A">
              <w:rPr>
                <w:rFonts w:ascii="微軟正黑體" w:eastAsia="微軟正黑體" w:hAnsi="微軟正黑體" w:hint="eastAsia"/>
                <w:color w:val="000000" w:themeColor="text1"/>
                <w:sz w:val="20"/>
                <w:szCs w:val="20"/>
              </w:rPr>
              <w:t>n</w:t>
            </w:r>
            <w:r w:rsidRPr="00DE033A">
              <w:rPr>
                <w:rFonts w:ascii="微軟正黑體" w:eastAsia="微軟正黑體" w:hAnsi="微軟正黑體"/>
                <w:color w:val="000000" w:themeColor="text1"/>
                <w:sz w:val="20"/>
                <w:szCs w:val="20"/>
              </w:rPr>
              <w:t>.</w:t>
            </w:r>
            <w:r w:rsidRPr="00DE033A">
              <w:rPr>
                <w:rFonts w:ascii="微軟正黑體" w:eastAsia="微軟正黑體" w:hAnsi="微軟正黑體" w:hint="eastAsia"/>
                <w:color w:val="000000" w:themeColor="text1"/>
                <w:sz w:val="20"/>
                <w:szCs w:val="20"/>
              </w:rPr>
              <w:t>a</w:t>
            </w:r>
            <w:r w:rsidRPr="00DE033A">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2000</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34</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62</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192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Pr>
                <w:rFonts w:ascii="微軟正黑體" w:eastAsia="微軟正黑體" w:hAnsi="微軟正黑體" w:hint="eastAsia"/>
                <w:sz w:val="20"/>
                <w:szCs w:val="20"/>
              </w:rPr>
              <w:t>5</w:t>
            </w:r>
            <w:r>
              <w:rPr>
                <w:rFonts w:ascii="微軟正黑體" w:eastAsia="微軟正黑體" w:hAnsi="微軟正黑體"/>
                <w:sz w:val="20"/>
                <w:szCs w:val="20"/>
              </w:rPr>
              <w:t>.</w:t>
            </w:r>
            <w:r>
              <w:rPr>
                <w:rFonts w:ascii="微軟正黑體" w:eastAsia="微軟正黑體" w:hAnsi="微軟正黑體" w:hint="eastAsia"/>
                <w:sz w:val="20"/>
                <w:szCs w:val="20"/>
              </w:rPr>
              <w:t>55</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n</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a</w:t>
            </w:r>
          </w:p>
        </w:tc>
        <w:tc>
          <w:tcPr>
            <w:tcW w:w="685" w:type="dxa"/>
            <w:vAlign w:val="center"/>
          </w:tcPr>
          <w:p w:rsidR="00681820" w:rsidRPr="0024570E" w:rsidRDefault="00681820" w:rsidP="00681820">
            <w:pPr>
              <w:spacing w:line="330" w:lineRule="exact"/>
              <w:jc w:val="center"/>
              <w:rPr>
                <w:rFonts w:ascii="微軟正黑體" w:eastAsia="微軟正黑體" w:hAnsi="微軟正黑體"/>
                <w:color w:val="000000" w:themeColor="text1"/>
                <w:sz w:val="20"/>
                <w:szCs w:val="20"/>
              </w:rPr>
            </w:pPr>
            <w:r w:rsidRPr="0024570E">
              <w:rPr>
                <w:rFonts w:ascii="微軟正黑體" w:eastAsia="微軟正黑體" w:hAnsi="微軟正黑體" w:hint="eastAsia"/>
                <w:color w:val="000000" w:themeColor="text1"/>
                <w:sz w:val="20"/>
                <w:szCs w:val="20"/>
              </w:rPr>
              <w:t>n</w:t>
            </w:r>
            <w:r w:rsidRPr="0024570E">
              <w:rPr>
                <w:rFonts w:ascii="微軟正黑體" w:eastAsia="微軟正黑體" w:hAnsi="微軟正黑體"/>
                <w:color w:val="000000" w:themeColor="text1"/>
                <w:sz w:val="20"/>
                <w:szCs w:val="20"/>
              </w:rPr>
              <w:t>.</w:t>
            </w:r>
            <w:r w:rsidRPr="0024570E">
              <w:rPr>
                <w:rFonts w:ascii="微軟正黑體" w:eastAsia="微軟正黑體" w:hAnsi="微軟正黑體" w:hint="eastAsia"/>
                <w:color w:val="000000" w:themeColor="text1"/>
                <w:sz w:val="20"/>
                <w:szCs w:val="20"/>
              </w:rPr>
              <w:t>a</w:t>
            </w:r>
            <w:r w:rsidRPr="0024570E">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2001</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02</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81</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197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Pr>
                <w:rFonts w:ascii="微軟正黑體" w:eastAsia="微軟正黑體" w:hAnsi="微軟正黑體" w:hint="eastAsia"/>
                <w:sz w:val="20"/>
                <w:szCs w:val="20"/>
              </w:rPr>
              <w:t>39</w:t>
            </w:r>
          </w:p>
        </w:tc>
        <w:tc>
          <w:tcPr>
            <w:tcW w:w="680" w:type="dxa"/>
            <w:vAlign w:val="center"/>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40</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7</w:t>
            </w:r>
          </w:p>
        </w:tc>
        <w:tc>
          <w:tcPr>
            <w:tcW w:w="685" w:type="dxa"/>
            <w:vAlign w:val="center"/>
          </w:tcPr>
          <w:p w:rsidR="00681820" w:rsidRPr="0024570E" w:rsidRDefault="00681820" w:rsidP="00681820">
            <w:pPr>
              <w:spacing w:line="330" w:lineRule="exact"/>
              <w:jc w:val="center"/>
              <w:rPr>
                <w:rFonts w:ascii="微軟正黑體" w:eastAsia="微軟正黑體" w:hAnsi="微軟正黑體"/>
                <w:color w:val="000000" w:themeColor="text1"/>
                <w:sz w:val="20"/>
                <w:szCs w:val="20"/>
              </w:rPr>
            </w:pPr>
            <w:r w:rsidRPr="0024570E">
              <w:rPr>
                <w:rFonts w:ascii="微軟正黑體" w:eastAsia="微軟正黑體" w:hAnsi="微軟正黑體" w:hint="eastAsia"/>
                <w:color w:val="000000" w:themeColor="text1"/>
                <w:sz w:val="20"/>
                <w:szCs w:val="20"/>
              </w:rPr>
              <w:t>n</w:t>
            </w:r>
            <w:r w:rsidRPr="0024570E">
              <w:rPr>
                <w:rFonts w:ascii="微軟正黑體" w:eastAsia="微軟正黑體" w:hAnsi="微軟正黑體"/>
                <w:color w:val="000000" w:themeColor="text1"/>
                <w:sz w:val="20"/>
                <w:szCs w:val="20"/>
              </w:rPr>
              <w:t>.</w:t>
            </w:r>
            <w:r w:rsidRPr="0024570E">
              <w:rPr>
                <w:rFonts w:ascii="微軟正黑體" w:eastAsia="微軟正黑體" w:hAnsi="微軟正黑體" w:hint="eastAsia"/>
                <w:color w:val="000000" w:themeColor="text1"/>
                <w:sz w:val="20"/>
                <w:szCs w:val="20"/>
              </w:rPr>
              <w:t>a</w:t>
            </w:r>
            <w:r w:rsidRPr="0024570E">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2002</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05</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02</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Pr>
                <w:rFonts w:ascii="微軟正黑體" w:eastAsia="微軟正黑體" w:hAnsi="微軟正黑體"/>
                <w:sz w:val="20"/>
                <w:szCs w:val="20"/>
              </w:rPr>
              <w:t>.</w:t>
            </w:r>
            <w:r>
              <w:rPr>
                <w:rFonts w:ascii="微軟正黑體" w:eastAsia="微軟正黑體" w:hAnsi="微軟正黑體" w:hint="eastAsia"/>
                <w:sz w:val="20"/>
                <w:szCs w:val="20"/>
              </w:rPr>
              <w:t>16</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39</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8</w:t>
            </w:r>
          </w:p>
        </w:tc>
        <w:tc>
          <w:tcPr>
            <w:tcW w:w="685" w:type="dxa"/>
            <w:vAlign w:val="center"/>
          </w:tcPr>
          <w:p w:rsidR="00681820" w:rsidRPr="0024570E" w:rsidRDefault="00681820" w:rsidP="00681820">
            <w:pPr>
              <w:spacing w:line="330" w:lineRule="exact"/>
              <w:jc w:val="center"/>
              <w:rPr>
                <w:rFonts w:ascii="微軟正黑體" w:eastAsia="微軟正黑體" w:hAnsi="微軟正黑體"/>
                <w:color w:val="000000" w:themeColor="text1"/>
                <w:sz w:val="20"/>
                <w:szCs w:val="20"/>
              </w:rPr>
            </w:pPr>
            <w:r w:rsidRPr="0024570E">
              <w:rPr>
                <w:rFonts w:ascii="微軟正黑體" w:eastAsia="微軟正黑體" w:hAnsi="微軟正黑體" w:hint="eastAsia"/>
                <w:color w:val="000000" w:themeColor="text1"/>
                <w:sz w:val="20"/>
                <w:szCs w:val="20"/>
              </w:rPr>
              <w:t>n</w:t>
            </w:r>
            <w:r w:rsidRPr="0024570E">
              <w:rPr>
                <w:rFonts w:ascii="微軟正黑體" w:eastAsia="微軟正黑體" w:hAnsi="微軟正黑體"/>
                <w:color w:val="000000" w:themeColor="text1"/>
                <w:sz w:val="20"/>
                <w:szCs w:val="20"/>
              </w:rPr>
              <w:t>.</w:t>
            </w:r>
            <w:r w:rsidRPr="0024570E">
              <w:rPr>
                <w:rFonts w:ascii="微軟正黑體" w:eastAsia="微軟正黑體" w:hAnsi="微軟正黑體" w:hint="eastAsia"/>
                <w:color w:val="000000" w:themeColor="text1"/>
                <w:sz w:val="20"/>
                <w:szCs w:val="20"/>
              </w:rPr>
              <w:t>a</w:t>
            </w:r>
            <w:r w:rsidRPr="0024570E">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2003</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76</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r>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24</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Pr>
                <w:rFonts w:ascii="微軟正黑體" w:eastAsia="微軟正黑體" w:hAnsi="微軟正黑體"/>
                <w:sz w:val="20"/>
                <w:szCs w:val="20"/>
              </w:rPr>
              <w:t>.</w:t>
            </w:r>
            <w:r>
              <w:rPr>
                <w:rFonts w:ascii="微軟正黑體" w:eastAsia="微軟正黑體" w:hAnsi="微軟正黑體" w:hint="eastAsia"/>
                <w:sz w:val="20"/>
                <w:szCs w:val="20"/>
              </w:rPr>
              <w:t>07</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n</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a</w:t>
            </w:r>
            <w:r w:rsidRPr="00203791">
              <w:rPr>
                <w:rFonts w:ascii="微軟正黑體" w:eastAsia="微軟正黑體" w:hAnsi="微軟正黑體"/>
                <w:color w:val="000000" w:themeColor="text1"/>
                <w:sz w:val="20"/>
                <w:szCs w:val="20"/>
              </w:rPr>
              <w:t>.</w:t>
            </w:r>
          </w:p>
        </w:tc>
        <w:tc>
          <w:tcPr>
            <w:tcW w:w="685" w:type="dxa"/>
            <w:vAlign w:val="center"/>
          </w:tcPr>
          <w:p w:rsidR="00681820" w:rsidRPr="0024570E" w:rsidRDefault="00681820" w:rsidP="00681820">
            <w:pPr>
              <w:spacing w:line="330" w:lineRule="exact"/>
              <w:jc w:val="center"/>
              <w:rPr>
                <w:rFonts w:ascii="微軟正黑體" w:eastAsia="微軟正黑體" w:hAnsi="微軟正黑體"/>
                <w:color w:val="000000" w:themeColor="text1"/>
                <w:sz w:val="20"/>
                <w:szCs w:val="20"/>
              </w:rPr>
            </w:pPr>
            <w:r w:rsidRPr="0024570E">
              <w:rPr>
                <w:rFonts w:ascii="微軟正黑體" w:eastAsia="微軟正黑體" w:hAnsi="微軟正黑體" w:hint="eastAsia"/>
                <w:color w:val="000000" w:themeColor="text1"/>
                <w:sz w:val="20"/>
                <w:szCs w:val="20"/>
              </w:rPr>
              <w:t>n</w:t>
            </w:r>
            <w:r w:rsidRPr="0024570E">
              <w:rPr>
                <w:rFonts w:ascii="微軟正黑體" w:eastAsia="微軟正黑體" w:hAnsi="微軟正黑體"/>
                <w:color w:val="000000" w:themeColor="text1"/>
                <w:sz w:val="20"/>
                <w:szCs w:val="20"/>
              </w:rPr>
              <w:t>.</w:t>
            </w:r>
            <w:r w:rsidRPr="0024570E">
              <w:rPr>
                <w:rFonts w:ascii="微軟正黑體" w:eastAsia="微軟正黑體" w:hAnsi="微軟正黑體" w:hint="eastAsia"/>
                <w:color w:val="000000" w:themeColor="text1"/>
                <w:sz w:val="20"/>
                <w:szCs w:val="20"/>
              </w:rPr>
              <w:t>a</w:t>
            </w:r>
            <w:r w:rsidRPr="0024570E">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2004</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15</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48</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215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Pr>
                <w:rFonts w:ascii="微軟正黑體" w:eastAsia="微軟正黑體" w:hAnsi="微軟正黑體"/>
                <w:sz w:val="20"/>
                <w:szCs w:val="20"/>
              </w:rPr>
              <w:t>.</w:t>
            </w:r>
            <w:r>
              <w:rPr>
                <w:rFonts w:ascii="微軟正黑體" w:eastAsia="微軟正黑體" w:hAnsi="微軟正黑體" w:hint="eastAsia"/>
                <w:sz w:val="20"/>
                <w:szCs w:val="20"/>
              </w:rPr>
              <w:t>03</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n</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a</w:t>
            </w:r>
            <w:r w:rsidRPr="00203791">
              <w:rPr>
                <w:rFonts w:ascii="微軟正黑體" w:eastAsia="微軟正黑體" w:hAnsi="微軟正黑體"/>
                <w:color w:val="000000" w:themeColor="text1"/>
                <w:sz w:val="20"/>
                <w:szCs w:val="20"/>
              </w:rPr>
              <w:t>.</w:t>
            </w:r>
          </w:p>
        </w:tc>
        <w:tc>
          <w:tcPr>
            <w:tcW w:w="685" w:type="dxa"/>
            <w:vAlign w:val="center"/>
          </w:tcPr>
          <w:p w:rsidR="00681820" w:rsidRPr="0024570E" w:rsidRDefault="00681820" w:rsidP="00681820">
            <w:pPr>
              <w:spacing w:line="330" w:lineRule="exact"/>
              <w:jc w:val="center"/>
              <w:rPr>
                <w:rFonts w:ascii="微軟正黑體" w:eastAsia="微軟正黑體" w:hAnsi="微軟正黑體"/>
                <w:color w:val="000000" w:themeColor="text1"/>
                <w:sz w:val="20"/>
                <w:szCs w:val="20"/>
              </w:rPr>
            </w:pPr>
            <w:r w:rsidRPr="0024570E">
              <w:rPr>
                <w:rFonts w:ascii="微軟正黑體" w:eastAsia="微軟正黑體" w:hAnsi="微軟正黑體" w:hint="eastAsia"/>
                <w:color w:val="000000" w:themeColor="text1"/>
                <w:sz w:val="20"/>
                <w:szCs w:val="20"/>
              </w:rPr>
              <w:t>n</w:t>
            </w:r>
            <w:r w:rsidRPr="0024570E">
              <w:rPr>
                <w:rFonts w:ascii="微軟正黑體" w:eastAsia="微軟正黑體" w:hAnsi="微軟正黑體"/>
                <w:color w:val="000000" w:themeColor="text1"/>
                <w:sz w:val="20"/>
                <w:szCs w:val="20"/>
              </w:rPr>
              <w:t>.</w:t>
            </w:r>
            <w:r w:rsidRPr="0024570E">
              <w:rPr>
                <w:rFonts w:ascii="微軟正黑體" w:eastAsia="微軟正黑體" w:hAnsi="微軟正黑體" w:hint="eastAsia"/>
                <w:color w:val="000000" w:themeColor="text1"/>
                <w:sz w:val="20"/>
                <w:szCs w:val="20"/>
              </w:rPr>
              <w:t>a</w:t>
            </w:r>
            <w:r w:rsidRPr="0024570E">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2005</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80</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70</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221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Pr>
                <w:rFonts w:ascii="微軟正黑體" w:eastAsia="微軟正黑體" w:hAnsi="微軟正黑體" w:hint="eastAsia"/>
                <w:sz w:val="20"/>
                <w:szCs w:val="20"/>
              </w:rPr>
              <w:t>6</w:t>
            </w:r>
            <w:r>
              <w:rPr>
                <w:rFonts w:ascii="微軟正黑體" w:eastAsia="微軟正黑體" w:hAnsi="微軟正黑體"/>
                <w:sz w:val="20"/>
                <w:szCs w:val="20"/>
              </w:rPr>
              <w:t>.</w:t>
            </w:r>
            <w:r>
              <w:rPr>
                <w:rFonts w:ascii="微軟正黑體" w:eastAsia="微軟正黑體" w:hAnsi="微軟正黑體" w:hint="eastAsia"/>
                <w:sz w:val="20"/>
                <w:szCs w:val="20"/>
              </w:rPr>
              <w:t>04</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48</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3</w:t>
            </w:r>
          </w:p>
        </w:tc>
        <w:tc>
          <w:tcPr>
            <w:tcW w:w="685" w:type="dxa"/>
            <w:vAlign w:val="center"/>
          </w:tcPr>
          <w:p w:rsidR="00681820" w:rsidRPr="0024570E" w:rsidRDefault="00681820" w:rsidP="00681820">
            <w:pPr>
              <w:spacing w:line="330" w:lineRule="exact"/>
              <w:jc w:val="center"/>
              <w:rPr>
                <w:rFonts w:ascii="微軟正黑體" w:eastAsia="微軟正黑體" w:hAnsi="微軟正黑體"/>
                <w:color w:val="000000" w:themeColor="text1"/>
                <w:sz w:val="20"/>
                <w:szCs w:val="20"/>
              </w:rPr>
            </w:pPr>
            <w:r w:rsidRPr="0024570E">
              <w:rPr>
                <w:rFonts w:ascii="微軟正黑體" w:eastAsia="微軟正黑體" w:hAnsi="微軟正黑體" w:hint="eastAsia"/>
                <w:color w:val="000000" w:themeColor="text1"/>
                <w:sz w:val="20"/>
                <w:szCs w:val="20"/>
              </w:rPr>
              <w:t>n</w:t>
            </w:r>
            <w:r w:rsidRPr="0024570E">
              <w:rPr>
                <w:rFonts w:ascii="微軟正黑體" w:eastAsia="微軟正黑體" w:hAnsi="微軟正黑體"/>
                <w:color w:val="000000" w:themeColor="text1"/>
                <w:sz w:val="20"/>
                <w:szCs w:val="20"/>
              </w:rPr>
              <w:t>.</w:t>
            </w:r>
            <w:r w:rsidRPr="0024570E">
              <w:rPr>
                <w:rFonts w:ascii="微軟正黑體" w:eastAsia="微軟正黑體" w:hAnsi="微軟正黑體" w:hint="eastAsia"/>
                <w:color w:val="000000" w:themeColor="text1"/>
                <w:sz w:val="20"/>
                <w:szCs w:val="20"/>
              </w:rPr>
              <w:t>a</w:t>
            </w:r>
            <w:r w:rsidRPr="0024570E">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2006</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45</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228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01</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47</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3</w:t>
            </w:r>
          </w:p>
        </w:tc>
        <w:tc>
          <w:tcPr>
            <w:tcW w:w="685" w:type="dxa"/>
          </w:tcPr>
          <w:p w:rsidR="00681820" w:rsidRPr="0024570E" w:rsidRDefault="00681820" w:rsidP="00681820">
            <w:pPr>
              <w:spacing w:line="330" w:lineRule="exact"/>
              <w:jc w:val="center"/>
              <w:rPr>
                <w:rFonts w:ascii="微軟正黑體" w:eastAsia="微軟正黑體" w:hAnsi="微軟正黑體"/>
                <w:color w:val="000000" w:themeColor="text1"/>
                <w:sz w:val="20"/>
                <w:szCs w:val="20"/>
              </w:rPr>
            </w:pPr>
            <w:r w:rsidRPr="0024570E">
              <w:rPr>
                <w:rFonts w:ascii="微軟正黑體" w:eastAsia="微軟正黑體" w:hAnsi="微軟正黑體" w:hint="eastAsia"/>
                <w:color w:val="000000" w:themeColor="text1"/>
                <w:sz w:val="20"/>
                <w:szCs w:val="20"/>
              </w:rPr>
              <w:t>n</w:t>
            </w:r>
            <w:r w:rsidRPr="0024570E">
              <w:rPr>
                <w:rFonts w:ascii="微軟正黑體" w:eastAsia="微軟正黑體" w:hAnsi="微軟正黑體"/>
                <w:color w:val="000000" w:themeColor="text1"/>
                <w:sz w:val="20"/>
                <w:szCs w:val="20"/>
              </w:rPr>
              <w:t>.</w:t>
            </w:r>
            <w:r w:rsidRPr="0024570E">
              <w:rPr>
                <w:rFonts w:ascii="微軟正黑體" w:eastAsia="微軟正黑體" w:hAnsi="微軟正黑體" w:hint="eastAsia"/>
                <w:color w:val="000000" w:themeColor="text1"/>
                <w:sz w:val="20"/>
                <w:szCs w:val="20"/>
              </w:rPr>
              <w:t>a</w:t>
            </w:r>
            <w:r w:rsidRPr="0024570E">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2007</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29</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234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98</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47</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5</w:t>
            </w:r>
          </w:p>
        </w:tc>
        <w:tc>
          <w:tcPr>
            <w:tcW w:w="685" w:type="dxa"/>
          </w:tcPr>
          <w:p w:rsidR="00681820" w:rsidRPr="0024570E" w:rsidRDefault="00681820" w:rsidP="00681820">
            <w:pPr>
              <w:spacing w:line="330" w:lineRule="exact"/>
              <w:jc w:val="center"/>
              <w:rPr>
                <w:rFonts w:ascii="微軟正黑體" w:eastAsia="微軟正黑體" w:hAnsi="微軟正黑體"/>
                <w:color w:val="000000" w:themeColor="text1"/>
                <w:sz w:val="20"/>
                <w:szCs w:val="20"/>
              </w:rPr>
            </w:pPr>
            <w:r w:rsidRPr="0024570E">
              <w:rPr>
                <w:rFonts w:ascii="微軟正黑體" w:eastAsia="微軟正黑體" w:hAnsi="微軟正黑體" w:hint="eastAsia"/>
                <w:color w:val="000000" w:themeColor="text1"/>
                <w:sz w:val="20"/>
                <w:szCs w:val="20"/>
              </w:rPr>
              <w:t>n</w:t>
            </w:r>
            <w:r w:rsidRPr="0024570E">
              <w:rPr>
                <w:rFonts w:ascii="微軟正黑體" w:eastAsia="微軟正黑體" w:hAnsi="微軟正黑體"/>
                <w:color w:val="000000" w:themeColor="text1"/>
                <w:sz w:val="20"/>
                <w:szCs w:val="20"/>
              </w:rPr>
              <w:t>.</w:t>
            </w:r>
            <w:r w:rsidRPr="0024570E">
              <w:rPr>
                <w:rFonts w:ascii="微軟正黑體" w:eastAsia="微軟正黑體" w:hAnsi="微軟正黑體" w:hint="eastAsia"/>
                <w:color w:val="000000" w:themeColor="text1"/>
                <w:sz w:val="20"/>
                <w:szCs w:val="20"/>
              </w:rPr>
              <w:t>a</w:t>
            </w:r>
            <w:r w:rsidRPr="0024570E">
              <w:rPr>
                <w:rFonts w:ascii="微軟正黑體" w:eastAsia="微軟正黑體" w:hAnsi="微軟正黑體"/>
                <w:color w:val="000000" w:themeColor="text1"/>
                <w:sz w:val="20"/>
                <w:szCs w:val="20"/>
              </w:rPr>
              <w:t>.</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2008</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86</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240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05</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45</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7</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16</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2009</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49</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34</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46</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2</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15</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2010</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83</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248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19</w:t>
            </w:r>
          </w:p>
        </w:tc>
        <w:tc>
          <w:tcPr>
            <w:tcW w:w="680" w:type="dxa"/>
            <w:vAlign w:val="center"/>
          </w:tcPr>
          <w:p w:rsidR="00681820" w:rsidRPr="00203791" w:rsidRDefault="00681820" w:rsidP="00681820">
            <w:pPr>
              <w:spacing w:line="330" w:lineRule="exact"/>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46</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7</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16</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2011</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44</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252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17</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45</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6</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17</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2012</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91</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260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13</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47</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7</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2013</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04</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269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08</w:t>
            </w:r>
          </w:p>
        </w:tc>
        <w:tc>
          <w:tcPr>
            <w:tcW w:w="680" w:type="dxa"/>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49</w:t>
            </w:r>
            <w:r w:rsidRPr="00203791">
              <w:rPr>
                <w:rFonts w:ascii="微軟正黑體" w:eastAsia="微軟正黑體" w:hAnsi="微軟正黑體"/>
                <w:color w:val="000000" w:themeColor="text1"/>
                <w:sz w:val="20"/>
                <w:szCs w:val="20"/>
              </w:rPr>
              <w:t>.</w:t>
            </w:r>
            <w:r w:rsidRPr="00203791">
              <w:rPr>
                <w:rFonts w:ascii="微軟正黑體" w:eastAsia="微軟正黑體" w:hAnsi="微軟正黑體" w:hint="eastAsia"/>
                <w:color w:val="000000" w:themeColor="text1"/>
                <w:sz w:val="20"/>
                <w:szCs w:val="20"/>
              </w:rPr>
              <w:t>4</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2014</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47</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280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Pr>
                <w:rFonts w:ascii="微軟正黑體" w:eastAsia="微軟正黑體" w:hAnsi="微軟正黑體" w:hint="eastAsia"/>
                <w:sz w:val="20"/>
                <w:szCs w:val="20"/>
              </w:rPr>
              <w:t>53</w:t>
            </w:r>
            <w:r>
              <w:rPr>
                <w:rFonts w:ascii="微軟正黑體" w:eastAsia="微軟正黑體" w:hAnsi="微軟正黑體"/>
                <w:sz w:val="20"/>
                <w:szCs w:val="20"/>
              </w:rPr>
              <w:t>.</w:t>
            </w:r>
            <w:r>
              <w:rPr>
                <w:rFonts w:ascii="微軟正黑體" w:eastAsia="微軟正黑體" w:hAnsi="微軟正黑體" w:hint="eastAsia"/>
                <w:sz w:val="20"/>
                <w:szCs w:val="20"/>
              </w:rPr>
              <w:t>1</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2015</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90</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293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Pr>
                <w:rFonts w:ascii="微軟正黑體" w:eastAsia="微軟正黑體" w:hAnsi="微軟正黑體" w:hint="eastAsia"/>
                <w:sz w:val="20"/>
                <w:szCs w:val="20"/>
              </w:rPr>
              <w:t>52</w:t>
            </w:r>
            <w:r>
              <w:rPr>
                <w:rFonts w:ascii="微軟正黑體" w:eastAsia="微軟正黑體" w:hAnsi="微軟正黑體"/>
                <w:sz w:val="20"/>
                <w:szCs w:val="20"/>
              </w:rPr>
              <w:t>.</w:t>
            </w:r>
            <w:r>
              <w:rPr>
                <w:rFonts w:ascii="微軟正黑體" w:eastAsia="微軟正黑體" w:hAnsi="微軟正黑體" w:hint="eastAsia"/>
                <w:sz w:val="20"/>
                <w:szCs w:val="20"/>
              </w:rPr>
              <w:t>5</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2016</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93</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2</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310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w:t>
            </w:r>
            <w:r>
              <w:rPr>
                <w:rFonts w:ascii="微軟正黑體" w:eastAsia="微軟正黑體" w:hAnsi="微軟正黑體" w:hint="eastAsia"/>
                <w:sz w:val="20"/>
                <w:szCs w:val="20"/>
              </w:rPr>
              <w:t>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2017</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44</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92</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2018</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18</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4</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70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343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54</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22</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2019</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96</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71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17</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15</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360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46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32</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88</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10</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8</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20</w:t>
            </w:r>
          </w:p>
        </w:tc>
      </w:tr>
      <w:tr w:rsidR="00681820" w:rsidRPr="00A027F2" w:rsidTr="00681820">
        <w:trPr>
          <w:jc w:val="center"/>
        </w:trPr>
        <w:tc>
          <w:tcPr>
            <w:tcW w:w="713" w:type="dxa"/>
            <w:vAlign w:val="center"/>
          </w:tcPr>
          <w:p w:rsidR="00681820" w:rsidRPr="00C06D60" w:rsidRDefault="00681820" w:rsidP="00681820">
            <w:pPr>
              <w:spacing w:line="330" w:lineRule="exact"/>
              <w:ind w:rightChars="-42" w:right="-101"/>
              <w:jc w:val="both"/>
              <w:rPr>
                <w:rFonts w:ascii="微軟正黑體" w:eastAsia="微軟正黑體" w:hAnsi="微軟正黑體"/>
                <w:sz w:val="20"/>
                <w:szCs w:val="20"/>
              </w:rPr>
            </w:pPr>
            <w:r w:rsidRPr="00C06D60">
              <w:rPr>
                <w:rFonts w:ascii="微軟正黑體" w:eastAsia="微軟正黑體" w:hAnsi="微軟正黑體" w:hint="eastAsia"/>
                <w:sz w:val="20"/>
                <w:szCs w:val="20"/>
              </w:rPr>
              <w:t>2020</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12</w:t>
            </w:r>
          </w:p>
        </w:tc>
        <w:tc>
          <w:tcPr>
            <w:tcW w:w="679"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54</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0</w:t>
            </w:r>
          </w:p>
        </w:tc>
        <w:tc>
          <w:tcPr>
            <w:tcW w:w="678"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71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0</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99</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5</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w:t>
            </w:r>
          </w:p>
        </w:tc>
        <w:tc>
          <w:tcPr>
            <w:tcW w:w="794"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378</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7</w:t>
            </w:r>
          </w:p>
        </w:tc>
        <w:tc>
          <w:tcPr>
            <w:tcW w:w="680" w:type="dxa"/>
            <w:vAlign w:val="center"/>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hint="eastAsia"/>
                <w:color w:val="000000" w:themeColor="text1"/>
                <w:sz w:val="20"/>
                <w:szCs w:val="20"/>
              </w:rPr>
              <w:t>n</w:t>
            </w:r>
            <w:r w:rsidRPr="00203791">
              <w:rPr>
                <w:rFonts w:ascii="微軟正黑體" w:eastAsia="微軟正黑體" w:hAnsi="微軟正黑體"/>
                <w:color w:val="000000" w:themeColor="text1"/>
                <w:sz w:val="20"/>
                <w:szCs w:val="20"/>
              </w:rPr>
              <w:t>.a.</w:t>
            </w:r>
          </w:p>
        </w:tc>
        <w:tc>
          <w:tcPr>
            <w:tcW w:w="680" w:type="dxa"/>
            <w:vAlign w:val="center"/>
          </w:tcPr>
          <w:p w:rsidR="00681820" w:rsidRPr="00203791" w:rsidRDefault="00681820" w:rsidP="00681820">
            <w:pPr>
              <w:spacing w:line="330" w:lineRule="exact"/>
              <w:jc w:val="center"/>
              <w:rPr>
                <w:rFonts w:ascii="微軟正黑體" w:eastAsia="微軟正黑體" w:hAnsi="微軟正黑體"/>
                <w:color w:val="000000" w:themeColor="text1"/>
                <w:sz w:val="20"/>
                <w:szCs w:val="20"/>
              </w:rPr>
            </w:pPr>
            <w:r w:rsidRPr="00203791">
              <w:rPr>
                <w:rFonts w:ascii="微軟正黑體" w:eastAsia="微軟正黑體" w:hAnsi="微軟正黑體"/>
                <w:color w:val="000000" w:themeColor="text1"/>
                <w:sz w:val="20"/>
                <w:szCs w:val="20"/>
              </w:rPr>
              <w:t>n.a.</w:t>
            </w:r>
          </w:p>
        </w:tc>
        <w:tc>
          <w:tcPr>
            <w:tcW w:w="680" w:type="dxa"/>
            <w:vAlign w:val="center"/>
          </w:tcPr>
          <w:p w:rsidR="00681820" w:rsidRPr="00C06D60" w:rsidRDefault="00681820" w:rsidP="00681820">
            <w:pPr>
              <w:spacing w:line="330" w:lineRule="exact"/>
              <w:ind w:leftChars="-50" w:left="-120" w:rightChars="-50" w:right="-120"/>
              <w:jc w:val="center"/>
              <w:rPr>
                <w:rFonts w:ascii="微軟正黑體" w:eastAsia="微軟正黑體" w:hAnsi="微軟正黑體"/>
                <w:sz w:val="20"/>
                <w:szCs w:val="20"/>
              </w:rPr>
            </w:pPr>
            <w:r w:rsidRPr="00C06D60">
              <w:rPr>
                <w:rFonts w:ascii="微軟正黑體" w:eastAsia="微軟正黑體" w:hAnsi="微軟正黑體" w:hint="eastAsia"/>
                <w:sz w:val="20"/>
                <w:szCs w:val="20"/>
              </w:rPr>
              <w:t>11</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61</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6</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13</w:t>
            </w:r>
          </w:p>
        </w:tc>
        <w:tc>
          <w:tcPr>
            <w:tcW w:w="680"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59</w:t>
            </w:r>
            <w:r w:rsidRPr="00C06D60">
              <w:rPr>
                <w:rFonts w:ascii="微軟正黑體" w:eastAsia="微軟正黑體" w:hAnsi="微軟正黑體"/>
                <w:sz w:val="20"/>
                <w:szCs w:val="20"/>
              </w:rPr>
              <w:t>.</w:t>
            </w:r>
            <w:r w:rsidRPr="00C06D60">
              <w:rPr>
                <w:rFonts w:ascii="微軟正黑體" w:eastAsia="微軟正黑體" w:hAnsi="微軟正黑體" w:hint="eastAsia"/>
                <w:sz w:val="20"/>
                <w:szCs w:val="20"/>
              </w:rPr>
              <w:t>3</w:t>
            </w:r>
          </w:p>
        </w:tc>
        <w:tc>
          <w:tcPr>
            <w:tcW w:w="685" w:type="dxa"/>
            <w:vAlign w:val="center"/>
          </w:tcPr>
          <w:p w:rsidR="00681820" w:rsidRPr="00C06D60" w:rsidRDefault="00681820" w:rsidP="00681820">
            <w:pPr>
              <w:spacing w:line="330" w:lineRule="exact"/>
              <w:jc w:val="center"/>
              <w:rPr>
                <w:rFonts w:ascii="微軟正黑體" w:eastAsia="微軟正黑體" w:hAnsi="微軟正黑體"/>
                <w:sz w:val="20"/>
                <w:szCs w:val="20"/>
              </w:rPr>
            </w:pPr>
            <w:r w:rsidRPr="00C06D60">
              <w:rPr>
                <w:rFonts w:ascii="微軟正黑體" w:eastAsia="微軟正黑體" w:hAnsi="微軟正黑體" w:hint="eastAsia"/>
                <w:sz w:val="20"/>
                <w:szCs w:val="20"/>
              </w:rPr>
              <w:t>22</w:t>
            </w:r>
          </w:p>
        </w:tc>
      </w:tr>
    </w:tbl>
    <w:p w:rsidR="00681820" w:rsidRDefault="00681820" w:rsidP="00681820">
      <w:pPr>
        <w:pStyle w:val="Web"/>
        <w:spacing w:beforeLines="20" w:before="72" w:beforeAutospacing="0" w:after="0" w:afterAutospacing="0" w:line="280" w:lineRule="exact"/>
        <w:ind w:leftChars="-118" w:left="717" w:hangingChars="500" w:hanging="1000"/>
        <w:jc w:val="both"/>
        <w:rPr>
          <w:rFonts w:ascii="微軟正黑體" w:eastAsia="微軟正黑體" w:hAnsi="微軟正黑體" w:cs="Times New Roman"/>
          <w:sz w:val="20"/>
          <w:szCs w:val="20"/>
        </w:rPr>
      </w:pPr>
      <w:r w:rsidRPr="005A7B14">
        <w:rPr>
          <w:rFonts w:ascii="微軟正黑體" w:eastAsia="微軟正黑體" w:hAnsi="微軟正黑體" w:cs="Times New Roman" w:hint="eastAsia"/>
          <w:sz w:val="20"/>
          <w:szCs w:val="20"/>
        </w:rPr>
        <w:t>資料來源：行政院主計總處40</w:t>
      </w:r>
      <w:r w:rsidRPr="005A7B14">
        <w:rPr>
          <w:rFonts w:ascii="微軟正黑體" w:eastAsia="微軟正黑體" w:hAnsi="微軟正黑體" w:cs="Times New Roman"/>
          <w:sz w:val="20"/>
          <w:szCs w:val="20"/>
        </w:rPr>
        <w:t>-</w:t>
      </w:r>
      <w:r w:rsidRPr="005A7B14">
        <w:rPr>
          <w:rFonts w:ascii="微軟正黑體" w:eastAsia="微軟正黑體" w:hAnsi="微軟正黑體" w:cs="Times New Roman" w:hint="eastAsia"/>
          <w:sz w:val="20"/>
          <w:szCs w:val="20"/>
        </w:rPr>
        <w:t>110年國民所得摘要。國發會(2021</w:t>
      </w:r>
      <w:r w:rsidRPr="005A7B14">
        <w:rPr>
          <w:rFonts w:ascii="微軟正黑體" w:eastAsia="微軟正黑體" w:hAnsi="微軟正黑體" w:cs="Times New Roman"/>
          <w:sz w:val="20"/>
          <w:szCs w:val="20"/>
        </w:rPr>
        <w:t>)</w:t>
      </w:r>
      <w:r w:rsidRPr="005A7B14">
        <w:rPr>
          <w:rFonts w:ascii="微軟正黑體" w:eastAsia="微軟正黑體" w:hAnsi="微軟正黑體" w:cs="Times New Roman" w:hint="eastAsia"/>
          <w:sz w:val="20"/>
          <w:szCs w:val="20"/>
        </w:rPr>
        <w:t>重要統計資料手冊。國發會、內政部、勞動部等相關互動式資料檢索網站等。</w:t>
      </w:r>
    </w:p>
    <w:p w:rsidR="00681820" w:rsidRPr="00277348" w:rsidRDefault="00681820" w:rsidP="0068182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lastRenderedPageBreak/>
        <w:t xml:space="preserve">    </w:t>
      </w:r>
      <w:r w:rsidRPr="00277348">
        <w:rPr>
          <w:rFonts w:ascii="微軟正黑體" w:eastAsia="微軟正黑體" w:hAnsi="微軟正黑體" w:hint="eastAsia"/>
        </w:rPr>
        <w:t>在台灣經濟國際化與全球化發展背後，我們可看出低薪、</w:t>
      </w:r>
      <w:r>
        <w:rPr>
          <w:rFonts w:ascii="微軟正黑體" w:eastAsia="微軟正黑體" w:hAnsi="微軟正黑體" w:hint="eastAsia"/>
        </w:rPr>
        <w:t>低物價、</w:t>
      </w:r>
      <w:r w:rsidRPr="00277348">
        <w:rPr>
          <w:rFonts w:ascii="微軟正黑體" w:eastAsia="微軟正黑體" w:hAnsi="微軟正黑體" w:hint="eastAsia"/>
        </w:rPr>
        <w:t>長工時、勞動報酬份額減少與薪資中位數所得分配朝向低所得端傾斜的分佈之代價與不同產業差別發展的現狀，因此，國家在勞資關係不對等的前提下，如果不斷的對資本讓步，甚至在2008年以吸引資金回流，大幅降低遺產稅與贈與稅至僅有20%，而不是多數國家都採用的40-50%，也使得我國的稅賦收入</w:t>
      </w:r>
      <w:r>
        <w:rPr>
          <w:rFonts w:ascii="微軟正黑體" w:eastAsia="微軟正黑體" w:hAnsi="微軟正黑體" w:hint="eastAsia"/>
        </w:rPr>
        <w:t>占</w:t>
      </w:r>
      <w:r w:rsidRPr="00277348">
        <w:rPr>
          <w:rFonts w:ascii="微軟正黑體" w:eastAsia="微軟正黑體" w:hAnsi="微軟正黑體" w:hint="eastAsia"/>
        </w:rPr>
        <w:t>GDP比重僅有12.1%，日本為19.2%、韓國20.1%、美國18.4%、英國為26.5%、德國為24.1%、法國為30.5%</w:t>
      </w:r>
      <w:r>
        <w:rPr>
          <w:rFonts w:ascii="微軟正黑體" w:eastAsia="微軟正黑體" w:hAnsi="微軟正黑體" w:hint="eastAsia"/>
        </w:rPr>
        <w:t>(</w:t>
      </w:r>
      <w:r w:rsidRPr="00277348">
        <w:rPr>
          <w:rFonts w:ascii="微軟正黑體" w:eastAsia="微軟正黑體" w:hAnsi="微軟正黑體" w:hint="eastAsia"/>
        </w:rPr>
        <w:t>國發會重要統計資料手冊 2021:57</w:t>
      </w:r>
      <w:r>
        <w:rPr>
          <w:rFonts w:ascii="微軟正黑體" w:eastAsia="微軟正黑體" w:hAnsi="微軟正黑體" w:hint="eastAsia"/>
        </w:rPr>
        <w:t>)</w:t>
      </w:r>
      <w:r w:rsidRPr="00277348">
        <w:rPr>
          <w:rFonts w:ascii="微軟正黑體" w:eastAsia="微軟正黑體" w:hAnsi="微軟正黑體" w:hint="eastAsia"/>
        </w:rPr>
        <w:t>。由於政府稅收政策有利於富人，導致</w:t>
      </w:r>
      <w:r w:rsidRPr="005A7B14">
        <w:rPr>
          <w:rFonts w:ascii="微軟正黑體" w:eastAsia="微軟正黑體" w:hAnsi="微軟正黑體" w:hint="eastAsia"/>
        </w:rPr>
        <w:t>2020年遺</w:t>
      </w:r>
      <w:r w:rsidRPr="00277348">
        <w:rPr>
          <w:rFonts w:ascii="微軟正黑體" w:eastAsia="微軟正黑體" w:hAnsi="微軟正黑體" w:hint="eastAsia"/>
        </w:rPr>
        <w:t>產與贈與稅僅有423億元，</w:t>
      </w:r>
      <w:r>
        <w:rPr>
          <w:rFonts w:ascii="微軟正黑體" w:eastAsia="微軟正黑體" w:hAnsi="微軟正黑體" w:hint="eastAsia"/>
        </w:rPr>
        <w:t>占</w:t>
      </w:r>
      <w:r w:rsidRPr="00277348">
        <w:rPr>
          <w:rFonts w:ascii="微軟正黑體" w:eastAsia="微軟正黑體" w:hAnsi="微軟正黑體" w:hint="eastAsia"/>
        </w:rPr>
        <w:t>比為1.76%，而所得稅(包括營業所得稅及綜合所得稅)則從1990年的26.6%，在2020年已上升到40.9%(包含營業所得稅4,771億元</w:t>
      </w:r>
      <w:r>
        <w:rPr>
          <w:rFonts w:ascii="微軟正黑體" w:eastAsia="微軟正黑體" w:hAnsi="微軟正黑體" w:hint="eastAsia"/>
        </w:rPr>
        <w:t>；</w:t>
      </w:r>
      <w:r w:rsidRPr="00277348">
        <w:rPr>
          <w:rFonts w:ascii="微軟正黑體" w:eastAsia="微軟正黑體" w:hAnsi="微軟正黑體" w:hint="eastAsia"/>
        </w:rPr>
        <w:t>綜合所得稅5,047億元)</w:t>
      </w:r>
      <w:r>
        <w:rPr>
          <w:rFonts w:ascii="微軟正黑體" w:eastAsia="微軟正黑體" w:hAnsi="微軟正黑體" w:hint="eastAsia"/>
        </w:rPr>
        <w:t>(</w:t>
      </w:r>
      <w:r w:rsidRPr="00277348">
        <w:rPr>
          <w:rFonts w:ascii="微軟正黑體" w:eastAsia="微軟正黑體" w:hAnsi="微軟正黑體" w:hint="eastAsia"/>
        </w:rPr>
        <w:t>呂建德 2019；國發會 2021</w:t>
      </w:r>
      <w:r>
        <w:rPr>
          <w:rFonts w:ascii="微軟正黑體" w:eastAsia="微軟正黑體" w:hAnsi="微軟正黑體" w:hint="eastAsia"/>
        </w:rPr>
        <w:t>)</w:t>
      </w:r>
      <w:r w:rsidRPr="00277348">
        <w:rPr>
          <w:rFonts w:ascii="微軟正黑體" w:eastAsia="微軟正黑體" w:hAnsi="微軟正黑體" w:hint="eastAsia"/>
        </w:rPr>
        <w:t>。所得稅主要來源即為受雇階級或是自雇的中產階級，國家降低超高所得之富人稅與資本所得稅，導致整體稅收結構反而傾向所得稅，不利於國家經濟發展的成果共享理念，也不利於民主政治票票等值的基本理念，當勞動階級辛勤工作，在「財富至上」迷思中的社會得不到應有的肯定、尊重</w:t>
      </w:r>
      <w:r>
        <w:rPr>
          <w:rFonts w:ascii="微軟正黑體" w:eastAsia="微軟正黑體" w:hAnsi="微軟正黑體" w:hint="eastAsia"/>
        </w:rPr>
        <w:t>與適性發展機會</w:t>
      </w:r>
      <w:r w:rsidRPr="00277348">
        <w:rPr>
          <w:rFonts w:ascii="微軟正黑體" w:eastAsia="微軟正黑體" w:hAnsi="微軟正黑體" w:hint="eastAsia"/>
        </w:rPr>
        <w:t>，導致人民相對剝奪感</w:t>
      </w:r>
      <w:r>
        <w:rPr>
          <w:rFonts w:ascii="微軟正黑體" w:eastAsia="微軟正黑體" w:hAnsi="微軟正黑體" w:hint="eastAsia"/>
        </w:rPr>
        <w:t>與絕望感</w:t>
      </w:r>
      <w:r w:rsidRPr="00277348">
        <w:rPr>
          <w:rFonts w:ascii="微軟正黑體" w:eastAsia="微軟正黑體" w:hAnsi="微軟正黑體" w:hint="eastAsia"/>
        </w:rPr>
        <w:t>深，不利於台灣內部的社會團結與融合。</w:t>
      </w:r>
    </w:p>
    <w:p w:rsidR="00681820" w:rsidRPr="00277348" w:rsidRDefault="00681820" w:rsidP="0068182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t xml:space="preserve">    </w:t>
      </w:r>
      <w:r w:rsidRPr="00277348">
        <w:rPr>
          <w:rFonts w:ascii="微軟正黑體" w:eastAsia="微軟正黑體" w:hAnsi="微軟正黑體" w:hint="eastAsia"/>
        </w:rPr>
        <w:t>在居住權保障方面，也因為稅制與資金熱錢回流的設計失衡，導致房地產買賣成為交易獲利工具，而不是基本需求滿足，導致受薪階級買房或是取得基本住屋需求權利受到剝奪，結果出現我國房價所得比居於全球前幾名的不合理狀況，</w:t>
      </w:r>
      <w:r w:rsidRPr="00B43016">
        <w:rPr>
          <w:rFonts w:ascii="微軟正黑體" w:eastAsia="微軟正黑體" w:hAnsi="微軟正黑體" w:hint="eastAsia"/>
        </w:rPr>
        <w:t>但</w:t>
      </w:r>
      <w:r w:rsidRPr="00277348">
        <w:rPr>
          <w:rFonts w:ascii="微軟正黑體" w:eastAsia="微軟正黑體" w:hAnsi="微軟正黑體" w:hint="eastAsia"/>
        </w:rPr>
        <w:t>社會集體要共同面對的後果即是，</w:t>
      </w:r>
      <w:r w:rsidRPr="001B0732">
        <w:rPr>
          <w:rFonts w:ascii="微軟正黑體" w:eastAsia="微軟正黑體" w:hAnsi="微軟正黑體" w:hint="eastAsia"/>
        </w:rPr>
        <w:t>臺灣從1984年生育率降至2</w:t>
      </w:r>
      <w:r w:rsidRPr="001B0732">
        <w:rPr>
          <w:rFonts w:ascii="微軟正黑體" w:eastAsia="微軟正黑體" w:hAnsi="微軟正黑體"/>
        </w:rPr>
        <w:t>.</w:t>
      </w:r>
      <w:r w:rsidRPr="001B0732">
        <w:rPr>
          <w:rFonts w:ascii="微軟正黑體" w:eastAsia="微軟正黑體" w:hAnsi="微軟正黑體" w:hint="eastAsia"/>
        </w:rPr>
        <w:t>1人的替代水準；2003年人口生育率1</w:t>
      </w:r>
      <w:r w:rsidRPr="001B0732">
        <w:rPr>
          <w:rFonts w:ascii="微軟正黑體" w:eastAsia="微軟正黑體" w:hAnsi="微軟正黑體"/>
        </w:rPr>
        <w:t>.</w:t>
      </w:r>
      <w:r w:rsidRPr="001B0732">
        <w:rPr>
          <w:rFonts w:ascii="微軟正黑體" w:eastAsia="微軟正黑體" w:hAnsi="微軟正黑體" w:hint="eastAsia"/>
        </w:rPr>
        <w:t>23人(低於1</w:t>
      </w:r>
      <w:r w:rsidRPr="001B0732">
        <w:rPr>
          <w:rFonts w:ascii="微軟正黑體" w:eastAsia="微軟正黑體" w:hAnsi="微軟正黑體"/>
        </w:rPr>
        <w:t>.</w:t>
      </w:r>
      <w:r w:rsidRPr="001B0732">
        <w:rPr>
          <w:rFonts w:ascii="微軟正黑體" w:eastAsia="微軟正黑體" w:hAnsi="微軟正黑體" w:hint="eastAsia"/>
        </w:rPr>
        <w:t>3人)，跨入「超低生育率國家」，</w:t>
      </w:r>
      <w:r>
        <w:rPr>
          <w:rFonts w:ascii="微軟正黑體" w:eastAsia="微軟正黑體" w:hAnsi="微軟正黑體" w:hint="eastAsia"/>
        </w:rPr>
        <w:t>並在</w:t>
      </w:r>
      <w:r w:rsidRPr="00277348">
        <w:rPr>
          <w:rFonts w:ascii="微軟正黑體" w:eastAsia="微軟正黑體" w:hAnsi="微軟正黑體" w:hint="eastAsia"/>
        </w:rPr>
        <w:t>2010年與2021年生育率來到全球最低</w:t>
      </w:r>
      <w:r>
        <w:rPr>
          <w:rFonts w:ascii="微軟正黑體" w:eastAsia="微軟正黑體" w:hAnsi="微軟正黑體" w:hint="eastAsia"/>
        </w:rPr>
        <w:t>。</w:t>
      </w:r>
      <w:r w:rsidRPr="00277348">
        <w:rPr>
          <w:rFonts w:ascii="微軟正黑體" w:eastAsia="微軟正黑體" w:hAnsi="微軟正黑體" w:hint="eastAsia"/>
        </w:rPr>
        <w:t>但我們</w:t>
      </w:r>
      <w:r>
        <w:rPr>
          <w:rFonts w:ascii="微軟正黑體" w:eastAsia="微軟正黑體" w:hAnsi="微軟正黑體" w:hint="eastAsia"/>
        </w:rPr>
        <w:t>高達99</w:t>
      </w:r>
      <w:r>
        <w:rPr>
          <w:rFonts w:ascii="微軟正黑體" w:eastAsia="微軟正黑體" w:hAnsi="微軟正黑體"/>
        </w:rPr>
        <w:t>.</w:t>
      </w:r>
      <w:r>
        <w:rPr>
          <w:rFonts w:ascii="微軟正黑體" w:eastAsia="微軟正黑體" w:hAnsi="微軟正黑體" w:hint="eastAsia"/>
        </w:rPr>
        <w:t>9</w:t>
      </w:r>
      <w:r>
        <w:rPr>
          <w:rFonts w:ascii="微軟正黑體" w:eastAsia="微軟正黑體" w:hAnsi="微軟正黑體"/>
        </w:rPr>
        <w:t>%</w:t>
      </w:r>
      <w:r w:rsidRPr="00277348">
        <w:rPr>
          <w:rFonts w:ascii="微軟正黑體" w:eastAsia="微軟正黑體" w:hAnsi="微軟正黑體" w:hint="eastAsia"/>
        </w:rPr>
        <w:t>普及化的健保，成就台灣的女性平均壽命達到84.7歲與男性的78.1歲；平均健康餘命在2018-2019年為72.3歲，高於美國66.1歲，也高於英國70.1歲與德國70.9歲</w:t>
      </w:r>
      <w:r>
        <w:rPr>
          <w:rFonts w:ascii="微軟正黑體" w:eastAsia="微軟正黑體" w:hAnsi="微軟正黑體" w:hint="eastAsia"/>
        </w:rPr>
        <w:t>(</w:t>
      </w:r>
      <w:r w:rsidRPr="00277348">
        <w:rPr>
          <w:rFonts w:ascii="微軟正黑體" w:eastAsia="微軟正黑體" w:hAnsi="微軟正黑體" w:hint="eastAsia"/>
        </w:rPr>
        <w:t>衛福部 2020)。少子女化的趨勢翻轉不易，再加上高齡者平均壽命持續延長，無怪乎我國的人口高齡化速度不斷的加速中，德國在1972年即邁入高齡社會</w:t>
      </w:r>
      <w:r>
        <w:rPr>
          <w:rFonts w:ascii="微軟正黑體" w:eastAsia="微軟正黑體" w:hAnsi="微軟正黑體" w:hint="eastAsia"/>
        </w:rPr>
        <w:t>(</w:t>
      </w:r>
      <w:r w:rsidRPr="00277348">
        <w:rPr>
          <w:rFonts w:ascii="微軟正黑體" w:eastAsia="微軟正黑體" w:hAnsi="微軟正黑體" w:hint="eastAsia"/>
        </w:rPr>
        <w:t>65歲以上人口數超過</w:t>
      </w:r>
      <w:r>
        <w:rPr>
          <w:rFonts w:ascii="微軟正黑體" w:eastAsia="微軟正黑體" w:hAnsi="微軟正黑體" w:hint="eastAsia"/>
        </w:rPr>
        <w:t>14%；</w:t>
      </w:r>
      <w:r w:rsidRPr="00277348">
        <w:rPr>
          <w:rFonts w:ascii="微軟正黑體" w:eastAsia="微軟正黑體" w:hAnsi="微軟正黑體" w:hint="eastAsia"/>
        </w:rPr>
        <w:t>2001年德國總理施洛德所展開的大幅度勞動市場改革，一般通稱為哈茨改革，主要</w:t>
      </w:r>
      <w:r w:rsidRPr="00A72B3A">
        <w:rPr>
          <w:rFonts w:ascii="微軟正黑體" w:eastAsia="微軟正黑體" w:hAnsi="微軟正黑體" w:hint="eastAsia"/>
        </w:rPr>
        <w:t>是遇到</w:t>
      </w:r>
      <w:r w:rsidRPr="00277348">
        <w:rPr>
          <w:rFonts w:ascii="微軟正黑體" w:eastAsia="微軟正黑體" w:hAnsi="微軟正黑體" w:hint="eastAsia"/>
        </w:rPr>
        <w:t>高失業與人口老化問題，當時德國65歲以上人口比率大約是16.6%，與台灣2021年接近</w:t>
      </w:r>
      <w:r w:rsidRPr="005A7B14">
        <w:rPr>
          <w:rFonts w:ascii="微軟正黑體" w:eastAsia="微軟正黑體" w:hAnsi="微軟正黑體" w:hint="eastAsia"/>
        </w:rPr>
        <w:t>)，期間經過33年，並在2008年邁入超高齡社會；英國亦是在1975年邁入高齡社會，並將在2025年與</w:t>
      </w:r>
      <w:r w:rsidRPr="00277348">
        <w:rPr>
          <w:rFonts w:ascii="微軟正黑體" w:eastAsia="微軟正黑體" w:hAnsi="微軟正黑體" w:hint="eastAsia"/>
        </w:rPr>
        <w:t>台灣同時邁入超高齡社會，也就是英國經過50年才從高齡社會跨到超高齡社會；但台灣卻在2018年進入高齡社會之後僅有短短7年，就將與韓國、英國在2025年皆進入超高齡社會。</w:t>
      </w:r>
    </w:p>
    <w:p w:rsidR="00681820" w:rsidRPr="00155F98" w:rsidRDefault="00681820" w:rsidP="00681820">
      <w:pPr>
        <w:pStyle w:val="Default"/>
        <w:spacing w:beforeLines="30" w:before="108" w:line="400" w:lineRule="exact"/>
        <w:jc w:val="both"/>
        <w:rPr>
          <w:rFonts w:ascii="微軟正黑體" w:eastAsia="微軟正黑體" w:hAnsi="微軟正黑體"/>
          <w:color w:val="auto"/>
          <w:kern w:val="2"/>
        </w:rPr>
      </w:pPr>
      <w:r>
        <w:rPr>
          <w:rFonts w:ascii="微軟正黑體" w:eastAsia="微軟正黑體" w:hAnsi="微軟正黑體" w:hint="eastAsia"/>
        </w:rPr>
        <w:t xml:space="preserve">   </w:t>
      </w:r>
      <w:r w:rsidRPr="00155F98">
        <w:rPr>
          <w:rFonts w:ascii="微軟正黑體" w:eastAsia="微軟正黑體" w:hAnsi="微軟正黑體" w:hint="eastAsia"/>
          <w:color w:val="auto"/>
          <w:kern w:val="2"/>
        </w:rPr>
        <w:t xml:space="preserve"> </w:t>
      </w:r>
      <w:r w:rsidRPr="005C2727">
        <w:rPr>
          <w:rFonts w:ascii="微軟正黑體" w:eastAsia="微軟正黑體" w:hAnsi="微軟正黑體" w:hint="eastAsia"/>
          <w:color w:val="auto"/>
          <w:kern w:val="2"/>
        </w:rPr>
        <w:t>台灣依據國際社會保障支出</w:t>
      </w:r>
      <w:r>
        <w:rPr>
          <w:rFonts w:ascii="微軟正黑體" w:eastAsia="微軟正黑體" w:hAnsi="微軟正黑體" w:hint="eastAsia"/>
          <w:color w:val="auto"/>
          <w:kern w:val="2"/>
        </w:rPr>
        <w:t>標準</w:t>
      </w:r>
      <w:r w:rsidRPr="005C2727">
        <w:rPr>
          <w:rFonts w:ascii="微軟正黑體" w:eastAsia="微軟正黑體" w:hAnsi="微軟正黑體" w:hint="eastAsia"/>
          <w:color w:val="auto"/>
          <w:kern w:val="2"/>
        </w:rPr>
        <w:t>(Social</w:t>
      </w:r>
      <w:r w:rsidRPr="005C2727">
        <w:rPr>
          <w:rFonts w:ascii="微軟正黑體" w:eastAsia="微軟正黑體" w:hAnsi="微軟正黑體"/>
          <w:color w:val="auto"/>
          <w:kern w:val="2"/>
        </w:rPr>
        <w:t xml:space="preserve"> Protection Expenditure, SPE</w:t>
      </w:r>
      <w:r w:rsidRPr="005C2727">
        <w:rPr>
          <w:rFonts w:ascii="微軟正黑體" w:eastAsia="微軟正黑體" w:hAnsi="微軟正黑體" w:hint="eastAsia"/>
          <w:color w:val="auto"/>
          <w:kern w:val="2"/>
        </w:rPr>
        <w:t>)</w:t>
      </w:r>
      <w:r>
        <w:rPr>
          <w:rFonts w:ascii="微軟正黑體" w:eastAsia="微軟正黑體" w:hAnsi="微軟正黑體" w:hint="eastAsia"/>
          <w:color w:val="auto"/>
          <w:kern w:val="2"/>
        </w:rPr>
        <w:t>計算所得結果，</w:t>
      </w:r>
      <w:r w:rsidRPr="005C2727">
        <w:rPr>
          <w:rFonts w:ascii="微軟正黑體" w:eastAsia="微軟正黑體" w:hAnsi="微軟正黑體"/>
          <w:color w:val="auto"/>
          <w:kern w:val="2"/>
        </w:rPr>
        <w:t>雖然與2000年相較，19</w:t>
      </w:r>
      <w:r w:rsidRPr="005C2727">
        <w:rPr>
          <w:rFonts w:ascii="微軟正黑體" w:eastAsia="微軟正黑體" w:hAnsi="微軟正黑體" w:hint="eastAsia"/>
          <w:color w:val="auto"/>
          <w:kern w:val="2"/>
        </w:rPr>
        <w:t>年間增加</w:t>
      </w:r>
      <w:r w:rsidRPr="005C2727">
        <w:rPr>
          <w:rFonts w:ascii="微軟正黑體" w:eastAsia="微軟正黑體" w:hAnsi="微軟正黑體"/>
          <w:color w:val="auto"/>
          <w:kern w:val="2"/>
        </w:rPr>
        <w:t>1</w:t>
      </w:r>
      <w:r w:rsidRPr="005C2727">
        <w:rPr>
          <w:rFonts w:ascii="微軟正黑體" w:eastAsia="微軟正黑體" w:hAnsi="微軟正黑體" w:hint="eastAsia"/>
          <w:color w:val="auto"/>
          <w:kern w:val="2"/>
        </w:rPr>
        <w:t>兆</w:t>
      </w:r>
      <w:r w:rsidRPr="005C2727">
        <w:rPr>
          <w:rFonts w:ascii="微軟正黑體" w:eastAsia="微軟正黑體" w:hAnsi="微軟正黑體"/>
          <w:color w:val="auto"/>
          <w:kern w:val="2"/>
        </w:rPr>
        <w:t>2,502</w:t>
      </w:r>
      <w:r w:rsidRPr="005C2727">
        <w:rPr>
          <w:rFonts w:ascii="微軟正黑體" w:eastAsia="微軟正黑體" w:hAnsi="微軟正黑體" w:hint="eastAsia"/>
          <w:color w:val="auto"/>
          <w:kern w:val="2"/>
        </w:rPr>
        <w:t>億元，平均年增</w:t>
      </w:r>
      <w:r w:rsidRPr="005C2727">
        <w:rPr>
          <w:rFonts w:ascii="微軟正黑體" w:eastAsia="微軟正黑體" w:hAnsi="微軟正黑體"/>
          <w:color w:val="auto"/>
          <w:kern w:val="2"/>
        </w:rPr>
        <w:t>4.9</w:t>
      </w:r>
      <w:r w:rsidRPr="005C2727">
        <w:rPr>
          <w:rFonts w:ascii="微軟正黑體" w:eastAsia="微軟正黑體" w:hAnsi="微軟正黑體" w:hint="eastAsia"/>
          <w:color w:val="auto"/>
          <w:kern w:val="2"/>
        </w:rPr>
        <w:t>％，占</w:t>
      </w:r>
      <w:r w:rsidRPr="005C2727">
        <w:rPr>
          <w:rFonts w:ascii="微軟正黑體" w:eastAsia="微軟正黑體" w:hAnsi="微軟正黑體"/>
          <w:color w:val="auto"/>
          <w:kern w:val="2"/>
        </w:rPr>
        <w:t>GDP</w:t>
      </w:r>
      <w:r w:rsidRPr="005C2727">
        <w:rPr>
          <w:rFonts w:ascii="微軟正黑體" w:eastAsia="微軟正黑體" w:hAnsi="微軟正黑體" w:hint="eastAsia"/>
          <w:color w:val="auto"/>
          <w:kern w:val="2"/>
        </w:rPr>
        <w:t>比重升</w:t>
      </w:r>
      <w:r w:rsidRPr="005C2727">
        <w:rPr>
          <w:rFonts w:ascii="微軟正黑體" w:eastAsia="微軟正黑體" w:hAnsi="微軟正黑體"/>
          <w:color w:val="auto"/>
          <w:kern w:val="2"/>
        </w:rPr>
        <w:t>2.9</w:t>
      </w:r>
      <w:r w:rsidRPr="005C2727">
        <w:rPr>
          <w:rFonts w:ascii="微軟正黑體" w:eastAsia="微軟正黑體" w:hAnsi="微軟正黑體" w:hint="eastAsia"/>
          <w:color w:val="auto"/>
          <w:kern w:val="2"/>
        </w:rPr>
        <w:t>個百分點，平均每人增</w:t>
      </w:r>
      <w:r w:rsidRPr="005C2727">
        <w:rPr>
          <w:rFonts w:ascii="微軟正黑體" w:eastAsia="微軟正黑體" w:hAnsi="微軟正黑體"/>
          <w:color w:val="auto"/>
          <w:kern w:val="2"/>
        </w:rPr>
        <w:t>5.0</w:t>
      </w:r>
      <w:r w:rsidRPr="005C2727">
        <w:rPr>
          <w:rFonts w:ascii="微軟正黑體" w:eastAsia="微軟正黑體" w:hAnsi="微軟正黑體" w:hint="eastAsia"/>
          <w:color w:val="auto"/>
          <w:kern w:val="2"/>
        </w:rPr>
        <w:t>萬。看起來有所成長，</w:t>
      </w:r>
      <w:r w:rsidRPr="001D66BA">
        <w:rPr>
          <w:rFonts w:ascii="微軟正黑體" w:eastAsia="微軟正黑體" w:hAnsi="微軟正黑體" w:hint="eastAsia"/>
          <w:color w:val="auto"/>
          <w:kern w:val="2"/>
        </w:rPr>
        <w:t>但在2019年2兆864億元的社會保障支出實際上僅占國民生產毛額比重11%，與韓</w:t>
      </w:r>
      <w:r>
        <w:rPr>
          <w:rFonts w:ascii="微軟正黑體" w:eastAsia="微軟正黑體" w:hAnsi="微軟正黑體" w:hint="eastAsia"/>
          <w:color w:val="auto"/>
          <w:kern w:val="2"/>
        </w:rPr>
        <w:t>國</w:t>
      </w:r>
      <w:r w:rsidRPr="001D66BA">
        <w:rPr>
          <w:rFonts w:ascii="微軟正黑體" w:eastAsia="微軟正黑體" w:hAnsi="微軟正黑體" w:hint="eastAsia"/>
          <w:color w:val="auto"/>
          <w:kern w:val="2"/>
        </w:rPr>
        <w:t>接近(</w:t>
      </w:r>
      <w:r>
        <w:rPr>
          <w:rFonts w:ascii="微軟正黑體" w:eastAsia="微軟正黑體" w:hAnsi="微軟正黑體" w:hint="eastAsia"/>
          <w:color w:val="auto"/>
          <w:kern w:val="2"/>
        </w:rPr>
        <w:t>經濟合作發展組織</w:t>
      </w:r>
      <w:r w:rsidRPr="001D66BA">
        <w:rPr>
          <w:rFonts w:ascii="微軟正黑體" w:eastAsia="微軟正黑體" w:hAnsi="微軟正黑體" w:hint="eastAsia"/>
          <w:color w:val="auto"/>
          <w:kern w:val="2"/>
        </w:rPr>
        <w:t>OECD國家倒數)，低於OECD國家平均值20</w:t>
      </w:r>
      <w:r w:rsidRPr="001D66BA">
        <w:rPr>
          <w:rFonts w:ascii="微軟正黑體" w:eastAsia="微軟正黑體" w:hAnsi="微軟正黑體"/>
          <w:color w:val="auto"/>
          <w:kern w:val="2"/>
        </w:rPr>
        <w:t>%</w:t>
      </w:r>
      <w:r w:rsidRPr="001D66BA">
        <w:rPr>
          <w:rFonts w:ascii="微軟正黑體" w:eastAsia="微軟正黑體" w:hAnsi="微軟正黑體" w:hint="eastAsia"/>
          <w:color w:val="auto"/>
          <w:kern w:val="2"/>
        </w:rPr>
        <w:t>左右、亦低於美國的19%、英國的21.5%、日本的23.1%與法國的31.7%。</w:t>
      </w:r>
      <w:r w:rsidRPr="00155F98">
        <w:rPr>
          <w:rFonts w:ascii="微軟正黑體" w:eastAsia="微軟正黑體" w:hAnsi="微軟正黑體" w:hint="eastAsia"/>
          <w:color w:val="auto"/>
          <w:kern w:val="2"/>
        </w:rPr>
        <w:t>在2019年與高齡相關的社會給付在2019年達到1兆385億元(</w:t>
      </w:r>
      <w:r>
        <w:rPr>
          <w:rFonts w:ascii="微軟正黑體" w:eastAsia="微軟正黑體" w:hAnsi="微軟正黑體" w:hint="eastAsia"/>
          <w:color w:val="auto"/>
          <w:kern w:val="2"/>
        </w:rPr>
        <w:t>占</w:t>
      </w:r>
      <w:r w:rsidRPr="00155F98">
        <w:rPr>
          <w:rFonts w:ascii="微軟正黑體" w:eastAsia="微軟正黑體" w:hAnsi="微軟正黑體" w:hint="eastAsia"/>
          <w:color w:val="auto"/>
          <w:kern w:val="2"/>
        </w:rPr>
        <w:t>50.5％)</w:t>
      </w:r>
      <w:r w:rsidRPr="00155F98">
        <w:rPr>
          <w:rFonts w:ascii="微軟正黑體" w:eastAsia="微軟正黑體" w:hAnsi="微軟正黑體" w:hint="eastAsia"/>
          <w:color w:val="auto"/>
          <w:kern w:val="2"/>
        </w:rPr>
        <w:lastRenderedPageBreak/>
        <w:t>為最多，其次為疾病與健康6,931億元(</w:t>
      </w:r>
      <w:r>
        <w:rPr>
          <w:rFonts w:ascii="微軟正黑體" w:eastAsia="微軟正黑體" w:hAnsi="微軟正黑體" w:hint="eastAsia"/>
          <w:color w:val="auto"/>
          <w:kern w:val="2"/>
        </w:rPr>
        <w:t>占</w:t>
      </w:r>
      <w:r w:rsidRPr="00155F98">
        <w:rPr>
          <w:rFonts w:ascii="微軟正黑體" w:eastAsia="微軟正黑體" w:hAnsi="微軟正黑體" w:hint="eastAsia"/>
          <w:color w:val="auto"/>
          <w:kern w:val="2"/>
        </w:rPr>
        <w:t>33.7％)，兩者合計已超過八成。高齡相關的社會給付在2000年為3,616億元，但在2019年已達到1兆385億元，二十年間上升已達到2.87倍(衛福部 2020)。未來隨著高齡人口持續快速上升，我們如未能同時兼顧就業促進與支持，將使國家整體社會保障支出壓力持續上升，且生產性就業人口如未能同步提升，</w:t>
      </w:r>
      <w:r>
        <w:rPr>
          <w:rFonts w:ascii="微軟正黑體" w:eastAsia="微軟正黑體" w:hAnsi="微軟正黑體" w:hint="eastAsia"/>
          <w:color w:val="auto"/>
          <w:kern w:val="2"/>
        </w:rPr>
        <w:t>將</w:t>
      </w:r>
      <w:r w:rsidRPr="00155F98">
        <w:rPr>
          <w:rFonts w:ascii="微軟正黑體" w:eastAsia="微軟正黑體" w:hAnsi="微軟正黑體" w:hint="eastAsia"/>
          <w:color w:val="auto"/>
          <w:kern w:val="2"/>
        </w:rPr>
        <w:t>不利於財政的永續性。另外，建立與落實更為公平的稅收體系，</w:t>
      </w:r>
      <w:r>
        <w:rPr>
          <w:rFonts w:ascii="微軟正黑體" w:eastAsia="微軟正黑體" w:hAnsi="微軟正黑體" w:hint="eastAsia"/>
          <w:color w:val="auto"/>
          <w:kern w:val="2"/>
        </w:rPr>
        <w:t>亦將有助於</w:t>
      </w:r>
      <w:r w:rsidRPr="00155F98">
        <w:rPr>
          <w:rFonts w:ascii="微軟正黑體" w:eastAsia="微軟正黑體" w:hAnsi="微軟正黑體" w:hint="eastAsia"/>
          <w:color w:val="auto"/>
          <w:kern w:val="2"/>
        </w:rPr>
        <w:t>稅基擴大，建</w:t>
      </w:r>
      <w:r>
        <w:rPr>
          <w:rFonts w:ascii="微軟正黑體" w:eastAsia="微軟正黑體" w:hAnsi="微軟正黑體" w:hint="eastAsia"/>
          <w:color w:val="auto"/>
          <w:kern w:val="2"/>
        </w:rPr>
        <w:t>置</w:t>
      </w:r>
      <w:r w:rsidRPr="00155F98">
        <w:rPr>
          <w:rFonts w:ascii="微軟正黑體" w:eastAsia="微軟正黑體" w:hAnsi="微軟正黑體" w:hint="eastAsia"/>
          <w:color w:val="auto"/>
          <w:kern w:val="2"/>
        </w:rPr>
        <w:t>更為完善的社會保障網。</w:t>
      </w:r>
    </w:p>
    <w:p w:rsidR="00681820" w:rsidRPr="00277348" w:rsidRDefault="00681820" w:rsidP="0068182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t xml:space="preserve">    </w:t>
      </w:r>
      <w:r w:rsidRPr="00277348">
        <w:rPr>
          <w:rFonts w:ascii="微軟正黑體" w:eastAsia="微軟正黑體" w:hAnsi="微軟正黑體" w:hint="eastAsia"/>
        </w:rPr>
        <w:t>2021年8月底台灣老年人口數已達到388萬9,986人，老年人口比率達到16.59%，我們目前不僅15-64歲傳統工作年齡人口已從2016年開始下降，2020年出生人口數已小於死亡人口數，2028年15-64歲工作年齡人口</w:t>
      </w:r>
      <w:r>
        <w:rPr>
          <w:rFonts w:ascii="微軟正黑體" w:eastAsia="微軟正黑體" w:hAnsi="微軟正黑體" w:hint="eastAsia"/>
        </w:rPr>
        <w:t>占</w:t>
      </w:r>
      <w:r w:rsidRPr="00277348">
        <w:rPr>
          <w:rFonts w:ascii="微軟正黑體" w:eastAsia="微軟正黑體" w:hAnsi="微軟正黑體" w:hint="eastAsia"/>
        </w:rPr>
        <w:t>總人口比率將減少至三分之二以下，正式結束人口紅利(國發會</w:t>
      </w:r>
      <w:r>
        <w:rPr>
          <w:rFonts w:ascii="微軟正黑體" w:eastAsia="微軟正黑體" w:hAnsi="微軟正黑體" w:hint="eastAsia"/>
        </w:rPr>
        <w:t xml:space="preserve"> </w:t>
      </w:r>
      <w:r w:rsidRPr="00277348">
        <w:rPr>
          <w:rFonts w:ascii="微軟正黑體" w:eastAsia="微軟正黑體" w:hAnsi="微軟正黑體" w:hint="eastAsia"/>
        </w:rPr>
        <w:t>2021)；15-64歲與65歲人口相對值所計算出的扶老比也來到22.5%，並開始持續上升。</w:t>
      </w:r>
    </w:p>
    <w:p w:rsidR="00681820" w:rsidRPr="00277348" w:rsidRDefault="00681820" w:rsidP="0068182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t xml:space="preserve">    </w:t>
      </w:r>
      <w:r w:rsidRPr="00277348">
        <w:rPr>
          <w:rFonts w:ascii="微軟正黑體" w:eastAsia="微軟正黑體" w:hAnsi="微軟正黑體" w:hint="eastAsia"/>
        </w:rPr>
        <w:t>內政部不動產資訊平台公布「僅老年人口居住宅數」最新統計，</w:t>
      </w:r>
      <w:r w:rsidRPr="00155F98">
        <w:rPr>
          <w:rFonts w:ascii="微軟正黑體" w:eastAsia="微軟正黑體" w:hAnsi="微軟正黑體" w:hint="eastAsia"/>
        </w:rPr>
        <w:t>2021</w:t>
      </w:r>
      <w:r w:rsidRPr="00277348">
        <w:rPr>
          <w:rFonts w:ascii="微軟正黑體" w:eastAsia="微軟正黑體" w:hAnsi="微軟正黑體" w:hint="eastAsia"/>
        </w:rPr>
        <w:t>年第2季全戶都為65歲以上老人的住宅高達62.7萬宅，較十年前33萬宅幾乎翻倍成長；僅一名老人獨居的宅數，也從十年前22.6萬宅增至47.7萬宅，量增逾一倍；而全國獨居老人宅數</w:t>
      </w:r>
      <w:r>
        <w:rPr>
          <w:rFonts w:ascii="微軟正黑體" w:eastAsia="微軟正黑體" w:hAnsi="微軟正黑體" w:hint="eastAsia"/>
        </w:rPr>
        <w:t>占</w:t>
      </w:r>
      <w:r w:rsidRPr="00277348">
        <w:rPr>
          <w:rFonts w:ascii="微軟正黑體" w:eastAsia="微軟正黑體" w:hAnsi="微軟正黑體" w:hint="eastAsia"/>
        </w:rPr>
        <w:t>僅老人宅數的比率已高達76%</w:t>
      </w:r>
      <w:r>
        <w:rPr>
          <w:rFonts w:ascii="微軟正黑體" w:eastAsia="微軟正黑體" w:hAnsi="微軟正黑體" w:hint="eastAsia"/>
        </w:rPr>
        <w:t>(</w:t>
      </w:r>
      <w:r w:rsidRPr="00277348">
        <w:rPr>
          <w:rFonts w:ascii="微軟正黑體" w:eastAsia="微軟正黑體" w:hAnsi="微軟正黑體" w:hint="eastAsia"/>
        </w:rPr>
        <w:t>內政部 2021</w:t>
      </w:r>
      <w:r>
        <w:rPr>
          <w:rFonts w:ascii="微軟正黑體" w:eastAsia="微軟正黑體" w:hAnsi="微軟正黑體" w:hint="eastAsia"/>
        </w:rPr>
        <w:t>)</w:t>
      </w:r>
      <w:r w:rsidRPr="00277348">
        <w:rPr>
          <w:rFonts w:ascii="微軟正黑體" w:eastAsia="微軟正黑體" w:hAnsi="微軟正黑體" w:hint="eastAsia"/>
        </w:rPr>
        <w:t>。而且本研究將在後面的進一步分析發現，我國低所得的老年家戶，目前已出現所得入不敷出的情況，而且</w:t>
      </w:r>
      <w:r>
        <w:rPr>
          <w:rFonts w:ascii="微軟正黑體" w:eastAsia="微軟正黑體" w:hAnsi="微軟正黑體" w:hint="eastAsia"/>
        </w:rPr>
        <w:t>老年經濟戶長</w:t>
      </w:r>
      <w:r w:rsidRPr="00277348">
        <w:rPr>
          <w:rFonts w:ascii="微軟正黑體" w:eastAsia="微軟正黑體" w:hAnsi="微軟正黑體" w:hint="eastAsia"/>
        </w:rPr>
        <w:t xml:space="preserve">落入最低20%所得組的比率，已從2001年的40.31%上升到2020年的59.31%，20年間成長超過19% </w:t>
      </w:r>
      <w:r w:rsidRPr="0006547E">
        <w:rPr>
          <w:rFonts w:ascii="微軟正黑體" w:eastAsia="微軟正黑體" w:hAnsi="微軟正黑體" w:hint="eastAsia"/>
        </w:rPr>
        <w:t>(主計總處歷年家庭收支調查報告)。</w:t>
      </w:r>
    </w:p>
    <w:p w:rsidR="00681820" w:rsidRPr="00277348" w:rsidRDefault="00681820" w:rsidP="0068182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t xml:space="preserve">    </w:t>
      </w:r>
      <w:r w:rsidRPr="00277348">
        <w:rPr>
          <w:rFonts w:ascii="微軟正黑體" w:eastAsia="微軟正黑體" w:hAnsi="微軟正黑體" w:hint="eastAsia"/>
        </w:rPr>
        <w:t>2019年11月15日在立法院通過「中高齡者與高齡者就業促進法」，並在2020年12月4日與其他六個子法公告施行，雖然這已是政府踏出的</w:t>
      </w:r>
      <w:r>
        <w:rPr>
          <w:rFonts w:ascii="微軟正黑體" w:eastAsia="微軟正黑體" w:hAnsi="微軟正黑體" w:hint="eastAsia"/>
        </w:rPr>
        <w:t>重要關鍵</w:t>
      </w:r>
      <w:r w:rsidRPr="00277348">
        <w:rPr>
          <w:rFonts w:ascii="微軟正黑體" w:eastAsia="微軟正黑體" w:hAnsi="微軟正黑體" w:hint="eastAsia"/>
        </w:rPr>
        <w:t>一步，唯制度與結構調整都需要時間因應，鄰近的韓</w:t>
      </w:r>
      <w:r>
        <w:rPr>
          <w:rFonts w:ascii="微軟正黑體" w:eastAsia="微軟正黑體" w:hAnsi="微軟正黑體" w:hint="eastAsia"/>
        </w:rPr>
        <w:t>國</w:t>
      </w:r>
      <w:r w:rsidRPr="00277348">
        <w:rPr>
          <w:rFonts w:ascii="微軟正黑體" w:eastAsia="微軟正黑體" w:hAnsi="微軟正黑體" w:hint="eastAsia"/>
        </w:rPr>
        <w:t>與台灣人口老化程度接近，但是他們在1991年</w:t>
      </w:r>
      <w:r>
        <w:rPr>
          <w:rFonts w:ascii="微軟正黑體" w:eastAsia="微軟正黑體" w:hAnsi="微軟正黑體" w:hint="eastAsia"/>
        </w:rPr>
        <w:t>12月</w:t>
      </w:r>
      <w:r w:rsidRPr="00277348">
        <w:rPr>
          <w:rFonts w:ascii="微軟正黑體" w:eastAsia="微軟正黑體" w:hAnsi="微軟正黑體" w:hint="eastAsia"/>
        </w:rPr>
        <w:t>未達老年人口數7%之高齡化社會標準即通過「中高齡者與高齡者就業促進法」(Aged Employment Promotion Act)，並在1992年開始實施(韓國為2000年進入高齡化社會；台灣為1993年)；日本在1971</w:t>
      </w:r>
      <w:r>
        <w:rPr>
          <w:rFonts w:ascii="微軟正黑體" w:eastAsia="微軟正黑體" w:hAnsi="微軟正黑體" w:hint="eastAsia"/>
        </w:rPr>
        <w:t>年10月實施「中高年齡者雇用促進特別措施法」(後來於1986年改為高年齡者僱用安定法)</w:t>
      </w:r>
      <w:r w:rsidRPr="00277348">
        <w:rPr>
          <w:rFonts w:ascii="微軟正黑體" w:eastAsia="微軟正黑體" w:hAnsi="微軟正黑體" w:hint="eastAsia"/>
        </w:rPr>
        <w:t>，當時的人口老化程度</w:t>
      </w:r>
      <w:r>
        <w:rPr>
          <w:rFonts w:ascii="微軟正黑體" w:eastAsia="微軟正黑體" w:hAnsi="微軟正黑體" w:hint="eastAsia"/>
        </w:rPr>
        <w:t>超過</w:t>
      </w:r>
      <w:r w:rsidRPr="00277348">
        <w:rPr>
          <w:rFonts w:ascii="微軟正黑體" w:eastAsia="微軟正黑體" w:hAnsi="微軟正黑體" w:hint="eastAsia"/>
        </w:rPr>
        <w:t>7%。台灣則是在進入高齡社會，也就是老年人口數達到14%後才通過相關促進專法，但是在2007年勞動部所委託進行的「高齡社會勞動政策白皮書研究報告」，當時在短中長期發展策略，即有</w:t>
      </w:r>
      <w:r>
        <w:rPr>
          <w:rFonts w:ascii="微軟正黑體" w:eastAsia="微軟正黑體" w:hAnsi="微軟正黑體" w:hint="eastAsia"/>
        </w:rPr>
        <w:t>提到建議參考日本與韓國經驗，研擬「中高齡者與高齡者就業促進法」(</w:t>
      </w:r>
      <w:r w:rsidRPr="00277348">
        <w:rPr>
          <w:rFonts w:ascii="微軟正黑體" w:eastAsia="微軟正黑體" w:hAnsi="微軟正黑體" w:hint="eastAsia"/>
        </w:rPr>
        <w:t>周玟琪 2007:135</w:t>
      </w:r>
      <w:r>
        <w:rPr>
          <w:rFonts w:ascii="微軟正黑體" w:eastAsia="微軟正黑體" w:hAnsi="微軟正黑體" w:hint="eastAsia"/>
        </w:rPr>
        <w:t>)</w:t>
      </w:r>
      <w:r w:rsidRPr="00277348">
        <w:rPr>
          <w:rFonts w:ascii="微軟正黑體" w:eastAsia="微軟正黑體" w:hAnsi="微軟正黑體" w:hint="eastAsia"/>
        </w:rPr>
        <w:t>，但是又經過十二年我們才通過了專法。</w:t>
      </w:r>
    </w:p>
    <w:p w:rsidR="00681820" w:rsidRPr="005C2727" w:rsidRDefault="00681820" w:rsidP="00681820">
      <w:pPr>
        <w:autoSpaceDE w:val="0"/>
        <w:autoSpaceDN w:val="0"/>
        <w:adjustRightInd w:val="0"/>
        <w:spacing w:beforeLines="30" w:before="108" w:line="400" w:lineRule="exact"/>
        <w:jc w:val="both"/>
        <w:rPr>
          <w:rFonts w:ascii="微軟正黑體" w:eastAsia="微軟正黑體" w:hAnsi="微軟正黑體"/>
        </w:rPr>
      </w:pPr>
      <w:r>
        <w:rPr>
          <w:rFonts w:ascii="微軟正黑體" w:eastAsia="微軟正黑體" w:hAnsi="微軟正黑體" w:hint="eastAsia"/>
        </w:rPr>
        <w:t xml:space="preserve">    </w:t>
      </w:r>
      <w:r w:rsidRPr="00277348">
        <w:rPr>
          <w:rFonts w:ascii="微軟正黑體" w:eastAsia="微軟正黑體" w:hAnsi="微軟正黑體" w:hint="eastAsia"/>
        </w:rPr>
        <w:t>行政院</w:t>
      </w:r>
      <w:r w:rsidRPr="001B0732">
        <w:rPr>
          <w:rFonts w:ascii="微軟正黑體" w:eastAsia="微軟正黑體" w:hAnsi="微軟正黑體" w:hint="eastAsia"/>
        </w:rPr>
        <w:t>已於</w:t>
      </w:r>
      <w:r w:rsidRPr="00277348">
        <w:rPr>
          <w:rFonts w:ascii="微軟正黑體" w:eastAsia="微軟正黑體" w:hAnsi="微軟正黑體" w:hint="eastAsia"/>
        </w:rPr>
        <w:t>2021年9月27日</w:t>
      </w:r>
      <w:r w:rsidRPr="001B0732">
        <w:rPr>
          <w:rFonts w:ascii="微軟正黑體" w:eastAsia="微軟正黑體" w:hAnsi="微軟正黑體" w:hint="eastAsia"/>
        </w:rPr>
        <w:t>核定</w:t>
      </w:r>
      <w:r w:rsidRPr="00277348">
        <w:rPr>
          <w:rFonts w:ascii="微軟正黑體" w:eastAsia="微軟正黑體" w:hAnsi="微軟正黑體" w:hint="eastAsia"/>
        </w:rPr>
        <w:t>跨部會的「高齡社會白皮書」的行動策略，在第五項強化社會永續發展，僅提到「提升高齡人力就業」與第三項促進世代和諧與共融提到強化跨世代的就業與創業</w:t>
      </w:r>
      <w:r>
        <w:rPr>
          <w:rFonts w:ascii="微軟正黑體" w:eastAsia="微軟正黑體" w:hAnsi="微軟正黑體" w:hint="eastAsia"/>
        </w:rPr>
        <w:t>。</w:t>
      </w:r>
      <w:r w:rsidRPr="005C2727">
        <w:rPr>
          <w:rFonts w:ascii="微軟正黑體" w:eastAsia="微軟正黑體" w:hAnsi="微軟正黑體" w:hint="eastAsia"/>
        </w:rPr>
        <w:t>未來在相關推動的政策優先順位，建議要能融入55-64歲銀髮人才就業率提升的優先重要性與</w:t>
      </w:r>
      <w:r>
        <w:rPr>
          <w:rFonts w:ascii="微軟正黑體" w:eastAsia="微軟正黑體" w:hAnsi="微軟正黑體" w:hint="eastAsia"/>
        </w:rPr>
        <w:t>不同</w:t>
      </w:r>
      <w:r w:rsidRPr="005C2727">
        <w:rPr>
          <w:rFonts w:ascii="微軟正黑體" w:eastAsia="微軟正黑體" w:hAnsi="微軟正黑體" w:hint="eastAsia"/>
        </w:rPr>
        <w:t>生命</w:t>
      </w:r>
      <w:r>
        <w:rPr>
          <w:rFonts w:ascii="微軟正黑體" w:eastAsia="微軟正黑體" w:hAnsi="微軟正黑體" w:hint="eastAsia"/>
        </w:rPr>
        <w:t>歷程之</w:t>
      </w:r>
      <w:r w:rsidRPr="005C2727">
        <w:rPr>
          <w:rFonts w:ascii="微軟正黑體" w:eastAsia="微軟正黑體" w:hAnsi="微軟正黑體" w:hint="eastAsia"/>
        </w:rPr>
        <w:t>延續性</w:t>
      </w:r>
      <w:r>
        <w:rPr>
          <w:rFonts w:ascii="微軟正黑體" w:eastAsia="微軟正黑體" w:hAnsi="微軟正黑體" w:hint="eastAsia"/>
        </w:rPr>
        <w:t>影響</w:t>
      </w:r>
      <w:r w:rsidRPr="005C2727">
        <w:rPr>
          <w:rFonts w:ascii="微軟正黑體" w:eastAsia="微軟正黑體" w:hAnsi="微軟正黑體" w:hint="eastAsia"/>
        </w:rPr>
        <w:t>；另外對於照顧長輩所造成的「照顧離職」或「隱形照護」所需的「</w:t>
      </w:r>
      <w:r>
        <w:rPr>
          <w:rFonts w:ascii="微軟正黑體" w:eastAsia="微軟正黑體" w:hAnsi="微軟正黑體" w:hint="eastAsia"/>
        </w:rPr>
        <w:t>家庭</w:t>
      </w:r>
      <w:r w:rsidRPr="005C2727">
        <w:rPr>
          <w:rFonts w:ascii="微軟正黑體" w:eastAsia="微軟正黑體" w:hAnsi="微軟正黑體" w:hint="eastAsia"/>
        </w:rPr>
        <w:t>照顧(安排)假」與相關的津貼保險與法制改革，也宜有具體的政策宣示與相關法規改革與支持(衛福部 2021:50-52)。整體而</w:t>
      </w:r>
      <w:r w:rsidRPr="005C2727">
        <w:rPr>
          <w:rFonts w:ascii="微軟正黑體" w:eastAsia="微軟正黑體" w:hAnsi="微軟正黑體" w:hint="eastAsia"/>
        </w:rPr>
        <w:lastRenderedPageBreak/>
        <w:t>言，鑑於我國超高齡社會即將到來，政府恐怕需要有更為積極、系統性與整合性的有效推動策略與執行效果監督與評估，</w:t>
      </w:r>
      <w:r w:rsidRPr="001B0732">
        <w:rPr>
          <w:rFonts w:ascii="微軟正黑體" w:eastAsia="微軟正黑體" w:hAnsi="微軟正黑體" w:hint="eastAsia"/>
        </w:rPr>
        <w:t>例如日本內閣府於1995年11月公布高齡社會對策基本法，並由內閣總理大臣下設高齡社會對策委員會，以就業、所得；健康、福利；學習與社會參與；生活環境與調查研究為五大基本推動策略；結合地方政府與民間團體等共同推動，並有「育兒、介護休業法」與推動「照顧不離職」目標。韓國亦在2005年制定「低生育高齡社會基本法」，在青瓦台設立直屬總統的委員會，每五年制定基本推動計畫，包括2006年的「高齡相關產業振興法」與2007年的「長期照顧保險法」、「社會企業促進法」等，對於家庭與照顧兼顧支持，韓國則是訂有「性別工作平等法與工作及家庭兩立支援法」。</w:t>
      </w:r>
    </w:p>
    <w:p w:rsidR="00681820" w:rsidRPr="00E26191" w:rsidRDefault="00681820" w:rsidP="00681820">
      <w:pPr>
        <w:spacing w:beforeLines="150" w:before="540" w:line="400" w:lineRule="exact"/>
        <w:jc w:val="center"/>
        <w:rPr>
          <w:rFonts w:ascii="微軟正黑體" w:eastAsia="微軟正黑體" w:hAnsi="微軟正黑體"/>
          <w:b/>
          <w:sz w:val="32"/>
          <w:szCs w:val="32"/>
        </w:rPr>
      </w:pPr>
      <w:r w:rsidRPr="00E26191">
        <w:rPr>
          <w:rFonts w:ascii="微軟正黑體" w:eastAsia="微軟正黑體" w:hAnsi="微軟正黑體"/>
          <w:b/>
          <w:sz w:val="32"/>
          <w:szCs w:val="32"/>
        </w:rPr>
        <w:t>貳、</w:t>
      </w:r>
      <w:r w:rsidRPr="00751BFC">
        <w:rPr>
          <w:rFonts w:ascii="微軟正黑體" w:eastAsia="微軟正黑體" w:hAnsi="微軟正黑體" w:hint="eastAsia"/>
          <w:b/>
          <w:sz w:val="32"/>
          <w:szCs w:val="32"/>
        </w:rPr>
        <w:t>台灣全球化、高齡化與社會發展不均等現況與影</w:t>
      </w:r>
      <w:r>
        <w:rPr>
          <w:rFonts w:ascii="微軟正黑體" w:eastAsia="微軟正黑體" w:hAnsi="微軟正黑體" w:hint="eastAsia"/>
          <w:b/>
          <w:sz w:val="32"/>
          <w:szCs w:val="32"/>
        </w:rPr>
        <w:t>響</w:t>
      </w:r>
    </w:p>
    <w:p w:rsidR="00681820" w:rsidRPr="00661866" w:rsidRDefault="00681820" w:rsidP="00681820">
      <w:pPr>
        <w:pStyle w:val="Web"/>
        <w:spacing w:beforeLines="100" w:before="360" w:beforeAutospacing="0" w:after="0" w:afterAutospacing="0" w:line="400" w:lineRule="exact"/>
        <w:jc w:val="both"/>
        <w:rPr>
          <w:rFonts w:ascii="微軟正黑體" w:eastAsia="微軟正黑體" w:hAnsi="微軟正黑體" w:cs="Times New Roman"/>
          <w:color w:val="0000FF"/>
          <w:lang w:eastAsia="ja-JP"/>
        </w:rPr>
      </w:pPr>
      <w:r w:rsidRPr="00E26191">
        <w:rPr>
          <w:rFonts w:ascii="微軟正黑體" w:eastAsia="微軟正黑體" w:hAnsi="微軟正黑體" w:cs="Times New Roman" w:hint="eastAsia"/>
          <w:lang w:eastAsia="ja-JP"/>
        </w:rPr>
        <w:t xml:space="preserve">    </w:t>
      </w:r>
      <w:r w:rsidRPr="00CB586E">
        <w:rPr>
          <w:rFonts w:ascii="微軟正黑體" w:eastAsia="微軟正黑體" w:hAnsi="微軟正黑體" w:cs="Times New Roman" w:hint="eastAsia"/>
          <w:lang w:eastAsia="ja-JP"/>
        </w:rPr>
        <w:t>隨著全球化受損圈的日益增大，國家發展經濟的同時，國家治理的民主正當性為能維護大多數民眾福祉的宗旨，受到挑戰。我國憲法第15條指出國家應保障人民之生存權、工作權及財產權；憲法第152條指出，「人民具有工作能力者，國家應予以適當之工作機會</w:t>
      </w:r>
      <w:r w:rsidRPr="00661866">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」；第153條指出「國家為改良勞工及農民之生活，增進其生產技能，應制定保護勞工及農民之法律，實施保護勞工及農民之政策。婦女兒童從事勞動者，應按其年齡及身體狀態，予以特別之保護</w:t>
      </w:r>
      <w:r w:rsidRPr="0006547E">
        <w:rPr>
          <w:rFonts w:ascii="微軟正黑體" w:eastAsia="微軟正黑體" w:hAnsi="微軟正黑體" w:cs="Times New Roman" w:hint="eastAsia"/>
          <w:lang w:eastAsia="ja-JP"/>
        </w:rPr>
        <w:t>。」</w:t>
      </w:r>
      <w:r w:rsidRPr="0006547E">
        <w:rPr>
          <w:rFonts w:ascii="微軟正黑體" w:eastAsia="微軟正黑體" w:hAnsi="微軟正黑體" w:cs="Times New Roman" w:hint="eastAsia"/>
        </w:rPr>
        <w:t>；</w:t>
      </w:r>
      <w:r w:rsidRPr="0006547E">
        <w:rPr>
          <w:rFonts w:ascii="微軟正黑體" w:eastAsia="微軟正黑體" w:hAnsi="微軟正黑體" w:cs="Times New Roman" w:hint="eastAsia"/>
          <w:lang w:eastAsia="ja-JP"/>
        </w:rPr>
        <w:t>第</w:t>
      </w:r>
      <w:r w:rsidRPr="00CB586E">
        <w:rPr>
          <w:rFonts w:ascii="微軟正黑體" w:eastAsia="微軟正黑體" w:hAnsi="微軟正黑體" w:cs="Times New Roman" w:hint="eastAsia"/>
          <w:lang w:eastAsia="ja-JP"/>
        </w:rPr>
        <w:t>155條指出「國家為謀社會福利，應實施社會保險制度。人民之老弱殘廢，無力生活，及受非常災害者，國家應予以適當之扶助與救濟</w:t>
      </w:r>
      <w:r w:rsidRPr="0006547E">
        <w:rPr>
          <w:rFonts w:ascii="微軟正黑體" w:eastAsia="微軟正黑體" w:hAnsi="微軟正黑體" w:cs="Times New Roman" w:hint="eastAsia"/>
        </w:rPr>
        <w:t>。」。</w:t>
      </w:r>
    </w:p>
    <w:p w:rsidR="00681820" w:rsidRPr="002512DA" w:rsidRDefault="00681820" w:rsidP="00681820">
      <w:pPr>
        <w:pStyle w:val="Web"/>
        <w:spacing w:beforeLines="30" w:before="108" w:beforeAutospacing="0" w:after="0" w:afterAutospacing="0" w:line="400" w:lineRule="exact"/>
        <w:jc w:val="both"/>
        <w:rPr>
          <w:rFonts w:ascii="微軟正黑體" w:eastAsia="微軟正黑體" w:hAnsi="微軟正黑體" w:cs="Times New Roman"/>
          <w:lang w:eastAsia="ja-JP"/>
        </w:rPr>
      </w:pPr>
      <w:r>
        <w:rPr>
          <w:rFonts w:ascii="微軟正黑體" w:eastAsia="微軟正黑體" w:hAnsi="微軟正黑體" w:cs="Times New Roman" w:hint="eastAsia"/>
        </w:rPr>
        <w:t xml:space="preserve">    </w:t>
      </w:r>
      <w:r w:rsidRPr="00CB586E">
        <w:rPr>
          <w:rFonts w:ascii="微軟正黑體" w:eastAsia="微軟正黑體" w:hAnsi="微軟正黑體" w:cs="Times New Roman" w:hint="eastAsia"/>
          <w:lang w:eastAsia="ja-JP"/>
        </w:rPr>
        <w:t>台灣在1999年12月10日所開始生效的聯合國「經濟社會文化權利國際公約」與「公民與政治權利公約」</w:t>
      </w:r>
      <w:r w:rsidRPr="002512DA">
        <w:rPr>
          <w:rFonts w:ascii="微軟正黑體" w:eastAsia="微軟正黑體" w:hAnsi="微軟正黑體" w:cs="Times New Roman" w:hint="eastAsia"/>
        </w:rPr>
        <w:t>(</w:t>
      </w:r>
      <w:r w:rsidRPr="002512DA">
        <w:rPr>
          <w:rFonts w:ascii="微軟正黑體" w:eastAsia="微軟正黑體" w:hAnsi="微軟正黑體" w:cs="Times New Roman" w:hint="eastAsia"/>
          <w:lang w:eastAsia="ja-JP"/>
        </w:rPr>
        <w:t>在台灣慣稱「兩公約」</w:t>
      </w:r>
      <w:r w:rsidRPr="002512DA">
        <w:rPr>
          <w:rFonts w:ascii="微軟正黑體" w:eastAsia="微軟正黑體" w:hAnsi="微軟正黑體" w:cs="Times New Roman" w:hint="eastAsia"/>
        </w:rPr>
        <w:t>)</w:t>
      </w:r>
      <w:r w:rsidRPr="002512DA">
        <w:rPr>
          <w:rFonts w:ascii="微軟正黑體" w:eastAsia="微軟正黑體" w:hAnsi="微軟正黑體" w:cs="Times New Roman" w:hint="eastAsia"/>
          <w:lang w:eastAsia="ja-JP"/>
        </w:rPr>
        <w:t>，而兩公約所揭示的保障人權規定，具有國內法律效力。</w:t>
      </w:r>
      <w:r w:rsidRPr="002512DA">
        <w:rPr>
          <w:rFonts w:ascii="微軟正黑體" w:eastAsia="微軟正黑體" w:hAnsi="微軟正黑體" w:cs="Times New Roman" w:hint="eastAsia"/>
        </w:rPr>
        <w:t>其中</w:t>
      </w:r>
      <w:r w:rsidRPr="002512DA">
        <w:rPr>
          <w:rFonts w:ascii="微軟正黑體" w:eastAsia="微軟正黑體" w:hAnsi="微軟正黑體" w:cs="Times New Roman" w:hint="eastAsia"/>
          <w:lang w:eastAsia="ja-JP"/>
        </w:rPr>
        <w:t>「經濟社會文化權利國際公約」</w:t>
      </w:r>
      <w:r w:rsidRPr="002512DA">
        <w:rPr>
          <w:rFonts w:ascii="微軟正黑體" w:eastAsia="微軟正黑體" w:hAnsi="微軟正黑體" w:cs="Times New Roman" w:hint="eastAsia"/>
        </w:rPr>
        <w:t>第4條：</w:t>
      </w:r>
      <w:r w:rsidRPr="002512DA">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本公約締約國確認人民享受國家遵照本公約規定所賦予之權利時，國家對此類權利僅得加以法律明定之限制，又其所定限制以與此類權利之性質不相牴觸為準，且加以限制之唯一目的應在增進民主社會之公共福利。」</w:t>
      </w:r>
      <w:r w:rsidRPr="002512DA">
        <w:rPr>
          <w:rFonts w:ascii="微軟正黑體" w:eastAsia="微軟正黑體" w:hAnsi="微軟正黑體" w:cs="Times New Roman" w:hint="eastAsia"/>
          <w:lang w:eastAsia="ja-JP"/>
        </w:rPr>
        <w:t>；第6條：「確認人人有工作之權利，包括人人應有機會憑本人自由選擇或接受之工作謀生之權利，並將採取適當步驟保障之。」；第7條：「確認人人有權享受公平與良好之工作條件，獲得公允的薪資，以維持本人與家屬合理生活水平等。」。</w:t>
      </w:r>
    </w:p>
    <w:p w:rsidR="00681820" w:rsidRPr="00B57C81" w:rsidRDefault="00681820" w:rsidP="00681820">
      <w:pPr>
        <w:pStyle w:val="Web"/>
        <w:spacing w:beforeLines="30" w:before="108" w:beforeAutospacing="0" w:after="0" w:afterAutospacing="0" w:line="400" w:lineRule="exact"/>
        <w:jc w:val="both"/>
        <w:rPr>
          <w:rFonts w:ascii="微軟正黑體" w:eastAsia="微軟正黑體" w:hAnsi="微軟正黑體" w:cs="Times New Roman"/>
          <w:strike/>
        </w:rPr>
      </w:pPr>
      <w:r>
        <w:rPr>
          <w:rFonts w:ascii="微軟正黑體" w:eastAsia="微軟正黑體" w:hAnsi="微軟正黑體" w:cs="Times New Roman" w:hint="eastAsia"/>
          <w:lang w:eastAsia="ja-JP"/>
        </w:rPr>
        <w:t xml:space="preserve">    </w:t>
      </w:r>
      <w:r w:rsidRPr="00CB586E">
        <w:rPr>
          <w:rFonts w:ascii="微軟正黑體" w:eastAsia="微軟正黑體" w:hAnsi="微軟正黑體" w:cs="Times New Roman" w:hint="eastAsia"/>
          <w:lang w:eastAsia="ja-JP"/>
        </w:rPr>
        <w:t>在國際上，聯合國也因為關注經濟成長不均、社會不平等、貧富差距等諸多重大問題，經過兩年半由下而上密集的協商，2015年聯合國宣布了「2030</w:t>
      </w:r>
      <w:r>
        <w:rPr>
          <w:rFonts w:ascii="微軟正黑體" w:eastAsia="微軟正黑體" w:hAnsi="微軟正黑體" w:cs="Times New Roman" w:hint="eastAsia"/>
          <w:lang w:eastAsia="ja-JP"/>
        </w:rPr>
        <w:t>永續發展目標」(</w:t>
      </w:r>
      <w:r w:rsidRPr="00CB586E">
        <w:rPr>
          <w:rFonts w:ascii="微軟正黑體" w:eastAsia="微軟正黑體" w:hAnsi="微軟正黑體" w:cs="Times New Roman" w:hint="eastAsia"/>
          <w:lang w:eastAsia="ja-JP"/>
        </w:rPr>
        <w:t>Sustainable Development Goals, SDGs</w:t>
      </w:r>
      <w:r>
        <w:rPr>
          <w:rFonts w:ascii="微軟正黑體" w:eastAsia="微軟正黑體" w:hAnsi="微軟正黑體" w:cs="Times New Roman" w:hint="eastAsia"/>
          <w:lang w:eastAsia="ja-JP"/>
        </w:rPr>
        <w:t>)，指引全球共同努力、邁向永續(</w:t>
      </w:r>
      <w:r w:rsidRPr="00CB586E">
        <w:rPr>
          <w:rFonts w:ascii="微軟正黑體" w:eastAsia="微軟正黑體" w:hAnsi="微軟正黑體" w:cs="Times New Roman" w:hint="eastAsia"/>
          <w:lang w:eastAsia="ja-JP"/>
        </w:rPr>
        <w:t xml:space="preserve">United </w:t>
      </w:r>
      <w:r w:rsidRPr="006F76C5">
        <w:rPr>
          <w:rFonts w:ascii="微軟正黑體" w:eastAsia="微軟正黑體" w:hAnsi="微軟正黑體" w:cs="Times New Roman" w:hint="eastAsia"/>
          <w:lang w:eastAsia="ja-JP"/>
        </w:rPr>
        <w:t>Nations 2015)。當時，有193個國家同意在2030年前，努力達成 17項SDGs目標。</w:t>
      </w:r>
      <w:r w:rsidRPr="00C13B10">
        <w:rPr>
          <w:rFonts w:ascii="微軟正黑體" w:eastAsia="微軟正黑體" w:hAnsi="微軟正黑體" w:cs="Times New Roman" w:hint="eastAsia"/>
        </w:rPr>
        <w:t>我國亦參考聯合國SDGs，於2019年核定「臺灣永續發展目標」，其中多數目標</w:t>
      </w:r>
      <w:r w:rsidRPr="00C13B10">
        <w:rPr>
          <w:rFonts w:ascii="微軟正黑體" w:eastAsia="微軟正黑體" w:hAnsi="微軟正黑體" w:cs="Times New Roman" w:hint="eastAsia"/>
          <w:lang w:eastAsia="ja-JP"/>
        </w:rPr>
        <w:t>亦是我國國家發展計畫致力推動的跨部會協力目標，包括</w:t>
      </w:r>
      <w:r w:rsidRPr="00C13B10">
        <w:rPr>
          <w:rFonts w:ascii="微軟正黑體" w:eastAsia="微軟正黑體" w:hAnsi="微軟正黑體" w:cs="Times New Roman" w:hint="eastAsia"/>
        </w:rPr>
        <w:t>對應聯合國SDGs</w:t>
      </w:r>
      <w:r w:rsidRPr="00C13B10">
        <w:rPr>
          <w:rFonts w:ascii="微軟正黑體" w:eastAsia="微軟正黑體" w:hAnsi="微軟正黑體" w:cs="Times New Roman" w:hint="eastAsia"/>
          <w:lang w:eastAsia="ja-JP"/>
        </w:rPr>
        <w:t>第</w:t>
      </w:r>
      <w:r w:rsidRPr="00C13B10">
        <w:rPr>
          <w:rFonts w:ascii="微軟正黑體" w:eastAsia="微軟正黑體" w:hAnsi="微軟正黑體" w:cs="Times New Roman" w:hint="eastAsia"/>
        </w:rPr>
        <w:t>1</w:t>
      </w:r>
      <w:r w:rsidRPr="00C13B10">
        <w:rPr>
          <w:rFonts w:ascii="微軟正黑體" w:eastAsia="微軟正黑體" w:hAnsi="微軟正黑體" w:cs="Times New Roman" w:hint="eastAsia"/>
          <w:lang w:eastAsia="ja-JP"/>
        </w:rPr>
        <w:t>項「消除貧</w:t>
      </w:r>
      <w:r w:rsidRPr="00C13B10">
        <w:rPr>
          <w:rFonts w:ascii="微軟正黑體" w:eastAsia="微軟正黑體" w:hAnsi="微軟正黑體" w:cs="Times New Roman" w:hint="eastAsia"/>
          <w:lang w:eastAsia="ja-JP"/>
        </w:rPr>
        <w:lastRenderedPageBreak/>
        <w:t>窮」與第</w:t>
      </w:r>
      <w:r w:rsidRPr="00C13B10">
        <w:rPr>
          <w:rFonts w:ascii="微軟正黑體" w:eastAsia="微軟正黑體" w:hAnsi="微軟正黑體" w:cs="Times New Roman" w:hint="eastAsia"/>
        </w:rPr>
        <w:t>10</w:t>
      </w:r>
      <w:r w:rsidRPr="00C13B10">
        <w:rPr>
          <w:rFonts w:ascii="微軟正黑體" w:eastAsia="微軟正黑體" w:hAnsi="微軟正黑體" w:cs="Times New Roman" w:hint="eastAsia"/>
          <w:lang w:eastAsia="ja-JP"/>
        </w:rPr>
        <w:t>項</w:t>
      </w:r>
      <w:r w:rsidRPr="00C13B10">
        <w:rPr>
          <w:rFonts w:ascii="微軟正黑體" w:eastAsia="微軟正黑體" w:hAnsi="微軟正黑體" w:cs="Times New Roman" w:hint="eastAsia"/>
        </w:rPr>
        <w:t>「</w:t>
      </w:r>
      <w:r w:rsidRPr="00C13B10">
        <w:rPr>
          <w:rFonts w:ascii="微軟正黑體" w:eastAsia="微軟正黑體" w:hAnsi="微軟正黑體" w:cs="Times New Roman" w:hint="eastAsia"/>
          <w:lang w:eastAsia="ja-JP"/>
        </w:rPr>
        <w:t>縮小國內</w:t>
      </w:r>
      <w:r w:rsidRPr="00C13B10">
        <w:rPr>
          <w:rFonts w:ascii="微軟正黑體" w:eastAsia="微軟正黑體" w:hAnsi="微軟正黑體" w:cs="Times New Roman" w:hint="eastAsia"/>
        </w:rPr>
        <w:t>及</w:t>
      </w:r>
      <w:r w:rsidRPr="00C13B10">
        <w:rPr>
          <w:rFonts w:ascii="微軟正黑體" w:eastAsia="微軟正黑體" w:hAnsi="微軟正黑體" w:cs="Times New Roman" w:hint="eastAsia"/>
          <w:lang w:eastAsia="ja-JP"/>
        </w:rPr>
        <w:t>國</w:t>
      </w:r>
      <w:r w:rsidRPr="00C13B10">
        <w:rPr>
          <w:rFonts w:ascii="微軟正黑體" w:eastAsia="微軟正黑體" w:hAnsi="微軟正黑體" w:cs="Times New Roman" w:hint="eastAsia"/>
        </w:rPr>
        <w:t>家</w:t>
      </w:r>
      <w:r w:rsidRPr="00C13B10">
        <w:rPr>
          <w:rFonts w:ascii="微軟正黑體" w:eastAsia="微軟正黑體" w:hAnsi="微軟正黑體" w:cs="Times New Roman" w:hint="eastAsia"/>
          <w:lang w:eastAsia="ja-JP"/>
        </w:rPr>
        <w:t>間不平等」。</w:t>
      </w:r>
      <w:r w:rsidRPr="00C13B10">
        <w:rPr>
          <w:rFonts w:ascii="微軟正黑體" w:eastAsia="微軟正黑體" w:hAnsi="微軟正黑體" w:cs="Times New Roman" w:hint="eastAsia"/>
        </w:rPr>
        <w:t>另聯合國SDGs</w:t>
      </w:r>
      <w:r w:rsidRPr="00C13B10">
        <w:rPr>
          <w:rFonts w:ascii="微軟正黑體" w:eastAsia="微軟正黑體" w:hAnsi="微軟正黑體" w:cs="Times New Roman" w:hint="eastAsia"/>
          <w:lang w:eastAsia="ja-JP"/>
        </w:rPr>
        <w:t>第</w:t>
      </w:r>
      <w:r w:rsidRPr="00C13B10">
        <w:rPr>
          <w:rFonts w:ascii="微軟正黑體" w:eastAsia="微軟正黑體" w:hAnsi="微軟正黑體" w:cs="Times New Roman" w:hint="eastAsia"/>
        </w:rPr>
        <w:t>8</w:t>
      </w:r>
      <w:r w:rsidRPr="00C13B10">
        <w:rPr>
          <w:rFonts w:ascii="微軟正黑體" w:eastAsia="微軟正黑體" w:hAnsi="微軟正黑體" w:cs="Times New Roman" w:hint="eastAsia"/>
          <w:lang w:eastAsia="ja-JP"/>
        </w:rPr>
        <w:t>項指出「促進包容</w:t>
      </w:r>
      <w:r w:rsidRPr="00CB586E">
        <w:rPr>
          <w:rFonts w:ascii="微軟正黑體" w:eastAsia="微軟正黑體" w:hAnsi="微軟正黑體" w:cs="Times New Roman" w:hint="eastAsia"/>
          <w:lang w:eastAsia="ja-JP"/>
        </w:rPr>
        <w:t>且永續經濟成長，達到全</w:t>
      </w:r>
      <w:r>
        <w:rPr>
          <w:rFonts w:ascii="微軟正黑體" w:eastAsia="微軟正黑體" w:hAnsi="微軟正黑體" w:cs="Times New Roman" w:hint="eastAsia"/>
          <w:lang w:eastAsia="ja-JP"/>
        </w:rPr>
        <w:t>面有生產力的就業，讓每一個人都有一份好工作」；第</w:t>
      </w:r>
      <w:r w:rsidRPr="005800D6">
        <w:rPr>
          <w:rFonts w:ascii="微軟正黑體" w:eastAsia="微軟正黑體" w:hAnsi="微軟正黑體" w:cs="Times New Roman" w:hint="eastAsia"/>
        </w:rPr>
        <w:t>4</w:t>
      </w:r>
      <w:r w:rsidRPr="006F4478">
        <w:rPr>
          <w:rFonts w:ascii="微軟正黑體" w:eastAsia="微軟正黑體" w:hAnsi="微軟正黑體" w:cs="Times New Roman" w:hint="eastAsia"/>
          <w:lang w:eastAsia="ja-JP"/>
        </w:rPr>
        <w:t>項</w:t>
      </w:r>
      <w:r w:rsidRPr="006F4478">
        <w:rPr>
          <w:rFonts w:ascii="微軟正黑體" w:eastAsia="微軟正黑體" w:hAnsi="微軟正黑體" w:cs="Times New Roman" w:hint="eastAsia"/>
        </w:rPr>
        <w:t>指</w:t>
      </w:r>
      <w:r w:rsidRPr="002512DA">
        <w:rPr>
          <w:rFonts w:ascii="微軟正黑體" w:eastAsia="微軟正黑體" w:hAnsi="微軟正黑體" w:cs="Times New Roman" w:hint="eastAsia"/>
        </w:rPr>
        <w:t>出</w:t>
      </w:r>
      <w:r w:rsidRPr="002512DA">
        <w:rPr>
          <w:rFonts w:ascii="微軟正黑體" w:eastAsia="微軟正黑體" w:hAnsi="微軟正黑體" w:cs="Times New Roman" w:hint="eastAsia"/>
          <w:lang w:eastAsia="ja-JP"/>
        </w:rPr>
        <w:t>「優質教育：確保公平以及高品質的教育，及提倡終身學習」；第</w:t>
      </w:r>
      <w:r w:rsidRPr="002512DA">
        <w:rPr>
          <w:rFonts w:ascii="微軟正黑體" w:eastAsia="微軟正黑體" w:hAnsi="微軟正黑體" w:cs="Times New Roman" w:hint="eastAsia"/>
        </w:rPr>
        <w:t>5</w:t>
      </w:r>
      <w:r w:rsidRPr="002512DA">
        <w:rPr>
          <w:rFonts w:ascii="微軟正黑體" w:eastAsia="微軟正黑體" w:hAnsi="微軟正黑體" w:cs="Times New Roman" w:hint="eastAsia"/>
          <w:lang w:eastAsia="ja-JP"/>
        </w:rPr>
        <w:t>項指出「實現性別平等，並賦予婦女權力」</w:t>
      </w:r>
      <w:r w:rsidRPr="002512DA">
        <w:rPr>
          <w:rFonts w:ascii="微軟正黑體" w:eastAsia="微軟正黑體" w:hAnsi="微軟正黑體" w:cs="Times New Roman" w:hint="eastAsia"/>
        </w:rPr>
        <w:t>；</w:t>
      </w:r>
      <w:r w:rsidRPr="002512DA">
        <w:rPr>
          <w:rFonts w:ascii="微軟正黑體" w:eastAsia="微軟正黑體" w:hAnsi="微軟正黑體" w:cs="Times New Roman" w:hint="eastAsia"/>
          <w:lang w:eastAsia="ja-JP"/>
        </w:rPr>
        <w:t>第</w:t>
      </w:r>
      <w:r w:rsidRPr="002512DA">
        <w:rPr>
          <w:rFonts w:ascii="微軟正黑體" w:eastAsia="微軟正黑體" w:hAnsi="微軟正黑體" w:cs="Times New Roman" w:hint="eastAsia"/>
        </w:rPr>
        <w:t>17</w:t>
      </w:r>
      <w:r w:rsidRPr="002512DA">
        <w:rPr>
          <w:rFonts w:ascii="微軟正黑體" w:eastAsia="微軟正黑體" w:hAnsi="微軟正黑體" w:cs="Times New Roman" w:hint="eastAsia"/>
          <w:lang w:eastAsia="ja-JP"/>
        </w:rPr>
        <w:t>項指出多元夥伴關係建立的重要，改善政府與民間的合作關係與提升政府的行政效能</w:t>
      </w:r>
      <w:r>
        <w:rPr>
          <w:rFonts w:ascii="微軟正黑體" w:eastAsia="微軟正黑體" w:hAnsi="微軟正黑體" w:cs="Times New Roman" w:hint="eastAsia"/>
        </w:rPr>
        <w:t>，</w:t>
      </w:r>
      <w:r w:rsidRPr="002512DA">
        <w:rPr>
          <w:rFonts w:ascii="微軟正黑體" w:eastAsia="微軟正黑體" w:hAnsi="微軟正黑體" w:cs="Times New Roman" w:hint="eastAsia"/>
          <w:lang w:eastAsia="ja-JP"/>
        </w:rPr>
        <w:t>才能協力促進永續發展目標的落實。</w:t>
      </w:r>
      <w:r>
        <w:rPr>
          <w:rFonts w:ascii="微軟正黑體" w:eastAsia="微軟正黑體" w:hAnsi="微軟正黑體" w:cs="Times New Roman" w:hint="eastAsia"/>
        </w:rPr>
        <w:t>並增列第18</w:t>
      </w:r>
      <w:r>
        <w:rPr>
          <w:rFonts w:ascii="微軟正黑體" w:eastAsia="微軟正黑體" w:hAnsi="微軟正黑體" w:cs="Times New Roman"/>
        </w:rPr>
        <w:t xml:space="preserve"> </w:t>
      </w:r>
      <w:r>
        <w:rPr>
          <w:rFonts w:ascii="微軟正黑體" w:eastAsia="微軟正黑體" w:hAnsi="微軟正黑體" w:cs="Times New Roman" w:hint="eastAsia"/>
        </w:rPr>
        <w:t>項永續發展目標為「非核家園」。</w:t>
      </w:r>
      <w:r w:rsidRPr="002512DA">
        <w:rPr>
          <w:rFonts w:ascii="微軟正黑體" w:eastAsia="微軟正黑體" w:hAnsi="微軟正黑體" w:cs="Times New Roman" w:hint="eastAsia"/>
          <w:lang w:eastAsia="ja-JP"/>
        </w:rPr>
        <w:t>本文所倡議的「社會團結經濟」與「融合性就業政策」基本上可呼應</w:t>
      </w:r>
      <w:r>
        <w:rPr>
          <w:rFonts w:ascii="微軟正黑體" w:eastAsia="微軟正黑體" w:hAnsi="微軟正黑體" w:cs="Times New Roman" w:hint="eastAsia"/>
        </w:rPr>
        <w:t>與有助於</w:t>
      </w:r>
      <w:r w:rsidRPr="002512DA">
        <w:rPr>
          <w:rFonts w:ascii="微軟正黑體" w:eastAsia="微軟正黑體" w:hAnsi="微軟正黑體" w:cs="Times New Roman" w:hint="eastAsia"/>
          <w:lang w:eastAsia="ja-JP"/>
        </w:rPr>
        <w:t>聯合國</w:t>
      </w:r>
      <w:r>
        <w:rPr>
          <w:rFonts w:ascii="微軟正黑體" w:eastAsia="微軟正黑體" w:hAnsi="微軟正黑體" w:cs="Times New Roman" w:hint="eastAsia"/>
        </w:rPr>
        <w:t>與臺灣</w:t>
      </w:r>
      <w:r w:rsidRPr="002512DA">
        <w:rPr>
          <w:rFonts w:ascii="微軟正黑體" w:eastAsia="微軟正黑體" w:hAnsi="微軟正黑體" w:cs="Times New Roman" w:hint="eastAsia"/>
          <w:lang w:eastAsia="ja-JP"/>
        </w:rPr>
        <w:t>永續發展目標的落實</w:t>
      </w:r>
      <w:r w:rsidRPr="00CB586E">
        <w:rPr>
          <w:rFonts w:ascii="微軟正黑體" w:eastAsia="微軟正黑體" w:hAnsi="微軟正黑體" w:cs="Times New Roman" w:hint="eastAsia"/>
          <w:lang w:eastAsia="ja-JP"/>
        </w:rPr>
        <w:t>。</w:t>
      </w:r>
    </w:p>
    <w:p w:rsidR="00681820" w:rsidRPr="006F76C5" w:rsidRDefault="00681820" w:rsidP="00681820">
      <w:pPr>
        <w:pStyle w:val="Web"/>
        <w:spacing w:beforeLines="30" w:before="108" w:beforeAutospacing="0" w:after="0" w:afterAutospacing="0" w:line="400" w:lineRule="exact"/>
        <w:jc w:val="both"/>
        <w:rPr>
          <w:rFonts w:ascii="微軟正黑體" w:eastAsia="微軟正黑體" w:hAnsi="微軟正黑體" w:cs="Times New Roman"/>
          <w:lang w:eastAsia="ja-JP"/>
        </w:rPr>
      </w:pPr>
      <w:r>
        <w:rPr>
          <w:rFonts w:ascii="微軟正黑體" w:eastAsia="微軟正黑體" w:hAnsi="微軟正黑體" w:cs="Times New Roman" w:hint="eastAsia"/>
        </w:rPr>
        <w:t xml:space="preserve">    </w:t>
      </w:r>
      <w:r w:rsidRPr="00CB586E">
        <w:rPr>
          <w:rFonts w:ascii="微軟正黑體" w:eastAsia="微軟正黑體" w:hAnsi="微軟正黑體" w:cs="Times New Roman" w:hint="eastAsia"/>
          <w:lang w:eastAsia="ja-JP"/>
        </w:rPr>
        <w:t>國際勞工組織2013年亦將尊嚴勞動的基本要素(Decent Work Agenda)，包括以下十大面向：1、提供就業機會(employment opportunities)；2、提供適宜薪資與生產力工作(adequate earnings and productive work)；3、提供合適的工作時間</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decent working time</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；4、支持工作、家庭與個人生活的平衡(combing work, family and personal life)；5、禁止強制勞動行為</w:t>
      </w:r>
      <w:r>
        <w:rPr>
          <w:rFonts w:ascii="微軟正黑體" w:eastAsia="微軟正黑體" w:hAnsi="微軟正黑體" w:cs="Times New Roman" w:hint="eastAsia"/>
        </w:rPr>
        <w:t>(work that should be abolished)</w:t>
      </w:r>
      <w:r w:rsidRPr="00CB586E">
        <w:rPr>
          <w:rFonts w:ascii="微軟正黑體" w:eastAsia="微軟正黑體" w:hAnsi="微軟正黑體" w:cs="Times New Roman" w:hint="eastAsia"/>
          <w:lang w:eastAsia="ja-JP"/>
        </w:rPr>
        <w:t>；6、提供穩定與就業安全的工作(stability and security of work)；7</w:t>
      </w:r>
      <w:r>
        <w:rPr>
          <w:rFonts w:ascii="微軟正黑體" w:eastAsia="微軟正黑體" w:hAnsi="微軟正黑體" w:cs="Times New Roman" w:hint="eastAsia"/>
          <w:lang w:eastAsia="ja-JP"/>
        </w:rPr>
        <w:t>、平等的就業機會與對待</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equal opportunity and treatment in employment</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；8、提供</w:t>
      </w:r>
      <w:r>
        <w:rPr>
          <w:rFonts w:ascii="微軟正黑體" w:eastAsia="微軟正黑體" w:hAnsi="微軟正黑體" w:cs="Times New Roman" w:hint="eastAsia"/>
        </w:rPr>
        <w:t>穩定與安全的</w:t>
      </w:r>
      <w:r w:rsidRPr="00CB586E">
        <w:rPr>
          <w:rFonts w:ascii="微軟正黑體" w:eastAsia="微軟正黑體" w:hAnsi="微軟正黑體" w:cs="Times New Roman" w:hint="eastAsia"/>
          <w:lang w:eastAsia="ja-JP"/>
        </w:rPr>
        <w:t>工作環境(</w:t>
      </w:r>
      <w:r>
        <w:rPr>
          <w:rFonts w:ascii="微軟正黑體" w:eastAsia="微軟正黑體" w:hAnsi="微軟正黑體" w:cs="Times New Roman" w:hint="eastAsia"/>
        </w:rPr>
        <w:t>stability</w:t>
      </w:r>
      <w:r>
        <w:rPr>
          <w:rFonts w:ascii="微軟正黑體" w:eastAsia="微軟正黑體" w:hAnsi="微軟正黑體" w:cs="Times New Roman"/>
          <w:lang w:eastAsia="ja-JP"/>
        </w:rPr>
        <w:t xml:space="preserve"> </w:t>
      </w:r>
      <w:r>
        <w:rPr>
          <w:rFonts w:ascii="微軟正黑體" w:eastAsia="微軟正黑體" w:hAnsi="微軟正黑體" w:cs="Times New Roman" w:hint="eastAsia"/>
        </w:rPr>
        <w:t>and</w:t>
      </w:r>
      <w:r>
        <w:rPr>
          <w:rFonts w:ascii="微軟正黑體" w:eastAsia="微軟正黑體" w:hAnsi="微軟正黑體" w:cs="Times New Roman"/>
          <w:lang w:eastAsia="ja-JP"/>
        </w:rPr>
        <w:t xml:space="preserve"> </w:t>
      </w:r>
      <w:r>
        <w:rPr>
          <w:rFonts w:ascii="微軟正黑體" w:eastAsia="微軟正黑體" w:hAnsi="微軟正黑體" w:cs="Times New Roman" w:hint="eastAsia"/>
        </w:rPr>
        <w:t>security</w:t>
      </w:r>
      <w:r>
        <w:rPr>
          <w:rFonts w:ascii="微軟正黑體" w:eastAsia="微軟正黑體" w:hAnsi="微軟正黑體" w:cs="Times New Roman"/>
          <w:lang w:eastAsia="ja-JP"/>
        </w:rPr>
        <w:t xml:space="preserve"> </w:t>
      </w:r>
      <w:r>
        <w:rPr>
          <w:rFonts w:ascii="微軟正黑體" w:eastAsia="微軟正黑體" w:hAnsi="微軟正黑體" w:cs="Times New Roman" w:hint="eastAsia"/>
        </w:rPr>
        <w:t>of</w:t>
      </w:r>
      <w:r>
        <w:rPr>
          <w:rFonts w:ascii="微軟正黑體" w:eastAsia="微軟正黑體" w:hAnsi="微軟正黑體" w:cs="Times New Roman"/>
          <w:lang w:eastAsia="ja-JP"/>
        </w:rPr>
        <w:t xml:space="preserve"> </w:t>
      </w:r>
      <w:r>
        <w:rPr>
          <w:rFonts w:ascii="微軟正黑體" w:eastAsia="微軟正黑體" w:hAnsi="微軟正黑體" w:cs="Times New Roman" w:hint="eastAsia"/>
        </w:rPr>
        <w:t>work</w:t>
      </w:r>
      <w:r w:rsidRPr="00CB586E">
        <w:rPr>
          <w:rFonts w:ascii="微軟正黑體" w:eastAsia="微軟正黑體" w:hAnsi="微軟正黑體" w:cs="Times New Roman" w:hint="eastAsia"/>
          <w:lang w:eastAsia="ja-JP"/>
        </w:rPr>
        <w:t>)；9</w:t>
      </w:r>
      <w:r>
        <w:rPr>
          <w:rFonts w:ascii="微軟正黑體" w:eastAsia="微軟正黑體" w:hAnsi="微軟正黑體" w:cs="Times New Roman" w:hint="eastAsia"/>
          <w:lang w:eastAsia="ja-JP"/>
        </w:rPr>
        <w:t>、提供完善的社會安全網</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social security</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；10、建構具備代表性的勞資社會對話平台(social dialogue</w:t>
      </w:r>
      <w:r w:rsidRPr="002D34F0">
        <w:rPr>
          <w:rFonts w:ascii="微軟正黑體" w:eastAsia="微軟正黑體" w:hAnsi="微軟正黑體" w:cs="Times New Roman"/>
          <w:lang w:eastAsia="ja-JP"/>
        </w:rPr>
        <w:t xml:space="preserve">, </w:t>
      </w:r>
      <w:r w:rsidRPr="006F76C5">
        <w:rPr>
          <w:rFonts w:ascii="微軟正黑體" w:eastAsia="微軟正黑體" w:hAnsi="微軟正黑體" w:cs="Times New Roman"/>
          <w:color w:val="000000" w:themeColor="text1"/>
          <w:lang w:eastAsia="ja-JP"/>
        </w:rPr>
        <w:t>employers’</w:t>
      </w:r>
      <w:r>
        <w:rPr>
          <w:rFonts w:ascii="微軟正黑體" w:eastAsia="微軟正黑體" w:hAnsi="微軟正黑體" w:cs="Times New Roman" w:hint="eastAsia"/>
          <w:color w:val="000000" w:themeColor="text1"/>
        </w:rPr>
        <w:t xml:space="preserve"> </w:t>
      </w:r>
      <w:r w:rsidRPr="006F76C5">
        <w:rPr>
          <w:rFonts w:ascii="微軟正黑體" w:eastAsia="微軟正黑體" w:hAnsi="微軟正黑體" w:cs="Times New Roman" w:hint="eastAsia"/>
          <w:color w:val="000000" w:themeColor="text1"/>
        </w:rPr>
        <w:t>and</w:t>
      </w:r>
      <w:r w:rsidRPr="006F76C5">
        <w:rPr>
          <w:rFonts w:ascii="微軟正黑體" w:eastAsia="微軟正黑體" w:hAnsi="微軟正黑體" w:cs="Times New Roman"/>
          <w:color w:val="000000" w:themeColor="text1"/>
          <w:lang w:eastAsia="ja-JP"/>
        </w:rPr>
        <w:t xml:space="preserve"> </w:t>
      </w:r>
      <w:r w:rsidRPr="006F76C5">
        <w:rPr>
          <w:rFonts w:ascii="微軟正黑體" w:eastAsia="微軟正黑體" w:hAnsi="微軟正黑體" w:cs="Times New Roman" w:hint="eastAsia"/>
        </w:rPr>
        <w:t>workers</w:t>
      </w:r>
      <w:r w:rsidRPr="006F76C5">
        <w:rPr>
          <w:rFonts w:ascii="微軟正黑體" w:eastAsia="微軟正黑體" w:hAnsi="微軟正黑體" w:cs="Times New Roman"/>
        </w:rPr>
        <w:t>’</w:t>
      </w:r>
      <w:r w:rsidRPr="006F76C5">
        <w:rPr>
          <w:rFonts w:ascii="微軟正黑體" w:eastAsia="微軟正黑體" w:hAnsi="微軟正黑體" w:cs="Times New Roman"/>
          <w:color w:val="000000" w:themeColor="text1"/>
          <w:lang w:eastAsia="ja-JP"/>
        </w:rPr>
        <w:t xml:space="preserve"> representation</w:t>
      </w:r>
      <w:r w:rsidRPr="006F76C5">
        <w:rPr>
          <w:rFonts w:ascii="微軟正黑體" w:eastAsia="微軟正黑體" w:hAnsi="微軟正黑體" w:cs="Times New Roman" w:hint="eastAsia"/>
          <w:lang w:eastAsia="ja-JP"/>
        </w:rPr>
        <w:t>)。</w:t>
      </w:r>
    </w:p>
    <w:p w:rsidR="00681820" w:rsidRPr="00CB586E" w:rsidRDefault="00681820" w:rsidP="00681820">
      <w:pPr>
        <w:pStyle w:val="Web"/>
        <w:spacing w:beforeLines="30" w:before="108" w:beforeAutospacing="0" w:after="0" w:afterAutospacing="0" w:line="400" w:lineRule="exact"/>
        <w:jc w:val="both"/>
        <w:rPr>
          <w:rFonts w:ascii="微軟正黑體" w:eastAsia="微軟正黑體" w:hAnsi="微軟正黑體" w:cs="Times New Roman"/>
          <w:lang w:eastAsia="ja-JP"/>
        </w:rPr>
      </w:pPr>
      <w:r w:rsidRPr="006F76C5">
        <w:rPr>
          <w:rFonts w:ascii="微軟正黑體" w:eastAsia="微軟正黑體" w:hAnsi="微軟正黑體" w:cs="Times New Roman" w:hint="eastAsia"/>
        </w:rPr>
        <w:t xml:space="preserve">    </w:t>
      </w:r>
      <w:r w:rsidRPr="006F76C5">
        <w:rPr>
          <w:rFonts w:ascii="微軟正黑體" w:eastAsia="微軟正黑體" w:hAnsi="微軟正黑體" w:cs="Times New Roman" w:hint="eastAsia"/>
          <w:lang w:eastAsia="ja-JP"/>
        </w:rPr>
        <w:t>國際勞工組</w:t>
      </w:r>
      <w:r w:rsidRPr="006F76C5">
        <w:rPr>
          <w:rFonts w:ascii="微軟正黑體" w:eastAsia="微軟正黑體" w:hAnsi="微軟正黑體" w:cs="Times New Roman" w:hint="eastAsia"/>
        </w:rPr>
        <w:t>織(</w:t>
      </w:r>
      <w:r w:rsidRPr="006F76C5">
        <w:rPr>
          <w:rFonts w:ascii="微軟正黑體" w:eastAsia="微軟正黑體" w:hAnsi="微軟正黑體" w:cs="Times New Roman" w:hint="eastAsia"/>
          <w:lang w:eastAsia="ja-JP"/>
        </w:rPr>
        <w:t>2015</w:t>
      </w:r>
      <w:r w:rsidRPr="006F76C5">
        <w:rPr>
          <w:rFonts w:ascii="微軟正黑體" w:eastAsia="微軟正黑體" w:hAnsi="微軟正黑體" w:cs="Times New Roman" w:hint="eastAsia"/>
        </w:rPr>
        <w:t>)</w:t>
      </w:r>
      <w:r w:rsidRPr="006F76C5">
        <w:rPr>
          <w:rFonts w:ascii="微軟正黑體" w:eastAsia="微軟正黑體" w:hAnsi="微軟正黑體" w:cs="Times New Roman" w:hint="eastAsia"/>
          <w:lang w:eastAsia="ja-JP"/>
        </w:rPr>
        <w:t>亦將尊嚴勞動與聯合國的永續發展目標加以連結，強調尊嚴</w:t>
      </w:r>
      <w:r w:rsidRPr="00CB586E">
        <w:rPr>
          <w:rFonts w:ascii="微軟正黑體" w:eastAsia="微軟正黑體" w:hAnsi="微軟正黑體" w:cs="Times New Roman" w:hint="eastAsia"/>
          <w:lang w:eastAsia="ja-JP"/>
        </w:rPr>
        <w:t>勞動不僅是目標，更是促進永續發展目標的引擎</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Decent work is not just a goal—it is a driver of sustainable development</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。國際勞工組織理事主席Guy Ryder指出，尊嚴勞動提供勞動者有工作收入給個人與勞工家庭，將有助於在地經濟的消費。勞工的購買力將有助於企業的永續發展，並希望能有助於回饋改善勞工</w:t>
      </w:r>
      <w:r w:rsidRPr="0081479C">
        <w:rPr>
          <w:rFonts w:ascii="微軟正黑體" w:eastAsia="微軟正黑體" w:hAnsi="微軟正黑體" w:cs="Times New Roman" w:hint="eastAsia"/>
        </w:rPr>
        <w:t>之</w:t>
      </w:r>
      <w:r w:rsidRPr="00CB586E">
        <w:rPr>
          <w:rFonts w:ascii="微軟正黑體" w:eastAsia="微軟正黑體" w:hAnsi="微軟正黑體" w:cs="Times New Roman" w:hint="eastAsia"/>
          <w:lang w:eastAsia="ja-JP"/>
        </w:rPr>
        <w:t>薪資與勞動條件；同時勞工也會繳納稅賦給國家，提供國家促進就業與幫助失業的勞工。因此提供就業機會、確保工作權益、強化社會保障與促進社會對話，做為國際勞工組織落實尊嚴勞動的四大支柱(ILO Decent Work Agenda 1999)。同時尊嚴勞動的推動，將有</w:t>
      </w:r>
      <w:r>
        <w:rPr>
          <w:rFonts w:ascii="微軟正黑體" w:eastAsia="微軟正黑體" w:hAnsi="微軟正黑體" w:cs="Times New Roman" w:hint="eastAsia"/>
          <w:lang w:eastAsia="ja-JP"/>
        </w:rPr>
        <w:t>助於改善不平等與提高全球化的社會防禦能力(</w:t>
      </w:r>
      <w:r w:rsidRPr="00CB586E">
        <w:rPr>
          <w:rFonts w:ascii="微軟正黑體" w:eastAsia="微軟正黑體" w:hAnsi="微軟正黑體" w:cs="Times New Roman" w:hint="eastAsia"/>
          <w:lang w:eastAsia="ja-JP"/>
        </w:rPr>
        <w:t>Social Resilience Ability</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，透過讓勞工</w:t>
      </w:r>
      <w:r>
        <w:rPr>
          <w:rFonts w:ascii="微軟正黑體" w:eastAsia="微軟正黑體" w:hAnsi="微軟正黑體" w:cs="Times New Roman" w:hint="eastAsia"/>
          <w:lang w:eastAsia="ja-JP"/>
        </w:rPr>
        <w:t>從事</w:t>
      </w:r>
      <w:r w:rsidRPr="00CB586E">
        <w:rPr>
          <w:rFonts w:ascii="微軟正黑體" w:eastAsia="微軟正黑體" w:hAnsi="微軟正黑體" w:cs="Times New Roman" w:hint="eastAsia"/>
          <w:lang w:eastAsia="ja-JP"/>
        </w:rPr>
        <w:t>一份</w:t>
      </w:r>
      <w:r>
        <w:rPr>
          <w:rFonts w:ascii="微軟正黑體" w:eastAsia="微軟正黑體" w:hAnsi="微軟正黑體" w:cs="Times New Roman" w:hint="eastAsia"/>
          <w:lang w:eastAsia="ja-JP"/>
        </w:rPr>
        <w:t>有益人群的</w:t>
      </w:r>
      <w:r w:rsidRPr="00CB586E">
        <w:rPr>
          <w:rFonts w:ascii="微軟正黑體" w:eastAsia="微軟正黑體" w:hAnsi="微軟正黑體" w:cs="Times New Roman" w:hint="eastAsia"/>
          <w:lang w:eastAsia="ja-JP"/>
        </w:rPr>
        <w:t>工作，產生尊嚴、希望與正義感、進而發展互助與平等的社會共同體。</w:t>
      </w:r>
    </w:p>
    <w:p w:rsidR="00681820" w:rsidRPr="00CB586E" w:rsidRDefault="00681820" w:rsidP="00681820">
      <w:pPr>
        <w:pStyle w:val="Web"/>
        <w:spacing w:beforeLines="30" w:before="108" w:beforeAutospacing="0" w:after="0" w:afterAutospacing="0" w:line="400" w:lineRule="exact"/>
        <w:jc w:val="both"/>
        <w:rPr>
          <w:rFonts w:ascii="微軟正黑體" w:eastAsia="微軟正黑體" w:hAnsi="微軟正黑體" w:cs="Times New Roman"/>
          <w:lang w:eastAsia="ja-JP"/>
        </w:rPr>
      </w:pPr>
      <w:r>
        <w:rPr>
          <w:rFonts w:ascii="微軟正黑體" w:eastAsia="微軟正黑體" w:hAnsi="微軟正黑體" w:cs="Times New Roman" w:hint="eastAsia"/>
          <w:lang w:eastAsia="ja-JP"/>
        </w:rPr>
        <w:t xml:space="preserve">    國際勞工組織2019</w:t>
      </w:r>
      <w:r w:rsidRPr="00CB586E">
        <w:rPr>
          <w:rFonts w:ascii="微軟正黑體" w:eastAsia="微軟正黑體" w:hAnsi="微軟正黑體" w:cs="Times New Roman" w:hint="eastAsia"/>
          <w:lang w:eastAsia="ja-JP"/>
        </w:rPr>
        <w:t>年成立滿百年，全世界勞動者正逢經濟全球化</w:t>
      </w:r>
      <w:r>
        <w:rPr>
          <w:rFonts w:ascii="微軟正黑體" w:eastAsia="微軟正黑體" w:hAnsi="微軟正黑體" w:cs="Times New Roman" w:hint="eastAsia"/>
          <w:lang w:eastAsia="ja-JP"/>
        </w:rPr>
        <w:t>(globalization)</w:t>
      </w:r>
      <w:r w:rsidRPr="00CB586E">
        <w:rPr>
          <w:rFonts w:ascii="微軟正黑體" w:eastAsia="微軟正黑體" w:hAnsi="微軟正黑體" w:cs="Times New Roman" w:hint="eastAsia"/>
          <w:lang w:eastAsia="ja-JP"/>
        </w:rPr>
        <w:t>及區域整合</w:t>
      </w:r>
      <w:r>
        <w:rPr>
          <w:rFonts w:ascii="微軟正黑體" w:eastAsia="微軟正黑體" w:hAnsi="微軟正黑體" w:cs="Times New Roman" w:hint="eastAsia"/>
          <w:lang w:eastAsia="ja-JP"/>
        </w:rPr>
        <w:t>(regional integration</w:t>
      </w:r>
      <w:r w:rsidRPr="009B71C2">
        <w:rPr>
          <w:rFonts w:ascii="微軟正黑體" w:eastAsia="微軟正黑體" w:hAnsi="微軟正黑體" w:cs="Times New Roman" w:hint="eastAsia"/>
          <w:lang w:eastAsia="ja-JP"/>
        </w:rPr>
        <w:t>)，</w:t>
      </w:r>
      <w:r w:rsidRPr="00825249">
        <w:rPr>
          <w:rFonts w:ascii="微軟正黑體" w:eastAsia="微軟正黑體" w:hAnsi="微軟正黑體" w:cs="Times New Roman" w:hint="eastAsia"/>
          <w:lang w:eastAsia="ja-JP"/>
        </w:rPr>
        <w:t>過程中勞動人權倍受挑戰，台灣在2021年9月22日也正式申請加入跨太平洋夥伴全面進步協定(Comprehensive and Progressive Trans-Pacific Partnership,</w:t>
      </w:r>
      <w:r>
        <w:rPr>
          <w:rFonts w:ascii="微軟正黑體" w:eastAsia="微軟正黑體" w:hAnsi="微軟正黑體" w:cs="Times New Roman" w:hint="eastAsia"/>
          <w:lang w:eastAsia="ja-JP"/>
        </w:rPr>
        <w:t xml:space="preserve"> </w:t>
      </w:r>
      <w:r w:rsidRPr="00825249">
        <w:rPr>
          <w:rFonts w:ascii="微軟正黑體" w:eastAsia="微軟正黑體" w:hAnsi="微軟正黑體" w:cs="Times New Roman" w:hint="eastAsia"/>
          <w:lang w:eastAsia="ja-JP"/>
        </w:rPr>
        <w:t>CPTPP)。CPTPP成員國人口規模將近5億(</w:t>
      </w:r>
      <w:r>
        <w:rPr>
          <w:rFonts w:ascii="微軟正黑體" w:eastAsia="微軟正黑體" w:hAnsi="微軟正黑體" w:cs="Times New Roman" w:hint="eastAsia"/>
        </w:rPr>
        <w:t>占</w:t>
      </w:r>
      <w:r w:rsidRPr="00825249">
        <w:rPr>
          <w:rFonts w:ascii="微軟正黑體" w:eastAsia="微軟正黑體" w:hAnsi="微軟正黑體" w:cs="Times New Roman" w:hint="eastAsia"/>
          <w:lang w:eastAsia="ja-JP"/>
        </w:rPr>
        <w:t>全球7%)，總GDP超過11兆美元(</w:t>
      </w:r>
      <w:r>
        <w:rPr>
          <w:rFonts w:ascii="微軟正黑體" w:eastAsia="微軟正黑體" w:hAnsi="微軟正黑體" w:cs="Times New Roman" w:hint="eastAsia"/>
        </w:rPr>
        <w:t>占</w:t>
      </w:r>
      <w:r w:rsidRPr="00825249">
        <w:rPr>
          <w:rFonts w:ascii="微軟正黑體" w:eastAsia="微軟正黑體" w:hAnsi="微軟正黑體" w:cs="Times New Roman" w:hint="eastAsia"/>
          <w:lang w:eastAsia="ja-JP"/>
        </w:rPr>
        <w:t>全球13.1%)，貿易值</w:t>
      </w:r>
      <w:r>
        <w:rPr>
          <w:rFonts w:ascii="微軟正黑體" w:eastAsia="微軟正黑體" w:hAnsi="微軟正黑體" w:cs="Times New Roman" w:hint="eastAsia"/>
        </w:rPr>
        <w:t>占</w:t>
      </w:r>
      <w:r w:rsidRPr="00825249">
        <w:rPr>
          <w:rFonts w:ascii="微軟正黑體" w:eastAsia="微軟正黑體" w:hAnsi="微軟正黑體" w:cs="Times New Roman" w:hint="eastAsia"/>
          <w:lang w:eastAsia="ja-JP"/>
        </w:rPr>
        <w:t>我國貿易總值超過24%。在台灣積極加入國際與區域經濟組織，對於核心勞動人權(Core Labor Standards)與更公平的全球化</w:t>
      </w:r>
      <w:r>
        <w:rPr>
          <w:rFonts w:ascii="微軟正黑體" w:eastAsia="微軟正黑體" w:hAnsi="微軟正黑體" w:cs="Times New Roman" w:hint="eastAsia"/>
          <w:lang w:eastAsia="ja-JP"/>
        </w:rPr>
        <w:t>與社會正義</w:t>
      </w:r>
      <w:r w:rsidRPr="009B71C2">
        <w:rPr>
          <w:rFonts w:ascii="微軟正黑體" w:eastAsia="微軟正黑體" w:hAnsi="微軟正黑體" w:cs="Times New Roman" w:hint="eastAsia"/>
          <w:lang w:eastAsia="ja-JP"/>
        </w:rPr>
        <w:t>，</w:t>
      </w:r>
      <w:r w:rsidRPr="00BE3CA9">
        <w:rPr>
          <w:rFonts w:ascii="微軟正黑體" w:eastAsia="微軟正黑體" w:hAnsi="微軟正黑體" w:cs="Times New Roman" w:hint="eastAsia"/>
          <w:lang w:eastAsia="ja-JP"/>
        </w:rPr>
        <w:t>如</w:t>
      </w:r>
      <w:r w:rsidRPr="00CB586E">
        <w:rPr>
          <w:rFonts w:ascii="微軟正黑體" w:eastAsia="微軟正黑體" w:hAnsi="微軟正黑體" w:cs="Times New Roman" w:hint="eastAsia"/>
          <w:lang w:eastAsia="ja-JP"/>
        </w:rPr>
        <w:t>2008</w:t>
      </w:r>
      <w:r>
        <w:rPr>
          <w:rFonts w:ascii="微軟正黑體" w:eastAsia="微軟正黑體" w:hAnsi="微軟正黑體" w:cs="Times New Roman" w:hint="eastAsia"/>
          <w:lang w:eastAsia="ja-JP"/>
        </w:rPr>
        <w:t>年國際勞工組織公佈公平全球化發展的社會正義宣言(</w:t>
      </w:r>
      <w:r w:rsidRPr="00CB586E">
        <w:rPr>
          <w:rFonts w:ascii="微軟正黑體" w:eastAsia="微軟正黑體" w:hAnsi="微軟正黑體" w:cs="Times New Roman" w:hint="eastAsia"/>
          <w:lang w:eastAsia="ja-JP"/>
        </w:rPr>
        <w:t>Declaration on Social Justice for a Fair Globalization</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與 1998 年頒布「工作基本原</w:t>
      </w:r>
      <w:r w:rsidRPr="00CB586E">
        <w:rPr>
          <w:rFonts w:ascii="微軟正黑體" w:eastAsia="微軟正黑體" w:hAnsi="微軟正黑體" w:cs="Times New Roman" w:hint="eastAsia"/>
          <w:lang w:eastAsia="ja-JP"/>
        </w:rPr>
        <w:lastRenderedPageBreak/>
        <w:t>則與權利宣言」(Declaration of Fundamental Principles and Rights at Work)，也應是政府責無旁貸的任務。在CPTPP第十九章「勞動」部分，的確即宣示需要落實國際勞工組織在1998年所公布的工作基本原則與權利，並提到締約國中可彼此合作的議題之一，即包括創造就業、促進具生產性及優質的就業環境，包括就業導向(job-rich growth)的成長政策、促進永續企業及企業家精神；也包括多元的、多</w:t>
      </w:r>
      <w:r>
        <w:rPr>
          <w:rFonts w:ascii="微軟正黑體" w:eastAsia="微軟正黑體" w:hAnsi="微軟正黑體" w:cs="Times New Roman" w:hint="eastAsia"/>
          <w:lang w:eastAsia="ja-JP"/>
        </w:rPr>
        <w:t>世代的機會與挑戰與社會保障議題，如退休金制度與就業協助方案等</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台灣石油工會 2018</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w:t>
      </w:r>
    </w:p>
    <w:p w:rsidR="00681820" w:rsidRDefault="00681820" w:rsidP="00681820">
      <w:pPr>
        <w:pStyle w:val="Web"/>
        <w:spacing w:beforeLines="30" w:before="108" w:beforeAutospacing="0" w:after="0" w:afterAutospacing="0" w:line="400" w:lineRule="exact"/>
        <w:jc w:val="both"/>
        <w:rPr>
          <w:rFonts w:ascii="微軟正黑體" w:eastAsia="微軟正黑體" w:hAnsi="微軟正黑體" w:cs="Times New Roman"/>
          <w:lang w:eastAsia="ja-JP"/>
        </w:rPr>
      </w:pPr>
      <w:r>
        <w:rPr>
          <w:rFonts w:ascii="微軟正黑體" w:eastAsia="微軟正黑體" w:hAnsi="微軟正黑體" w:cs="Times New Roman" w:hint="eastAsia"/>
        </w:rPr>
        <w:t xml:space="preserve">    </w:t>
      </w:r>
      <w:r w:rsidRPr="00CB586E">
        <w:rPr>
          <w:rFonts w:ascii="微軟正黑體" w:eastAsia="微軟正黑體" w:hAnsi="微軟正黑體" w:cs="Times New Roman" w:hint="eastAsia"/>
          <w:lang w:eastAsia="ja-JP"/>
        </w:rPr>
        <w:t>台灣目前正同時面臨快速人口老化與全球化經濟競爭壓力</w:t>
      </w:r>
      <w:r w:rsidRPr="00B24F53">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對於市場競爭所需要的效率與獲利</w:t>
      </w:r>
      <w:r w:rsidRPr="00B24F53">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與社會安全保障所需要的社會與團結經濟(Social and Solidarity Economy, SSE)，</w:t>
      </w:r>
      <w:r w:rsidRPr="00C8707D">
        <w:rPr>
          <w:rFonts w:ascii="微軟正黑體" w:eastAsia="微軟正黑體" w:hAnsi="微軟正黑體" w:cs="Times New Roman" w:hint="eastAsia"/>
          <w:lang w:eastAsia="ja-JP"/>
        </w:rPr>
        <w:t>與</w:t>
      </w:r>
      <w:r w:rsidRPr="00CB586E">
        <w:rPr>
          <w:rFonts w:ascii="微軟正黑體" w:eastAsia="微軟正黑體" w:hAnsi="微軟正黑體" w:cs="Times New Roman" w:hint="eastAsia"/>
          <w:lang w:eastAsia="ja-JP"/>
        </w:rPr>
        <w:t>積極有活力且能負責任的回應社會挑戰之公共部門(Viable Public Sector)，</w:t>
      </w:r>
      <w:r w:rsidRPr="00B24F53">
        <w:rPr>
          <w:rFonts w:ascii="微軟正黑體" w:eastAsia="微軟正黑體" w:hAnsi="微軟正黑體" w:cs="Times New Roman" w:hint="eastAsia"/>
          <w:lang w:eastAsia="ja-JP"/>
        </w:rPr>
        <w:t>是</w:t>
      </w:r>
      <w:r w:rsidRPr="00CB586E">
        <w:rPr>
          <w:rFonts w:ascii="微軟正黑體" w:eastAsia="微軟正黑體" w:hAnsi="微軟正黑體" w:cs="Times New Roman" w:hint="eastAsia"/>
          <w:lang w:eastAsia="ja-JP"/>
        </w:rPr>
        <w:t>國際勞工組織在1919-2019</w:t>
      </w:r>
      <w:r w:rsidRPr="00BE3CA9">
        <w:rPr>
          <w:rFonts w:ascii="微軟正黑體" w:eastAsia="微軟正黑體" w:hAnsi="微軟正黑體" w:cs="Times New Roman" w:hint="eastAsia"/>
        </w:rPr>
        <w:t>年</w:t>
      </w:r>
      <w:r w:rsidRPr="00CB586E">
        <w:rPr>
          <w:rFonts w:ascii="微軟正黑體" w:eastAsia="微軟正黑體" w:hAnsi="微軟正黑體" w:cs="Times New Roman" w:hint="eastAsia"/>
          <w:lang w:eastAsia="ja-JP"/>
        </w:rPr>
        <w:t>反思過去百年過程及面對未來工作，呼籲發展新的替代性或補充性的發展典範</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alternate/com</w:t>
      </w:r>
      <w:r>
        <w:rPr>
          <w:rFonts w:ascii="微軟正黑體" w:eastAsia="微軟正黑體" w:hAnsi="微軟正黑體" w:cs="Times New Roman" w:hint="eastAsia"/>
          <w:lang w:eastAsia="ja-JP"/>
        </w:rPr>
        <w:t>plementary development paradigm</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透過「融合性經濟成長</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inclusive growth</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達到永續發展目標(Sustainable Development Goals, SDGs)，而非過去的「排除性經濟成長」</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exclusive growth</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，讓生產的成果能讓更大多數人獲益，改善生產獲利分配機制與縮小所得分配兩極。而</w:t>
      </w:r>
      <w:r>
        <w:rPr>
          <w:rFonts w:ascii="微軟正黑體" w:eastAsia="微軟正黑體" w:hAnsi="微軟正黑體" w:cs="Times New Roman" w:hint="eastAsia"/>
          <w:lang w:eastAsia="ja-JP"/>
        </w:rPr>
        <w:t>且在世界各國亦同時面臨銀髮經濟之際，對於過去非正式經濟的正式化(</w:t>
      </w:r>
      <w:r w:rsidRPr="00CB586E">
        <w:rPr>
          <w:rFonts w:ascii="微軟正黑體" w:eastAsia="微軟正黑體" w:hAnsi="微軟正黑體" w:cs="Times New Roman" w:hint="eastAsia"/>
          <w:lang w:eastAsia="ja-JP"/>
        </w:rPr>
        <w:t>the formalization of the informal economy</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，以創造出更多友善的就業機會，其中推動社會與團結經濟之企業與組織</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Social and Solidarity Econo</w:t>
      </w:r>
      <w:r>
        <w:rPr>
          <w:rFonts w:ascii="微軟正黑體" w:eastAsia="微軟正黑體" w:hAnsi="微軟正黑體" w:cs="Times New Roman" w:hint="eastAsia"/>
          <w:lang w:eastAsia="ja-JP"/>
        </w:rPr>
        <w:t xml:space="preserve">my Enterprise and Organizations, </w:t>
      </w:r>
      <w:r w:rsidRPr="00CB586E">
        <w:rPr>
          <w:rFonts w:ascii="微軟正黑體" w:eastAsia="微軟正黑體" w:hAnsi="微軟正黑體" w:cs="Times New Roman" w:hint="eastAsia"/>
          <w:lang w:eastAsia="ja-JP"/>
        </w:rPr>
        <w:t>SSEEOs)，主要指涉的包括勞動合作社、互助組織、協會、基金會、非營利與社會企業等，這些單位主要是能產生就業整合效果，並在追求經濟發展</w:t>
      </w:r>
      <w:r w:rsidRPr="00BE3CA9">
        <w:rPr>
          <w:rFonts w:ascii="微軟正黑體" w:eastAsia="微軟正黑體" w:hAnsi="微軟正黑體" w:cs="Times New Roman" w:hint="eastAsia"/>
          <w:lang w:eastAsia="ja-JP"/>
        </w:rPr>
        <w:t>地</w:t>
      </w:r>
      <w:r w:rsidRPr="00CB586E">
        <w:rPr>
          <w:rFonts w:ascii="微軟正黑體" w:eastAsia="微軟正黑體" w:hAnsi="微軟正黑體" w:cs="Times New Roman" w:hint="eastAsia"/>
          <w:lang w:eastAsia="ja-JP"/>
        </w:rPr>
        <w:t>同時，落實社會發展與民主參與的精神，這</w:t>
      </w:r>
      <w:r>
        <w:rPr>
          <w:rFonts w:ascii="微軟正黑體" w:eastAsia="微軟正黑體" w:hAnsi="微軟正黑體" w:cs="Times New Roman" w:hint="eastAsia"/>
          <w:lang w:eastAsia="ja-JP"/>
        </w:rPr>
        <w:t>也是在地可以系統性防禦全球經濟危機所帶來傷害的社會防護與安全網(</w:t>
      </w:r>
      <w:r w:rsidRPr="00CB586E">
        <w:rPr>
          <w:rFonts w:ascii="微軟正黑體" w:eastAsia="微軟正黑體" w:hAnsi="微軟正黑體" w:cs="Times New Roman" w:hint="eastAsia"/>
          <w:lang w:eastAsia="ja-JP"/>
        </w:rPr>
        <w:t>ILO 2017</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。Gonzales(2007)亦曾指出社會經濟(Social Economy)是因應全球化對於福利國家發展的挑戰所發展出的論述觀點，希望能兼顧經濟效率與社會正義。</w:t>
      </w:r>
    </w:p>
    <w:p w:rsidR="00681820" w:rsidRPr="00811AFE" w:rsidRDefault="00681820" w:rsidP="00681820">
      <w:pPr>
        <w:pStyle w:val="Web"/>
        <w:spacing w:beforeLines="30" w:before="108" w:beforeAutospacing="0" w:after="0" w:afterAutospacing="0" w:line="400" w:lineRule="exact"/>
        <w:jc w:val="both"/>
        <w:rPr>
          <w:rFonts w:ascii="微軟正黑體" w:eastAsia="微軟正黑體" w:hAnsi="微軟正黑體" w:cs="Times New Roman"/>
          <w:lang w:eastAsia="ja-JP"/>
        </w:rPr>
      </w:pPr>
      <w:r>
        <w:rPr>
          <w:rFonts w:ascii="微軟正黑體" w:eastAsia="微軟正黑體" w:hAnsi="微軟正黑體" w:cs="Times New Roman" w:hint="eastAsia"/>
        </w:rPr>
        <w:t xml:space="preserve">    </w:t>
      </w:r>
      <w:r w:rsidRPr="00CB586E">
        <w:rPr>
          <w:rFonts w:ascii="微軟正黑體" w:eastAsia="微軟正黑體" w:hAnsi="微軟正黑體" w:cs="Times New Roman" w:hint="eastAsia"/>
          <w:lang w:eastAsia="ja-JP"/>
        </w:rPr>
        <w:t>1970 年代開始，如德國、英</w:t>
      </w:r>
      <w:r>
        <w:rPr>
          <w:rFonts w:ascii="微軟正黑體" w:eastAsia="微軟正黑體" w:hAnsi="微軟正黑體" w:cs="Times New Roman" w:hint="eastAsia"/>
          <w:lang w:eastAsia="ja-JP"/>
        </w:rPr>
        <w:t>國除了因應企業外移與失業率上升等問題，同時也面臨人口老化的挑戰</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當時德國與英國正進入高齡社會，65歲以上人口數超過14%，台灣則是在 2018</w:t>
      </w:r>
      <w:r>
        <w:rPr>
          <w:rFonts w:ascii="微軟正黑體" w:eastAsia="微軟正黑體" w:hAnsi="微軟正黑體" w:cs="Times New Roman" w:hint="eastAsia"/>
          <w:lang w:eastAsia="ja-JP"/>
        </w:rPr>
        <w:t>年進入高齡社會</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。加上國際金本位的布萊頓森林協議的瓦解，國際匯率從固定匯率改成浮動匯率，使得二次</w:t>
      </w:r>
      <w:r w:rsidRPr="00BE3CA9">
        <w:rPr>
          <w:rFonts w:ascii="微軟正黑體" w:eastAsia="微軟正黑體" w:hAnsi="微軟正黑體" w:cs="Times New Roman" w:hint="eastAsia"/>
        </w:rPr>
        <w:t>大</w:t>
      </w:r>
      <w:r w:rsidRPr="00CB586E">
        <w:rPr>
          <w:rFonts w:ascii="微軟正黑體" w:eastAsia="微軟正黑體" w:hAnsi="微軟正黑體" w:cs="Times New Roman" w:hint="eastAsia"/>
          <w:lang w:eastAsia="ja-JP"/>
        </w:rPr>
        <w:t>戰後盛行的凱因斯主義面臨挑戰，1980年由美國雷根總統、英國首相柴契爾夫人所領軍的「新自由主義」經濟思維，漸漸的轉化過去政府的基本角色，甚至亦將住宅市場化；但後</w:t>
      </w:r>
      <w:r>
        <w:rPr>
          <w:rFonts w:ascii="微軟正黑體" w:eastAsia="微軟正黑體" w:hAnsi="微軟正黑體" w:cs="Times New Roman" w:hint="eastAsia"/>
          <w:lang w:eastAsia="ja-JP"/>
        </w:rPr>
        <w:t>來另一種發展路線，如英國的社會學紀登斯教授所倡議的「第三條路」</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The Third Way</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，則由1997年執政的「工黨」布萊爾首相所積極支持，包括積極性的社會投資，來促進社會整合與經濟效率。而且工黨執政後，也非常重視政府行政效能的提升，新工黨政府非常重視「有連結的政府」</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Joint Government</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；1997年將工</w:t>
      </w:r>
      <w:r>
        <w:rPr>
          <w:rFonts w:ascii="微軟正黑體" w:eastAsia="微軟正黑體" w:hAnsi="微軟正黑體" w:cs="Times New Roman" w:hint="eastAsia"/>
          <w:lang w:eastAsia="ja-JP"/>
        </w:rPr>
        <w:t>作與年金部門整合；亦將地方就業服務部門，轉型為加值型的就業中心(</w:t>
      </w:r>
      <w:r w:rsidRPr="00CB586E">
        <w:rPr>
          <w:rFonts w:ascii="微軟正黑體" w:eastAsia="微軟正黑體" w:hAnsi="微軟正黑體" w:cs="Times New Roman" w:hint="eastAsia"/>
          <w:lang w:eastAsia="ja-JP"/>
        </w:rPr>
        <w:t>Job Centre Plus</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，以透過單一窗口滿足民眾多元的需求。社會福利設計，也不只是採取「事後的」(repairing)、「殘補式」(residual welfare)</w:t>
      </w:r>
      <w:r>
        <w:rPr>
          <w:rFonts w:ascii="微軟正黑體" w:eastAsia="微軟正黑體" w:hAnsi="微軟正黑體" w:cs="Times New Roman" w:hint="eastAsia"/>
          <w:lang w:eastAsia="ja-JP"/>
        </w:rPr>
        <w:t xml:space="preserve">福利提供，強調最低工資、 </w:t>
      </w:r>
      <w:r w:rsidRPr="00CB586E">
        <w:rPr>
          <w:rFonts w:ascii="微軟正黑體" w:eastAsia="微軟正黑體" w:hAnsi="微軟正黑體" w:cs="Times New Roman" w:hint="eastAsia"/>
          <w:lang w:eastAsia="ja-JP"/>
        </w:rPr>
        <w:t>最低福祉保障；而是「預防的</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(preparing)與「制度式的」(institutional welfare)</w:t>
      </w:r>
      <w:r>
        <w:rPr>
          <w:rFonts w:ascii="微軟正黑體" w:eastAsia="微軟正黑體" w:hAnsi="微軟正黑體" w:cs="Times New Roman" w:hint="eastAsia"/>
          <w:lang w:eastAsia="ja-JP"/>
        </w:rPr>
        <w:t>，</w:t>
      </w:r>
      <w:r>
        <w:rPr>
          <w:rFonts w:ascii="微軟正黑體" w:eastAsia="微軟正黑體" w:hAnsi="微軟正黑體" w:cs="Times New Roman" w:hint="eastAsia"/>
          <w:lang w:eastAsia="ja-JP"/>
        </w:rPr>
        <w:lastRenderedPageBreak/>
        <w:t>強調合理生活品質與基本權益保障及重視不同生命週期的需求(</w:t>
      </w:r>
      <w:r w:rsidRPr="00CB586E">
        <w:rPr>
          <w:rFonts w:ascii="微軟正黑體" w:eastAsia="微軟正黑體" w:hAnsi="微軟正黑體" w:cs="Times New Roman" w:hint="eastAsia"/>
          <w:lang w:eastAsia="ja-JP"/>
        </w:rPr>
        <w:t>life-course based</w:t>
      </w:r>
      <w:r>
        <w:rPr>
          <w:rFonts w:ascii="微軟正黑體" w:eastAsia="微軟正黑體" w:hAnsi="微軟正黑體" w:cs="Times New Roman" w:hint="eastAsia"/>
          <w:lang w:eastAsia="ja-JP"/>
        </w:rPr>
        <w:t>)</w:t>
      </w:r>
      <w:r w:rsidRPr="00CB586E">
        <w:rPr>
          <w:rFonts w:ascii="微軟正黑體" w:eastAsia="微軟正黑體" w:hAnsi="微軟正黑體" w:cs="Times New Roman" w:hint="eastAsia"/>
          <w:lang w:eastAsia="ja-JP"/>
        </w:rPr>
        <w:t>，重視對於人力資源的培育、重視支持移除不利勞動與進而支持家庭照顧需求的福利設計。面對全球化下劇烈的經濟、社會變遷，傳統的社會福利政策必須調整；強調社會投資、促進就業、社會互助、社會整合的積極性社會與勞動政策(周玟琪 2002)。前總統陳水扁除了曾至英國瞭解「第三條路」的實踐，也在2002年「全國社會福利會議」中，提出「積極性社會福利」的願景，認為應將社會福利當作社會投資，規劃兼顧社會正義與經濟發展的社會福利制度(周玟琪</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劉進興 2002)。</w:t>
      </w:r>
      <w:r w:rsidRPr="001B0732">
        <w:rPr>
          <w:rFonts w:ascii="微軟正黑體" w:eastAsia="微軟正黑體" w:hAnsi="微軟正黑體" w:cs="Times New Roman" w:hint="eastAsia"/>
          <w:lang w:eastAsia="ja-JP"/>
        </w:rPr>
        <w:t>2012年行政院核定的「社會福利政策綱領：邁向公平、包容與正義的新社會」，亦有提到</w:t>
      </w:r>
      <w:r w:rsidRPr="001B0732">
        <w:rPr>
          <w:rFonts w:ascii="微軟正黑體" w:eastAsia="微軟正黑體" w:hAnsi="微軟正黑體" w:cs="Times New Roman" w:hint="eastAsia"/>
        </w:rPr>
        <w:t>「</w:t>
      </w:r>
      <w:r w:rsidRPr="001B0732">
        <w:rPr>
          <w:rFonts w:ascii="微軟正黑體" w:eastAsia="微軟正黑體" w:hAnsi="微軟正黑體" w:cs="Times New Roman" w:hint="eastAsia"/>
          <w:lang w:eastAsia="ja-JP"/>
        </w:rPr>
        <w:t>政府應結合社會福利、衛生醫療、民政、戶政、勞動、教育、農業、司法、營建、原住民等部門，加強跨部會整合與績效管理，</w:t>
      </w:r>
      <w:r w:rsidRPr="001B0732">
        <w:rPr>
          <w:rFonts w:ascii="微軟正黑體" w:eastAsia="微軟正黑體" w:hAnsi="微軟正黑體" w:cs="Times New Roman" w:hint="eastAsia"/>
        </w:rPr>
        <w:t>以</w:t>
      </w:r>
      <w:r w:rsidRPr="001B0732">
        <w:rPr>
          <w:rFonts w:ascii="微軟正黑體" w:eastAsia="微軟正黑體" w:hAnsi="微軟正黑體" w:cs="Times New Roman" w:hint="eastAsia"/>
          <w:lang w:eastAsia="ja-JP"/>
        </w:rPr>
        <w:t>提供全人、全程、全方位的服務，增進資源使用的效率。正義的新社會在於提供所有國民平等的發展機會，以國民福祉為優先，針對政治、經濟、社會快速變遷下的國民需求，主動提出因應對策。尤其著重積極福利，藉由社會投資累積人力資本來促進經濟與所得的穩定成長，進而提升國民生活品質，維繫社會團結與凝聚</w:t>
      </w:r>
      <w:r w:rsidRPr="001B0732">
        <w:rPr>
          <w:rFonts w:ascii="微軟正黑體" w:eastAsia="微軟正黑體" w:hAnsi="微軟正黑體" w:cs="Times New Roman" w:hint="eastAsia"/>
        </w:rPr>
        <w:t>。</w:t>
      </w:r>
      <w:r w:rsidRPr="001B0732">
        <w:rPr>
          <w:rFonts w:ascii="微軟正黑體" w:eastAsia="微軟正黑體" w:hAnsi="微軟正黑體" w:cs="Times New Roman" w:hint="eastAsia"/>
          <w:lang w:eastAsia="ja-JP"/>
        </w:rPr>
        <w:t>並以社會救助與津貼、社會保險、福利服務、健康與醫療照護、就業安全、居住正義與社區營造等六大項目為本綱領之內涵</w:t>
      </w:r>
      <w:r w:rsidRPr="001B0732">
        <w:rPr>
          <w:rFonts w:ascii="微軟正黑體" w:eastAsia="微軟正黑體" w:hAnsi="微軟正黑體" w:cs="Times New Roman" w:hint="eastAsia"/>
        </w:rPr>
        <w:t>等。</w:t>
      </w:r>
      <w:r w:rsidRPr="001B0732">
        <w:rPr>
          <w:rFonts w:ascii="微軟正黑體" w:eastAsia="微軟正黑體" w:hAnsi="微軟正黑體" w:cs="Times New Roman" w:hint="eastAsia"/>
          <w:lang w:eastAsia="ja-JP"/>
        </w:rPr>
        <w:t>」</w:t>
      </w:r>
      <w:r w:rsidRPr="001B0732">
        <w:rPr>
          <w:rFonts w:ascii="微軟正黑體" w:eastAsia="微軟正黑體" w:hAnsi="微軟正黑體" w:cs="Times New Roman" w:hint="eastAsia"/>
        </w:rPr>
        <w:t>。</w:t>
      </w:r>
    </w:p>
    <w:p w:rsidR="00681820" w:rsidRPr="00CB586E" w:rsidRDefault="00681820" w:rsidP="00681820">
      <w:pPr>
        <w:pStyle w:val="Web"/>
        <w:spacing w:beforeLines="30" w:before="108" w:beforeAutospacing="0" w:after="0" w:afterAutospacing="0" w:line="400" w:lineRule="exact"/>
        <w:jc w:val="both"/>
        <w:rPr>
          <w:rFonts w:ascii="微軟正黑體" w:eastAsia="微軟正黑體" w:hAnsi="微軟正黑體" w:cs="Times New Roman"/>
          <w:lang w:eastAsia="ja-JP"/>
        </w:rPr>
      </w:pPr>
      <w:r>
        <w:rPr>
          <w:rFonts w:ascii="微軟正黑體" w:eastAsia="微軟正黑體" w:hAnsi="微軟正黑體" w:cs="Times New Roman" w:hint="eastAsia"/>
        </w:rPr>
        <w:t xml:space="preserve">    </w:t>
      </w:r>
      <w:r w:rsidRPr="00CB586E">
        <w:rPr>
          <w:rFonts w:ascii="微軟正黑體" w:eastAsia="微軟正黑體" w:hAnsi="微軟正黑體" w:cs="Times New Roman" w:hint="eastAsia"/>
          <w:lang w:eastAsia="ja-JP"/>
        </w:rPr>
        <w:t>人口快速的高齡化，</w:t>
      </w:r>
      <w:r>
        <w:rPr>
          <w:rFonts w:ascii="微軟正黑體" w:eastAsia="微軟正黑體" w:hAnsi="微軟正黑體" w:cs="Times New Roman" w:hint="eastAsia"/>
        </w:rPr>
        <w:t>的確</w:t>
      </w:r>
      <w:r w:rsidRPr="00CB586E">
        <w:rPr>
          <w:rFonts w:ascii="微軟正黑體" w:eastAsia="微軟正黑體" w:hAnsi="微軟正黑體" w:cs="Times New Roman" w:hint="eastAsia"/>
          <w:lang w:eastAsia="ja-JP"/>
        </w:rPr>
        <w:t>已開始</w:t>
      </w:r>
      <w:r>
        <w:rPr>
          <w:rFonts w:ascii="微軟正黑體" w:eastAsia="微軟正黑體" w:hAnsi="微軟正黑體" w:cs="Times New Roman" w:hint="eastAsia"/>
        </w:rPr>
        <w:t>對臺灣</w:t>
      </w:r>
      <w:r w:rsidRPr="00CB586E">
        <w:rPr>
          <w:rFonts w:ascii="微軟正黑體" w:eastAsia="微軟正黑體" w:hAnsi="微軟正黑體" w:cs="Times New Roman" w:hint="eastAsia"/>
          <w:lang w:eastAsia="ja-JP"/>
        </w:rPr>
        <w:t>出現</w:t>
      </w:r>
      <w:r>
        <w:rPr>
          <w:rFonts w:ascii="微軟正黑體" w:eastAsia="微軟正黑體" w:hAnsi="微軟正黑體" w:cs="Times New Roman" w:hint="eastAsia"/>
        </w:rPr>
        <w:t>許多</w:t>
      </w:r>
      <w:r w:rsidRPr="00CB586E">
        <w:rPr>
          <w:rFonts w:ascii="微軟正黑體" w:eastAsia="微軟正黑體" w:hAnsi="微軟正黑體" w:cs="Times New Roman" w:hint="eastAsia"/>
          <w:lang w:eastAsia="ja-JP"/>
        </w:rPr>
        <w:t>挑戰與問題，包括我國勞工保險自從200</w:t>
      </w:r>
      <w:r w:rsidRPr="00BE3CA9">
        <w:rPr>
          <w:rFonts w:ascii="微軟正黑體" w:eastAsia="微軟正黑體" w:hAnsi="微軟正黑體" w:cs="Times New Roman" w:hint="eastAsia"/>
        </w:rPr>
        <w:t>9</w:t>
      </w:r>
      <w:r w:rsidRPr="00CB586E">
        <w:rPr>
          <w:rFonts w:ascii="微軟正黑體" w:eastAsia="微軟正黑體" w:hAnsi="微軟正黑體" w:cs="Times New Roman" w:hint="eastAsia"/>
          <w:lang w:eastAsia="ja-JP"/>
        </w:rPr>
        <w:t>年實施年金制度，從2017年起已開始入不敷出，首度收支逆差275億元，累計至2020年已超支1,243億元，政府雖然已從2020年開始撥補200億元，2021年預計撥補220億元，</w:t>
      </w:r>
      <w:r>
        <w:rPr>
          <w:rFonts w:ascii="微軟正黑體" w:eastAsia="微軟正黑體" w:hAnsi="微軟正黑體" w:cs="Times New Roman" w:hint="eastAsia"/>
        </w:rPr>
        <w:t>2022年預計撥補300億元</w:t>
      </w:r>
      <w:r w:rsidRPr="00CB586E">
        <w:rPr>
          <w:rFonts w:ascii="微軟正黑體" w:eastAsia="微軟正黑體" w:hAnsi="微軟正黑體" w:cs="Times New Roman" w:hint="eastAsia"/>
          <w:lang w:eastAsia="ja-JP"/>
        </w:rPr>
        <w:t>。目前勞保年金改革如果僅有「繳多、領少、延後退休」的思維與改革方向，恐怕反而會產生不良副作用，因為年輕勞動者會認為世代間不公平，更擔心未來是否會有領不到的風險。世界各國在推動年金改革的同時，多半會搭配進行相關就業促進與就業率提升的目標實踐，這是台灣有待強化之部分(OECD 2006；轉引自周玟琪 2007)。</w:t>
      </w:r>
    </w:p>
    <w:p w:rsidR="00681820" w:rsidRDefault="00681820" w:rsidP="00681820">
      <w:pPr>
        <w:spacing w:afterLines="50" w:after="180" w:line="400" w:lineRule="exact"/>
        <w:rPr>
          <w:rFonts w:ascii="微軟正黑體" w:eastAsia="微軟正黑體" w:hAnsi="微軟正黑體" w:cs="Times New Roman"/>
        </w:rPr>
      </w:pPr>
      <w:r>
        <w:rPr>
          <w:rFonts w:ascii="微軟正黑體" w:eastAsia="微軟正黑體" w:hAnsi="微軟正黑體" w:cs="Times New Roman" w:hint="eastAsia"/>
        </w:rPr>
        <w:t xml:space="preserve">    </w:t>
      </w:r>
      <w:r w:rsidRPr="00CB586E">
        <w:rPr>
          <w:rFonts w:ascii="微軟正黑體" w:eastAsia="微軟正黑體" w:hAnsi="微軟正黑體" w:cs="Times New Roman" w:hint="eastAsia"/>
          <w:lang w:eastAsia="ja-JP"/>
        </w:rPr>
        <w:t>台灣的整體國民租稅負擔比率僅有12.1%，低於</w:t>
      </w:r>
      <w:r>
        <w:rPr>
          <w:rFonts w:ascii="微軟正黑體" w:eastAsia="微軟正黑體" w:hAnsi="微軟正黑體" w:cs="Times New Roman" w:hint="eastAsia"/>
        </w:rPr>
        <w:t>韓國</w:t>
      </w:r>
      <w:r w:rsidRPr="00CB586E">
        <w:rPr>
          <w:rFonts w:ascii="微軟正黑體" w:eastAsia="微軟正黑體" w:hAnsi="微軟正黑體" w:cs="Times New Roman" w:hint="eastAsia"/>
          <w:lang w:eastAsia="ja-JP"/>
        </w:rPr>
        <w:t>20.1%、日本19.2%、美國18.4%、英國26.5%、德國24.1%、法國30.5%(國發會 2021:49)。各級政府社會福利支出淨額在2020年達到6,957億元</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福利服務</w:t>
      </w:r>
      <w:r>
        <w:rPr>
          <w:rFonts w:ascii="微軟正黑體" w:eastAsia="微軟正黑體" w:hAnsi="微軟正黑體" w:cs="Times New Roman" w:hint="eastAsia"/>
        </w:rPr>
        <w:t>占</w:t>
      </w:r>
      <w:r w:rsidRPr="00CB586E">
        <w:rPr>
          <w:rFonts w:ascii="微軟正黑體" w:eastAsia="微軟正黑體" w:hAnsi="微軟正黑體" w:cs="Times New Roman" w:hint="eastAsia"/>
          <w:lang w:eastAsia="ja-JP"/>
        </w:rPr>
        <w:t>比為29.9%</w:t>
      </w:r>
      <w:r>
        <w:rPr>
          <w:rFonts w:ascii="微軟正黑體" w:eastAsia="微軟正黑體" w:hAnsi="微軟正黑體" w:cs="Times New Roman" w:hint="eastAsia"/>
        </w:rPr>
        <w:t>，社</w:t>
      </w:r>
      <w:r w:rsidRPr="00CB586E">
        <w:rPr>
          <w:rFonts w:ascii="微軟正黑體" w:eastAsia="微軟正黑體" w:hAnsi="微軟正黑體" w:cs="Times New Roman" w:hint="eastAsia"/>
          <w:lang w:eastAsia="ja-JP"/>
        </w:rPr>
        <w:t>會保險</w:t>
      </w:r>
      <w:r>
        <w:rPr>
          <w:rFonts w:ascii="微軟正黑體" w:eastAsia="微軟正黑體" w:hAnsi="微軟正黑體" w:cs="Times New Roman" w:hint="eastAsia"/>
        </w:rPr>
        <w:t>占</w:t>
      </w:r>
      <w:r w:rsidRPr="00CB586E">
        <w:rPr>
          <w:rFonts w:ascii="微軟正黑體" w:eastAsia="微軟正黑體" w:hAnsi="微軟正黑體" w:cs="Times New Roman" w:hint="eastAsia"/>
          <w:lang w:eastAsia="ja-JP"/>
        </w:rPr>
        <w:t>了54.3%，醫療保健達到794億元，十年之間成長超過一倍，</w:t>
      </w:r>
      <w:r>
        <w:rPr>
          <w:rFonts w:ascii="微軟正黑體" w:eastAsia="微軟正黑體" w:hAnsi="微軟正黑體" w:cs="Times New Roman" w:hint="eastAsia"/>
        </w:rPr>
        <w:t>占</w:t>
      </w:r>
      <w:r w:rsidRPr="00CB586E">
        <w:rPr>
          <w:rFonts w:ascii="微軟正黑體" w:eastAsia="微軟正黑體" w:hAnsi="微軟正黑體" w:cs="Times New Roman" w:hint="eastAsia"/>
          <w:lang w:eastAsia="ja-JP"/>
        </w:rPr>
        <w:t>比為11.4%(2010年為380億元，</w:t>
      </w:r>
      <w:r>
        <w:rPr>
          <w:rFonts w:ascii="微軟正黑體" w:eastAsia="微軟正黑體" w:hAnsi="微軟正黑體" w:cs="Times New Roman" w:hint="eastAsia"/>
        </w:rPr>
        <w:t>占</w:t>
      </w:r>
      <w:r w:rsidRPr="00CB586E">
        <w:rPr>
          <w:rFonts w:ascii="微軟正黑體" w:eastAsia="微軟正黑體" w:hAnsi="微軟正黑體" w:cs="Times New Roman" w:hint="eastAsia"/>
          <w:lang w:eastAsia="ja-JP"/>
        </w:rPr>
        <w:t>比為9.15%)</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而國民就業支出淨額在2011年為53億元，達到1.19%</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接下來</w:t>
      </w:r>
      <w:r>
        <w:rPr>
          <w:rFonts w:ascii="微軟正黑體" w:eastAsia="微軟正黑體" w:hAnsi="微軟正黑體" w:cs="Times New Roman" w:hint="eastAsia"/>
          <w:lang w:eastAsia="ja-JP"/>
        </w:rPr>
        <w:t>呈現逐年遞減</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在2020年僅有29</w:t>
      </w:r>
      <w:r>
        <w:rPr>
          <w:rFonts w:ascii="微軟正黑體" w:eastAsia="微軟正黑體" w:hAnsi="微軟正黑體" w:cs="Times New Roman" w:hint="eastAsia"/>
          <w:lang w:eastAsia="ja-JP"/>
        </w:rPr>
        <w:t>億元</w:t>
      </w:r>
      <w:r>
        <w:rPr>
          <w:rFonts w:ascii="微軟正黑體" w:eastAsia="微軟正黑體" w:hAnsi="微軟正黑體" w:cs="Times New Roman" w:hint="eastAsia"/>
        </w:rPr>
        <w:t>，占</w:t>
      </w:r>
      <w:r w:rsidRPr="00CB586E">
        <w:rPr>
          <w:rFonts w:ascii="微軟正黑體" w:eastAsia="微軟正黑體" w:hAnsi="微軟正黑體" w:cs="Times New Roman" w:hint="eastAsia"/>
          <w:lang w:eastAsia="ja-JP"/>
        </w:rPr>
        <w:t>比僅有0.42%</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國發會 2021:87</w:t>
      </w:r>
      <w:r>
        <w:rPr>
          <w:rFonts w:ascii="微軟正黑體" w:eastAsia="微軟正黑體" w:hAnsi="微軟正黑體" w:cs="Times New Roman" w:hint="eastAsia"/>
        </w:rPr>
        <w:t>)</w:t>
      </w:r>
      <w:r>
        <w:rPr>
          <w:rFonts w:ascii="微軟正黑體" w:eastAsia="微軟正黑體" w:hAnsi="微軟正黑體" w:cs="Times New Roman" w:hint="eastAsia"/>
          <w:lang w:eastAsia="ja-JP"/>
        </w:rPr>
        <w:t>。呂建德</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2014</w:t>
      </w:r>
      <w:r>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在國發會所委託進行的「我國社會福利服務模式之研究」亦曾指出，我國的社會支出低於其他工業先進國家，福利服務與工作相關的就業經費比重偏低，長期而言對於國民生活福祉之保障與國家永續發展不利。在積極勞動市場政策的部分，也發現對於年齡越大、教育程度越低者，越需要「提升技能以增加工作選擇」與「學習到自己想學的知識與技能」，政府所提供的服務越是不足。在憲法增修條文第10條，載有「國家應重視社會救助、福利服務、國民就業、社會保險及醫療保健等社會福利工作，對於社會救助和國民就業等救濟性支出應優先編列。」</w:t>
      </w:r>
      <w:r w:rsidRPr="00BE3CA9">
        <w:rPr>
          <w:rFonts w:ascii="微軟正黑體" w:eastAsia="微軟正黑體" w:hAnsi="微軟正黑體" w:cs="Times New Roman" w:hint="eastAsia"/>
        </w:rPr>
        <w:t>，</w:t>
      </w:r>
      <w:r w:rsidRPr="00CB586E">
        <w:rPr>
          <w:rFonts w:ascii="微軟正黑體" w:eastAsia="微軟正黑體" w:hAnsi="微軟正黑體" w:cs="Times New Roman" w:hint="eastAsia"/>
          <w:lang w:eastAsia="ja-JP"/>
        </w:rPr>
        <w:t>但從下表我們很明顯的可以看到「社會救助」與「國</w:t>
      </w:r>
      <w:r w:rsidRPr="00CB586E">
        <w:rPr>
          <w:rFonts w:ascii="微軟正黑體" w:eastAsia="微軟正黑體" w:hAnsi="微軟正黑體" w:cs="Times New Roman" w:hint="eastAsia"/>
          <w:lang w:eastAsia="ja-JP"/>
        </w:rPr>
        <w:lastRenderedPageBreak/>
        <w:t>民就業」並未隨著擴大中的貧富差距而有所提高，在經濟發展的同時，未能積極保護社會相對弱勢者，維護他們的生存權與工作權。</w:t>
      </w:r>
    </w:p>
    <w:p w:rsidR="00681820" w:rsidRPr="00525BD3" w:rsidRDefault="00681820" w:rsidP="00681820">
      <w:pPr>
        <w:pStyle w:val="af8"/>
        <w:spacing w:beforeLines="80" w:before="288" w:afterLines="30" w:after="108" w:line="400" w:lineRule="exact"/>
        <w:jc w:val="center"/>
        <w:rPr>
          <w:rFonts w:ascii="微軟正黑體" w:eastAsia="微軟正黑體" w:hAnsi="微軟正黑體"/>
          <w:kern w:val="0"/>
          <w:sz w:val="24"/>
          <w:szCs w:val="24"/>
          <w:lang w:eastAsia="ja-JP"/>
        </w:rPr>
      </w:pPr>
      <w:r w:rsidRPr="00525BD3">
        <w:rPr>
          <w:rFonts w:ascii="微軟正黑體" w:eastAsia="微軟正黑體" w:hAnsi="微軟正黑體" w:hint="eastAsia"/>
          <w:kern w:val="0"/>
          <w:sz w:val="24"/>
          <w:szCs w:val="24"/>
          <w:lang w:eastAsia="ja-JP"/>
        </w:rPr>
        <w:t>表</w:t>
      </w:r>
      <w:r>
        <w:rPr>
          <w:rFonts w:ascii="微軟正黑體" w:eastAsia="微軟正黑體" w:hAnsi="微軟正黑體" w:hint="eastAsia"/>
          <w:kern w:val="0"/>
          <w:sz w:val="24"/>
          <w:szCs w:val="24"/>
        </w:rPr>
        <w:t>2</w:t>
      </w:r>
      <w:r w:rsidRPr="00525BD3">
        <w:rPr>
          <w:rFonts w:ascii="微軟正黑體" w:eastAsia="微軟正黑體" w:hAnsi="微軟正黑體" w:hint="eastAsia"/>
          <w:kern w:val="0"/>
          <w:sz w:val="24"/>
          <w:szCs w:val="24"/>
          <w:lang w:eastAsia="ja-JP"/>
        </w:rPr>
        <w:t xml:space="preserve">　我國2010</w:t>
      </w:r>
      <w:r w:rsidRPr="00525BD3">
        <w:rPr>
          <w:rFonts w:ascii="微軟正黑體" w:eastAsia="微軟正黑體" w:hAnsi="微軟正黑體"/>
          <w:kern w:val="0"/>
          <w:sz w:val="24"/>
          <w:szCs w:val="24"/>
          <w:lang w:eastAsia="ja-JP"/>
        </w:rPr>
        <w:t>-</w:t>
      </w:r>
      <w:r w:rsidRPr="00525BD3">
        <w:rPr>
          <w:rFonts w:ascii="微軟正黑體" w:eastAsia="微軟正黑體" w:hAnsi="微軟正黑體" w:hint="eastAsia"/>
          <w:kern w:val="0"/>
          <w:sz w:val="24"/>
          <w:szCs w:val="24"/>
          <w:lang w:eastAsia="ja-JP"/>
        </w:rPr>
        <w:t>2020年各項社會</w:t>
      </w:r>
      <w:r w:rsidRPr="009B71C2">
        <w:rPr>
          <w:rFonts w:ascii="微軟正黑體" w:eastAsia="微軟正黑體" w:hAnsi="微軟正黑體" w:hint="eastAsia"/>
          <w:kern w:val="0"/>
          <w:sz w:val="24"/>
          <w:szCs w:val="24"/>
        </w:rPr>
        <w:t>福利</w:t>
      </w:r>
      <w:r w:rsidRPr="009B71C2">
        <w:rPr>
          <w:rFonts w:ascii="微軟正黑體" w:eastAsia="微軟正黑體" w:hAnsi="微軟正黑體" w:hint="eastAsia"/>
          <w:kern w:val="0"/>
          <w:sz w:val="24"/>
          <w:szCs w:val="24"/>
          <w:lang w:eastAsia="ja-JP"/>
        </w:rPr>
        <w:t>支</w:t>
      </w:r>
      <w:r w:rsidRPr="00525BD3">
        <w:rPr>
          <w:rFonts w:ascii="微軟正黑體" w:eastAsia="微軟正黑體" w:hAnsi="微軟正黑體" w:hint="eastAsia"/>
          <w:kern w:val="0"/>
          <w:sz w:val="24"/>
          <w:szCs w:val="24"/>
          <w:lang w:eastAsia="ja-JP"/>
        </w:rPr>
        <w:t>出按照不同項目與比率區分</w:t>
      </w:r>
    </w:p>
    <w:tbl>
      <w:tblPr>
        <w:tblStyle w:val="a5"/>
        <w:tblW w:w="9071" w:type="dxa"/>
        <w:jc w:val="center"/>
        <w:tblLook w:val="04A0" w:firstRow="1" w:lastRow="0" w:firstColumn="1" w:lastColumn="0" w:noHBand="0" w:noVBand="1"/>
      </w:tblPr>
      <w:tblGrid>
        <w:gridCol w:w="793"/>
        <w:gridCol w:w="793"/>
        <w:gridCol w:w="794"/>
        <w:gridCol w:w="794"/>
        <w:gridCol w:w="794"/>
        <w:gridCol w:w="794"/>
        <w:gridCol w:w="1127"/>
        <w:gridCol w:w="794"/>
        <w:gridCol w:w="796"/>
        <w:gridCol w:w="794"/>
        <w:gridCol w:w="798"/>
      </w:tblGrid>
      <w:tr w:rsidR="00681820" w:rsidRPr="0070081C" w:rsidTr="00681820">
        <w:trPr>
          <w:trHeight w:val="619"/>
          <w:jc w:val="center"/>
        </w:trPr>
        <w:tc>
          <w:tcPr>
            <w:tcW w:w="794" w:type="dxa"/>
            <w:vMerge w:val="restart"/>
            <w:shd w:val="clear" w:color="auto" w:fill="8064A2" w:themeFill="accent4"/>
            <w:vAlign w:val="center"/>
          </w:tcPr>
          <w:p w:rsidR="00681820" w:rsidRPr="00D37CEE" w:rsidRDefault="00681820" w:rsidP="00681820">
            <w:pPr>
              <w:spacing w:line="320" w:lineRule="exact"/>
              <w:jc w:val="center"/>
              <w:rPr>
                <w:rFonts w:ascii="微軟正黑體" w:eastAsia="微軟正黑體" w:hAnsi="微軟正黑體"/>
                <w:b/>
                <w:sz w:val="22"/>
              </w:rPr>
            </w:pPr>
            <w:r w:rsidRPr="00D37CEE">
              <w:rPr>
                <w:rFonts w:ascii="微軟正黑體" w:eastAsia="微軟正黑體" w:hAnsi="微軟正黑體" w:hint="eastAsia"/>
                <w:b/>
                <w:color w:val="FFFFFF" w:themeColor="background1"/>
                <w:sz w:val="22"/>
              </w:rPr>
              <w:t>年</w:t>
            </w:r>
            <w:r>
              <w:rPr>
                <w:rFonts w:ascii="微軟正黑體" w:eastAsia="微軟正黑體" w:hAnsi="微軟正黑體" w:hint="eastAsia"/>
                <w:b/>
                <w:color w:val="FFFFFF" w:themeColor="background1"/>
                <w:sz w:val="22"/>
              </w:rPr>
              <w:t>份</w:t>
            </w:r>
          </w:p>
        </w:tc>
        <w:tc>
          <w:tcPr>
            <w:tcW w:w="5097" w:type="dxa"/>
            <w:gridSpan w:val="6"/>
            <w:shd w:val="clear" w:color="auto" w:fill="8064A2" w:themeFill="accent4"/>
            <w:vAlign w:val="center"/>
          </w:tcPr>
          <w:p w:rsidR="00681820" w:rsidRPr="00512B51" w:rsidRDefault="00681820" w:rsidP="00681820">
            <w:pPr>
              <w:spacing w:line="280" w:lineRule="exact"/>
              <w:jc w:val="center"/>
              <w:rPr>
                <w:rFonts w:ascii="微軟正黑體" w:eastAsia="微軟正黑體" w:hAnsi="微軟正黑體"/>
                <w:b/>
                <w:color w:val="FFFFFF" w:themeColor="background1"/>
                <w:sz w:val="22"/>
              </w:rPr>
            </w:pPr>
            <w:r>
              <w:rPr>
                <w:rFonts w:ascii="微軟正黑體" w:eastAsia="微軟正黑體" w:hAnsi="微軟正黑體" w:hint="eastAsia"/>
                <w:b/>
                <w:color w:val="FFFFFF" w:themeColor="background1"/>
                <w:sz w:val="22"/>
              </w:rPr>
              <w:t>各項</w:t>
            </w:r>
            <w:r w:rsidRPr="00512B51">
              <w:rPr>
                <w:rFonts w:ascii="微軟正黑體" w:eastAsia="微軟正黑體" w:hAnsi="微軟正黑體" w:hint="eastAsia"/>
                <w:b/>
                <w:color w:val="FFFFFF" w:themeColor="background1"/>
                <w:sz w:val="22"/>
              </w:rPr>
              <w:t>社會</w:t>
            </w:r>
            <w:r>
              <w:rPr>
                <w:rFonts w:ascii="微軟正黑體" w:eastAsia="微軟正黑體" w:hAnsi="微軟正黑體" w:hint="eastAsia"/>
                <w:b/>
                <w:color w:val="FFFFFF" w:themeColor="background1"/>
                <w:sz w:val="22"/>
              </w:rPr>
              <w:t>福利</w:t>
            </w:r>
            <w:r w:rsidRPr="00512B51">
              <w:rPr>
                <w:rFonts w:ascii="微軟正黑體" w:eastAsia="微軟正黑體" w:hAnsi="微軟正黑體" w:hint="eastAsia"/>
                <w:b/>
                <w:color w:val="FFFFFF" w:themeColor="background1"/>
                <w:sz w:val="22"/>
              </w:rPr>
              <w:t>支出</w:t>
            </w:r>
            <w:r>
              <w:rPr>
                <w:rFonts w:ascii="微軟正黑體" w:eastAsia="微軟正黑體" w:hAnsi="微軟正黑體" w:hint="eastAsia"/>
                <w:b/>
                <w:color w:val="FFFFFF" w:themeColor="background1"/>
                <w:sz w:val="22"/>
              </w:rPr>
              <w:t>淨額</w:t>
            </w:r>
          </w:p>
        </w:tc>
        <w:tc>
          <w:tcPr>
            <w:tcW w:w="1590" w:type="dxa"/>
            <w:gridSpan w:val="2"/>
            <w:shd w:val="clear" w:color="auto" w:fill="8064A2" w:themeFill="accent4"/>
            <w:vAlign w:val="center"/>
          </w:tcPr>
          <w:p w:rsidR="00681820" w:rsidRDefault="00681820" w:rsidP="00681820">
            <w:pPr>
              <w:spacing w:line="280" w:lineRule="exact"/>
              <w:ind w:leftChars="-50" w:left="-120" w:rightChars="-50" w:right="-120"/>
              <w:jc w:val="center"/>
              <w:rPr>
                <w:rFonts w:ascii="微軟正黑體" w:eastAsia="微軟正黑體" w:hAnsi="微軟正黑體"/>
                <w:b/>
                <w:color w:val="FFFFFF" w:themeColor="background1"/>
                <w:sz w:val="22"/>
              </w:rPr>
            </w:pPr>
            <w:r>
              <w:rPr>
                <w:rFonts w:ascii="微軟正黑體" w:eastAsia="微軟正黑體" w:hAnsi="微軟正黑體" w:hint="eastAsia"/>
                <w:b/>
                <w:color w:val="FFFFFF" w:themeColor="background1"/>
                <w:sz w:val="22"/>
              </w:rPr>
              <w:t>社會福利</w:t>
            </w:r>
            <w:r w:rsidRPr="00512B51">
              <w:rPr>
                <w:rFonts w:ascii="微軟正黑體" w:eastAsia="微軟正黑體" w:hAnsi="微軟正黑體" w:hint="eastAsia"/>
                <w:b/>
                <w:color w:val="FFFFFF" w:themeColor="background1"/>
                <w:sz w:val="22"/>
              </w:rPr>
              <w:t>支出</w:t>
            </w:r>
          </w:p>
          <w:p w:rsidR="00681820" w:rsidRPr="00512B51" w:rsidRDefault="00681820" w:rsidP="00681820">
            <w:pPr>
              <w:spacing w:line="280" w:lineRule="exact"/>
              <w:ind w:leftChars="-50" w:left="-120" w:rightChars="-50" w:right="-120"/>
              <w:jc w:val="center"/>
              <w:rPr>
                <w:rFonts w:ascii="微軟正黑體" w:eastAsia="微軟正黑體" w:hAnsi="微軟正黑體"/>
                <w:b/>
                <w:color w:val="FFFFFF" w:themeColor="background1"/>
                <w:sz w:val="22"/>
              </w:rPr>
            </w:pPr>
            <w:r>
              <w:rPr>
                <w:rFonts w:ascii="微軟正黑體" w:eastAsia="微軟正黑體" w:hAnsi="微軟正黑體" w:hint="eastAsia"/>
                <w:b/>
                <w:color w:val="FFFFFF" w:themeColor="background1"/>
                <w:sz w:val="22"/>
              </w:rPr>
              <w:t>所</w:t>
            </w:r>
            <w:r w:rsidRPr="00454AC1">
              <w:rPr>
                <w:rFonts w:ascii="微軟正黑體" w:eastAsia="微軟正黑體" w:hAnsi="微軟正黑體" w:hint="eastAsia"/>
                <w:b/>
                <w:color w:val="FFFFFF" w:themeColor="background1"/>
                <w:sz w:val="22"/>
              </w:rPr>
              <w:t>占</w:t>
            </w:r>
            <w:r w:rsidRPr="00512B51">
              <w:rPr>
                <w:rFonts w:ascii="微軟正黑體" w:eastAsia="微軟正黑體" w:hAnsi="微軟正黑體" w:hint="eastAsia"/>
                <w:b/>
                <w:color w:val="FFFFFF" w:themeColor="background1"/>
                <w:sz w:val="22"/>
              </w:rPr>
              <w:t>比率</w:t>
            </w:r>
          </w:p>
        </w:tc>
        <w:tc>
          <w:tcPr>
            <w:tcW w:w="1590" w:type="dxa"/>
            <w:gridSpan w:val="2"/>
            <w:shd w:val="clear" w:color="auto" w:fill="8064A2" w:themeFill="accent4"/>
            <w:vAlign w:val="center"/>
          </w:tcPr>
          <w:p w:rsidR="00681820" w:rsidRDefault="00681820" w:rsidP="00681820">
            <w:pPr>
              <w:spacing w:line="280" w:lineRule="exact"/>
              <w:ind w:leftChars="-50" w:left="-120" w:rightChars="-50" w:right="-120"/>
              <w:jc w:val="center"/>
              <w:rPr>
                <w:rFonts w:ascii="微軟正黑體" w:eastAsia="微軟正黑體" w:hAnsi="微軟正黑體"/>
                <w:b/>
                <w:color w:val="FFFFFF" w:themeColor="background1"/>
                <w:sz w:val="22"/>
              </w:rPr>
            </w:pPr>
            <w:r>
              <w:rPr>
                <w:rFonts w:ascii="微軟正黑體" w:eastAsia="微軟正黑體" w:hAnsi="微軟正黑體" w:hint="eastAsia"/>
                <w:b/>
                <w:color w:val="FFFFFF" w:themeColor="background1"/>
                <w:sz w:val="22"/>
              </w:rPr>
              <w:t>其他項目</w:t>
            </w:r>
            <w:r w:rsidRPr="00454AC1">
              <w:rPr>
                <w:rFonts w:ascii="微軟正黑體" w:eastAsia="微軟正黑體" w:hAnsi="微軟正黑體" w:hint="eastAsia"/>
                <w:b/>
                <w:color w:val="FFFFFF" w:themeColor="background1"/>
                <w:sz w:val="22"/>
              </w:rPr>
              <w:t>占</w:t>
            </w:r>
          </w:p>
          <w:p w:rsidR="00681820" w:rsidRPr="00512B51" w:rsidRDefault="00681820" w:rsidP="00681820">
            <w:pPr>
              <w:spacing w:line="280" w:lineRule="exact"/>
              <w:ind w:leftChars="-50" w:left="-120" w:rightChars="-50" w:right="-120"/>
              <w:jc w:val="center"/>
              <w:rPr>
                <w:rFonts w:ascii="微軟正黑體" w:eastAsia="微軟正黑體" w:hAnsi="微軟正黑體"/>
                <w:b/>
                <w:color w:val="FFFFFF" w:themeColor="background1"/>
                <w:sz w:val="22"/>
              </w:rPr>
            </w:pPr>
            <w:r>
              <w:rPr>
                <w:rFonts w:ascii="微軟正黑體" w:eastAsia="微軟正黑體" w:hAnsi="微軟正黑體" w:hint="eastAsia"/>
                <w:b/>
                <w:color w:val="FFFFFF" w:themeColor="background1"/>
                <w:sz w:val="22"/>
              </w:rPr>
              <w:t>GDP比率</w:t>
            </w:r>
          </w:p>
        </w:tc>
      </w:tr>
      <w:tr w:rsidR="00681820" w:rsidRPr="0070081C" w:rsidTr="00681820">
        <w:trPr>
          <w:trHeight w:val="1464"/>
          <w:jc w:val="center"/>
        </w:trPr>
        <w:tc>
          <w:tcPr>
            <w:tcW w:w="794" w:type="dxa"/>
            <w:vMerge/>
            <w:shd w:val="clear" w:color="auto" w:fill="8064A2" w:themeFill="accent4"/>
            <w:vAlign w:val="center"/>
          </w:tcPr>
          <w:p w:rsidR="00681820" w:rsidRPr="0070081C" w:rsidRDefault="00681820" w:rsidP="00681820">
            <w:pPr>
              <w:spacing w:line="320" w:lineRule="exact"/>
              <w:jc w:val="center"/>
              <w:rPr>
                <w:rFonts w:ascii="微軟正黑體" w:eastAsia="微軟正黑體" w:hAnsi="微軟正黑體"/>
                <w:b/>
                <w:sz w:val="22"/>
              </w:rPr>
            </w:pPr>
          </w:p>
        </w:tc>
        <w:tc>
          <w:tcPr>
            <w:tcW w:w="794" w:type="dxa"/>
            <w:shd w:val="clear" w:color="auto" w:fill="E5DFEC" w:themeFill="accent4" w:themeFillTint="33"/>
            <w:vAlign w:val="center"/>
          </w:tcPr>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總計</w:t>
            </w:r>
          </w:p>
          <w:p w:rsidR="00681820" w:rsidRPr="0002050A" w:rsidRDefault="00681820" w:rsidP="00681820">
            <w:pPr>
              <w:spacing w:line="280" w:lineRule="exact"/>
              <w:ind w:leftChars="-20" w:left="-48" w:rightChars="-33" w:right="-79"/>
              <w:jc w:val="center"/>
              <w:rPr>
                <w:rFonts w:ascii="微軟正黑體" w:eastAsia="微軟正黑體" w:hAnsi="微軟正黑體"/>
                <w:sz w:val="22"/>
              </w:rPr>
            </w:pPr>
            <w:r w:rsidRPr="0002050A">
              <w:rPr>
                <w:rFonts w:ascii="微軟正黑體" w:eastAsia="微軟正黑體" w:hAnsi="微軟正黑體" w:hint="eastAsia"/>
                <w:sz w:val="22"/>
              </w:rPr>
              <w:t>(億元)</w:t>
            </w:r>
          </w:p>
        </w:tc>
        <w:tc>
          <w:tcPr>
            <w:tcW w:w="794" w:type="dxa"/>
            <w:shd w:val="clear" w:color="auto" w:fill="E5DFEC" w:themeFill="accent4" w:themeFillTint="33"/>
            <w:vAlign w:val="center"/>
          </w:tcPr>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社會保險</w:t>
            </w:r>
          </w:p>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w:t>
            </w:r>
          </w:p>
        </w:tc>
        <w:tc>
          <w:tcPr>
            <w:tcW w:w="794" w:type="dxa"/>
            <w:shd w:val="clear" w:color="auto" w:fill="E5DFEC" w:themeFill="accent4" w:themeFillTint="33"/>
            <w:vAlign w:val="center"/>
          </w:tcPr>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社會救助</w:t>
            </w:r>
          </w:p>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w:t>
            </w:r>
          </w:p>
        </w:tc>
        <w:tc>
          <w:tcPr>
            <w:tcW w:w="794" w:type="dxa"/>
            <w:shd w:val="clear" w:color="auto" w:fill="E5DFEC" w:themeFill="accent4" w:themeFillTint="33"/>
            <w:vAlign w:val="center"/>
          </w:tcPr>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福利服務</w:t>
            </w:r>
          </w:p>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w:t>
            </w:r>
          </w:p>
        </w:tc>
        <w:tc>
          <w:tcPr>
            <w:tcW w:w="794" w:type="dxa"/>
            <w:shd w:val="clear" w:color="auto" w:fill="E5DFEC" w:themeFill="accent4" w:themeFillTint="33"/>
            <w:vAlign w:val="center"/>
          </w:tcPr>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醫療保健</w:t>
            </w:r>
          </w:p>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w:t>
            </w:r>
          </w:p>
        </w:tc>
        <w:tc>
          <w:tcPr>
            <w:tcW w:w="1127" w:type="dxa"/>
            <w:shd w:val="clear" w:color="auto" w:fill="E5DFEC" w:themeFill="accent4" w:themeFillTint="33"/>
            <w:vAlign w:val="center"/>
          </w:tcPr>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國民就業</w:t>
            </w:r>
          </w:p>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(億元, %)</w:t>
            </w:r>
          </w:p>
        </w:tc>
        <w:tc>
          <w:tcPr>
            <w:tcW w:w="794" w:type="dxa"/>
            <w:shd w:val="clear" w:color="auto" w:fill="E5DFEC" w:themeFill="accent4" w:themeFillTint="33"/>
            <w:vAlign w:val="center"/>
          </w:tcPr>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政府支出</w:t>
            </w:r>
          </w:p>
          <w:p w:rsidR="00681820" w:rsidRPr="0002050A" w:rsidRDefault="00681820" w:rsidP="00681820">
            <w:pPr>
              <w:spacing w:line="280" w:lineRule="exact"/>
              <w:jc w:val="center"/>
              <w:rPr>
                <w:rFonts w:ascii="微軟正黑體" w:eastAsia="微軟正黑體" w:hAnsi="微軟正黑體"/>
                <w:sz w:val="22"/>
              </w:rPr>
            </w:pPr>
            <w:r w:rsidRPr="0002050A">
              <w:rPr>
                <w:rFonts w:ascii="微軟正黑體" w:eastAsia="微軟正黑體" w:hAnsi="微軟正黑體" w:hint="eastAsia"/>
                <w:sz w:val="22"/>
              </w:rPr>
              <w:t>(%)</w:t>
            </w:r>
          </w:p>
        </w:tc>
        <w:tc>
          <w:tcPr>
            <w:tcW w:w="794" w:type="dxa"/>
            <w:shd w:val="clear" w:color="auto" w:fill="E5DFEC" w:themeFill="accent4" w:themeFillTint="33"/>
            <w:vAlign w:val="center"/>
          </w:tcPr>
          <w:p w:rsidR="00681820" w:rsidRPr="0002050A" w:rsidRDefault="00681820" w:rsidP="00681820">
            <w:pPr>
              <w:spacing w:line="240" w:lineRule="exact"/>
              <w:jc w:val="center"/>
              <w:rPr>
                <w:rFonts w:ascii="微軟正黑體" w:eastAsia="微軟正黑體" w:hAnsi="微軟正黑體"/>
                <w:sz w:val="22"/>
              </w:rPr>
            </w:pPr>
            <w:r w:rsidRPr="0002050A">
              <w:rPr>
                <w:rFonts w:ascii="微軟正黑體" w:eastAsia="微軟正黑體" w:hAnsi="微軟正黑體" w:hint="eastAsia"/>
                <w:sz w:val="22"/>
              </w:rPr>
              <w:t>國民生產毛額</w:t>
            </w:r>
          </w:p>
          <w:p w:rsidR="00681820" w:rsidRPr="0002050A" w:rsidRDefault="00681820" w:rsidP="00681820">
            <w:pPr>
              <w:spacing w:line="240" w:lineRule="exact"/>
              <w:jc w:val="center"/>
              <w:rPr>
                <w:rFonts w:ascii="微軟正黑體" w:eastAsia="微軟正黑體" w:hAnsi="微軟正黑體"/>
                <w:sz w:val="22"/>
              </w:rPr>
            </w:pPr>
            <w:r w:rsidRPr="0002050A">
              <w:rPr>
                <w:rFonts w:ascii="微軟正黑體" w:eastAsia="微軟正黑體" w:hAnsi="微軟正黑體" w:hint="eastAsia"/>
                <w:sz w:val="22"/>
              </w:rPr>
              <w:t>GNP</w:t>
            </w:r>
          </w:p>
          <w:p w:rsidR="00681820" w:rsidRPr="0002050A" w:rsidRDefault="00681820" w:rsidP="00681820">
            <w:pPr>
              <w:spacing w:line="240" w:lineRule="exact"/>
              <w:jc w:val="center"/>
              <w:rPr>
                <w:rFonts w:ascii="微軟正黑體" w:eastAsia="微軟正黑體" w:hAnsi="微軟正黑體"/>
                <w:sz w:val="22"/>
              </w:rPr>
            </w:pPr>
            <w:r w:rsidRPr="0002050A">
              <w:rPr>
                <w:rFonts w:ascii="微軟正黑體" w:eastAsia="微軟正黑體" w:hAnsi="微軟正黑體" w:hint="eastAsia"/>
                <w:sz w:val="22"/>
              </w:rPr>
              <w:t>(%)</w:t>
            </w:r>
          </w:p>
        </w:tc>
        <w:tc>
          <w:tcPr>
            <w:tcW w:w="794" w:type="dxa"/>
            <w:shd w:val="clear" w:color="auto" w:fill="E5DFEC" w:themeFill="accent4" w:themeFillTint="33"/>
            <w:vAlign w:val="center"/>
          </w:tcPr>
          <w:p w:rsidR="00681820" w:rsidRPr="0002050A" w:rsidRDefault="00681820" w:rsidP="00681820">
            <w:pPr>
              <w:spacing w:line="280" w:lineRule="exact"/>
              <w:ind w:leftChars="-50" w:left="-120" w:rightChars="-50" w:right="-120"/>
              <w:jc w:val="center"/>
              <w:rPr>
                <w:rFonts w:ascii="微軟正黑體" w:eastAsia="微軟正黑體" w:hAnsi="微軟正黑體"/>
                <w:sz w:val="22"/>
              </w:rPr>
            </w:pPr>
            <w:r w:rsidRPr="0002050A">
              <w:rPr>
                <w:rFonts w:ascii="微軟正黑體" w:eastAsia="微軟正黑體" w:hAnsi="微軟正黑體" w:hint="eastAsia"/>
                <w:sz w:val="22"/>
              </w:rPr>
              <w:t>教育  經費</w:t>
            </w:r>
          </w:p>
          <w:p w:rsidR="00681820" w:rsidRPr="0002050A" w:rsidRDefault="00681820" w:rsidP="00681820">
            <w:pPr>
              <w:spacing w:line="280" w:lineRule="exact"/>
              <w:ind w:leftChars="-50" w:left="-120" w:rightChars="-50" w:right="-120"/>
              <w:jc w:val="center"/>
              <w:rPr>
                <w:rFonts w:ascii="微軟正黑體" w:eastAsia="微軟正黑體" w:hAnsi="微軟正黑體"/>
                <w:sz w:val="22"/>
              </w:rPr>
            </w:pPr>
            <w:r>
              <w:rPr>
                <w:rFonts w:ascii="微軟正黑體" w:eastAsia="微軟正黑體" w:hAnsi="微軟正黑體" w:hint="eastAsia"/>
                <w:sz w:val="22"/>
              </w:rPr>
              <w:t>占</w:t>
            </w:r>
            <w:r w:rsidRPr="0002050A">
              <w:rPr>
                <w:rFonts w:ascii="微軟正黑體" w:eastAsia="微軟正黑體" w:hAnsi="微軟正黑體" w:hint="eastAsia"/>
                <w:sz w:val="22"/>
              </w:rPr>
              <w:t>GDP</w:t>
            </w:r>
          </w:p>
          <w:p w:rsidR="00681820" w:rsidRPr="0002050A" w:rsidRDefault="00681820" w:rsidP="00681820">
            <w:pPr>
              <w:spacing w:line="280" w:lineRule="exact"/>
              <w:ind w:leftChars="-50" w:left="-120" w:rightChars="-50" w:right="-120"/>
              <w:jc w:val="center"/>
              <w:rPr>
                <w:rFonts w:ascii="微軟正黑體" w:eastAsia="微軟正黑體" w:hAnsi="微軟正黑體"/>
                <w:sz w:val="22"/>
              </w:rPr>
            </w:pPr>
            <w:r w:rsidRPr="0002050A">
              <w:rPr>
                <w:rFonts w:ascii="微軟正黑體" w:eastAsia="微軟正黑體" w:hAnsi="微軟正黑體" w:hint="eastAsia"/>
                <w:sz w:val="22"/>
              </w:rPr>
              <w:t>(%)</w:t>
            </w:r>
          </w:p>
        </w:tc>
        <w:tc>
          <w:tcPr>
            <w:tcW w:w="798" w:type="dxa"/>
            <w:shd w:val="clear" w:color="auto" w:fill="E5DFEC" w:themeFill="accent4" w:themeFillTint="33"/>
            <w:vAlign w:val="center"/>
          </w:tcPr>
          <w:p w:rsidR="00681820" w:rsidRPr="0002050A" w:rsidRDefault="00681820" w:rsidP="00681820">
            <w:pPr>
              <w:spacing w:line="280" w:lineRule="exact"/>
              <w:ind w:leftChars="-50" w:left="-120" w:rightChars="-50" w:right="-120"/>
              <w:jc w:val="center"/>
              <w:rPr>
                <w:rFonts w:ascii="微軟正黑體" w:eastAsia="微軟正黑體" w:hAnsi="微軟正黑體"/>
                <w:sz w:val="22"/>
              </w:rPr>
            </w:pPr>
            <w:r w:rsidRPr="0002050A">
              <w:rPr>
                <w:rFonts w:ascii="微軟正黑體" w:eastAsia="微軟正黑體" w:hAnsi="微軟正黑體" w:hint="eastAsia"/>
                <w:sz w:val="22"/>
              </w:rPr>
              <w:t>賦稅  收入</w:t>
            </w:r>
          </w:p>
          <w:p w:rsidR="00681820" w:rsidRPr="0002050A" w:rsidRDefault="00681820" w:rsidP="00681820">
            <w:pPr>
              <w:spacing w:line="280" w:lineRule="exact"/>
              <w:ind w:leftChars="-50" w:left="-120" w:rightChars="-50" w:right="-120"/>
              <w:jc w:val="center"/>
              <w:rPr>
                <w:rFonts w:ascii="微軟正黑體" w:eastAsia="微軟正黑體" w:hAnsi="微軟正黑體"/>
                <w:sz w:val="22"/>
              </w:rPr>
            </w:pPr>
            <w:r>
              <w:rPr>
                <w:rFonts w:ascii="微軟正黑體" w:eastAsia="微軟正黑體" w:hAnsi="微軟正黑體" w:hint="eastAsia"/>
                <w:sz w:val="22"/>
              </w:rPr>
              <w:t>占</w:t>
            </w:r>
            <w:r w:rsidRPr="0002050A">
              <w:rPr>
                <w:rFonts w:ascii="微軟正黑體" w:eastAsia="微軟正黑體" w:hAnsi="微軟正黑體" w:hint="eastAsia"/>
                <w:sz w:val="22"/>
              </w:rPr>
              <w:t>G</w:t>
            </w:r>
            <w:r w:rsidRPr="0002050A">
              <w:rPr>
                <w:rFonts w:ascii="微軟正黑體" w:eastAsia="微軟正黑體" w:hAnsi="微軟正黑體"/>
                <w:sz w:val="22"/>
              </w:rPr>
              <w:t>DP</w:t>
            </w:r>
          </w:p>
          <w:p w:rsidR="00681820" w:rsidRPr="0002050A" w:rsidRDefault="00681820" w:rsidP="00681820">
            <w:pPr>
              <w:spacing w:line="280" w:lineRule="exact"/>
              <w:ind w:leftChars="-50" w:left="-120" w:rightChars="-50" w:right="-120"/>
              <w:jc w:val="center"/>
              <w:rPr>
                <w:rFonts w:ascii="微軟正黑體" w:eastAsia="微軟正黑體" w:hAnsi="微軟正黑體"/>
                <w:sz w:val="22"/>
              </w:rPr>
            </w:pPr>
            <w:r w:rsidRPr="0002050A">
              <w:rPr>
                <w:rFonts w:ascii="微軟正黑體" w:eastAsia="微軟正黑體" w:hAnsi="微軟正黑體" w:hint="eastAsia"/>
                <w:sz w:val="22"/>
              </w:rPr>
              <w:t>(%)</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4,154</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48.9</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7.4</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33.4</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9.2</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48</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(1.16)</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16.2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5.3</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11.5</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4,469</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50.4</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7.0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33.1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8.4</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53</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(1.19)</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17.1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5.3</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12.4</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5,404</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56.2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6.8</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30.0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6.5</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34</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(0.63)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3.7</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5.4</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12.2</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5,369</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59.8</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6.7</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26.2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6.7</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30</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(0.56)</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3.6</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5.3</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12.0</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2014</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5,171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56.9</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4.3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31.3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7.1</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27</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(0.52)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19.5</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5.1</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12.2</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2015</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5,320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58.4</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4.0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30.1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7.0</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29</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(0.54)</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5.0</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12.5</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2016</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5,485</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59.7</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3.8</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29.2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6.8</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28</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(0.52)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4.9</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12.7</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2017</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5,638</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60.5</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3.6</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28.6</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6.9</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29</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(0.51)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4.9</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12.5</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2018</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5,880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62.3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3.4</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27.0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6.8</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30</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(0.51)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20.7</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5.0</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13.0</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2019</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5,911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60.3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28.0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7.9</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30</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(0.51)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3.1</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4.8</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13.0</w:t>
            </w:r>
          </w:p>
        </w:tc>
      </w:tr>
      <w:tr w:rsidR="00681820" w:rsidRPr="00CB586E" w:rsidTr="00681820">
        <w:trPr>
          <w:jc w:val="center"/>
        </w:trPr>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2020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6,957</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54.3</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3.9</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30.0</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11.4</w:t>
            </w:r>
          </w:p>
        </w:tc>
        <w:tc>
          <w:tcPr>
            <w:tcW w:w="1127"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29</w:t>
            </w:r>
            <w:r>
              <w:rPr>
                <w:rFonts w:ascii="微軟正黑體" w:eastAsia="微軟正黑體" w:hAnsi="微軟正黑體" w:hint="eastAsia"/>
                <w:sz w:val="22"/>
                <w:szCs w:val="22"/>
              </w:rPr>
              <w:t xml:space="preserve"> </w:t>
            </w:r>
            <w:r w:rsidRPr="00CB586E">
              <w:rPr>
                <w:rFonts w:ascii="微軟正黑體" w:eastAsia="微軟正黑體" w:hAnsi="微軟正黑體"/>
                <w:sz w:val="22"/>
                <w:szCs w:val="22"/>
              </w:rPr>
              <w:t>(0.42)</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21.5</w:t>
            </w:r>
          </w:p>
        </w:tc>
        <w:tc>
          <w:tcPr>
            <w:tcW w:w="794"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3.5</w:t>
            </w:r>
          </w:p>
        </w:tc>
        <w:tc>
          <w:tcPr>
            <w:tcW w:w="794" w:type="dxa"/>
          </w:tcPr>
          <w:p w:rsidR="00681820" w:rsidRPr="00CB586E" w:rsidRDefault="00681820" w:rsidP="00681820">
            <w:pPr>
              <w:spacing w:line="400" w:lineRule="exact"/>
              <w:ind w:rightChars="-24" w:right="-58"/>
              <w:jc w:val="center"/>
              <w:rPr>
                <w:rFonts w:ascii="微軟正黑體" w:eastAsia="微軟正黑體" w:hAnsi="微軟正黑體"/>
                <w:sz w:val="22"/>
                <w:szCs w:val="22"/>
              </w:rPr>
            </w:pPr>
            <w:r w:rsidRPr="00CB586E">
              <w:rPr>
                <w:rFonts w:ascii="微軟正黑體" w:eastAsia="微軟正黑體" w:hAnsi="微軟正黑體"/>
                <w:sz w:val="22"/>
                <w:szCs w:val="22"/>
              </w:rPr>
              <w:t>n.a.</w:t>
            </w:r>
          </w:p>
        </w:tc>
        <w:tc>
          <w:tcPr>
            <w:tcW w:w="798" w:type="dxa"/>
          </w:tcPr>
          <w:p w:rsidR="00681820" w:rsidRPr="00CB586E" w:rsidRDefault="00681820" w:rsidP="00681820">
            <w:pPr>
              <w:spacing w:line="400" w:lineRule="exact"/>
              <w:jc w:val="center"/>
              <w:rPr>
                <w:rFonts w:ascii="微軟正黑體" w:eastAsia="微軟正黑體" w:hAnsi="微軟正黑體"/>
                <w:sz w:val="22"/>
                <w:szCs w:val="22"/>
              </w:rPr>
            </w:pPr>
            <w:r w:rsidRPr="00CB586E">
              <w:rPr>
                <w:rFonts w:ascii="微軟正黑體" w:eastAsia="微軟正黑體" w:hAnsi="微軟正黑體"/>
                <w:sz w:val="22"/>
                <w:szCs w:val="22"/>
              </w:rPr>
              <w:t>12.1</w:t>
            </w:r>
          </w:p>
        </w:tc>
      </w:tr>
    </w:tbl>
    <w:p w:rsidR="00681820" w:rsidRDefault="00681820" w:rsidP="00681820">
      <w:pPr>
        <w:pStyle w:val="Web"/>
        <w:spacing w:before="0" w:beforeAutospacing="0" w:after="0" w:afterAutospacing="0" w:line="320" w:lineRule="exact"/>
        <w:jc w:val="both"/>
        <w:rPr>
          <w:rFonts w:ascii="微軟正黑體" w:eastAsia="微軟正黑體" w:hAnsi="微軟正黑體" w:cs="Times New Roman"/>
          <w:sz w:val="20"/>
          <w:szCs w:val="20"/>
        </w:rPr>
      </w:pPr>
      <w:r w:rsidRPr="00525BD3">
        <w:rPr>
          <w:rFonts w:ascii="微軟正黑體" w:eastAsia="微軟正黑體" w:hAnsi="微軟正黑體" w:cs="Times New Roman" w:hint="eastAsia"/>
          <w:sz w:val="20"/>
          <w:szCs w:val="20"/>
        </w:rPr>
        <w:t>資料來源：</w:t>
      </w:r>
      <w:r w:rsidRPr="00CB586E">
        <w:rPr>
          <w:rFonts w:ascii="微軟正黑體" w:eastAsia="微軟正黑體" w:hAnsi="微軟正黑體" w:cs="Times New Roman" w:hint="eastAsia"/>
          <w:sz w:val="20"/>
          <w:szCs w:val="20"/>
        </w:rPr>
        <w:t>國發會重要統計資料手冊</w:t>
      </w:r>
      <w:r>
        <w:rPr>
          <w:rFonts w:ascii="微軟正黑體" w:eastAsia="微軟正黑體" w:hAnsi="微軟正黑體" w:cs="Times New Roman" w:hint="eastAsia"/>
          <w:sz w:val="20"/>
          <w:szCs w:val="20"/>
        </w:rPr>
        <w:t>(</w:t>
      </w:r>
      <w:r w:rsidRPr="00CB586E">
        <w:rPr>
          <w:rFonts w:ascii="微軟正黑體" w:eastAsia="微軟正黑體" w:hAnsi="微軟正黑體" w:cs="Times New Roman" w:hint="eastAsia"/>
          <w:sz w:val="20"/>
          <w:szCs w:val="20"/>
        </w:rPr>
        <w:t>2021</w:t>
      </w:r>
      <w:r>
        <w:rPr>
          <w:rFonts w:ascii="微軟正黑體" w:eastAsia="微軟正黑體" w:hAnsi="微軟正黑體" w:cs="Times New Roman" w:hint="eastAsia"/>
          <w:sz w:val="20"/>
          <w:szCs w:val="20"/>
        </w:rPr>
        <w:t>)</w:t>
      </w:r>
      <w:r w:rsidRPr="00CB586E">
        <w:rPr>
          <w:rFonts w:ascii="微軟正黑體" w:eastAsia="微軟正黑體" w:hAnsi="微軟正黑體" w:cs="Times New Roman" w:hint="eastAsia"/>
          <w:sz w:val="20"/>
          <w:szCs w:val="20"/>
        </w:rPr>
        <w:t>，本研究另行統整資料製表。</w:t>
      </w:r>
    </w:p>
    <w:p w:rsidR="00681820" w:rsidRPr="00525BD3" w:rsidRDefault="00681820" w:rsidP="00681820">
      <w:pPr>
        <w:pStyle w:val="Web"/>
        <w:spacing w:before="0" w:beforeAutospacing="0" w:after="0" w:afterAutospacing="0" w:line="320" w:lineRule="exact"/>
        <w:jc w:val="both"/>
        <w:rPr>
          <w:rFonts w:ascii="微軟正黑體" w:eastAsia="微軟正黑體" w:hAnsi="微軟正黑體"/>
          <w:sz w:val="20"/>
          <w:szCs w:val="20"/>
        </w:rPr>
      </w:pPr>
    </w:p>
    <w:p w:rsidR="00681820" w:rsidRPr="00E26191" w:rsidRDefault="00681820" w:rsidP="00681820">
      <w:pPr>
        <w:spacing w:beforeLines="150" w:before="540" w:line="400" w:lineRule="exact"/>
        <w:jc w:val="center"/>
        <w:rPr>
          <w:rFonts w:ascii="微軟正黑體" w:eastAsia="微軟正黑體" w:hAnsi="微軟正黑體"/>
          <w:b/>
          <w:kern w:val="0"/>
          <w:sz w:val="32"/>
          <w:szCs w:val="32"/>
        </w:rPr>
      </w:pPr>
      <w:r w:rsidRPr="00E26191">
        <w:rPr>
          <w:rFonts w:ascii="微軟正黑體" w:eastAsia="微軟正黑體" w:hAnsi="微軟正黑體"/>
          <w:b/>
          <w:sz w:val="32"/>
          <w:szCs w:val="32"/>
        </w:rPr>
        <w:t>參、</w:t>
      </w:r>
      <w:r w:rsidRPr="00751BFC">
        <w:rPr>
          <w:rFonts w:ascii="微軟正黑體" w:eastAsia="微軟正黑體" w:hAnsi="微軟正黑體" w:hint="eastAsia"/>
          <w:b/>
          <w:sz w:val="32"/>
          <w:szCs w:val="32"/>
        </w:rPr>
        <w:t>我國55歲以上銀髮人才與高齡就業率偏低且性別差異</w:t>
      </w:r>
      <w:r>
        <w:rPr>
          <w:rFonts w:ascii="微軟正黑體" w:eastAsia="微軟正黑體" w:hAnsi="微軟正黑體" w:hint="eastAsia"/>
          <w:b/>
          <w:sz w:val="32"/>
          <w:szCs w:val="32"/>
        </w:rPr>
        <w:t>大</w:t>
      </w:r>
    </w:p>
    <w:p w:rsidR="00F152C0" w:rsidRDefault="00681820" w:rsidP="00F152C0">
      <w:pPr>
        <w:spacing w:beforeLines="100" w:before="360" w:line="400" w:lineRule="exact"/>
        <w:jc w:val="both"/>
        <w:rPr>
          <w:rFonts w:ascii="微軟正黑體" w:eastAsia="微軟正黑體" w:hAnsi="微軟正黑體"/>
        </w:rPr>
      </w:pPr>
      <w:r w:rsidRPr="00E26191">
        <w:rPr>
          <w:rFonts w:ascii="微軟正黑體" w:eastAsia="微軟正黑體" w:hAnsi="微軟正黑體"/>
        </w:rPr>
        <w:t xml:space="preserve">    </w:t>
      </w:r>
      <w:r w:rsidRPr="00E72D89">
        <w:rPr>
          <w:rFonts w:ascii="微軟正黑體" w:eastAsia="微軟正黑體" w:hAnsi="微軟正黑體" w:hint="eastAsia"/>
        </w:rPr>
        <w:t>台灣的15-24歲青少年失業率自</w:t>
      </w:r>
      <w:r w:rsidRPr="00A1067B">
        <w:rPr>
          <w:rFonts w:ascii="微軟正黑體" w:eastAsia="微軟正黑體" w:hAnsi="微軟正黑體" w:hint="eastAsia"/>
        </w:rPr>
        <w:t>從1994年以</w:t>
      </w:r>
      <w:r w:rsidRPr="00E72D89">
        <w:rPr>
          <w:rFonts w:ascii="微軟正黑體" w:eastAsia="微軟正黑體" w:hAnsi="微軟正黑體" w:hint="eastAsia"/>
        </w:rPr>
        <w:t>教育改革開放前的失業率為4.75%，到了2001起失業率開始超過10%，是平均失業率4.57%的兩倍以上，但到2021年8月青少年失業率達到12.89%</w:t>
      </w:r>
      <w:r>
        <w:rPr>
          <w:rFonts w:ascii="微軟正黑體" w:eastAsia="微軟正黑體" w:hAnsi="微軟正黑體" w:hint="eastAsia"/>
        </w:rPr>
        <w:t>，</w:t>
      </w:r>
      <w:r w:rsidRPr="00E72D89">
        <w:rPr>
          <w:rFonts w:ascii="微軟正黑體" w:eastAsia="微軟正黑體" w:hAnsi="微軟正黑體" w:hint="eastAsia"/>
        </w:rPr>
        <w:t>是平均失業率4.24%的三倍以上。</w:t>
      </w:r>
      <w:r w:rsidR="00F152C0" w:rsidRPr="00E72D89">
        <w:rPr>
          <w:rFonts w:ascii="微軟正黑體" w:eastAsia="微軟正黑體" w:hAnsi="微軟正黑體" w:hint="eastAsia"/>
        </w:rPr>
        <w:t>同期，表面上看起來55歲以上失業率平均大約2%，但我國55-64歲就業率在2020年卻僅有47%，未達我國常採用的經濟合作發展組織(OECD) 38個國家的平均值60.4%</w:t>
      </w:r>
      <w:r w:rsidR="00F152C0">
        <w:rPr>
          <w:rFonts w:ascii="微軟正黑體" w:eastAsia="微軟正黑體" w:hAnsi="微軟正黑體" w:hint="eastAsia"/>
        </w:rPr>
        <w:t>，僅優於土耳其、南非、盧森堡與希臘(</w:t>
      </w:r>
      <w:r w:rsidR="00F152C0" w:rsidRPr="00E72D89">
        <w:rPr>
          <w:rFonts w:ascii="微軟正黑體" w:eastAsia="微軟正黑體" w:hAnsi="微軟正黑體" w:hint="eastAsia"/>
        </w:rPr>
        <w:t>44.6%</w:t>
      </w:r>
      <w:r w:rsidR="00F152C0">
        <w:rPr>
          <w:rFonts w:ascii="微軟正黑體" w:eastAsia="微軟正黑體" w:hAnsi="微軟正黑體" w:hint="eastAsia"/>
        </w:rPr>
        <w:t>)(</w:t>
      </w:r>
      <w:r w:rsidR="00F152C0" w:rsidRPr="00E72D89">
        <w:rPr>
          <w:rFonts w:ascii="微軟正黑體" w:eastAsia="微軟正黑體" w:hAnsi="微軟正黑體" w:hint="eastAsia"/>
        </w:rPr>
        <w:t>如圖1</w:t>
      </w:r>
      <w:r w:rsidR="00F152C0">
        <w:rPr>
          <w:rFonts w:ascii="微軟正黑體" w:eastAsia="微軟正黑體" w:hAnsi="微軟正黑體" w:hint="eastAsia"/>
        </w:rPr>
        <w:t>)</w:t>
      </w:r>
      <w:r w:rsidR="00F152C0" w:rsidRPr="00E72D89">
        <w:rPr>
          <w:rFonts w:ascii="微軟正黑體" w:eastAsia="微軟正黑體" w:hAnsi="微軟正黑體" w:hint="eastAsia"/>
        </w:rPr>
        <w:t>。我國就業政策的主責機關勞動部，多年來以青年失業率偏高為由，</w:t>
      </w:r>
      <w:r w:rsidR="00F152C0">
        <w:rPr>
          <w:rFonts w:ascii="微軟正黑體" w:eastAsia="微軟正黑體" w:hAnsi="微軟正黑體" w:hint="eastAsia"/>
        </w:rPr>
        <w:t>相對</w:t>
      </w:r>
      <w:r w:rsidR="00F152C0" w:rsidRPr="00E72D89">
        <w:rPr>
          <w:rFonts w:ascii="微軟正黑體" w:eastAsia="微軟正黑體" w:hAnsi="微軟正黑體" w:hint="eastAsia"/>
        </w:rPr>
        <w:t>未能</w:t>
      </w:r>
      <w:r w:rsidR="00F152C0">
        <w:rPr>
          <w:rFonts w:ascii="微軟正黑體" w:eastAsia="微軟正黑體" w:hAnsi="微軟正黑體" w:hint="eastAsia"/>
        </w:rPr>
        <w:t>更為</w:t>
      </w:r>
      <w:r w:rsidR="00F152C0" w:rsidRPr="00E72D89">
        <w:rPr>
          <w:rFonts w:ascii="微軟正黑體" w:eastAsia="微軟正黑體" w:hAnsi="微軟正黑體" w:hint="eastAsia"/>
        </w:rPr>
        <w:t>積極因應人口老化，進行55歲以上銀髮與高齡的就業促進，因為歸因於怕影響青年高失業</w:t>
      </w:r>
      <w:r w:rsidR="00F152C0" w:rsidRPr="00BE3CA9">
        <w:rPr>
          <w:rFonts w:ascii="微軟正黑體" w:eastAsia="微軟正黑體" w:hAnsi="微軟正黑體" w:hint="eastAsia"/>
        </w:rPr>
        <w:t>率</w:t>
      </w:r>
      <w:r w:rsidR="00F152C0" w:rsidRPr="00E72D89">
        <w:rPr>
          <w:rFonts w:ascii="微軟正黑體" w:eastAsia="微軟正黑體" w:hAnsi="微軟正黑體" w:hint="eastAsia"/>
        </w:rPr>
        <w:t>的處理，結果出現青年失業率其實20年間都沒有明顯下降並時有惡化趨勢，但55-64歲就業率卻明顯的偏低之「兩敗俱傷」的局面</w:t>
      </w:r>
      <w:r w:rsidR="00F152C0">
        <w:rPr>
          <w:rFonts w:ascii="微軟正黑體" w:eastAsia="微軟正黑體" w:hAnsi="微軟正黑體" w:hint="eastAsia"/>
        </w:rPr>
        <w:t>與形成「世代對立與矛盾」</w:t>
      </w:r>
      <w:r w:rsidR="00F152C0" w:rsidRPr="007A5796">
        <w:rPr>
          <w:rFonts w:ascii="微軟正黑體" w:eastAsia="微軟正黑體" w:hAnsi="微軟正黑體" w:hint="eastAsia"/>
        </w:rPr>
        <w:t>，及早因應處理化解，才能免於未來陷入「兩代同垮」困境。</w:t>
      </w: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r w:rsidRPr="00D93BC4">
        <w:rPr>
          <w:noProof/>
          <w:sz w:val="20"/>
          <w:szCs w:val="18"/>
        </w:rPr>
        <w:lastRenderedPageBreak/>
        <w:drawing>
          <wp:anchor distT="0" distB="0" distL="114300" distR="114300" simplePos="0" relativeHeight="252494848" behindDoc="0" locked="0" layoutInCell="1" allowOverlap="1" wp14:anchorId="1AAC5C2F" wp14:editId="6159423A">
            <wp:simplePos x="0" y="0"/>
            <wp:positionH relativeFrom="column">
              <wp:posOffset>13970</wp:posOffset>
            </wp:positionH>
            <wp:positionV relativeFrom="paragraph">
              <wp:posOffset>153670</wp:posOffset>
            </wp:positionV>
            <wp:extent cx="5753100" cy="3429000"/>
            <wp:effectExtent l="0" t="0" r="19050" b="19050"/>
            <wp:wrapNone/>
            <wp:docPr id="21533" name="圖表 215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EE6ECB-D62F-49D7-806E-E0104A72F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Default="00F152C0" w:rsidP="00F152C0">
      <w:pPr>
        <w:spacing w:line="400" w:lineRule="exact"/>
        <w:jc w:val="both"/>
        <w:rPr>
          <w:rFonts w:ascii="微軟正黑體" w:eastAsia="微軟正黑體" w:hAnsi="微軟正黑體"/>
        </w:rPr>
      </w:pPr>
    </w:p>
    <w:p w:rsidR="00F152C0" w:rsidRPr="00594E59" w:rsidRDefault="00F152C0" w:rsidP="00F152C0">
      <w:pPr>
        <w:pStyle w:val="Web"/>
        <w:spacing w:beforeLines="50" w:before="180" w:beforeAutospacing="0" w:after="0" w:afterAutospacing="0" w:line="240" w:lineRule="exact"/>
        <w:ind w:left="1000" w:hangingChars="500" w:hanging="1000"/>
        <w:jc w:val="both"/>
        <w:rPr>
          <w:rFonts w:ascii="微軟正黑體" w:eastAsia="微軟正黑體" w:hAnsi="微軟正黑體" w:cs="Times New Roman"/>
          <w:sz w:val="20"/>
          <w:szCs w:val="20"/>
        </w:rPr>
      </w:pPr>
      <w:r w:rsidRPr="00594E59">
        <w:rPr>
          <w:rFonts w:ascii="微軟正黑體" w:eastAsia="微軟正黑體" w:hAnsi="微軟正黑體" w:cs="Times New Roman" w:hint="eastAsia"/>
          <w:sz w:val="20"/>
          <w:szCs w:val="20"/>
        </w:rPr>
        <w:t>資料來源：</w:t>
      </w:r>
      <w:r>
        <w:rPr>
          <w:rFonts w:ascii="微軟正黑體" w:eastAsia="微軟正黑體" w:hAnsi="微軟正黑體" w:cs="Times New Roman" w:hint="eastAsia"/>
          <w:sz w:val="20"/>
          <w:szCs w:val="20"/>
        </w:rPr>
        <w:t>OECD</w:t>
      </w:r>
      <w:r w:rsidRPr="00594E59">
        <w:rPr>
          <w:rFonts w:ascii="微軟正黑體" w:eastAsia="微軟正黑體" w:hAnsi="微軟正黑體" w:cs="Times New Roman" w:hint="eastAsia"/>
          <w:sz w:val="20"/>
          <w:szCs w:val="20"/>
        </w:rPr>
        <w:t>(2021), Employment rate by age group (indicator). doi:</w:t>
      </w:r>
      <w:r w:rsidRPr="00594E59">
        <w:rPr>
          <w:rFonts w:ascii="微軟正黑體" w:eastAsia="微軟正黑體" w:hAnsi="微軟正黑體" w:cs="Times New Roman"/>
          <w:sz w:val="20"/>
          <w:szCs w:val="20"/>
        </w:rPr>
        <w:t xml:space="preserve"> </w:t>
      </w:r>
      <w:r w:rsidRPr="00594E59">
        <w:rPr>
          <w:rFonts w:ascii="微軟正黑體" w:eastAsia="微軟正黑體" w:hAnsi="微軟正黑體" w:cs="Times New Roman" w:hint="eastAsia"/>
          <w:sz w:val="20"/>
          <w:szCs w:val="20"/>
        </w:rPr>
        <w:t xml:space="preserve">0.1787/084f32c7-en </w:t>
      </w:r>
      <w:r>
        <w:rPr>
          <w:rFonts w:ascii="微軟正黑體" w:eastAsia="微軟正黑體" w:hAnsi="微軟正黑體" w:cs="Times New Roman" w:hint="eastAsia"/>
          <w:sz w:val="20"/>
          <w:szCs w:val="20"/>
        </w:rPr>
        <w:t xml:space="preserve">      </w:t>
      </w:r>
      <w:r w:rsidRPr="00594E59">
        <w:rPr>
          <w:rFonts w:ascii="微軟正黑體" w:eastAsia="微軟正黑體" w:hAnsi="微軟正黑體" w:cs="Times New Roman" w:hint="eastAsia"/>
          <w:sz w:val="20"/>
          <w:szCs w:val="20"/>
        </w:rPr>
        <w:t>(Accessed on 06 October 2021)</w:t>
      </w:r>
      <w:r w:rsidRPr="00594E59">
        <w:rPr>
          <w:rFonts w:ascii="微軟正黑體" w:eastAsia="微軟正黑體" w:hAnsi="微軟正黑體" w:cs="Times New Roman"/>
          <w:sz w:val="20"/>
          <w:szCs w:val="20"/>
        </w:rPr>
        <w:t xml:space="preserve"> /</w:t>
      </w:r>
      <w:r w:rsidRPr="00594E59">
        <w:rPr>
          <w:rFonts w:ascii="微軟正黑體" w:eastAsia="微軟正黑體" w:hAnsi="微軟正黑體" w:cs="Times New Roman" w:hint="eastAsia"/>
          <w:sz w:val="20"/>
          <w:szCs w:val="20"/>
        </w:rPr>
        <w:t>台灣-行政院主計總處。</w:t>
      </w:r>
    </w:p>
    <w:p w:rsidR="00F152C0" w:rsidRPr="00E72D89" w:rsidRDefault="00F152C0" w:rsidP="00F152C0">
      <w:pPr>
        <w:pStyle w:val="af8"/>
        <w:spacing w:beforeLines="50" w:before="180" w:line="400" w:lineRule="exact"/>
        <w:contextualSpacing/>
        <w:jc w:val="center"/>
        <w:rPr>
          <w:rFonts w:ascii="微軟正黑體" w:eastAsia="微軟正黑體" w:hAnsi="微軟正黑體"/>
          <w:sz w:val="24"/>
          <w:szCs w:val="24"/>
        </w:rPr>
      </w:pPr>
      <w:r w:rsidRPr="00E72D89">
        <w:rPr>
          <w:rFonts w:ascii="微軟正黑體" w:eastAsia="微軟正黑體" w:hAnsi="微軟正黑體" w:hint="eastAsia"/>
          <w:sz w:val="24"/>
          <w:szCs w:val="24"/>
        </w:rPr>
        <w:t>圖</w:t>
      </w:r>
      <w:r w:rsidRPr="00E72D89">
        <w:rPr>
          <w:rFonts w:ascii="微軟正黑體" w:eastAsia="微軟正黑體" w:hAnsi="微軟正黑體"/>
          <w:sz w:val="24"/>
          <w:szCs w:val="24"/>
        </w:rPr>
        <w:fldChar w:fldCharType="begin"/>
      </w:r>
      <w:r w:rsidRPr="00E72D89">
        <w:rPr>
          <w:rFonts w:ascii="微軟正黑體" w:eastAsia="微軟正黑體" w:hAnsi="微軟正黑體"/>
          <w:sz w:val="24"/>
          <w:szCs w:val="24"/>
        </w:rPr>
        <w:instrText xml:space="preserve"> </w:instrText>
      </w:r>
      <w:r w:rsidRPr="00E72D89">
        <w:rPr>
          <w:rFonts w:ascii="微軟正黑體" w:eastAsia="微軟正黑體" w:hAnsi="微軟正黑體" w:hint="eastAsia"/>
          <w:sz w:val="24"/>
          <w:szCs w:val="24"/>
        </w:rPr>
        <w:instrText>SEQ 圖 \* ARABIC</w:instrText>
      </w:r>
      <w:r w:rsidRPr="00E72D89">
        <w:rPr>
          <w:rFonts w:ascii="微軟正黑體" w:eastAsia="微軟正黑體" w:hAnsi="微軟正黑體"/>
          <w:sz w:val="24"/>
          <w:szCs w:val="24"/>
        </w:rPr>
        <w:instrText xml:space="preserve"> </w:instrText>
      </w:r>
      <w:r w:rsidRPr="00E72D89">
        <w:rPr>
          <w:rFonts w:ascii="微軟正黑體" w:eastAsia="微軟正黑體" w:hAnsi="微軟正黑體"/>
          <w:sz w:val="24"/>
          <w:szCs w:val="24"/>
        </w:rPr>
        <w:fldChar w:fldCharType="separate"/>
      </w:r>
      <w:r w:rsidR="00AC324C">
        <w:rPr>
          <w:rFonts w:ascii="微軟正黑體" w:eastAsia="微軟正黑體" w:hAnsi="微軟正黑體"/>
          <w:noProof/>
          <w:sz w:val="24"/>
          <w:szCs w:val="24"/>
        </w:rPr>
        <w:t>1</w:t>
      </w:r>
      <w:r w:rsidRPr="00E72D89">
        <w:rPr>
          <w:rFonts w:ascii="微軟正黑體" w:eastAsia="微軟正黑體" w:hAnsi="微軟正黑體"/>
          <w:sz w:val="24"/>
          <w:szCs w:val="24"/>
        </w:rPr>
        <w:fldChar w:fldCharType="end"/>
      </w:r>
      <w:r w:rsidRPr="00E72D89">
        <w:rPr>
          <w:rFonts w:ascii="微軟正黑體" w:eastAsia="微軟正黑體" w:hAnsi="微軟正黑體" w:hint="eastAsia"/>
          <w:sz w:val="24"/>
          <w:szCs w:val="24"/>
        </w:rPr>
        <w:t xml:space="preserve">　台灣與OECD國家55-64歲就業率之比較</w:t>
      </w:r>
    </w:p>
    <w:p w:rsidR="00F152C0" w:rsidRPr="00E72D89" w:rsidRDefault="00F152C0" w:rsidP="00F152C0">
      <w:pPr>
        <w:spacing w:line="400" w:lineRule="exact"/>
        <w:jc w:val="both"/>
        <w:rPr>
          <w:rFonts w:ascii="微軟正黑體" w:eastAsia="微軟正黑體" w:hAnsi="微軟正黑體"/>
          <w:kern w:val="0"/>
        </w:rPr>
      </w:pPr>
    </w:p>
    <w:p w:rsidR="00F152C0" w:rsidRPr="00E72D89" w:rsidRDefault="00F152C0" w:rsidP="00F152C0">
      <w:pPr>
        <w:spacing w:line="400" w:lineRule="exact"/>
        <w:jc w:val="both"/>
        <w:rPr>
          <w:rFonts w:ascii="微軟正黑體" w:eastAsia="微軟正黑體" w:hAnsi="微軟正黑體"/>
          <w:kern w:val="0"/>
        </w:rPr>
      </w:pPr>
      <w:r>
        <w:rPr>
          <w:rFonts w:ascii="微軟正黑體" w:eastAsia="微軟正黑體" w:hAnsi="微軟正黑體" w:hint="eastAsia"/>
          <w:kern w:val="0"/>
        </w:rPr>
        <w:t xml:space="preserve">    </w:t>
      </w:r>
      <w:r w:rsidRPr="00E72D89">
        <w:rPr>
          <w:rFonts w:ascii="微軟正黑體" w:eastAsia="微軟正黑體" w:hAnsi="微軟正黑體" w:hint="eastAsia"/>
          <w:kern w:val="0"/>
        </w:rPr>
        <w:t>我國65歲以上就業率也是相對很低，與我們一樣低的法國與義大利，他們的老年經濟安全之於政府的財政支持相對高，雖然這也同時形成政府財政永續性的挑戰；但是台灣65歲以上老年貧窮率採國際比較標準，已來到至少超過22.6%，韓國的老人貧窮率已達到43.8%，但是台灣老人的所得來源的比重來自工作所得僅有9.5%</w:t>
      </w:r>
      <w:r>
        <w:rPr>
          <w:rFonts w:ascii="微軟正黑體" w:eastAsia="微軟正黑體" w:hAnsi="微軟正黑體" w:hint="eastAsia"/>
          <w:kern w:val="0"/>
        </w:rPr>
        <w:t>(</w:t>
      </w:r>
      <w:r w:rsidRPr="00E72D89">
        <w:rPr>
          <w:rFonts w:ascii="微軟正黑體" w:eastAsia="微軟正黑體" w:hAnsi="微軟正黑體" w:hint="eastAsia"/>
          <w:kern w:val="0"/>
        </w:rPr>
        <w:t>日本為40.2%、韓國為52.5%</w:t>
      </w:r>
      <w:r>
        <w:rPr>
          <w:rFonts w:ascii="微軟正黑體" w:eastAsia="微軟正黑體" w:hAnsi="微軟正黑體" w:hint="eastAsia"/>
          <w:kern w:val="0"/>
        </w:rPr>
        <w:t>)</w:t>
      </w:r>
      <w:r w:rsidRPr="00E72D89">
        <w:rPr>
          <w:rFonts w:ascii="微軟正黑體" w:eastAsia="微軟正黑體" w:hAnsi="微軟正黑體" w:hint="eastAsia"/>
          <w:kern w:val="0"/>
        </w:rPr>
        <w:t>(OECD 2019)，來自子女與配偶為28.4%(衛福部 2017)，隨著少子女</w:t>
      </w:r>
      <w:r w:rsidRPr="00466E65">
        <w:rPr>
          <w:rFonts w:ascii="微軟正黑體" w:eastAsia="微軟正黑體" w:hAnsi="微軟正黑體" w:hint="eastAsia"/>
          <w:kern w:val="0"/>
        </w:rPr>
        <w:t>化</w:t>
      </w:r>
      <w:r w:rsidRPr="00E72D89">
        <w:rPr>
          <w:rFonts w:ascii="微軟正黑體" w:eastAsia="微軟正黑體" w:hAnsi="微軟正黑體" w:hint="eastAsia"/>
          <w:kern w:val="0"/>
        </w:rPr>
        <w:t>與家戶單身化趨勢，加上我國政府賦稅收入還低於日本與韓國，未來政府可以因應超高齡社會的財政能力，面臨很大的挑戰。</w:t>
      </w:r>
    </w:p>
    <w:p w:rsidR="00F152C0" w:rsidRDefault="00F152C0" w:rsidP="00F152C0">
      <w:pPr>
        <w:spacing w:beforeLines="30" w:before="108" w:line="400" w:lineRule="exact"/>
        <w:jc w:val="both"/>
        <w:rPr>
          <w:rFonts w:ascii="微軟正黑體" w:eastAsia="微軟正黑體" w:hAnsi="微軟正黑體"/>
          <w:kern w:val="0"/>
        </w:rPr>
      </w:pPr>
      <w:r>
        <w:rPr>
          <w:rFonts w:ascii="微軟正黑體" w:eastAsia="微軟正黑體" w:hAnsi="微軟正黑體" w:hint="eastAsia"/>
          <w:kern w:val="0"/>
        </w:rPr>
        <w:t xml:space="preserve">    </w:t>
      </w:r>
      <w:r w:rsidRPr="00E72D89">
        <w:rPr>
          <w:rFonts w:ascii="微軟正黑體" w:eastAsia="微軟正黑體" w:hAnsi="微軟正黑體" w:hint="eastAsia"/>
          <w:kern w:val="0"/>
        </w:rPr>
        <w:t>同時，</w:t>
      </w:r>
      <w:r w:rsidRPr="00C92E36">
        <w:rPr>
          <w:rFonts w:ascii="微軟正黑體" w:eastAsia="微軟正黑體" w:hAnsi="微軟正黑體" w:hint="eastAsia"/>
          <w:kern w:val="0"/>
        </w:rPr>
        <w:t>我國部分工時占就業者比率</w:t>
      </w:r>
      <w:r>
        <w:rPr>
          <w:rFonts w:ascii="微軟正黑體" w:eastAsia="微軟正黑體" w:hAnsi="微軟正黑體" w:hint="eastAsia"/>
          <w:kern w:val="0"/>
        </w:rPr>
        <w:t>為</w:t>
      </w:r>
      <w:r w:rsidRPr="00C92E36">
        <w:rPr>
          <w:rFonts w:ascii="微軟正黑體" w:eastAsia="微軟正黑體" w:hAnsi="微軟正黑體" w:hint="eastAsia"/>
          <w:kern w:val="0"/>
        </w:rPr>
        <w:t>3.7%(勞動部</w:t>
      </w:r>
      <w:r>
        <w:rPr>
          <w:rFonts w:ascii="微軟正黑體" w:eastAsia="微軟正黑體" w:hAnsi="微軟正黑體" w:hint="eastAsia"/>
          <w:kern w:val="0"/>
        </w:rPr>
        <w:t xml:space="preserve"> 國際勞動統計2020</w:t>
      </w:r>
      <w:r w:rsidRPr="00C92E36">
        <w:rPr>
          <w:rFonts w:ascii="微軟正黑體" w:eastAsia="微軟正黑體" w:hAnsi="微軟正黑體" w:hint="eastAsia"/>
          <w:kern w:val="0"/>
        </w:rPr>
        <w:t>)，也在</w:t>
      </w:r>
      <w:r w:rsidRPr="00E72D89">
        <w:rPr>
          <w:rFonts w:ascii="微軟正黑體" w:eastAsia="微軟正黑體" w:hAnsi="微軟正黑體" w:hint="eastAsia"/>
          <w:kern w:val="0"/>
        </w:rPr>
        <w:t>OECD國家</w:t>
      </w:r>
      <w:r>
        <w:rPr>
          <w:rFonts w:ascii="微軟正黑體" w:eastAsia="微軟正黑體" w:hAnsi="微軟正黑體" w:hint="eastAsia"/>
          <w:kern w:val="0"/>
        </w:rPr>
        <w:t>名列後段</w:t>
      </w:r>
      <w:r w:rsidRPr="00E72D89">
        <w:rPr>
          <w:rFonts w:ascii="微軟正黑體" w:eastAsia="微軟正黑體" w:hAnsi="微軟正黑體" w:hint="eastAsia"/>
          <w:kern w:val="0"/>
        </w:rPr>
        <w:t>，低於OECD平均值16.7%(如圖2)。我國一方面未能適度支持勞動者從事部分工時，對於家庭照顧責任的公共</w:t>
      </w:r>
      <w:r>
        <w:rPr>
          <w:rFonts w:ascii="微軟正黑體" w:eastAsia="微軟正黑體" w:hAnsi="微軟正黑體" w:hint="eastAsia"/>
          <w:kern w:val="0"/>
        </w:rPr>
        <w:t>支持</w:t>
      </w:r>
      <w:r w:rsidRPr="00E72D89">
        <w:rPr>
          <w:rFonts w:ascii="微軟正黑體" w:eastAsia="微軟正黑體" w:hAnsi="微軟正黑體" w:hint="eastAsia"/>
          <w:kern w:val="0"/>
        </w:rPr>
        <w:t>亦不足，</w:t>
      </w:r>
      <w:r>
        <w:rPr>
          <w:rFonts w:ascii="微軟正黑體" w:eastAsia="微軟正黑體" w:hAnsi="微軟正黑體" w:hint="eastAsia"/>
          <w:kern w:val="0"/>
        </w:rPr>
        <w:t>是</w:t>
      </w:r>
      <w:r w:rsidRPr="00E72D89">
        <w:rPr>
          <w:rFonts w:ascii="微軟正黑體" w:eastAsia="微軟正黑體" w:hAnsi="微軟正黑體" w:hint="eastAsia"/>
          <w:kern w:val="0"/>
        </w:rPr>
        <w:t>導致我國 55</w:t>
      </w:r>
      <w:r>
        <w:rPr>
          <w:rFonts w:ascii="微軟正黑體" w:eastAsia="微軟正黑體" w:hAnsi="微軟正黑體" w:hint="eastAsia"/>
          <w:kern w:val="0"/>
        </w:rPr>
        <w:t>歲以上退出勞動市場或是無法就業的原因之一 (</w:t>
      </w:r>
      <w:r w:rsidRPr="00E72D89">
        <w:rPr>
          <w:rFonts w:ascii="微軟正黑體" w:eastAsia="微軟正黑體" w:hAnsi="微軟正黑體" w:hint="eastAsia"/>
          <w:kern w:val="0"/>
        </w:rPr>
        <w:t>衛福部 2017</w:t>
      </w:r>
      <w:r>
        <w:rPr>
          <w:rFonts w:ascii="微軟正黑體" w:eastAsia="微軟正黑體" w:hAnsi="微軟正黑體" w:hint="eastAsia"/>
          <w:kern w:val="0"/>
        </w:rPr>
        <w:t>)</w:t>
      </w:r>
      <w:r w:rsidRPr="00E72D89">
        <w:rPr>
          <w:rFonts w:ascii="微軟正黑體" w:eastAsia="微軟正黑體" w:hAnsi="微軟正黑體" w:hint="eastAsia"/>
          <w:kern w:val="0"/>
        </w:rPr>
        <w:t>；同時退休後如想從事部分工時工作機會，也因為政府對雇主的健保與勞保負擔設計相對不</w:t>
      </w:r>
      <w:r>
        <w:rPr>
          <w:rFonts w:ascii="微軟正黑體" w:eastAsia="微軟正黑體" w:hAnsi="微軟正黑體" w:hint="eastAsia"/>
          <w:kern w:val="0"/>
        </w:rPr>
        <w:t>夠</w:t>
      </w:r>
      <w:r w:rsidRPr="00E72D89">
        <w:rPr>
          <w:rFonts w:ascii="微軟正黑體" w:eastAsia="微軟正黑體" w:hAnsi="微軟正黑體" w:hint="eastAsia"/>
          <w:kern w:val="0"/>
        </w:rPr>
        <w:t>友善，機會相對不多。</w:t>
      </w:r>
      <w:r w:rsidRPr="00C92E36">
        <w:rPr>
          <w:rFonts w:ascii="微軟正黑體" w:eastAsia="微軟正黑體" w:hAnsi="微軟正黑體" w:hint="eastAsia"/>
          <w:kern w:val="0"/>
        </w:rPr>
        <w:t>台灣女性二度就業不易，使得我國女性就業率沒有如韓國M型翻轉，及日本近年由於安倍前首相所推動之改革已朝向如歐美國家相對鐘型的分配。以2020年為例，55-59歲女性就業率更直接下滑至43.7% (50-54歲時仍有62.7%)，同年齡的韓國女性為60.6%、日本為72.8% (勞動部 國際勞動統計2020)。</w:t>
      </w:r>
    </w:p>
    <w:p w:rsidR="00F152C0" w:rsidRDefault="00F152C0" w:rsidP="00F152C0">
      <w:pPr>
        <w:spacing w:beforeLines="30" w:before="108" w:line="400" w:lineRule="exact"/>
        <w:jc w:val="both"/>
        <w:rPr>
          <w:rFonts w:ascii="微軟正黑體" w:eastAsia="微軟正黑體" w:hAnsi="微軟正黑體"/>
          <w:kern w:val="0"/>
        </w:rPr>
      </w:pPr>
    </w:p>
    <w:p w:rsidR="00F152C0" w:rsidRDefault="00F152C0" w:rsidP="00F152C0">
      <w:pPr>
        <w:spacing w:line="400" w:lineRule="exact"/>
        <w:jc w:val="both"/>
        <w:rPr>
          <w:rFonts w:ascii="微軟正黑體" w:eastAsia="微軟正黑體" w:hAnsi="微軟正黑體"/>
          <w:kern w:val="0"/>
        </w:rPr>
      </w:pPr>
      <w:r w:rsidRPr="00D90E6E">
        <w:rPr>
          <w:noProof/>
        </w:rPr>
        <w:lastRenderedPageBreak/>
        <w:drawing>
          <wp:anchor distT="0" distB="0" distL="114300" distR="114300" simplePos="0" relativeHeight="252493824" behindDoc="0" locked="0" layoutInCell="1" allowOverlap="1" wp14:anchorId="384E8C07" wp14:editId="385EC408">
            <wp:simplePos x="0" y="0"/>
            <wp:positionH relativeFrom="column">
              <wp:posOffset>-1270</wp:posOffset>
            </wp:positionH>
            <wp:positionV relativeFrom="paragraph">
              <wp:posOffset>3810</wp:posOffset>
            </wp:positionV>
            <wp:extent cx="5745480" cy="2926080"/>
            <wp:effectExtent l="0" t="0" r="26670" b="26670"/>
            <wp:wrapNone/>
            <wp:docPr id="21534" name="圖表 215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A3065B-0F7A-44CE-8468-369BC541B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p>
    <w:p w:rsidR="00F152C0" w:rsidRDefault="00F152C0" w:rsidP="00F152C0">
      <w:pPr>
        <w:spacing w:before="100" w:beforeAutospacing="1" w:after="100" w:afterAutospacing="1" w:line="360" w:lineRule="auto"/>
        <w:contextualSpacing/>
        <w:jc w:val="both"/>
      </w:pPr>
    </w:p>
    <w:p w:rsidR="00F152C0" w:rsidRDefault="00F152C0" w:rsidP="00F152C0">
      <w:pPr>
        <w:spacing w:before="100" w:beforeAutospacing="1" w:after="100" w:afterAutospacing="1" w:line="360" w:lineRule="auto"/>
        <w:contextualSpacing/>
        <w:jc w:val="both"/>
      </w:pPr>
    </w:p>
    <w:p w:rsidR="00F152C0" w:rsidRDefault="00F152C0" w:rsidP="00F152C0">
      <w:pPr>
        <w:spacing w:before="100" w:beforeAutospacing="1" w:after="100" w:afterAutospacing="1" w:line="360" w:lineRule="auto"/>
        <w:contextualSpacing/>
        <w:jc w:val="both"/>
      </w:pPr>
    </w:p>
    <w:p w:rsidR="00F152C0" w:rsidRDefault="00F152C0" w:rsidP="00F152C0">
      <w:pPr>
        <w:spacing w:before="100" w:beforeAutospacing="1" w:after="100" w:afterAutospacing="1" w:line="360" w:lineRule="auto"/>
        <w:contextualSpacing/>
        <w:jc w:val="both"/>
      </w:pPr>
    </w:p>
    <w:p w:rsidR="00F152C0" w:rsidRDefault="00F152C0" w:rsidP="00F152C0">
      <w:pPr>
        <w:spacing w:before="100" w:beforeAutospacing="1" w:after="100" w:afterAutospacing="1" w:line="360" w:lineRule="auto"/>
        <w:contextualSpacing/>
        <w:jc w:val="both"/>
      </w:pPr>
    </w:p>
    <w:p w:rsidR="00F152C0" w:rsidRDefault="00F152C0" w:rsidP="00F152C0">
      <w:pPr>
        <w:spacing w:before="100" w:beforeAutospacing="1" w:after="100" w:afterAutospacing="1" w:line="360" w:lineRule="auto"/>
        <w:contextualSpacing/>
        <w:jc w:val="both"/>
      </w:pPr>
    </w:p>
    <w:p w:rsidR="00F152C0" w:rsidRDefault="00F152C0" w:rsidP="00F152C0">
      <w:pPr>
        <w:spacing w:before="100" w:beforeAutospacing="1" w:after="100" w:afterAutospacing="1" w:line="360" w:lineRule="auto"/>
        <w:contextualSpacing/>
        <w:jc w:val="both"/>
      </w:pPr>
    </w:p>
    <w:p w:rsidR="00F152C0" w:rsidRDefault="00F152C0" w:rsidP="00F152C0">
      <w:pPr>
        <w:spacing w:before="100" w:beforeAutospacing="1" w:after="100" w:afterAutospacing="1" w:line="360" w:lineRule="auto"/>
        <w:contextualSpacing/>
        <w:jc w:val="both"/>
      </w:pPr>
    </w:p>
    <w:p w:rsidR="00F152C0" w:rsidRPr="00E72D89"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E72D89">
        <w:rPr>
          <w:rFonts w:ascii="微軟正黑體" w:eastAsia="微軟正黑體" w:hAnsi="微軟正黑體" w:hint="eastAsia"/>
          <w:sz w:val="20"/>
          <w:szCs w:val="20"/>
        </w:rPr>
        <w:t>說明：德國、澳大利亞為2019</w:t>
      </w:r>
      <w:r>
        <w:rPr>
          <w:rFonts w:ascii="微軟正黑體" w:eastAsia="微軟正黑體" w:hAnsi="微軟正黑體" w:hint="eastAsia"/>
          <w:sz w:val="20"/>
          <w:szCs w:val="20"/>
        </w:rPr>
        <w:t>年</w:t>
      </w:r>
      <w:r w:rsidRPr="00E72D89">
        <w:rPr>
          <w:rFonts w:ascii="微軟正黑體" w:eastAsia="微軟正黑體" w:hAnsi="微軟正黑體" w:hint="eastAsia"/>
          <w:sz w:val="20"/>
          <w:szCs w:val="20"/>
        </w:rPr>
        <w:t>資料、印尼為2017</w:t>
      </w:r>
      <w:r>
        <w:rPr>
          <w:rFonts w:ascii="微軟正黑體" w:eastAsia="微軟正黑體" w:hAnsi="微軟正黑體" w:hint="eastAsia"/>
          <w:sz w:val="20"/>
          <w:szCs w:val="20"/>
        </w:rPr>
        <w:t>年</w:t>
      </w:r>
      <w:r w:rsidRPr="00E72D89">
        <w:rPr>
          <w:rFonts w:ascii="微軟正黑體" w:eastAsia="微軟正黑體" w:hAnsi="微軟正黑體" w:hint="eastAsia"/>
          <w:sz w:val="20"/>
          <w:szCs w:val="20"/>
        </w:rPr>
        <w:t>資料。</w:t>
      </w:r>
    </w:p>
    <w:p w:rsidR="00F152C0" w:rsidRPr="00E72D89"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E72D89">
        <w:rPr>
          <w:rFonts w:ascii="微軟正黑體" w:eastAsia="微軟正黑體" w:hAnsi="微軟正黑體" w:hint="eastAsia"/>
          <w:sz w:val="20"/>
          <w:szCs w:val="20"/>
        </w:rPr>
        <w:t>資料來源：</w:t>
      </w:r>
      <w:r>
        <w:rPr>
          <w:rFonts w:ascii="微軟正黑體" w:eastAsia="微軟正黑體" w:hAnsi="微軟正黑體" w:hint="eastAsia"/>
          <w:sz w:val="20"/>
          <w:szCs w:val="20"/>
        </w:rPr>
        <w:t>OECD</w:t>
      </w:r>
      <w:r w:rsidRPr="00E72D89">
        <w:rPr>
          <w:rFonts w:ascii="微軟正黑體" w:eastAsia="微軟正黑體" w:hAnsi="微軟正黑體" w:hint="eastAsia"/>
          <w:sz w:val="20"/>
          <w:szCs w:val="20"/>
        </w:rPr>
        <w:t>(2021), Part-time employment rate (indicator). doi: 10.1787/f2ad596c-en (Accessed on 06 October 2021)</w:t>
      </w:r>
      <w:r>
        <w:rPr>
          <w:rFonts w:ascii="微軟正黑體" w:eastAsia="微軟正黑體" w:hAnsi="微軟正黑體"/>
          <w:sz w:val="20"/>
          <w:szCs w:val="20"/>
        </w:rPr>
        <w:t xml:space="preserve"> /</w:t>
      </w:r>
      <w:r w:rsidRPr="00E72D89">
        <w:rPr>
          <w:rFonts w:ascii="微軟正黑體" w:eastAsia="微軟正黑體" w:hAnsi="微軟正黑體" w:hint="eastAsia"/>
          <w:sz w:val="20"/>
          <w:szCs w:val="20"/>
        </w:rPr>
        <w:t>台灣：行政院主計總處-人力運用調查。</w:t>
      </w:r>
    </w:p>
    <w:p w:rsidR="00F152C0" w:rsidRPr="00E72D89" w:rsidRDefault="00F152C0" w:rsidP="00F152C0">
      <w:pPr>
        <w:pStyle w:val="af8"/>
        <w:spacing w:beforeLines="50" w:before="180" w:line="400" w:lineRule="exact"/>
        <w:contextualSpacing/>
        <w:jc w:val="center"/>
        <w:rPr>
          <w:rFonts w:ascii="微軟正黑體" w:eastAsia="微軟正黑體" w:hAnsi="微軟正黑體"/>
          <w:sz w:val="24"/>
          <w:szCs w:val="24"/>
        </w:rPr>
      </w:pPr>
      <w:r w:rsidRPr="00E72D89">
        <w:rPr>
          <w:rFonts w:ascii="微軟正黑體" w:eastAsia="微軟正黑體" w:hAnsi="微軟正黑體" w:hint="eastAsia"/>
          <w:sz w:val="24"/>
          <w:szCs w:val="24"/>
        </w:rPr>
        <w:t>圖</w:t>
      </w:r>
      <w:r w:rsidRPr="00E72D89">
        <w:rPr>
          <w:rFonts w:ascii="微軟正黑體" w:eastAsia="微軟正黑體" w:hAnsi="微軟正黑體"/>
          <w:sz w:val="24"/>
          <w:szCs w:val="24"/>
        </w:rPr>
        <w:fldChar w:fldCharType="begin"/>
      </w:r>
      <w:r w:rsidRPr="00E72D89">
        <w:rPr>
          <w:rFonts w:ascii="微軟正黑體" w:eastAsia="微軟正黑體" w:hAnsi="微軟正黑體"/>
          <w:sz w:val="24"/>
          <w:szCs w:val="24"/>
        </w:rPr>
        <w:instrText xml:space="preserve"> </w:instrText>
      </w:r>
      <w:r w:rsidRPr="00E72D89">
        <w:rPr>
          <w:rFonts w:ascii="微軟正黑體" w:eastAsia="微軟正黑體" w:hAnsi="微軟正黑體" w:hint="eastAsia"/>
          <w:sz w:val="24"/>
          <w:szCs w:val="24"/>
        </w:rPr>
        <w:instrText>SEQ 圖 \* ARABIC</w:instrText>
      </w:r>
      <w:r w:rsidRPr="00E72D89">
        <w:rPr>
          <w:rFonts w:ascii="微軟正黑體" w:eastAsia="微軟正黑體" w:hAnsi="微軟正黑體"/>
          <w:sz w:val="24"/>
          <w:szCs w:val="24"/>
        </w:rPr>
        <w:instrText xml:space="preserve"> </w:instrText>
      </w:r>
      <w:r w:rsidRPr="00E72D89">
        <w:rPr>
          <w:rFonts w:ascii="微軟正黑體" w:eastAsia="微軟正黑體" w:hAnsi="微軟正黑體"/>
          <w:sz w:val="24"/>
          <w:szCs w:val="24"/>
        </w:rPr>
        <w:fldChar w:fldCharType="separate"/>
      </w:r>
      <w:r w:rsidR="00AC324C">
        <w:rPr>
          <w:rFonts w:ascii="微軟正黑體" w:eastAsia="微軟正黑體" w:hAnsi="微軟正黑體"/>
          <w:noProof/>
          <w:sz w:val="24"/>
          <w:szCs w:val="24"/>
        </w:rPr>
        <w:t>2</w:t>
      </w:r>
      <w:r w:rsidRPr="00E72D89">
        <w:rPr>
          <w:rFonts w:ascii="微軟正黑體" w:eastAsia="微軟正黑體" w:hAnsi="微軟正黑體"/>
          <w:sz w:val="24"/>
          <w:szCs w:val="24"/>
        </w:rPr>
        <w:fldChar w:fldCharType="end"/>
      </w:r>
      <w:r w:rsidRPr="00E72D89">
        <w:rPr>
          <w:rFonts w:ascii="微軟正黑體" w:eastAsia="微軟正黑體" w:hAnsi="微軟正黑體" w:hint="eastAsia"/>
          <w:sz w:val="24"/>
          <w:szCs w:val="24"/>
        </w:rPr>
        <w:t xml:space="preserve">　台灣與OECD國家部分工時就業率之比較</w:t>
      </w:r>
    </w:p>
    <w:p w:rsidR="00F152C0" w:rsidRDefault="00F152C0" w:rsidP="00F152C0">
      <w:pPr>
        <w:spacing w:line="400" w:lineRule="exact"/>
        <w:jc w:val="both"/>
        <w:rPr>
          <w:rFonts w:ascii="微軟正黑體" w:eastAsia="微軟正黑體" w:hAnsi="微軟正黑體"/>
          <w:kern w:val="0"/>
        </w:rPr>
      </w:pPr>
    </w:p>
    <w:p w:rsidR="00F152C0" w:rsidRPr="00E72D89" w:rsidRDefault="00F152C0" w:rsidP="00F152C0">
      <w:pPr>
        <w:spacing w:line="400" w:lineRule="exact"/>
        <w:jc w:val="both"/>
        <w:rPr>
          <w:rFonts w:ascii="微軟正黑體" w:eastAsia="微軟正黑體" w:hAnsi="微軟正黑體"/>
          <w:kern w:val="0"/>
        </w:rPr>
      </w:pPr>
      <w:r>
        <w:rPr>
          <w:rFonts w:ascii="微軟正黑體" w:eastAsia="微軟正黑體" w:hAnsi="微軟正黑體" w:hint="eastAsia"/>
          <w:kern w:val="0"/>
        </w:rPr>
        <w:t xml:space="preserve">    </w:t>
      </w:r>
      <w:r w:rsidRPr="00E72D89">
        <w:rPr>
          <w:rFonts w:ascii="微軟正黑體" w:eastAsia="微軟正黑體" w:hAnsi="微軟正黑體" w:hint="eastAsia"/>
          <w:kern w:val="0"/>
        </w:rPr>
        <w:t>從1980-2020年間，我們可發現我國的</w:t>
      </w:r>
      <w:r w:rsidRPr="00466E65">
        <w:rPr>
          <w:rFonts w:ascii="微軟正黑體" w:eastAsia="微軟正黑體" w:hAnsi="微軟正黑體" w:hint="eastAsia"/>
          <w:kern w:val="0"/>
        </w:rPr>
        <w:t>中高齡者就業</w:t>
      </w:r>
      <w:r w:rsidRPr="00E72D89">
        <w:rPr>
          <w:rFonts w:ascii="微軟正黑體" w:eastAsia="微軟正黑體" w:hAnsi="微軟正黑體" w:hint="eastAsia"/>
          <w:kern w:val="0"/>
        </w:rPr>
        <w:t>，長期以來都僅有45-49歲與50-54歲此兩個年齡層，是高於平均整體。甚至我國在1992年因應1989年外籍勞工引進與本國就業促進，制定通過「就業服務法」，並在第24條中，將中高齡者與獨立負擔家計者等視為「特定對象」，並規定國家應制定相關就業促進計畫，因而在199</w:t>
      </w:r>
      <w:r>
        <w:rPr>
          <w:rFonts w:ascii="微軟正黑體" w:eastAsia="微軟正黑體" w:hAnsi="微軟正黑體" w:hint="eastAsia"/>
          <w:kern w:val="0"/>
        </w:rPr>
        <w:t>9</w:t>
      </w:r>
      <w:r w:rsidRPr="00E72D89">
        <w:rPr>
          <w:rFonts w:ascii="微軟正黑體" w:eastAsia="微軟正黑體" w:hAnsi="微軟正黑體" w:hint="eastAsia"/>
          <w:kern w:val="0"/>
        </w:rPr>
        <w:t>年</w:t>
      </w:r>
      <w:r>
        <w:rPr>
          <w:rFonts w:ascii="微軟正黑體" w:eastAsia="微軟正黑體" w:hAnsi="微軟正黑體" w:hint="eastAsia"/>
          <w:kern w:val="0"/>
        </w:rPr>
        <w:t>所推動的</w:t>
      </w:r>
      <w:r w:rsidRPr="00E72D89">
        <w:rPr>
          <w:rFonts w:ascii="微軟正黑體" w:eastAsia="微軟正黑體" w:hAnsi="微軟正黑體" w:hint="eastAsia"/>
          <w:kern w:val="0"/>
        </w:rPr>
        <w:t>「中高齡就業促進措施」至今，我們可發現，主要的變化也落在45-49歲</w:t>
      </w:r>
      <w:r w:rsidRPr="00466E65">
        <w:rPr>
          <w:rFonts w:ascii="微軟正黑體" w:eastAsia="微軟正黑體" w:hAnsi="微軟正黑體" w:hint="eastAsia"/>
          <w:kern w:val="0"/>
        </w:rPr>
        <w:t>就業率</w:t>
      </w:r>
      <w:r w:rsidRPr="00E72D89">
        <w:rPr>
          <w:rFonts w:ascii="微軟正黑體" w:eastAsia="微軟正黑體" w:hAnsi="微軟正黑體" w:hint="eastAsia"/>
          <w:kern w:val="0"/>
        </w:rPr>
        <w:t>從</w:t>
      </w:r>
      <w:r>
        <w:rPr>
          <w:rFonts w:ascii="微軟正黑體" w:eastAsia="微軟正黑體" w:hAnsi="微軟正黑體" w:hint="eastAsia"/>
          <w:kern w:val="0"/>
        </w:rPr>
        <w:t>69.4%</w:t>
      </w:r>
      <w:r w:rsidRPr="00E72D89">
        <w:rPr>
          <w:rFonts w:ascii="微軟正黑體" w:eastAsia="微軟正黑體" w:hAnsi="微軟正黑體" w:hint="eastAsia"/>
          <w:kern w:val="0"/>
        </w:rPr>
        <w:t>上升到82.1%，50-54歲就業率從65.7%上升到73.4%</w:t>
      </w:r>
      <w:r w:rsidRPr="00466E65">
        <w:rPr>
          <w:rFonts w:ascii="微軟正黑體" w:eastAsia="微軟正黑體" w:hAnsi="微軟正黑體" w:hint="eastAsia"/>
          <w:kern w:val="0"/>
        </w:rPr>
        <w:t>(如圖3)。</w:t>
      </w:r>
    </w:p>
    <w:p w:rsidR="00681820" w:rsidRDefault="00F152C0" w:rsidP="00F152C0">
      <w:pPr>
        <w:spacing w:beforeLines="30" w:before="108" w:afterLines="50" w:after="180" w:line="400" w:lineRule="exact"/>
        <w:rPr>
          <w:rFonts w:ascii="微軟正黑體" w:eastAsia="微軟正黑體" w:hAnsi="微軟正黑體"/>
          <w:kern w:val="0"/>
        </w:rPr>
      </w:pPr>
      <w:r>
        <w:rPr>
          <w:rFonts w:ascii="微軟正黑體" w:eastAsia="微軟正黑體" w:hAnsi="微軟正黑體" w:hint="eastAsia"/>
          <w:kern w:val="0"/>
        </w:rPr>
        <w:t xml:space="preserve">    另外</w:t>
      </w:r>
      <w:r w:rsidRPr="00E72D89">
        <w:rPr>
          <w:rFonts w:ascii="微軟正黑體" w:eastAsia="微軟正黑體" w:hAnsi="微軟正黑體" w:hint="eastAsia"/>
          <w:kern w:val="0"/>
        </w:rPr>
        <w:t>值得注意的是，從1980-2020年間，55-59歲就業率、60-64歲就業率與65歲</w:t>
      </w:r>
      <w:r w:rsidRPr="00466E65">
        <w:rPr>
          <w:rFonts w:ascii="微軟正黑體" w:eastAsia="微軟正黑體" w:hAnsi="微軟正黑體" w:hint="eastAsia"/>
          <w:kern w:val="0"/>
        </w:rPr>
        <w:t>以上</w:t>
      </w:r>
      <w:r w:rsidRPr="00E72D89">
        <w:rPr>
          <w:rFonts w:ascii="微軟正黑體" w:eastAsia="微軟正黑體" w:hAnsi="微軟正黑體" w:hint="eastAsia"/>
          <w:kern w:val="0"/>
        </w:rPr>
        <w:t>就業率，都是低於整體平均值。對於55-59歲就業率的變化，我們甚至可發現1990-2010年呈現下降趨勢，此與當時產業外移，中高齡勞工被資遣裁員等因素可能有關。2000-2010</w:t>
      </w:r>
      <w:r>
        <w:rPr>
          <w:rFonts w:ascii="微軟正黑體" w:eastAsia="微軟正黑體" w:hAnsi="微軟正黑體" w:hint="eastAsia"/>
          <w:kern w:val="0"/>
        </w:rPr>
        <w:t>年</w:t>
      </w:r>
      <w:r w:rsidRPr="00E72D89">
        <w:rPr>
          <w:rFonts w:ascii="微軟正黑體" w:eastAsia="微軟正黑體" w:hAnsi="微軟正黑體" w:hint="eastAsia"/>
          <w:kern w:val="0"/>
        </w:rPr>
        <w:t>幾乎沒有改變，但是從</w:t>
      </w:r>
      <w:r>
        <w:rPr>
          <w:rFonts w:ascii="微軟正黑體" w:eastAsia="微軟正黑體" w:hAnsi="微軟正黑體" w:hint="eastAsia"/>
          <w:kern w:val="0"/>
        </w:rPr>
        <w:t>2010</w:t>
      </w:r>
      <w:r w:rsidRPr="00E72D89">
        <w:rPr>
          <w:rFonts w:ascii="微軟正黑體" w:eastAsia="微軟正黑體" w:hAnsi="微軟正黑體" w:hint="eastAsia"/>
          <w:kern w:val="0"/>
        </w:rPr>
        <w:t>年的49.1%</w:t>
      </w:r>
      <w:r w:rsidRPr="00466E65">
        <w:rPr>
          <w:rFonts w:ascii="微軟正黑體" w:eastAsia="微軟正黑體" w:hAnsi="微軟正黑體" w:hint="eastAsia"/>
          <w:kern w:val="0"/>
        </w:rPr>
        <w:t>上升</w:t>
      </w:r>
      <w:r w:rsidRPr="00E72D89">
        <w:rPr>
          <w:rFonts w:ascii="微軟正黑體" w:eastAsia="微軟正黑體" w:hAnsi="微軟正黑體" w:hint="eastAsia"/>
          <w:kern w:val="0"/>
        </w:rPr>
        <w:t>到2020年的56.3%。對於60-64歲就業率的變化，亦是在1990-2000年間，從40.8%下降到35.4%，並在2000-2010年間持續下降到31.7%，在2010-2020年才開始呈現翻轉趨勢，從31.7%上升到36.8%。而對於65歲以上就業率，亦是從1990年起呈現下降趨勢到2000年，目前有微幅的增加趨勢，但比率不到1%。</w:t>
      </w:r>
      <w:r w:rsidRPr="007F40A6">
        <w:rPr>
          <w:rFonts w:ascii="微軟正黑體" w:eastAsia="微軟正黑體" w:hAnsi="微軟正黑體" w:hint="eastAsia"/>
          <w:kern w:val="0"/>
        </w:rPr>
        <w:t>此成長可能與2005年起正式施行勞退新制提撥、2008年強制退休年齡從60歲延到65歲，</w:t>
      </w:r>
      <w:r w:rsidRPr="00466E65">
        <w:rPr>
          <w:rFonts w:ascii="微軟正黑體" w:eastAsia="微軟正黑體" w:hAnsi="微軟正黑體" w:hint="eastAsia"/>
          <w:kern w:val="0"/>
        </w:rPr>
        <w:t>及就業保險法在2009年從60歲延後至65歲、2007年修正就業服務法第5條納入禁止年齡歧視，與2009年實施勞保老年給付年金化，並從2018年起開始延後全額年金領取，每兩年延後一歲，2018年為61歲、2020年為62歲、2022年為63歲，2024年為64歲，2026年須年滿65歲始能請領勞保年金等制度調整有關。</w:t>
      </w:r>
    </w:p>
    <w:p w:rsidR="00F152C0" w:rsidRPr="00466E65" w:rsidRDefault="00F152C0" w:rsidP="00F152C0">
      <w:pPr>
        <w:spacing w:beforeLines="30" w:before="108" w:line="400" w:lineRule="exact"/>
        <w:jc w:val="both"/>
        <w:rPr>
          <w:rFonts w:ascii="微軟正黑體" w:eastAsia="微軟正黑體" w:hAnsi="微軟正黑體"/>
        </w:rPr>
      </w:pPr>
      <w:r w:rsidRPr="008B7A12">
        <w:rPr>
          <w:noProof/>
        </w:rPr>
        <w:lastRenderedPageBreak/>
        <w:drawing>
          <wp:anchor distT="0" distB="0" distL="114300" distR="114300" simplePos="0" relativeHeight="252496896" behindDoc="0" locked="0" layoutInCell="1" allowOverlap="1" wp14:anchorId="2693386E" wp14:editId="78E89F69">
            <wp:simplePos x="0" y="0"/>
            <wp:positionH relativeFrom="column">
              <wp:posOffset>-1933</wp:posOffset>
            </wp:positionH>
            <wp:positionV relativeFrom="paragraph">
              <wp:posOffset>107286</wp:posOffset>
            </wp:positionV>
            <wp:extent cx="5732891" cy="3260035"/>
            <wp:effectExtent l="0" t="0" r="20320" b="17145"/>
            <wp:wrapNone/>
            <wp:docPr id="21535" name="圖表 215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E17EA8-C5CB-428A-A1D1-12758B30F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14:sizeRelH relativeFrom="page">
              <wp14:pctWidth>0</wp14:pctWidth>
            </wp14:sizeRelH>
            <wp14:sizeRelV relativeFrom="page">
              <wp14:pctHeight>0</wp14:pctHeight>
            </wp14:sizeRelV>
          </wp:anchor>
        </w:drawing>
      </w:r>
    </w:p>
    <w:p w:rsidR="00F152C0" w:rsidRDefault="00F152C0" w:rsidP="00F152C0">
      <w:pPr>
        <w:spacing w:line="400" w:lineRule="exact"/>
        <w:contextualSpacing/>
        <w:rPr>
          <w:rFonts w:ascii="微軟正黑體" w:eastAsia="微軟正黑體" w:hAnsi="微軟正黑體"/>
        </w:rPr>
      </w:pPr>
    </w:p>
    <w:p w:rsidR="00F152C0" w:rsidRDefault="00F152C0" w:rsidP="00F152C0">
      <w:pPr>
        <w:snapToGrid w:val="0"/>
        <w:spacing w:line="360" w:lineRule="auto"/>
        <w:contextualSpacing/>
      </w:pPr>
    </w:p>
    <w:p w:rsidR="00F152C0" w:rsidRDefault="00F152C0" w:rsidP="00F152C0">
      <w:pPr>
        <w:snapToGrid w:val="0"/>
        <w:spacing w:line="360" w:lineRule="auto"/>
        <w:contextualSpacing/>
      </w:pPr>
    </w:p>
    <w:p w:rsidR="00F152C0" w:rsidRDefault="00F152C0" w:rsidP="00F152C0">
      <w:pPr>
        <w:snapToGrid w:val="0"/>
        <w:spacing w:line="360" w:lineRule="auto"/>
        <w:contextualSpacing/>
      </w:pPr>
    </w:p>
    <w:p w:rsidR="00F152C0" w:rsidRDefault="00F152C0" w:rsidP="00F152C0">
      <w:pPr>
        <w:snapToGrid w:val="0"/>
        <w:spacing w:line="360" w:lineRule="auto"/>
        <w:contextualSpacing/>
      </w:pPr>
    </w:p>
    <w:p w:rsidR="00F152C0" w:rsidRDefault="00F152C0" w:rsidP="00F152C0">
      <w:pPr>
        <w:snapToGrid w:val="0"/>
        <w:spacing w:line="360" w:lineRule="auto"/>
        <w:contextualSpacing/>
      </w:pPr>
    </w:p>
    <w:p w:rsidR="00F152C0" w:rsidRDefault="00F152C0" w:rsidP="00F152C0">
      <w:pPr>
        <w:snapToGrid w:val="0"/>
        <w:spacing w:line="360" w:lineRule="auto"/>
        <w:contextualSpacing/>
      </w:pPr>
    </w:p>
    <w:p w:rsidR="00F152C0" w:rsidRDefault="00F152C0" w:rsidP="00F152C0">
      <w:pPr>
        <w:snapToGrid w:val="0"/>
        <w:spacing w:line="360" w:lineRule="auto"/>
        <w:contextualSpacing/>
      </w:pPr>
    </w:p>
    <w:p w:rsidR="00F152C0" w:rsidRDefault="00F152C0" w:rsidP="00F152C0">
      <w:pPr>
        <w:snapToGrid w:val="0"/>
        <w:spacing w:line="360" w:lineRule="auto"/>
        <w:contextualSpacing/>
      </w:pPr>
    </w:p>
    <w:p w:rsidR="00F152C0" w:rsidRDefault="00F152C0" w:rsidP="00F152C0">
      <w:pPr>
        <w:snapToGrid w:val="0"/>
        <w:spacing w:line="360" w:lineRule="auto"/>
        <w:contextualSpacing/>
      </w:pPr>
    </w:p>
    <w:p w:rsidR="00F152C0" w:rsidRDefault="00F152C0" w:rsidP="00F152C0">
      <w:pPr>
        <w:snapToGrid w:val="0"/>
        <w:spacing w:line="360" w:lineRule="auto"/>
        <w:contextualSpacing/>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E72D89">
        <w:rPr>
          <w:rFonts w:ascii="微軟正黑體" w:eastAsia="微軟正黑體" w:hAnsi="微軟正黑體" w:hint="eastAsia"/>
          <w:sz w:val="20"/>
          <w:szCs w:val="20"/>
        </w:rPr>
        <w:t>資料來源：中華民國統計資料網</w:t>
      </w:r>
    </w:p>
    <w:p w:rsidR="00F152C0" w:rsidRPr="00E72D89" w:rsidRDefault="00F152C0" w:rsidP="00F152C0">
      <w:pPr>
        <w:spacing w:line="240" w:lineRule="exact"/>
        <w:ind w:leftChars="55" w:left="1032" w:hangingChars="450" w:hanging="900"/>
        <w:contextualSpacing/>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E72D89">
        <w:rPr>
          <w:rFonts w:ascii="微軟正黑體" w:eastAsia="微軟正黑體" w:hAnsi="微軟正黑體" w:hint="eastAsia"/>
          <w:sz w:val="20"/>
          <w:szCs w:val="20"/>
        </w:rPr>
        <w:t>https://www.stat.gov.tw/public/data/dgbas04/bc4/month/sex/1.xls  勞動部勞動統計查詢網(2021.10.11)。</w:t>
      </w:r>
    </w:p>
    <w:p w:rsidR="00F152C0" w:rsidRPr="00E72D89" w:rsidRDefault="00F152C0" w:rsidP="00F152C0">
      <w:pPr>
        <w:pStyle w:val="af8"/>
        <w:spacing w:beforeLines="50" w:before="180" w:line="400" w:lineRule="exact"/>
        <w:contextualSpacing/>
        <w:jc w:val="center"/>
        <w:rPr>
          <w:rFonts w:ascii="微軟正黑體" w:eastAsia="微軟正黑體" w:hAnsi="微軟正黑體"/>
          <w:sz w:val="24"/>
          <w:szCs w:val="24"/>
        </w:rPr>
      </w:pPr>
      <w:r w:rsidRPr="00E72D89">
        <w:rPr>
          <w:rFonts w:ascii="微軟正黑體" w:eastAsia="微軟正黑體" w:hAnsi="微軟正黑體" w:hint="eastAsia"/>
          <w:sz w:val="24"/>
          <w:szCs w:val="24"/>
        </w:rPr>
        <w:t>圖3</w:t>
      </w:r>
      <w:r>
        <w:rPr>
          <w:rFonts w:ascii="微軟正黑體" w:eastAsia="微軟正黑體" w:hAnsi="微軟正黑體" w:hint="eastAsia"/>
          <w:sz w:val="24"/>
          <w:szCs w:val="24"/>
        </w:rPr>
        <w:t xml:space="preserve">  </w:t>
      </w:r>
      <w:r w:rsidRPr="00E72D89">
        <w:rPr>
          <w:rFonts w:ascii="微軟正黑體" w:eastAsia="微軟正黑體" w:hAnsi="微軟正黑體" w:hint="eastAsia"/>
          <w:sz w:val="24"/>
          <w:szCs w:val="24"/>
        </w:rPr>
        <w:t>我國1980-2020年中高齡者及高齡者就業率-按</w:t>
      </w:r>
      <w:r>
        <w:rPr>
          <w:rFonts w:ascii="微軟正黑體" w:eastAsia="微軟正黑體" w:hAnsi="微軟正黑體" w:hint="eastAsia"/>
          <w:sz w:val="24"/>
          <w:szCs w:val="24"/>
        </w:rPr>
        <w:t>五</w:t>
      </w:r>
      <w:r w:rsidRPr="00E72D89">
        <w:rPr>
          <w:rFonts w:ascii="微軟正黑體" w:eastAsia="微軟正黑體" w:hAnsi="微軟正黑體" w:hint="eastAsia"/>
          <w:sz w:val="24"/>
          <w:szCs w:val="24"/>
        </w:rPr>
        <w:t>歲年齡分</w:t>
      </w:r>
    </w:p>
    <w:p w:rsidR="00F152C0" w:rsidRDefault="00F152C0" w:rsidP="00F152C0">
      <w:pPr>
        <w:spacing w:line="400" w:lineRule="exact"/>
        <w:contextualSpacing/>
        <w:rPr>
          <w:rFonts w:ascii="微軟正黑體" w:eastAsia="微軟正黑體" w:hAnsi="微軟正黑體"/>
        </w:rPr>
      </w:pPr>
      <w:r>
        <w:rPr>
          <w:rFonts w:ascii="微軟正黑體" w:eastAsia="微軟正黑體" w:hAnsi="微軟正黑體" w:hint="eastAsia"/>
        </w:rPr>
        <w:t xml:space="preserve">    </w:t>
      </w:r>
    </w:p>
    <w:p w:rsidR="00F152C0" w:rsidRDefault="00F152C0" w:rsidP="00F152C0">
      <w:pPr>
        <w:spacing w:line="400" w:lineRule="exact"/>
        <w:contextualSpacing/>
        <w:jc w:val="both"/>
        <w:rPr>
          <w:rFonts w:ascii="微軟正黑體" w:eastAsia="微軟正黑體" w:hAnsi="微軟正黑體"/>
        </w:rPr>
      </w:pPr>
      <w:r>
        <w:rPr>
          <w:rFonts w:ascii="微軟正黑體" w:eastAsia="微軟正黑體" w:hAnsi="微軟正黑體" w:hint="eastAsia"/>
        </w:rPr>
        <w:t xml:space="preserve">    </w:t>
      </w:r>
      <w:r w:rsidRPr="00E72D89">
        <w:rPr>
          <w:rFonts w:ascii="微軟正黑體" w:eastAsia="微軟正黑體" w:hAnsi="微軟正黑體" w:hint="eastAsia"/>
        </w:rPr>
        <w:t>台灣的就業政策將45-64歲中高齡者作為就業服務法第</w:t>
      </w:r>
      <w:r>
        <w:rPr>
          <w:rFonts w:ascii="微軟正黑體" w:eastAsia="微軟正黑體" w:hAnsi="微軟正黑體" w:hint="eastAsia"/>
        </w:rPr>
        <w:t>24</w:t>
      </w:r>
      <w:r w:rsidRPr="00E72D89">
        <w:rPr>
          <w:rFonts w:ascii="微軟正黑體" w:eastAsia="微軟正黑體" w:hAnsi="微軟正黑體" w:hint="eastAsia"/>
        </w:rPr>
        <w:t>條特定對象，進而有額外的就</w:t>
      </w:r>
      <w:r>
        <w:rPr>
          <w:rFonts w:ascii="微軟正黑體" w:eastAsia="微軟正黑體" w:hAnsi="微軟正黑體" w:hint="eastAsia"/>
        </w:rPr>
        <w:t>業</w:t>
      </w:r>
      <w:r w:rsidRPr="00E72D89">
        <w:rPr>
          <w:rFonts w:ascii="微軟正黑體" w:eastAsia="微軟正黑體" w:hAnsi="微軟正黑體" w:hint="eastAsia"/>
        </w:rPr>
        <w:t>促</w:t>
      </w:r>
      <w:r>
        <w:rPr>
          <w:rFonts w:ascii="微軟正黑體" w:eastAsia="微軟正黑體" w:hAnsi="微軟正黑體" w:hint="eastAsia"/>
        </w:rPr>
        <w:t>進</w:t>
      </w:r>
      <w:r w:rsidRPr="00E72D89">
        <w:rPr>
          <w:rFonts w:ascii="微軟正黑體" w:eastAsia="微軟正黑體" w:hAnsi="微軟正黑體" w:hint="eastAsia"/>
        </w:rPr>
        <w:t>資源，未來恐怕應該儘早調整至專注於提升與協助55歲以上偏低的就業率，才不至於形成資源的錯置(Displaced)與擴大社會不平等程度。另外55歲以上就業率的性別差異也非常顯著，女性60-64歲就業率甚至不及60-64歲男性就業率的一半，55-59歲就業率的男女性別差異亦達到26%。而且不只年輕女性可能因為結婚生育而離職；台灣的55歲以上女性銀髮人才也可能因為要照顧長輩而離職，</w:t>
      </w:r>
      <w:r w:rsidRPr="00EF427B">
        <w:rPr>
          <w:rFonts w:ascii="微軟正黑體" w:eastAsia="微軟正黑體" w:hAnsi="微軟正黑體" w:hint="eastAsia"/>
        </w:rPr>
        <w:t>從下表我們可發現在 50-54歲時女性就業率仍有62.7%，但到了55-59歲即大幅下降為43.7%；60-64歲下降為24.0%；65歲以上降為4.6%，對預防女性老年貧窮化風險相當不利，需要加以改善。</w:t>
      </w: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Pr="00027434" w:rsidRDefault="00F152C0" w:rsidP="00F152C0">
      <w:pPr>
        <w:pStyle w:val="af8"/>
        <w:spacing w:afterLines="30" w:after="108" w:line="400" w:lineRule="exact"/>
        <w:contextualSpacing/>
        <w:jc w:val="center"/>
        <w:rPr>
          <w:rFonts w:ascii="微軟正黑體" w:eastAsia="微軟正黑體" w:hAnsi="微軟正黑體"/>
          <w:sz w:val="24"/>
          <w:szCs w:val="24"/>
        </w:rPr>
      </w:pPr>
      <w:r w:rsidRPr="00027434">
        <w:rPr>
          <w:rFonts w:ascii="微軟正黑體" w:eastAsia="微軟正黑體" w:hAnsi="微軟正黑體" w:hint="eastAsia"/>
          <w:sz w:val="24"/>
          <w:szCs w:val="24"/>
        </w:rPr>
        <w:lastRenderedPageBreak/>
        <w:t>表3</w:t>
      </w:r>
      <w:r>
        <w:rPr>
          <w:rFonts w:ascii="微軟正黑體" w:eastAsia="微軟正黑體" w:hAnsi="微軟正黑體" w:hint="eastAsia"/>
          <w:sz w:val="24"/>
          <w:szCs w:val="24"/>
        </w:rPr>
        <w:t xml:space="preserve">  </w:t>
      </w:r>
      <w:r w:rsidRPr="00027434">
        <w:rPr>
          <w:rFonts w:ascii="微軟正黑體" w:eastAsia="微軟正黑體" w:hAnsi="微軟正黑體" w:hint="eastAsia"/>
          <w:sz w:val="24"/>
          <w:szCs w:val="24"/>
        </w:rPr>
        <w:t>2011</w:t>
      </w:r>
      <w:r w:rsidRPr="00027434">
        <w:rPr>
          <w:rFonts w:ascii="微軟正黑體" w:eastAsia="微軟正黑體" w:hAnsi="微軟正黑體"/>
          <w:sz w:val="24"/>
          <w:szCs w:val="24"/>
        </w:rPr>
        <w:t>-</w:t>
      </w:r>
      <w:r w:rsidRPr="00027434">
        <w:rPr>
          <w:rFonts w:ascii="微軟正黑體" w:eastAsia="微軟正黑體" w:hAnsi="微軟正黑體" w:hint="eastAsia"/>
          <w:sz w:val="24"/>
          <w:szCs w:val="24"/>
        </w:rPr>
        <w:t>2020年各年齡分層的就業率與性別差異</w:t>
      </w:r>
    </w:p>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
        <w:gridCol w:w="737"/>
        <w:gridCol w:w="737"/>
        <w:gridCol w:w="737"/>
        <w:gridCol w:w="737"/>
        <w:gridCol w:w="737"/>
        <w:gridCol w:w="737"/>
        <w:gridCol w:w="737"/>
        <w:gridCol w:w="737"/>
        <w:gridCol w:w="737"/>
        <w:gridCol w:w="737"/>
        <w:gridCol w:w="737"/>
      </w:tblGrid>
      <w:tr w:rsidR="00F152C0" w:rsidRPr="00272D98" w:rsidTr="00C86667">
        <w:trPr>
          <w:trHeight w:val="397"/>
          <w:jc w:val="center"/>
        </w:trPr>
        <w:tc>
          <w:tcPr>
            <w:tcW w:w="904" w:type="dxa"/>
            <w:tcBorders>
              <w:right w:val="double" w:sz="4" w:space="0" w:color="auto"/>
            </w:tcBorders>
            <w:shd w:val="clear" w:color="auto" w:fill="8064A2" w:themeFill="accent4"/>
            <w:noWrap/>
            <w:vAlign w:val="center"/>
          </w:tcPr>
          <w:p w:rsidR="00F152C0" w:rsidRPr="00272D98" w:rsidRDefault="00F152C0" w:rsidP="00C86667">
            <w:pPr>
              <w:widowControl/>
              <w:spacing w:line="400" w:lineRule="exact"/>
              <w:contextualSpacing/>
              <w:jc w:val="center"/>
              <w:rPr>
                <w:rFonts w:ascii="微軟正黑體" w:eastAsia="微軟正黑體" w:hAnsi="微軟正黑體"/>
                <w:b/>
                <w:color w:val="FFFFFF" w:themeColor="background1"/>
                <w:kern w:val="0"/>
                <w:sz w:val="22"/>
                <w:szCs w:val="22"/>
              </w:rPr>
            </w:pPr>
            <w:r w:rsidRPr="00272D98">
              <w:rPr>
                <w:rFonts w:ascii="微軟正黑體" w:eastAsia="微軟正黑體" w:hAnsi="微軟正黑體" w:hint="eastAsia"/>
                <w:b/>
                <w:color w:val="FFFFFF" w:themeColor="background1"/>
                <w:kern w:val="0"/>
                <w:sz w:val="22"/>
                <w:szCs w:val="22"/>
              </w:rPr>
              <w:t>性別</w:t>
            </w:r>
          </w:p>
        </w:tc>
        <w:tc>
          <w:tcPr>
            <w:tcW w:w="2211" w:type="dxa"/>
            <w:gridSpan w:val="3"/>
            <w:tcBorders>
              <w:left w:val="double" w:sz="4" w:space="0" w:color="auto"/>
              <w:right w:val="double" w:sz="4" w:space="0" w:color="auto"/>
            </w:tcBorders>
            <w:shd w:val="clear" w:color="auto" w:fill="8064A2" w:themeFill="accent4"/>
            <w:noWrap/>
            <w:vAlign w:val="center"/>
          </w:tcPr>
          <w:p w:rsidR="00F152C0" w:rsidRPr="00272D98" w:rsidRDefault="00F152C0" w:rsidP="00C86667">
            <w:pPr>
              <w:widowControl/>
              <w:spacing w:line="400" w:lineRule="exact"/>
              <w:contextualSpacing/>
              <w:jc w:val="center"/>
              <w:rPr>
                <w:rFonts w:ascii="微軟正黑體" w:eastAsia="微軟正黑體" w:hAnsi="微軟正黑體"/>
                <w:b/>
                <w:color w:val="FFFFFF" w:themeColor="background1"/>
                <w:kern w:val="0"/>
                <w:sz w:val="22"/>
                <w:szCs w:val="22"/>
              </w:rPr>
            </w:pPr>
            <w:r w:rsidRPr="00272D98">
              <w:rPr>
                <w:rFonts w:ascii="微軟正黑體" w:eastAsia="微軟正黑體" w:hAnsi="微軟正黑體" w:hint="eastAsia"/>
                <w:b/>
                <w:color w:val="FFFFFF" w:themeColor="background1"/>
                <w:kern w:val="0"/>
                <w:sz w:val="22"/>
                <w:szCs w:val="22"/>
              </w:rPr>
              <w:t>總計</w:t>
            </w:r>
          </w:p>
        </w:tc>
        <w:tc>
          <w:tcPr>
            <w:tcW w:w="2948" w:type="dxa"/>
            <w:gridSpan w:val="4"/>
            <w:tcBorders>
              <w:left w:val="double" w:sz="4" w:space="0" w:color="auto"/>
              <w:right w:val="double" w:sz="4" w:space="0" w:color="auto"/>
            </w:tcBorders>
            <w:shd w:val="clear" w:color="auto" w:fill="8064A2" w:themeFill="accent4"/>
            <w:vAlign w:val="center"/>
          </w:tcPr>
          <w:p w:rsidR="00F152C0" w:rsidRPr="00272D98" w:rsidRDefault="00F152C0" w:rsidP="00C86667">
            <w:pPr>
              <w:widowControl/>
              <w:spacing w:line="400" w:lineRule="exact"/>
              <w:contextualSpacing/>
              <w:jc w:val="center"/>
              <w:rPr>
                <w:rFonts w:ascii="微軟正黑體" w:eastAsia="微軟正黑體" w:hAnsi="微軟正黑體"/>
                <w:b/>
                <w:color w:val="FFFFFF" w:themeColor="background1"/>
                <w:kern w:val="0"/>
                <w:sz w:val="22"/>
                <w:szCs w:val="22"/>
              </w:rPr>
            </w:pPr>
            <w:r w:rsidRPr="00272D98">
              <w:rPr>
                <w:rFonts w:ascii="微軟正黑體" w:eastAsia="微軟正黑體" w:hAnsi="微軟正黑體" w:hint="eastAsia"/>
                <w:b/>
                <w:color w:val="FFFFFF" w:themeColor="background1"/>
                <w:kern w:val="0"/>
                <w:sz w:val="22"/>
                <w:szCs w:val="22"/>
              </w:rPr>
              <w:t>男性</w:t>
            </w:r>
          </w:p>
        </w:tc>
        <w:tc>
          <w:tcPr>
            <w:tcW w:w="2948" w:type="dxa"/>
            <w:gridSpan w:val="4"/>
            <w:tcBorders>
              <w:left w:val="double" w:sz="4" w:space="0" w:color="auto"/>
            </w:tcBorders>
            <w:shd w:val="clear" w:color="auto" w:fill="8064A2" w:themeFill="accent4"/>
            <w:vAlign w:val="center"/>
          </w:tcPr>
          <w:p w:rsidR="00F152C0" w:rsidRPr="00272D98" w:rsidRDefault="00F152C0" w:rsidP="00C86667">
            <w:pPr>
              <w:widowControl/>
              <w:spacing w:line="400" w:lineRule="exact"/>
              <w:contextualSpacing/>
              <w:jc w:val="center"/>
              <w:rPr>
                <w:rFonts w:ascii="微軟正黑體" w:eastAsia="微軟正黑體" w:hAnsi="微軟正黑體"/>
                <w:b/>
                <w:color w:val="FFFFFF" w:themeColor="background1"/>
                <w:kern w:val="0"/>
                <w:sz w:val="22"/>
                <w:szCs w:val="22"/>
              </w:rPr>
            </w:pPr>
            <w:r w:rsidRPr="00272D98">
              <w:rPr>
                <w:rFonts w:ascii="微軟正黑體" w:eastAsia="微軟正黑體" w:hAnsi="微軟正黑體" w:hint="eastAsia"/>
                <w:b/>
                <w:color w:val="FFFFFF" w:themeColor="background1"/>
                <w:kern w:val="0"/>
                <w:sz w:val="22"/>
                <w:szCs w:val="22"/>
              </w:rPr>
              <w:t>女性</w:t>
            </w:r>
          </w:p>
        </w:tc>
      </w:tr>
      <w:tr w:rsidR="00F152C0" w:rsidRPr="00272D98" w:rsidTr="00C86667">
        <w:trPr>
          <w:trHeight w:val="397"/>
          <w:jc w:val="center"/>
        </w:trPr>
        <w:tc>
          <w:tcPr>
            <w:tcW w:w="904" w:type="dxa"/>
            <w:tcBorders>
              <w:right w:val="double" w:sz="4" w:space="0" w:color="auto"/>
            </w:tcBorders>
            <w:shd w:val="clear" w:color="auto" w:fill="E5DFEC" w:themeFill="accent4" w:themeFillTint="33"/>
            <w:noWrap/>
            <w:vAlign w:val="center"/>
            <w:hideMark/>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hint="eastAsia"/>
                <w:b/>
                <w:color w:val="000000"/>
                <w:kern w:val="0"/>
                <w:sz w:val="22"/>
                <w:szCs w:val="22"/>
              </w:rPr>
              <w:t>年齡</w:t>
            </w:r>
          </w:p>
        </w:tc>
        <w:tc>
          <w:tcPr>
            <w:tcW w:w="737" w:type="dxa"/>
            <w:tcBorders>
              <w:left w:val="double" w:sz="4" w:space="0" w:color="auto"/>
            </w:tcBorders>
            <w:shd w:val="clear" w:color="auto" w:fill="E5DFEC" w:themeFill="accent4" w:themeFillTint="33"/>
            <w:noWrap/>
            <w:vAlign w:val="center"/>
            <w:hideMark/>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b/>
                <w:color w:val="000000"/>
                <w:kern w:val="0"/>
                <w:sz w:val="22"/>
                <w:szCs w:val="22"/>
              </w:rPr>
              <w:t>15-64</w:t>
            </w:r>
          </w:p>
        </w:tc>
        <w:tc>
          <w:tcPr>
            <w:tcW w:w="737" w:type="dxa"/>
            <w:shd w:val="clear" w:color="auto" w:fill="E5DFEC" w:themeFill="accent4" w:themeFillTint="33"/>
            <w:noWrap/>
            <w:vAlign w:val="center"/>
            <w:hideMark/>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b/>
                <w:color w:val="000000"/>
                <w:kern w:val="0"/>
                <w:sz w:val="22"/>
                <w:szCs w:val="22"/>
              </w:rPr>
              <w:t>45-64</w:t>
            </w:r>
          </w:p>
        </w:tc>
        <w:tc>
          <w:tcPr>
            <w:tcW w:w="737" w:type="dxa"/>
            <w:tcBorders>
              <w:right w:val="double" w:sz="4" w:space="0" w:color="auto"/>
            </w:tcBorders>
            <w:shd w:val="clear" w:color="auto" w:fill="E5DFEC" w:themeFill="accent4" w:themeFillTint="33"/>
            <w:vAlign w:val="center"/>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hint="eastAsia"/>
                <w:b/>
                <w:color w:val="000000"/>
                <w:kern w:val="0"/>
                <w:sz w:val="22"/>
                <w:szCs w:val="22"/>
              </w:rPr>
              <w:t>65</w:t>
            </w:r>
            <w:r w:rsidRPr="00272D98">
              <w:rPr>
                <w:rFonts w:ascii="微軟正黑體" w:eastAsia="微軟正黑體" w:hAnsi="微軟正黑體"/>
                <w:b/>
                <w:color w:val="000000"/>
                <w:kern w:val="0"/>
                <w:sz w:val="22"/>
                <w:szCs w:val="22"/>
              </w:rPr>
              <w:t>+</w:t>
            </w:r>
          </w:p>
        </w:tc>
        <w:tc>
          <w:tcPr>
            <w:tcW w:w="737" w:type="dxa"/>
            <w:tcBorders>
              <w:left w:val="double" w:sz="4" w:space="0" w:color="auto"/>
            </w:tcBorders>
            <w:shd w:val="clear" w:color="auto" w:fill="E5DFEC" w:themeFill="accent4" w:themeFillTint="33"/>
            <w:vAlign w:val="center"/>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hint="eastAsia"/>
                <w:b/>
                <w:color w:val="000000"/>
                <w:kern w:val="0"/>
                <w:sz w:val="22"/>
                <w:szCs w:val="22"/>
              </w:rPr>
              <w:t>50-54</w:t>
            </w:r>
          </w:p>
        </w:tc>
        <w:tc>
          <w:tcPr>
            <w:tcW w:w="737" w:type="dxa"/>
            <w:shd w:val="clear" w:color="auto" w:fill="E5DFEC" w:themeFill="accent4" w:themeFillTint="33"/>
            <w:noWrap/>
            <w:vAlign w:val="center"/>
            <w:hideMark/>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b/>
                <w:color w:val="000000"/>
                <w:kern w:val="0"/>
                <w:sz w:val="22"/>
                <w:szCs w:val="22"/>
              </w:rPr>
              <w:t>55-59</w:t>
            </w:r>
          </w:p>
        </w:tc>
        <w:tc>
          <w:tcPr>
            <w:tcW w:w="737" w:type="dxa"/>
            <w:shd w:val="clear" w:color="auto" w:fill="E5DFEC" w:themeFill="accent4" w:themeFillTint="33"/>
            <w:noWrap/>
            <w:vAlign w:val="center"/>
            <w:hideMark/>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b/>
                <w:color w:val="000000"/>
                <w:kern w:val="0"/>
                <w:sz w:val="22"/>
                <w:szCs w:val="22"/>
              </w:rPr>
              <w:t>60-64</w:t>
            </w:r>
          </w:p>
        </w:tc>
        <w:tc>
          <w:tcPr>
            <w:tcW w:w="737" w:type="dxa"/>
            <w:tcBorders>
              <w:right w:val="double" w:sz="4" w:space="0" w:color="auto"/>
            </w:tcBorders>
            <w:shd w:val="clear" w:color="auto" w:fill="E5DFEC" w:themeFill="accent4" w:themeFillTint="33"/>
            <w:vAlign w:val="center"/>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hint="eastAsia"/>
                <w:b/>
                <w:color w:val="000000"/>
                <w:kern w:val="0"/>
                <w:sz w:val="22"/>
                <w:szCs w:val="22"/>
              </w:rPr>
              <w:t>65</w:t>
            </w:r>
            <w:r w:rsidRPr="00272D98">
              <w:rPr>
                <w:rFonts w:ascii="微軟正黑體" w:eastAsia="微軟正黑體" w:hAnsi="微軟正黑體"/>
                <w:b/>
                <w:color w:val="000000"/>
                <w:kern w:val="0"/>
                <w:sz w:val="22"/>
                <w:szCs w:val="22"/>
              </w:rPr>
              <w:t>+</w:t>
            </w:r>
          </w:p>
        </w:tc>
        <w:tc>
          <w:tcPr>
            <w:tcW w:w="737" w:type="dxa"/>
            <w:tcBorders>
              <w:left w:val="double" w:sz="4" w:space="0" w:color="auto"/>
            </w:tcBorders>
            <w:shd w:val="clear" w:color="auto" w:fill="E5DFEC" w:themeFill="accent4" w:themeFillTint="33"/>
            <w:vAlign w:val="center"/>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hint="eastAsia"/>
                <w:b/>
                <w:color w:val="000000"/>
                <w:kern w:val="0"/>
                <w:sz w:val="22"/>
                <w:szCs w:val="22"/>
              </w:rPr>
              <w:t>50-54</w:t>
            </w:r>
          </w:p>
        </w:tc>
        <w:tc>
          <w:tcPr>
            <w:tcW w:w="737" w:type="dxa"/>
            <w:shd w:val="clear" w:color="auto" w:fill="E5DFEC" w:themeFill="accent4" w:themeFillTint="33"/>
            <w:noWrap/>
            <w:vAlign w:val="center"/>
            <w:hideMark/>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b/>
                <w:color w:val="000000"/>
                <w:kern w:val="0"/>
                <w:sz w:val="22"/>
                <w:szCs w:val="22"/>
              </w:rPr>
              <w:t>55-59</w:t>
            </w:r>
          </w:p>
        </w:tc>
        <w:tc>
          <w:tcPr>
            <w:tcW w:w="737" w:type="dxa"/>
            <w:shd w:val="clear" w:color="auto" w:fill="E5DFEC" w:themeFill="accent4" w:themeFillTint="33"/>
            <w:noWrap/>
            <w:vAlign w:val="center"/>
            <w:hideMark/>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b/>
                <w:color w:val="000000"/>
                <w:kern w:val="0"/>
                <w:sz w:val="22"/>
                <w:szCs w:val="22"/>
              </w:rPr>
              <w:t>60-64</w:t>
            </w:r>
          </w:p>
        </w:tc>
        <w:tc>
          <w:tcPr>
            <w:tcW w:w="737" w:type="dxa"/>
            <w:shd w:val="clear" w:color="auto" w:fill="E5DFEC" w:themeFill="accent4" w:themeFillTint="33"/>
            <w:vAlign w:val="center"/>
          </w:tcPr>
          <w:p w:rsidR="00F152C0" w:rsidRPr="00272D98" w:rsidRDefault="00F152C0" w:rsidP="00C86667">
            <w:pPr>
              <w:widowControl/>
              <w:spacing w:line="400" w:lineRule="exact"/>
              <w:contextualSpacing/>
              <w:jc w:val="center"/>
              <w:rPr>
                <w:rFonts w:ascii="微軟正黑體" w:eastAsia="微軟正黑體" w:hAnsi="微軟正黑體"/>
                <w:b/>
                <w:color w:val="000000"/>
                <w:kern w:val="0"/>
                <w:sz w:val="22"/>
                <w:szCs w:val="22"/>
              </w:rPr>
            </w:pPr>
            <w:r w:rsidRPr="00272D98">
              <w:rPr>
                <w:rFonts w:ascii="微軟正黑體" w:eastAsia="微軟正黑體" w:hAnsi="微軟正黑體" w:hint="eastAsia"/>
                <w:b/>
                <w:color w:val="000000"/>
                <w:kern w:val="0"/>
                <w:sz w:val="22"/>
                <w:szCs w:val="22"/>
              </w:rPr>
              <w:t>65</w:t>
            </w:r>
            <w:r w:rsidRPr="00272D98">
              <w:rPr>
                <w:rFonts w:ascii="微軟正黑體" w:eastAsia="微軟正黑體" w:hAnsi="微軟正黑體"/>
                <w:b/>
                <w:color w:val="000000"/>
                <w:kern w:val="0"/>
                <w:sz w:val="22"/>
                <w:szCs w:val="22"/>
              </w:rPr>
              <w:t>+</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2011年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62.7</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58.8</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7.9</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80.1</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66.5</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45.5</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12</w:t>
            </w:r>
            <w:r>
              <w:rPr>
                <w:rFonts w:ascii="微軟正黑體" w:eastAsia="微軟正黑體" w:hAnsi="微軟正黑體"/>
                <w:color w:val="000000"/>
                <w:kern w:val="0"/>
                <w:sz w:val="22"/>
                <w:szCs w:val="22"/>
              </w:rPr>
              <w:t>.</w:t>
            </w:r>
            <w:r>
              <w:rPr>
                <w:rFonts w:ascii="微軟正黑體" w:eastAsia="微軟正黑體" w:hAnsi="微軟正黑體" w:hint="eastAsia"/>
                <w:color w:val="000000"/>
                <w:kern w:val="0"/>
                <w:sz w:val="22"/>
                <w:szCs w:val="22"/>
              </w:rPr>
              <w:t>0</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50.9</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34.8</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18.2</w:t>
            </w:r>
          </w:p>
        </w:tc>
        <w:tc>
          <w:tcPr>
            <w:tcW w:w="737" w:type="dxa"/>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4.2</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2012年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63.1</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59.1</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8.1</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80.6</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67.5</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46.3</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12.5</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52.1</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36.0</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18.5</w:t>
            </w:r>
          </w:p>
        </w:tc>
        <w:tc>
          <w:tcPr>
            <w:tcW w:w="737" w:type="dxa"/>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4.2</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2013年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63.4</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59.4</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8.3</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80.2</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66.9</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47.8</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12.8</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53.5</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37.8</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19.0</w:t>
            </w:r>
          </w:p>
        </w:tc>
        <w:tc>
          <w:tcPr>
            <w:tcW w:w="737" w:type="dxa"/>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4.4</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2014年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63.9</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60.4</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8.7</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81.2</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67.8</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48.7</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13.3</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55.3</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39.4</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22.4</w:t>
            </w:r>
          </w:p>
        </w:tc>
        <w:tc>
          <w:tcPr>
            <w:tcW w:w="737" w:type="dxa"/>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4.7</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2015年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64.5</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60.7</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8.8</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81.9</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69.1</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48.7</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13.6</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56.1</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39.7</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22.8</w:t>
            </w:r>
          </w:p>
        </w:tc>
        <w:tc>
          <w:tcPr>
            <w:tcW w:w="737" w:type="dxa"/>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4.6</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2016年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64.9</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61.1</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8.6</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82.1</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69.1</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49.8</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13.6</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58</w:t>
            </w:r>
            <w:r>
              <w:rPr>
                <w:rFonts w:ascii="微軟正黑體" w:eastAsia="微軟正黑體" w:hAnsi="微軟正黑體"/>
                <w:color w:val="000000"/>
                <w:kern w:val="0"/>
                <w:sz w:val="22"/>
                <w:szCs w:val="22"/>
              </w:rPr>
              <w:t>.</w:t>
            </w:r>
            <w:r>
              <w:rPr>
                <w:rFonts w:ascii="微軟正黑體" w:eastAsia="微軟正黑體" w:hAnsi="微軟正黑體" w:hint="eastAsia"/>
                <w:color w:val="000000"/>
                <w:kern w:val="0"/>
                <w:sz w:val="22"/>
                <w:szCs w:val="22"/>
              </w:rPr>
              <w:t>0</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40.8</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22.6</w:t>
            </w:r>
          </w:p>
        </w:tc>
        <w:tc>
          <w:tcPr>
            <w:tcW w:w="737" w:type="dxa"/>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4.3</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2017年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65.7</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61.6</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8.6</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82.9</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70.0</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49.0</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13.8</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59.4</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40.2</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23.9</w:t>
            </w:r>
          </w:p>
        </w:tc>
        <w:tc>
          <w:tcPr>
            <w:tcW w:w="737" w:type="dxa"/>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4.1</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2018年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66.4</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62</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8.4</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84.5</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69.4</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49.2</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13.2</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60</w:t>
            </w:r>
            <w:r>
              <w:rPr>
                <w:rFonts w:ascii="微軟正黑體" w:eastAsia="微軟正黑體" w:hAnsi="微軟正黑體"/>
                <w:color w:val="000000"/>
                <w:kern w:val="0"/>
                <w:sz w:val="22"/>
                <w:szCs w:val="22"/>
              </w:rPr>
              <w:t>.</w:t>
            </w:r>
            <w:r>
              <w:rPr>
                <w:rFonts w:ascii="微軟正黑體" w:eastAsia="微軟正黑體" w:hAnsi="微軟正黑體" w:hint="eastAsia"/>
                <w:color w:val="000000"/>
                <w:kern w:val="0"/>
                <w:sz w:val="22"/>
                <w:szCs w:val="22"/>
              </w:rPr>
              <w:t>0</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40.7</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23.6</w:t>
            </w:r>
          </w:p>
        </w:tc>
        <w:tc>
          <w:tcPr>
            <w:tcW w:w="737" w:type="dxa"/>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44</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2019年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67.2</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62.3</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8.3</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85.7</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69.0</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49.2</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12.8</w:t>
            </w:r>
          </w:p>
        </w:tc>
        <w:tc>
          <w:tcPr>
            <w:tcW w:w="737" w:type="dxa"/>
            <w:tcBorders>
              <w:lef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60.5</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42.0</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23.5</w:t>
            </w:r>
          </w:p>
        </w:tc>
        <w:tc>
          <w:tcPr>
            <w:tcW w:w="737" w:type="dxa"/>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4.5</w:t>
            </w:r>
          </w:p>
        </w:tc>
      </w:tr>
      <w:tr w:rsidR="00F152C0" w:rsidRPr="006A652C" w:rsidTr="00C86667">
        <w:trPr>
          <w:trHeight w:val="397"/>
          <w:jc w:val="center"/>
        </w:trPr>
        <w:tc>
          <w:tcPr>
            <w:tcW w:w="904" w:type="dxa"/>
            <w:tcBorders>
              <w:righ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Pr>
                <w:rFonts w:ascii="微軟正黑體" w:eastAsia="微軟正黑體" w:hAnsi="微軟正黑體"/>
                <w:color w:val="000000"/>
                <w:kern w:val="0"/>
                <w:sz w:val="22"/>
                <w:szCs w:val="22"/>
              </w:rPr>
              <w:t>2020年</w:t>
            </w:r>
          </w:p>
        </w:tc>
        <w:tc>
          <w:tcPr>
            <w:tcW w:w="737" w:type="dxa"/>
            <w:tcBorders>
              <w:left w:val="double" w:sz="4" w:space="0" w:color="auto"/>
            </w:tcBorders>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67.5</w:t>
            </w:r>
          </w:p>
        </w:tc>
        <w:tc>
          <w:tcPr>
            <w:tcW w:w="737" w:type="dxa"/>
            <w:shd w:val="clear" w:color="auto" w:fill="auto"/>
            <w:noWrap/>
            <w:vAlign w:val="center"/>
            <w:hideMark/>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color w:val="000000"/>
                <w:kern w:val="0"/>
                <w:sz w:val="22"/>
                <w:szCs w:val="22"/>
              </w:rPr>
              <w:t>62.5</w:t>
            </w:r>
          </w:p>
        </w:tc>
        <w:tc>
          <w:tcPr>
            <w:tcW w:w="737" w:type="dxa"/>
            <w:tcBorders>
              <w:right w:val="double" w:sz="4" w:space="0" w:color="auto"/>
            </w:tcBorders>
            <w:vAlign w:val="center"/>
          </w:tcPr>
          <w:p w:rsidR="00F152C0" w:rsidRPr="006A652C" w:rsidRDefault="00F152C0" w:rsidP="00C86667">
            <w:pPr>
              <w:widowControl/>
              <w:spacing w:line="280" w:lineRule="exact"/>
              <w:contextualSpacing/>
              <w:jc w:val="center"/>
              <w:rPr>
                <w:rFonts w:ascii="微軟正黑體" w:eastAsia="微軟正黑體" w:hAnsi="微軟正黑體"/>
                <w:color w:val="000000"/>
                <w:kern w:val="0"/>
                <w:sz w:val="22"/>
                <w:szCs w:val="22"/>
              </w:rPr>
            </w:pPr>
            <w:r w:rsidRPr="006A652C">
              <w:rPr>
                <w:rFonts w:ascii="微軟正黑體" w:eastAsia="微軟正黑體" w:hAnsi="微軟正黑體" w:hint="eastAsia"/>
                <w:color w:val="000000"/>
                <w:kern w:val="0"/>
                <w:sz w:val="22"/>
                <w:szCs w:val="22"/>
              </w:rPr>
              <w:t>8.7</w:t>
            </w:r>
          </w:p>
        </w:tc>
        <w:tc>
          <w:tcPr>
            <w:tcW w:w="737" w:type="dxa"/>
            <w:tcBorders>
              <w:left w:val="double" w:sz="4" w:space="0" w:color="auto"/>
            </w:tcBorders>
            <w:shd w:val="clear" w:color="auto" w:fill="E5DFEC" w:themeFill="accent4" w:themeFillTint="33"/>
            <w:vAlign w:val="center"/>
          </w:tcPr>
          <w:p w:rsidR="00F152C0" w:rsidRPr="00EF427B" w:rsidRDefault="00F152C0" w:rsidP="00C86667">
            <w:pPr>
              <w:widowControl/>
              <w:spacing w:line="280" w:lineRule="exact"/>
              <w:contextualSpacing/>
              <w:jc w:val="center"/>
              <w:rPr>
                <w:rFonts w:ascii="微軟正黑體" w:eastAsia="微軟正黑體" w:hAnsi="微軟正黑體"/>
                <w:b/>
                <w:color w:val="000000"/>
                <w:kern w:val="0"/>
                <w:sz w:val="22"/>
                <w:szCs w:val="22"/>
              </w:rPr>
            </w:pPr>
            <w:r w:rsidRPr="00EF427B">
              <w:rPr>
                <w:rFonts w:ascii="微軟正黑體" w:eastAsia="微軟正黑體" w:hAnsi="微軟正黑體" w:hint="eastAsia"/>
                <w:b/>
                <w:color w:val="000000"/>
                <w:kern w:val="0"/>
                <w:sz w:val="22"/>
                <w:szCs w:val="22"/>
              </w:rPr>
              <w:t>84.7</w:t>
            </w:r>
          </w:p>
        </w:tc>
        <w:tc>
          <w:tcPr>
            <w:tcW w:w="737" w:type="dxa"/>
            <w:shd w:val="clear" w:color="auto" w:fill="E5DFEC" w:themeFill="accent4" w:themeFillTint="33"/>
            <w:noWrap/>
            <w:vAlign w:val="center"/>
            <w:hideMark/>
          </w:tcPr>
          <w:p w:rsidR="00F152C0" w:rsidRPr="00EF427B" w:rsidRDefault="00F152C0" w:rsidP="00C86667">
            <w:pPr>
              <w:widowControl/>
              <w:spacing w:line="280" w:lineRule="exact"/>
              <w:contextualSpacing/>
              <w:jc w:val="center"/>
              <w:rPr>
                <w:rFonts w:ascii="微軟正黑體" w:eastAsia="微軟正黑體" w:hAnsi="微軟正黑體"/>
                <w:b/>
                <w:color w:val="000000"/>
                <w:kern w:val="0"/>
                <w:sz w:val="22"/>
                <w:szCs w:val="22"/>
              </w:rPr>
            </w:pPr>
            <w:r w:rsidRPr="00EF427B">
              <w:rPr>
                <w:rFonts w:ascii="微軟正黑體" w:eastAsia="微軟正黑體" w:hAnsi="微軟正黑體"/>
                <w:b/>
                <w:color w:val="000000"/>
                <w:kern w:val="0"/>
                <w:sz w:val="22"/>
                <w:szCs w:val="22"/>
              </w:rPr>
              <w:t>69.6</w:t>
            </w:r>
          </w:p>
        </w:tc>
        <w:tc>
          <w:tcPr>
            <w:tcW w:w="737" w:type="dxa"/>
            <w:shd w:val="clear" w:color="auto" w:fill="E5DFEC" w:themeFill="accent4" w:themeFillTint="33"/>
            <w:noWrap/>
            <w:vAlign w:val="center"/>
            <w:hideMark/>
          </w:tcPr>
          <w:p w:rsidR="00F152C0" w:rsidRPr="00EF427B" w:rsidRDefault="00F152C0" w:rsidP="00C86667">
            <w:pPr>
              <w:widowControl/>
              <w:spacing w:line="280" w:lineRule="exact"/>
              <w:contextualSpacing/>
              <w:jc w:val="center"/>
              <w:rPr>
                <w:rFonts w:ascii="微軟正黑體" w:eastAsia="微軟正黑體" w:hAnsi="微軟正黑體"/>
                <w:b/>
                <w:color w:val="000000"/>
                <w:kern w:val="0"/>
                <w:sz w:val="22"/>
                <w:szCs w:val="22"/>
              </w:rPr>
            </w:pPr>
            <w:r w:rsidRPr="00EF427B">
              <w:rPr>
                <w:rFonts w:ascii="微軟正黑體" w:eastAsia="微軟正黑體" w:hAnsi="微軟正黑體"/>
                <w:b/>
                <w:color w:val="000000"/>
                <w:kern w:val="0"/>
                <w:sz w:val="22"/>
                <w:szCs w:val="22"/>
              </w:rPr>
              <w:t>50.6</w:t>
            </w:r>
          </w:p>
        </w:tc>
        <w:tc>
          <w:tcPr>
            <w:tcW w:w="737" w:type="dxa"/>
            <w:tcBorders>
              <w:right w:val="double" w:sz="4" w:space="0" w:color="auto"/>
            </w:tcBorders>
            <w:shd w:val="clear" w:color="auto" w:fill="E5DFEC" w:themeFill="accent4" w:themeFillTint="33"/>
            <w:vAlign w:val="center"/>
          </w:tcPr>
          <w:p w:rsidR="00F152C0" w:rsidRPr="00EF427B" w:rsidRDefault="00F152C0" w:rsidP="00C86667">
            <w:pPr>
              <w:widowControl/>
              <w:spacing w:line="280" w:lineRule="exact"/>
              <w:contextualSpacing/>
              <w:jc w:val="center"/>
              <w:rPr>
                <w:rFonts w:ascii="微軟正黑體" w:eastAsia="微軟正黑體" w:hAnsi="微軟正黑體"/>
                <w:b/>
                <w:color w:val="000000"/>
                <w:kern w:val="0"/>
                <w:sz w:val="22"/>
                <w:szCs w:val="22"/>
              </w:rPr>
            </w:pPr>
            <w:r w:rsidRPr="00EF427B">
              <w:rPr>
                <w:rFonts w:ascii="微軟正黑體" w:eastAsia="微軟正黑體" w:hAnsi="微軟正黑體" w:hint="eastAsia"/>
                <w:b/>
                <w:color w:val="000000"/>
                <w:kern w:val="0"/>
                <w:sz w:val="22"/>
                <w:szCs w:val="22"/>
              </w:rPr>
              <w:t>13.8</w:t>
            </w:r>
          </w:p>
        </w:tc>
        <w:tc>
          <w:tcPr>
            <w:tcW w:w="737" w:type="dxa"/>
            <w:tcBorders>
              <w:left w:val="double" w:sz="4" w:space="0" w:color="auto"/>
            </w:tcBorders>
            <w:shd w:val="clear" w:color="auto" w:fill="E5DFEC" w:themeFill="accent4" w:themeFillTint="33"/>
            <w:vAlign w:val="center"/>
          </w:tcPr>
          <w:p w:rsidR="00F152C0" w:rsidRPr="00EF427B" w:rsidRDefault="00F152C0" w:rsidP="00C86667">
            <w:pPr>
              <w:widowControl/>
              <w:spacing w:line="280" w:lineRule="exact"/>
              <w:contextualSpacing/>
              <w:jc w:val="center"/>
              <w:rPr>
                <w:rFonts w:ascii="微軟正黑體" w:eastAsia="微軟正黑體" w:hAnsi="微軟正黑體"/>
                <w:b/>
                <w:color w:val="000000"/>
                <w:kern w:val="0"/>
                <w:sz w:val="22"/>
                <w:szCs w:val="22"/>
              </w:rPr>
            </w:pPr>
            <w:r w:rsidRPr="00EF427B">
              <w:rPr>
                <w:rFonts w:ascii="微軟正黑體" w:eastAsia="微軟正黑體" w:hAnsi="微軟正黑體" w:hint="eastAsia"/>
                <w:b/>
                <w:color w:val="000000"/>
                <w:kern w:val="0"/>
                <w:sz w:val="22"/>
                <w:szCs w:val="22"/>
              </w:rPr>
              <w:t>62.7</w:t>
            </w:r>
          </w:p>
        </w:tc>
        <w:tc>
          <w:tcPr>
            <w:tcW w:w="737" w:type="dxa"/>
            <w:shd w:val="clear" w:color="auto" w:fill="E5DFEC" w:themeFill="accent4" w:themeFillTint="33"/>
            <w:noWrap/>
            <w:vAlign w:val="center"/>
            <w:hideMark/>
          </w:tcPr>
          <w:p w:rsidR="00F152C0" w:rsidRPr="00EF427B" w:rsidRDefault="00F152C0" w:rsidP="00C86667">
            <w:pPr>
              <w:widowControl/>
              <w:spacing w:line="280" w:lineRule="exact"/>
              <w:contextualSpacing/>
              <w:jc w:val="center"/>
              <w:rPr>
                <w:rFonts w:ascii="微軟正黑體" w:eastAsia="微軟正黑體" w:hAnsi="微軟正黑體"/>
                <w:b/>
                <w:color w:val="000000"/>
                <w:kern w:val="0"/>
                <w:sz w:val="22"/>
                <w:szCs w:val="22"/>
              </w:rPr>
            </w:pPr>
            <w:r w:rsidRPr="00EF427B">
              <w:rPr>
                <w:rFonts w:ascii="微軟正黑體" w:eastAsia="微軟正黑體" w:hAnsi="微軟正黑體"/>
                <w:b/>
                <w:color w:val="000000"/>
                <w:kern w:val="0"/>
                <w:sz w:val="22"/>
                <w:szCs w:val="22"/>
              </w:rPr>
              <w:t>43.7</w:t>
            </w:r>
          </w:p>
        </w:tc>
        <w:tc>
          <w:tcPr>
            <w:tcW w:w="737" w:type="dxa"/>
            <w:shd w:val="clear" w:color="auto" w:fill="E5DFEC" w:themeFill="accent4" w:themeFillTint="33"/>
            <w:noWrap/>
            <w:vAlign w:val="center"/>
            <w:hideMark/>
          </w:tcPr>
          <w:p w:rsidR="00F152C0" w:rsidRPr="00EF427B" w:rsidRDefault="00F152C0" w:rsidP="00C86667">
            <w:pPr>
              <w:widowControl/>
              <w:spacing w:line="280" w:lineRule="exact"/>
              <w:contextualSpacing/>
              <w:jc w:val="center"/>
              <w:rPr>
                <w:rFonts w:ascii="微軟正黑體" w:eastAsia="微軟正黑體" w:hAnsi="微軟正黑體"/>
                <w:b/>
                <w:color w:val="000000"/>
                <w:kern w:val="0"/>
                <w:sz w:val="22"/>
                <w:szCs w:val="22"/>
              </w:rPr>
            </w:pPr>
            <w:r w:rsidRPr="00EF427B">
              <w:rPr>
                <w:rFonts w:ascii="微軟正黑體" w:eastAsia="微軟正黑體" w:hAnsi="微軟正黑體"/>
                <w:b/>
                <w:color w:val="000000"/>
                <w:kern w:val="0"/>
                <w:sz w:val="22"/>
                <w:szCs w:val="22"/>
              </w:rPr>
              <w:t>24.0</w:t>
            </w:r>
          </w:p>
        </w:tc>
        <w:tc>
          <w:tcPr>
            <w:tcW w:w="737" w:type="dxa"/>
            <w:shd w:val="clear" w:color="auto" w:fill="E5DFEC" w:themeFill="accent4" w:themeFillTint="33"/>
            <w:vAlign w:val="center"/>
          </w:tcPr>
          <w:p w:rsidR="00F152C0" w:rsidRPr="00EF427B" w:rsidRDefault="00F152C0" w:rsidP="00C86667">
            <w:pPr>
              <w:widowControl/>
              <w:spacing w:line="280" w:lineRule="exact"/>
              <w:contextualSpacing/>
              <w:jc w:val="center"/>
              <w:rPr>
                <w:rFonts w:ascii="微軟正黑體" w:eastAsia="微軟正黑體" w:hAnsi="微軟正黑體"/>
                <w:b/>
                <w:color w:val="000000"/>
                <w:kern w:val="0"/>
                <w:sz w:val="22"/>
                <w:szCs w:val="22"/>
              </w:rPr>
            </w:pPr>
            <w:r w:rsidRPr="00EF427B">
              <w:rPr>
                <w:rFonts w:ascii="微軟正黑體" w:eastAsia="微軟正黑體" w:hAnsi="微軟正黑體" w:hint="eastAsia"/>
                <w:b/>
                <w:color w:val="000000"/>
                <w:kern w:val="0"/>
                <w:sz w:val="22"/>
                <w:szCs w:val="22"/>
              </w:rPr>
              <w:t>4.6</w:t>
            </w:r>
          </w:p>
        </w:tc>
      </w:tr>
    </w:tbl>
    <w:p w:rsidR="00F152C0" w:rsidRPr="00272D98" w:rsidRDefault="00F152C0" w:rsidP="00F152C0">
      <w:pPr>
        <w:pStyle w:val="Web"/>
        <w:spacing w:before="0" w:beforeAutospacing="0" w:after="0" w:afterAutospacing="0" w:line="320" w:lineRule="exact"/>
        <w:jc w:val="both"/>
        <w:rPr>
          <w:rFonts w:ascii="微軟正黑體" w:eastAsia="微軟正黑體" w:hAnsi="微軟正黑體" w:cs="Times New Roman"/>
          <w:sz w:val="20"/>
          <w:szCs w:val="20"/>
        </w:rPr>
      </w:pPr>
      <w:r w:rsidRPr="00272D98">
        <w:rPr>
          <w:rFonts w:ascii="微軟正黑體" w:eastAsia="微軟正黑體" w:hAnsi="微軟正黑體" w:cs="Times New Roman" w:hint="eastAsia"/>
          <w:sz w:val="20"/>
          <w:szCs w:val="20"/>
        </w:rPr>
        <w:t>資料來源：本研究從互動式資料庫與中華民國統計資訊網-性別統計指標下載。</w:t>
      </w:r>
    </w:p>
    <w:p w:rsidR="00F152C0" w:rsidRPr="00027434"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027434">
        <w:rPr>
          <w:rFonts w:ascii="微軟正黑體" w:eastAsia="微軟正黑體" w:hAnsi="微軟正黑體" w:hint="eastAsia"/>
          <w:sz w:val="20"/>
          <w:szCs w:val="20"/>
        </w:rPr>
        <w:t xml:space="preserve">  </w:t>
      </w:r>
      <w:r>
        <w:rPr>
          <w:rFonts w:ascii="微軟正黑體" w:eastAsia="微軟正黑體" w:hAnsi="微軟正黑體" w:hint="eastAsia"/>
          <w:sz w:val="20"/>
          <w:szCs w:val="20"/>
        </w:rPr>
        <w:t xml:space="preserve">        </w:t>
      </w:r>
      <w:hyperlink r:id="rId153" w:history="1">
        <w:r w:rsidRPr="00027434">
          <w:rPr>
            <w:rFonts w:ascii="微軟正黑體" w:eastAsia="微軟正黑體" w:hAnsi="微軟正黑體" w:hint="eastAsia"/>
            <w:sz w:val="20"/>
            <w:szCs w:val="20"/>
          </w:rPr>
          <w:t>https://www.stat.gov.tw/ct.asp?xItem=37200&amp;ctNode=517&amp;mp=4</w:t>
        </w:r>
      </w:hyperlink>
    </w:p>
    <w:p w:rsidR="00F152C0" w:rsidRDefault="00F152C0" w:rsidP="00F152C0">
      <w:pPr>
        <w:spacing w:line="400" w:lineRule="exact"/>
        <w:ind w:left="-2"/>
        <w:contextualSpacing/>
        <w:jc w:val="both"/>
        <w:rPr>
          <w:rFonts w:ascii="微軟正黑體" w:eastAsia="微軟正黑體" w:hAnsi="微軟正黑體"/>
        </w:rPr>
      </w:pPr>
      <w:r>
        <w:rPr>
          <w:rFonts w:ascii="微軟正黑體" w:eastAsia="微軟正黑體" w:hAnsi="微軟正黑體" w:hint="eastAsia"/>
        </w:rPr>
        <w:t xml:space="preserve">    </w:t>
      </w:r>
    </w:p>
    <w:p w:rsidR="00F152C0" w:rsidRDefault="00F152C0" w:rsidP="00F152C0">
      <w:pPr>
        <w:spacing w:line="400" w:lineRule="exact"/>
        <w:ind w:left="-2" w:firstLineChars="200" w:firstLine="480"/>
        <w:contextualSpacing/>
        <w:jc w:val="both"/>
        <w:rPr>
          <w:rFonts w:ascii="微軟正黑體" w:eastAsia="微軟正黑體" w:hAnsi="微軟正黑體"/>
        </w:rPr>
      </w:pPr>
      <w:r w:rsidRPr="00027434">
        <w:rPr>
          <w:rFonts w:ascii="微軟正黑體" w:eastAsia="微軟正黑體" w:hAnsi="微軟正黑體" w:hint="eastAsia"/>
        </w:rPr>
        <w:t>台灣50</w:t>
      </w:r>
      <w:r w:rsidRPr="00027434">
        <w:rPr>
          <w:rFonts w:ascii="微軟正黑體" w:eastAsia="微軟正黑體" w:hAnsi="微軟正黑體"/>
        </w:rPr>
        <w:t>-</w:t>
      </w:r>
      <w:r w:rsidRPr="00027434">
        <w:rPr>
          <w:rFonts w:ascii="微軟正黑體" w:eastAsia="微軟正黑體" w:hAnsi="微軟正黑體" w:hint="eastAsia"/>
        </w:rPr>
        <w:t>54歲到55</w:t>
      </w:r>
      <w:r w:rsidRPr="00027434">
        <w:rPr>
          <w:rFonts w:ascii="微軟正黑體" w:eastAsia="微軟正黑體" w:hAnsi="微軟正黑體"/>
        </w:rPr>
        <w:t>-</w:t>
      </w:r>
      <w:r w:rsidRPr="00027434">
        <w:rPr>
          <w:rFonts w:ascii="微軟正黑體" w:eastAsia="微軟正黑體" w:hAnsi="微軟正黑體" w:hint="eastAsia"/>
        </w:rPr>
        <w:t>59歲女性就業率下降的國際比較結果，我們可發現不論在韓國與日本，減少幅度大多數國家都少於10</w:t>
      </w:r>
      <w:r>
        <w:rPr>
          <w:rFonts w:ascii="微軟正黑體" w:eastAsia="微軟正黑體" w:hAnsi="微軟正黑體" w:hint="eastAsia"/>
        </w:rPr>
        <w:t>個百分點，但台</w:t>
      </w:r>
      <w:r w:rsidRPr="00027434">
        <w:rPr>
          <w:rFonts w:ascii="微軟正黑體" w:eastAsia="微軟正黑體" w:hAnsi="微軟正黑體" w:hint="eastAsia"/>
        </w:rPr>
        <w:t>灣的降幅卻</w:t>
      </w:r>
      <w:r>
        <w:rPr>
          <w:rFonts w:ascii="微軟正黑體" w:eastAsia="微軟正黑體" w:hAnsi="微軟正黑體" w:hint="eastAsia"/>
        </w:rPr>
        <w:t>達到1</w:t>
      </w:r>
      <w:r>
        <w:rPr>
          <w:rFonts w:ascii="微軟正黑體" w:eastAsia="微軟正黑體" w:hAnsi="微軟正黑體"/>
        </w:rPr>
        <w:t>9</w:t>
      </w:r>
      <w:r w:rsidRPr="00027434">
        <w:rPr>
          <w:rFonts w:ascii="微軟正黑體" w:eastAsia="微軟正黑體" w:hAnsi="微軟正黑體" w:hint="eastAsia"/>
        </w:rPr>
        <w:t>個百分點。即使是義大利這個也是較依賴個別家庭照顧長者的國家，他們55</w:t>
      </w:r>
      <w:r w:rsidRPr="00027434">
        <w:rPr>
          <w:rFonts w:ascii="微軟正黑體" w:eastAsia="微軟正黑體" w:hAnsi="微軟正黑體"/>
        </w:rPr>
        <w:t>-</w:t>
      </w:r>
      <w:r w:rsidRPr="00027434">
        <w:rPr>
          <w:rFonts w:ascii="微軟正黑體" w:eastAsia="微軟正黑體" w:hAnsi="微軟正黑體" w:hint="eastAsia"/>
        </w:rPr>
        <w:t>59歲女性就業率</w:t>
      </w:r>
      <w:r>
        <w:rPr>
          <w:rFonts w:ascii="微軟正黑體" w:eastAsia="微軟正黑體" w:hAnsi="微軟正黑體" w:hint="eastAsia"/>
        </w:rPr>
        <w:t>都仍然高於台灣，而且義大利在1988年即進入高齡社會並於2006年已進入超高齡社會，分別提早台灣30年與20年。</w:t>
      </w:r>
    </w:p>
    <w:p w:rsidR="00F152C0" w:rsidRDefault="00F152C0" w:rsidP="00F152C0">
      <w:pPr>
        <w:contextualSpacing/>
        <w:rPr>
          <w:sz w:val="22"/>
        </w:rPr>
      </w:pPr>
      <w:r>
        <w:rPr>
          <w:noProof/>
        </w:rPr>
        <w:drawing>
          <wp:inline distT="0" distB="0" distL="0" distR="0" wp14:anchorId="0F387BFA" wp14:editId="04F8F0FA">
            <wp:extent cx="5918200" cy="3187700"/>
            <wp:effectExtent l="0" t="0" r="25400" b="12700"/>
            <wp:docPr id="21536" name="圖表 215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E6F6B0-67AC-4943-AF9C-5FF7A88D3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F152C0" w:rsidRDefault="00F152C0" w:rsidP="00F152C0">
      <w:pPr>
        <w:spacing w:beforeLines="20" w:before="72" w:line="320" w:lineRule="exact"/>
        <w:ind w:leftChars="-1" w:left="998" w:hangingChars="500" w:hanging="1000"/>
        <w:contextualSpacing/>
        <w:rPr>
          <w:rFonts w:ascii="微軟正黑體" w:eastAsia="微軟正黑體" w:hAnsi="微軟正黑體"/>
          <w:sz w:val="20"/>
          <w:szCs w:val="20"/>
        </w:rPr>
      </w:pPr>
      <w:r w:rsidRPr="006F76C5">
        <w:rPr>
          <w:rFonts w:ascii="微軟正黑體" w:eastAsia="微軟正黑體" w:hAnsi="微軟正黑體" w:hint="eastAsia"/>
          <w:sz w:val="20"/>
          <w:szCs w:val="20"/>
        </w:rPr>
        <w:t>資料來源：10</w:t>
      </w:r>
      <w:r>
        <w:rPr>
          <w:rFonts w:ascii="微軟正黑體" w:eastAsia="微軟正黑體" w:hAnsi="微軟正黑體" w:hint="eastAsia"/>
          <w:sz w:val="20"/>
          <w:szCs w:val="20"/>
        </w:rPr>
        <w:t>9</w:t>
      </w:r>
      <w:r w:rsidRPr="006F76C5">
        <w:rPr>
          <w:rFonts w:ascii="微軟正黑體" w:eastAsia="微軟正黑體" w:hAnsi="微軟正黑體" w:hint="eastAsia"/>
          <w:sz w:val="20"/>
          <w:szCs w:val="20"/>
        </w:rPr>
        <w:t>年國際勞動統計(20</w:t>
      </w:r>
      <w:r>
        <w:rPr>
          <w:rFonts w:ascii="微軟正黑體" w:eastAsia="微軟正黑體" w:hAnsi="微軟正黑體" w:hint="eastAsia"/>
          <w:sz w:val="20"/>
          <w:szCs w:val="20"/>
        </w:rPr>
        <w:t>20</w:t>
      </w:r>
      <w:r w:rsidRPr="006F76C5">
        <w:rPr>
          <w:rFonts w:ascii="微軟正黑體" w:eastAsia="微軟正黑體" w:hAnsi="微軟正黑體"/>
          <w:sz w:val="20"/>
          <w:szCs w:val="20"/>
        </w:rPr>
        <w:t xml:space="preserve">: </w:t>
      </w:r>
      <w:r w:rsidRPr="006F76C5">
        <w:rPr>
          <w:rFonts w:ascii="微軟正黑體" w:eastAsia="微軟正黑體" w:hAnsi="微軟正黑體" w:hint="eastAsia"/>
          <w:sz w:val="20"/>
          <w:szCs w:val="20"/>
        </w:rPr>
        <w:t>3</w:t>
      </w:r>
      <w:r w:rsidRPr="006F76C5">
        <w:rPr>
          <w:rFonts w:ascii="微軟正黑體" w:eastAsia="微軟正黑體" w:hAnsi="微軟正黑體"/>
          <w:sz w:val="20"/>
          <w:szCs w:val="20"/>
        </w:rPr>
        <w:t>-</w:t>
      </w:r>
      <w:r w:rsidRPr="006F76C5">
        <w:rPr>
          <w:rFonts w:ascii="微軟正黑體" w:eastAsia="微軟正黑體" w:hAnsi="微軟正黑體" w:hint="eastAsia"/>
          <w:sz w:val="20"/>
          <w:szCs w:val="20"/>
        </w:rPr>
        <w:t>10</w:t>
      </w:r>
      <w:r w:rsidRPr="006F76C5">
        <w:rPr>
          <w:rFonts w:ascii="微軟正黑體" w:eastAsia="微軟正黑體" w:hAnsi="微軟正黑體"/>
          <w:sz w:val="20"/>
          <w:szCs w:val="20"/>
        </w:rPr>
        <w:t>—</w:t>
      </w:r>
      <w:r w:rsidRPr="006F76C5">
        <w:rPr>
          <w:rFonts w:ascii="微軟正黑體" w:eastAsia="微軟正黑體" w:hAnsi="微軟正黑體" w:hint="eastAsia"/>
          <w:sz w:val="20"/>
          <w:szCs w:val="20"/>
        </w:rPr>
        <w:t>3</w:t>
      </w:r>
      <w:r w:rsidRPr="006F76C5">
        <w:rPr>
          <w:rFonts w:ascii="微軟正黑體" w:eastAsia="微軟正黑體" w:hAnsi="微軟正黑體"/>
          <w:sz w:val="20"/>
          <w:szCs w:val="20"/>
        </w:rPr>
        <w:t>-</w:t>
      </w:r>
      <w:r w:rsidRPr="006F76C5">
        <w:rPr>
          <w:rFonts w:ascii="微軟正黑體" w:eastAsia="微軟正黑體" w:hAnsi="微軟正黑體" w:hint="eastAsia"/>
          <w:sz w:val="20"/>
          <w:szCs w:val="20"/>
        </w:rPr>
        <w:t>14)。</w:t>
      </w:r>
    </w:p>
    <w:p w:rsidR="00F152C0" w:rsidRPr="0060258F"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320" w:lineRule="exact"/>
        <w:ind w:leftChars="-1" w:left="1198" w:hangingChars="500" w:hanging="1200"/>
        <w:contextualSpacing/>
        <w:jc w:val="center"/>
        <w:rPr>
          <w:rFonts w:ascii="微軟正黑體" w:eastAsia="微軟正黑體" w:hAnsi="微軟正黑體"/>
        </w:rPr>
      </w:pPr>
      <w:r w:rsidRPr="00027434">
        <w:rPr>
          <w:rFonts w:ascii="微軟正黑體" w:eastAsia="微軟正黑體" w:hAnsi="微軟正黑體" w:hint="eastAsia"/>
        </w:rPr>
        <w:t>圖4　20</w:t>
      </w:r>
      <w:r>
        <w:rPr>
          <w:rFonts w:ascii="微軟正黑體" w:eastAsia="微軟正黑體" w:hAnsi="微軟正黑體" w:hint="eastAsia"/>
        </w:rPr>
        <w:t>20</w:t>
      </w:r>
      <w:r w:rsidRPr="00027434">
        <w:rPr>
          <w:rFonts w:ascii="微軟正黑體" w:eastAsia="微軟正黑體" w:hAnsi="微軟正黑體" w:hint="eastAsia"/>
        </w:rPr>
        <w:t>年我國與主要國家女性就業率-按五歲年齡分</w:t>
      </w:r>
    </w:p>
    <w:p w:rsidR="00F152C0" w:rsidRPr="00027434" w:rsidRDefault="00F152C0" w:rsidP="00F152C0">
      <w:pPr>
        <w:pStyle w:val="af8"/>
        <w:spacing w:line="400" w:lineRule="exact"/>
        <w:contextualSpacing/>
        <w:jc w:val="center"/>
        <w:rPr>
          <w:rFonts w:ascii="微軟正黑體" w:eastAsia="微軟正黑體" w:hAnsi="微軟正黑體"/>
          <w:sz w:val="24"/>
          <w:szCs w:val="24"/>
        </w:rPr>
      </w:pPr>
      <w:r w:rsidRPr="00027434">
        <w:rPr>
          <w:rFonts w:ascii="微軟正黑體" w:eastAsia="微軟正黑體" w:hAnsi="微軟正黑體" w:hint="eastAsia"/>
          <w:sz w:val="24"/>
          <w:szCs w:val="24"/>
        </w:rPr>
        <w:lastRenderedPageBreak/>
        <w:t>表4　20</w:t>
      </w:r>
      <w:r>
        <w:rPr>
          <w:rFonts w:ascii="微軟正黑體" w:eastAsia="微軟正黑體" w:hAnsi="微軟正黑體" w:hint="eastAsia"/>
          <w:sz w:val="24"/>
          <w:szCs w:val="24"/>
        </w:rPr>
        <w:t>20</w:t>
      </w:r>
      <w:r w:rsidRPr="00027434">
        <w:rPr>
          <w:rFonts w:ascii="微軟正黑體" w:eastAsia="微軟正黑體" w:hAnsi="微軟正黑體" w:hint="eastAsia"/>
          <w:sz w:val="24"/>
          <w:szCs w:val="24"/>
        </w:rPr>
        <w:t>年我國與主要國家女性就業率之比較表</w:t>
      </w:r>
    </w:p>
    <w:tbl>
      <w:tblPr>
        <w:tblW w:w="9067" w:type="dxa"/>
        <w:jc w:val="center"/>
        <w:tblLayout w:type="fixed"/>
        <w:tblCellMar>
          <w:left w:w="28" w:type="dxa"/>
          <w:right w:w="28" w:type="dxa"/>
        </w:tblCellMar>
        <w:tblLook w:val="04A0" w:firstRow="1" w:lastRow="0" w:firstColumn="1" w:lastColumn="0" w:noHBand="0" w:noVBand="1"/>
      </w:tblPr>
      <w:tblGrid>
        <w:gridCol w:w="1413"/>
        <w:gridCol w:w="850"/>
        <w:gridCol w:w="850"/>
        <w:gridCol w:w="851"/>
        <w:gridCol w:w="850"/>
        <w:gridCol w:w="851"/>
        <w:gridCol w:w="850"/>
        <w:gridCol w:w="851"/>
        <w:gridCol w:w="850"/>
        <w:gridCol w:w="851"/>
      </w:tblGrid>
      <w:tr w:rsidR="00F152C0" w:rsidRPr="008156DD" w:rsidTr="00C86667">
        <w:trPr>
          <w:trHeight w:val="526"/>
          <w:jc w:val="center"/>
        </w:trPr>
        <w:tc>
          <w:tcPr>
            <w:tcW w:w="1413" w:type="dxa"/>
            <w:tcBorders>
              <w:top w:val="single" w:sz="4" w:space="0" w:color="auto"/>
              <w:left w:val="single" w:sz="4" w:space="0" w:color="auto"/>
              <w:bottom w:val="single" w:sz="4" w:space="0" w:color="auto"/>
              <w:right w:val="single" w:sz="4" w:space="0" w:color="auto"/>
              <w:tl2br w:val="single" w:sz="4" w:space="0" w:color="auto"/>
            </w:tcBorders>
            <w:shd w:val="clear" w:color="auto" w:fill="8064A2" w:themeFill="accent4"/>
            <w:noWrap/>
            <w:vAlign w:val="center"/>
            <w:hideMark/>
          </w:tcPr>
          <w:p w:rsidR="00F152C0" w:rsidRPr="008156DD" w:rsidRDefault="00F152C0" w:rsidP="00C86667">
            <w:pPr>
              <w:widowControl/>
              <w:spacing w:line="340" w:lineRule="exact"/>
              <w:ind w:rightChars="-127" w:right="-305"/>
              <w:jc w:val="center"/>
              <w:rPr>
                <w:rFonts w:ascii="微軟正黑體" w:eastAsia="微軟正黑體" w:hAnsi="微軟正黑體" w:cs="新細明體"/>
                <w:b/>
                <w:color w:val="FFFFFF" w:themeColor="background1"/>
                <w:kern w:val="0"/>
                <w:sz w:val="22"/>
                <w:szCs w:val="22"/>
              </w:rPr>
            </w:pPr>
            <w:r>
              <w:rPr>
                <w:rFonts w:ascii="微軟正黑體" w:eastAsia="微軟正黑體" w:hAnsi="微軟正黑體" w:cs="新細明體" w:hint="eastAsia"/>
                <w:b/>
                <w:color w:val="FFFFFF" w:themeColor="background1"/>
                <w:kern w:val="0"/>
                <w:sz w:val="22"/>
                <w:szCs w:val="22"/>
              </w:rPr>
              <w:t xml:space="preserve">    </w:t>
            </w:r>
            <w:r w:rsidRPr="008156DD">
              <w:rPr>
                <w:rFonts w:ascii="微軟正黑體" w:eastAsia="微軟正黑體" w:hAnsi="微軟正黑體" w:cs="新細明體" w:hint="eastAsia"/>
                <w:b/>
                <w:color w:val="FFFFFF" w:themeColor="background1"/>
                <w:kern w:val="0"/>
                <w:sz w:val="22"/>
                <w:szCs w:val="22"/>
              </w:rPr>
              <w:t>國家</w:t>
            </w:r>
          </w:p>
          <w:p w:rsidR="00F152C0" w:rsidRPr="008156DD" w:rsidRDefault="00F152C0" w:rsidP="00C86667">
            <w:pPr>
              <w:widowControl/>
              <w:spacing w:line="340" w:lineRule="exact"/>
              <w:rPr>
                <w:rFonts w:ascii="微軟正黑體" w:eastAsia="微軟正黑體" w:hAnsi="微軟正黑體" w:cs="新細明體"/>
                <w:b/>
                <w:color w:val="FFFFFF" w:themeColor="background1"/>
                <w:kern w:val="0"/>
                <w:sz w:val="22"/>
                <w:szCs w:val="22"/>
              </w:rPr>
            </w:pPr>
            <w:r>
              <w:rPr>
                <w:rFonts w:ascii="微軟正黑體" w:eastAsia="微軟正黑體" w:hAnsi="微軟正黑體" w:cs="新細明體" w:hint="eastAsia"/>
                <w:b/>
                <w:color w:val="FFFFFF" w:themeColor="background1"/>
                <w:kern w:val="0"/>
                <w:sz w:val="22"/>
                <w:szCs w:val="22"/>
              </w:rPr>
              <w:t xml:space="preserve"> </w:t>
            </w:r>
            <w:r w:rsidRPr="008156DD">
              <w:rPr>
                <w:rFonts w:ascii="微軟正黑體" w:eastAsia="微軟正黑體" w:hAnsi="微軟正黑體" w:cs="新細明體" w:hint="eastAsia"/>
                <w:b/>
                <w:color w:val="FFFFFF" w:themeColor="background1"/>
                <w:kern w:val="0"/>
                <w:sz w:val="22"/>
                <w:szCs w:val="22"/>
              </w:rPr>
              <w:t>年齡</w:t>
            </w:r>
          </w:p>
        </w:tc>
        <w:tc>
          <w:tcPr>
            <w:tcW w:w="850"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152C0" w:rsidRPr="008156DD" w:rsidRDefault="00F152C0" w:rsidP="00C86667">
            <w:pPr>
              <w:widowControl/>
              <w:spacing w:line="340" w:lineRule="exact"/>
              <w:jc w:val="center"/>
              <w:rPr>
                <w:rFonts w:ascii="微軟正黑體" w:eastAsia="微軟正黑體" w:hAnsi="微軟正黑體" w:cs="新細明體"/>
                <w:b/>
                <w:color w:val="FFFFFF" w:themeColor="background1"/>
                <w:kern w:val="0"/>
                <w:sz w:val="22"/>
                <w:szCs w:val="22"/>
              </w:rPr>
            </w:pPr>
            <w:r w:rsidRPr="008156DD">
              <w:rPr>
                <w:rFonts w:ascii="微軟正黑體" w:eastAsia="微軟正黑體" w:hAnsi="微軟正黑體" w:cs="新細明體" w:hint="eastAsia"/>
                <w:b/>
                <w:color w:val="FFFFFF" w:themeColor="background1"/>
                <w:kern w:val="0"/>
                <w:sz w:val="22"/>
                <w:szCs w:val="22"/>
              </w:rPr>
              <w:t>台灣</w:t>
            </w:r>
          </w:p>
        </w:tc>
        <w:tc>
          <w:tcPr>
            <w:tcW w:w="850"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152C0" w:rsidRPr="008156DD" w:rsidRDefault="00F152C0" w:rsidP="00C86667">
            <w:pPr>
              <w:widowControl/>
              <w:spacing w:line="340" w:lineRule="exact"/>
              <w:jc w:val="center"/>
              <w:rPr>
                <w:rFonts w:ascii="微軟正黑體" w:eastAsia="微軟正黑體" w:hAnsi="微軟正黑體" w:cs="新細明體"/>
                <w:b/>
                <w:color w:val="FFFFFF" w:themeColor="background1"/>
                <w:kern w:val="0"/>
                <w:sz w:val="22"/>
                <w:szCs w:val="22"/>
              </w:rPr>
            </w:pPr>
            <w:r w:rsidRPr="008156DD">
              <w:rPr>
                <w:rFonts w:ascii="微軟正黑體" w:eastAsia="微軟正黑體" w:hAnsi="微軟正黑體" w:cs="新細明體" w:hint="eastAsia"/>
                <w:b/>
                <w:color w:val="FFFFFF" w:themeColor="background1"/>
                <w:kern w:val="0"/>
                <w:sz w:val="22"/>
                <w:szCs w:val="22"/>
              </w:rPr>
              <w:t>韓國</w:t>
            </w:r>
          </w:p>
        </w:tc>
        <w:tc>
          <w:tcPr>
            <w:tcW w:w="851"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152C0" w:rsidRPr="008156DD" w:rsidRDefault="00F152C0" w:rsidP="00C86667">
            <w:pPr>
              <w:widowControl/>
              <w:spacing w:line="340" w:lineRule="exact"/>
              <w:jc w:val="center"/>
              <w:rPr>
                <w:rFonts w:ascii="微軟正黑體" w:eastAsia="微軟正黑體" w:hAnsi="微軟正黑體" w:cs="新細明體"/>
                <w:b/>
                <w:color w:val="FFFFFF" w:themeColor="background1"/>
                <w:kern w:val="0"/>
                <w:sz w:val="22"/>
                <w:szCs w:val="22"/>
              </w:rPr>
            </w:pPr>
            <w:r w:rsidRPr="008156DD">
              <w:rPr>
                <w:rFonts w:ascii="微軟正黑體" w:eastAsia="微軟正黑體" w:hAnsi="微軟正黑體" w:cs="新細明體" w:hint="eastAsia"/>
                <w:b/>
                <w:color w:val="FFFFFF" w:themeColor="background1"/>
                <w:kern w:val="0"/>
                <w:sz w:val="22"/>
                <w:szCs w:val="22"/>
              </w:rPr>
              <w:t>日本</w:t>
            </w:r>
          </w:p>
        </w:tc>
        <w:tc>
          <w:tcPr>
            <w:tcW w:w="850"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152C0" w:rsidRPr="008156DD" w:rsidRDefault="00F152C0" w:rsidP="00C86667">
            <w:pPr>
              <w:widowControl/>
              <w:spacing w:line="340" w:lineRule="exact"/>
              <w:jc w:val="center"/>
              <w:rPr>
                <w:rFonts w:ascii="微軟正黑體" w:eastAsia="微軟正黑體" w:hAnsi="微軟正黑體" w:cs="新細明體"/>
                <w:b/>
                <w:color w:val="FFFFFF" w:themeColor="background1"/>
                <w:kern w:val="0"/>
                <w:sz w:val="22"/>
                <w:szCs w:val="22"/>
              </w:rPr>
            </w:pPr>
            <w:r w:rsidRPr="008156DD">
              <w:rPr>
                <w:rFonts w:ascii="微軟正黑體" w:eastAsia="微軟正黑體" w:hAnsi="微軟正黑體" w:cs="新細明體" w:hint="eastAsia"/>
                <w:b/>
                <w:color w:val="FFFFFF" w:themeColor="background1"/>
                <w:kern w:val="0"/>
                <w:sz w:val="22"/>
                <w:szCs w:val="22"/>
              </w:rPr>
              <w:t>美國</w:t>
            </w:r>
          </w:p>
        </w:tc>
        <w:tc>
          <w:tcPr>
            <w:tcW w:w="851"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152C0" w:rsidRPr="008156DD" w:rsidRDefault="00F152C0" w:rsidP="00C86667">
            <w:pPr>
              <w:widowControl/>
              <w:spacing w:line="340" w:lineRule="exact"/>
              <w:jc w:val="center"/>
              <w:rPr>
                <w:rFonts w:ascii="微軟正黑體" w:eastAsia="微軟正黑體" w:hAnsi="微軟正黑體" w:cs="新細明體"/>
                <w:b/>
                <w:color w:val="FFFFFF" w:themeColor="background1"/>
                <w:kern w:val="0"/>
                <w:sz w:val="22"/>
                <w:szCs w:val="22"/>
              </w:rPr>
            </w:pPr>
            <w:r w:rsidRPr="008156DD">
              <w:rPr>
                <w:rFonts w:ascii="微軟正黑體" w:eastAsia="微軟正黑體" w:hAnsi="微軟正黑體" w:cs="新細明體" w:hint="eastAsia"/>
                <w:b/>
                <w:color w:val="FFFFFF" w:themeColor="background1"/>
                <w:kern w:val="0"/>
                <w:sz w:val="22"/>
                <w:szCs w:val="22"/>
              </w:rPr>
              <w:t>法國</w:t>
            </w:r>
          </w:p>
        </w:tc>
        <w:tc>
          <w:tcPr>
            <w:tcW w:w="850"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152C0" w:rsidRPr="008156DD" w:rsidRDefault="00F152C0" w:rsidP="00C86667">
            <w:pPr>
              <w:widowControl/>
              <w:spacing w:line="340" w:lineRule="exact"/>
              <w:jc w:val="center"/>
              <w:rPr>
                <w:rFonts w:ascii="微軟正黑體" w:eastAsia="微軟正黑體" w:hAnsi="微軟正黑體" w:cs="新細明體"/>
                <w:b/>
                <w:color w:val="FFFFFF" w:themeColor="background1"/>
                <w:kern w:val="0"/>
                <w:sz w:val="22"/>
                <w:szCs w:val="22"/>
              </w:rPr>
            </w:pPr>
            <w:r w:rsidRPr="008156DD">
              <w:rPr>
                <w:rFonts w:ascii="微軟正黑體" w:eastAsia="微軟正黑體" w:hAnsi="微軟正黑體" w:cs="新細明體" w:hint="eastAsia"/>
                <w:b/>
                <w:color w:val="FFFFFF" w:themeColor="background1"/>
                <w:kern w:val="0"/>
                <w:sz w:val="22"/>
                <w:szCs w:val="22"/>
              </w:rPr>
              <w:t>義大利</w:t>
            </w:r>
          </w:p>
        </w:tc>
        <w:tc>
          <w:tcPr>
            <w:tcW w:w="851"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152C0" w:rsidRPr="008156DD" w:rsidRDefault="00F152C0" w:rsidP="00C86667">
            <w:pPr>
              <w:widowControl/>
              <w:spacing w:line="340" w:lineRule="exact"/>
              <w:jc w:val="center"/>
              <w:rPr>
                <w:rFonts w:ascii="微軟正黑體" w:eastAsia="微軟正黑體" w:hAnsi="微軟正黑體" w:cs="新細明體"/>
                <w:b/>
                <w:color w:val="FFFFFF" w:themeColor="background1"/>
                <w:kern w:val="0"/>
                <w:sz w:val="22"/>
                <w:szCs w:val="22"/>
              </w:rPr>
            </w:pPr>
            <w:r w:rsidRPr="008156DD">
              <w:rPr>
                <w:rFonts w:ascii="微軟正黑體" w:eastAsia="微軟正黑體" w:hAnsi="微軟正黑體" w:cs="新細明體" w:hint="eastAsia"/>
                <w:b/>
                <w:color w:val="FFFFFF" w:themeColor="background1"/>
                <w:kern w:val="0"/>
                <w:sz w:val="22"/>
                <w:szCs w:val="22"/>
              </w:rPr>
              <w:t>瑞典</w:t>
            </w:r>
          </w:p>
        </w:tc>
        <w:tc>
          <w:tcPr>
            <w:tcW w:w="850"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152C0" w:rsidRPr="008156DD" w:rsidRDefault="00F152C0" w:rsidP="00C86667">
            <w:pPr>
              <w:widowControl/>
              <w:spacing w:line="340" w:lineRule="exact"/>
              <w:jc w:val="center"/>
              <w:rPr>
                <w:rFonts w:ascii="微軟正黑體" w:eastAsia="微軟正黑體" w:hAnsi="微軟正黑體" w:cs="新細明體"/>
                <w:b/>
                <w:color w:val="FFFFFF" w:themeColor="background1"/>
                <w:kern w:val="0"/>
                <w:sz w:val="22"/>
                <w:szCs w:val="22"/>
              </w:rPr>
            </w:pPr>
            <w:r w:rsidRPr="008156DD">
              <w:rPr>
                <w:rFonts w:ascii="微軟正黑體" w:eastAsia="微軟正黑體" w:hAnsi="微軟正黑體" w:cs="新細明體" w:hint="eastAsia"/>
                <w:b/>
                <w:color w:val="FFFFFF" w:themeColor="background1"/>
                <w:kern w:val="0"/>
                <w:sz w:val="22"/>
                <w:szCs w:val="22"/>
              </w:rPr>
              <w:t>丹麥</w:t>
            </w:r>
          </w:p>
        </w:tc>
        <w:tc>
          <w:tcPr>
            <w:tcW w:w="851" w:type="dxa"/>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F152C0" w:rsidRPr="008156DD" w:rsidRDefault="00F152C0" w:rsidP="00C86667">
            <w:pPr>
              <w:widowControl/>
              <w:spacing w:line="340" w:lineRule="exact"/>
              <w:jc w:val="center"/>
              <w:rPr>
                <w:rFonts w:ascii="微軟正黑體" w:eastAsia="微軟正黑體" w:hAnsi="微軟正黑體" w:cs="新細明體"/>
                <w:b/>
                <w:color w:val="FFFFFF" w:themeColor="background1"/>
                <w:kern w:val="0"/>
                <w:sz w:val="22"/>
                <w:szCs w:val="22"/>
              </w:rPr>
            </w:pPr>
            <w:r w:rsidRPr="008156DD">
              <w:rPr>
                <w:rFonts w:ascii="微軟正黑體" w:eastAsia="微軟正黑體" w:hAnsi="微軟正黑體" w:cs="新細明體" w:hint="eastAsia"/>
                <w:b/>
                <w:color w:val="FFFFFF" w:themeColor="background1"/>
                <w:kern w:val="0"/>
                <w:sz w:val="22"/>
                <w:szCs w:val="22"/>
              </w:rPr>
              <w:t>荷蘭</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color w:val="000000"/>
                <w:kern w:val="0"/>
                <w:sz w:val="22"/>
                <w:szCs w:val="22"/>
              </w:rPr>
            </w:pPr>
            <w:r w:rsidRPr="006A652C">
              <w:rPr>
                <w:rFonts w:ascii="微軟正黑體" w:eastAsia="微軟正黑體" w:hAnsi="微軟正黑體" w:cs="新細明體" w:hint="eastAsia"/>
                <w:color w:val="000000"/>
                <w:kern w:val="0"/>
                <w:sz w:val="22"/>
                <w:szCs w:val="22"/>
              </w:rPr>
              <w:t>15-19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EF427B" w:rsidRDefault="00F152C0" w:rsidP="00C86667">
            <w:pPr>
              <w:widowControl/>
              <w:spacing w:line="320" w:lineRule="exact"/>
              <w:jc w:val="center"/>
              <w:rPr>
                <w:rFonts w:ascii="微軟正黑體" w:eastAsia="微軟正黑體" w:hAnsi="微軟正黑體"/>
                <w:color w:val="000000"/>
                <w:kern w:val="0"/>
                <w:sz w:val="22"/>
                <w:szCs w:val="22"/>
              </w:rPr>
            </w:pPr>
            <w:r w:rsidRPr="00EF427B">
              <w:rPr>
                <w:rFonts w:ascii="微軟正黑體" w:eastAsia="微軟正黑體" w:hAnsi="微軟正黑體"/>
                <w:sz w:val="22"/>
                <w:szCs w:val="22"/>
              </w:rPr>
              <w:t xml:space="preserve"> 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Pr>
                <w:rFonts w:ascii="微軟正黑體" w:eastAsia="微軟正黑體" w:hAnsi="微軟正黑體"/>
                <w:sz w:val="22"/>
                <w:szCs w:val="22"/>
              </w:rPr>
              <w:t xml:space="preserve"> </w:t>
            </w:r>
            <w:r w:rsidRPr="00514380">
              <w:rPr>
                <w:rFonts w:ascii="微軟正黑體" w:eastAsia="微軟正黑體" w:hAnsi="微軟正黑體"/>
                <w:sz w:val="22"/>
                <w:szCs w:val="22"/>
              </w:rPr>
              <w:t>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19.6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28.8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Pr>
                <w:rFonts w:ascii="微軟正黑體" w:eastAsia="微軟正黑體" w:hAnsi="微軟正黑體"/>
                <w:color w:val="000000"/>
                <w:sz w:val="22"/>
                <w:szCs w:val="22"/>
              </w:rPr>
              <w:t xml:space="preserve"> </w:t>
            </w:r>
            <w:r w:rsidRPr="00514380">
              <w:rPr>
                <w:rFonts w:ascii="微軟正黑體" w:eastAsia="微軟正黑體" w:hAnsi="微軟正黑體"/>
                <w:color w:val="000000"/>
                <w:sz w:val="22"/>
                <w:szCs w:val="22"/>
              </w:rPr>
              <w:t>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Pr>
                <w:rFonts w:ascii="微軟正黑體" w:eastAsia="微軟正黑體" w:hAnsi="微軟正黑體"/>
                <w:color w:val="000000"/>
                <w:sz w:val="22"/>
                <w:szCs w:val="22"/>
              </w:rPr>
              <w:t xml:space="preserve"> </w:t>
            </w:r>
            <w:r w:rsidRPr="00514380">
              <w:rPr>
                <w:rFonts w:ascii="微軟正黑體" w:eastAsia="微軟正黑體" w:hAnsi="微軟正黑體"/>
                <w:color w:val="000000"/>
                <w:sz w:val="22"/>
                <w:szCs w:val="22"/>
              </w:rPr>
              <w:t>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24.2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42.3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57.8</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color w:val="000000"/>
                <w:kern w:val="0"/>
                <w:sz w:val="22"/>
                <w:szCs w:val="22"/>
              </w:rPr>
            </w:pPr>
            <w:r w:rsidRPr="006A652C">
              <w:rPr>
                <w:rFonts w:ascii="微軟正黑體" w:eastAsia="微軟正黑體" w:hAnsi="微軟正黑體" w:cs="新細明體" w:hint="eastAsia"/>
                <w:color w:val="000000"/>
                <w:kern w:val="0"/>
                <w:sz w:val="22"/>
                <w:szCs w:val="22"/>
              </w:rPr>
              <w:t>20-24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EF427B" w:rsidRDefault="00F152C0" w:rsidP="00C86667">
            <w:pPr>
              <w:widowControl/>
              <w:spacing w:line="320" w:lineRule="exact"/>
              <w:jc w:val="center"/>
              <w:rPr>
                <w:rFonts w:ascii="微軟正黑體" w:eastAsia="微軟正黑體" w:hAnsi="微軟正黑體"/>
                <w:color w:val="000000"/>
                <w:kern w:val="0"/>
                <w:sz w:val="22"/>
                <w:szCs w:val="22"/>
              </w:rPr>
            </w:pPr>
            <w:r w:rsidRPr="00EF427B">
              <w:rPr>
                <w:rFonts w:ascii="微軟正黑體" w:eastAsia="微軟正黑體" w:hAnsi="微軟正黑體"/>
                <w:sz w:val="22"/>
                <w:szCs w:val="22"/>
              </w:rPr>
              <w:t>49.8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44.1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58.2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46.9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23.2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55.8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64.3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69</w:t>
            </w:r>
            <w:r>
              <w:rPr>
                <w:rFonts w:ascii="微軟正黑體" w:eastAsia="微軟正黑體" w:hAnsi="微軟正黑體"/>
                <w:color w:val="000000"/>
                <w:sz w:val="22"/>
                <w:szCs w:val="22"/>
              </w:rPr>
              <w:t>.0</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b/>
                <w:color w:val="000000"/>
                <w:kern w:val="0"/>
                <w:sz w:val="22"/>
                <w:szCs w:val="22"/>
              </w:rPr>
            </w:pPr>
            <w:r w:rsidRPr="006A652C">
              <w:rPr>
                <w:rFonts w:ascii="微軟正黑體" w:eastAsia="微軟正黑體" w:hAnsi="微軟正黑體" w:cs="新細明體" w:hint="eastAsia"/>
                <w:b/>
                <w:color w:val="000000"/>
                <w:kern w:val="0"/>
                <w:sz w:val="22"/>
                <w:szCs w:val="22"/>
              </w:rPr>
              <w:t>25-29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EF427B" w:rsidRDefault="00F152C0" w:rsidP="00C86667">
            <w:pPr>
              <w:widowControl/>
              <w:spacing w:line="320" w:lineRule="exact"/>
              <w:jc w:val="center"/>
              <w:rPr>
                <w:rFonts w:ascii="微軟正黑體" w:eastAsia="微軟正黑體" w:hAnsi="微軟正黑體"/>
                <w:b/>
                <w:i/>
                <w:color w:val="000000"/>
                <w:kern w:val="0"/>
                <w:sz w:val="22"/>
                <w:szCs w:val="22"/>
              </w:rPr>
            </w:pPr>
            <w:r w:rsidRPr="00EF427B">
              <w:rPr>
                <w:rFonts w:ascii="微軟正黑體" w:eastAsia="微軟正黑體" w:hAnsi="微軟正黑體"/>
                <w:sz w:val="22"/>
                <w:szCs w:val="22"/>
              </w:rPr>
              <w:t>84.5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68.7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82.6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69.8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70.9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47.1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74.5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68.6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83.6</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color w:val="000000"/>
                <w:kern w:val="0"/>
                <w:sz w:val="22"/>
                <w:szCs w:val="22"/>
              </w:rPr>
            </w:pPr>
            <w:r w:rsidRPr="006A652C">
              <w:rPr>
                <w:rFonts w:ascii="微軟正黑體" w:eastAsia="微軟正黑體" w:hAnsi="微軟正黑體" w:cs="新細明體" w:hint="eastAsia"/>
                <w:color w:val="000000"/>
                <w:kern w:val="0"/>
                <w:sz w:val="22"/>
                <w:szCs w:val="22"/>
              </w:rPr>
              <w:t>30-34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EF427B" w:rsidRDefault="00F152C0" w:rsidP="00C86667">
            <w:pPr>
              <w:widowControl/>
              <w:spacing w:line="320" w:lineRule="exact"/>
              <w:jc w:val="center"/>
              <w:rPr>
                <w:rFonts w:ascii="微軟正黑體" w:eastAsia="微軟正黑體" w:hAnsi="微軟正黑體"/>
                <w:color w:val="000000"/>
                <w:kern w:val="0"/>
                <w:sz w:val="22"/>
                <w:szCs w:val="22"/>
              </w:rPr>
            </w:pPr>
            <w:r w:rsidRPr="00EF427B">
              <w:rPr>
                <w:rFonts w:ascii="微軟正黑體" w:eastAsia="微軟正黑體" w:hAnsi="微軟正黑體"/>
                <w:sz w:val="22"/>
                <w:szCs w:val="22"/>
              </w:rPr>
              <w:t>83.9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64.5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68.9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56.4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79.6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83.6</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color w:val="000000"/>
                <w:kern w:val="0"/>
                <w:sz w:val="22"/>
                <w:szCs w:val="22"/>
              </w:rPr>
            </w:pPr>
            <w:r w:rsidRPr="006A652C">
              <w:rPr>
                <w:rFonts w:ascii="微軟正黑體" w:eastAsia="微軟正黑體" w:hAnsi="微軟正黑體" w:cs="新細明體" w:hint="eastAsia"/>
                <w:color w:val="000000"/>
                <w:kern w:val="0"/>
                <w:sz w:val="22"/>
                <w:szCs w:val="22"/>
              </w:rPr>
              <w:t>35-39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EF427B" w:rsidRDefault="00F152C0" w:rsidP="00C86667">
            <w:pPr>
              <w:widowControl/>
              <w:spacing w:line="320" w:lineRule="exact"/>
              <w:jc w:val="center"/>
              <w:rPr>
                <w:rFonts w:ascii="微軟正黑體" w:eastAsia="微軟正黑體" w:hAnsi="微軟正黑體"/>
                <w:color w:val="000000"/>
                <w:kern w:val="0"/>
                <w:sz w:val="22"/>
                <w:szCs w:val="22"/>
              </w:rPr>
            </w:pPr>
            <w:r w:rsidRPr="00EF427B">
              <w:rPr>
                <w:rFonts w:ascii="微軟正黑體" w:eastAsia="微軟正黑體" w:hAnsi="微軟正黑體"/>
                <w:sz w:val="22"/>
                <w:szCs w:val="22"/>
              </w:rPr>
              <w:t>79.6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58.6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69.2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60.9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81.8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81.7</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color w:val="000000"/>
                <w:kern w:val="0"/>
                <w:sz w:val="22"/>
                <w:szCs w:val="22"/>
              </w:rPr>
            </w:pPr>
            <w:r w:rsidRPr="006A652C">
              <w:rPr>
                <w:rFonts w:ascii="微軟正黑體" w:eastAsia="微軟正黑體" w:hAnsi="微軟正黑體" w:cs="新細明體" w:hint="eastAsia"/>
                <w:color w:val="000000"/>
                <w:kern w:val="0"/>
                <w:sz w:val="22"/>
                <w:szCs w:val="22"/>
              </w:rPr>
              <w:t>40-44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EF427B" w:rsidRDefault="00F152C0" w:rsidP="00C86667">
            <w:pPr>
              <w:widowControl/>
              <w:spacing w:line="320" w:lineRule="exact"/>
              <w:jc w:val="center"/>
              <w:rPr>
                <w:rFonts w:ascii="微軟正黑體" w:eastAsia="微軟正黑體" w:hAnsi="微軟正黑體"/>
                <w:color w:val="000000"/>
                <w:kern w:val="0"/>
                <w:sz w:val="22"/>
                <w:szCs w:val="22"/>
              </w:rPr>
            </w:pPr>
            <w:r w:rsidRPr="00EF427B">
              <w:rPr>
                <w:rFonts w:ascii="微軟正黑體" w:eastAsia="微軟正黑體" w:hAnsi="微軟正黑體"/>
                <w:sz w:val="22"/>
                <w:szCs w:val="22"/>
              </w:rPr>
              <w:t>74.4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61.4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62.5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84.8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81.9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79.1</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color w:val="000000"/>
                <w:kern w:val="0"/>
                <w:sz w:val="22"/>
                <w:szCs w:val="22"/>
              </w:rPr>
            </w:pPr>
            <w:r w:rsidRPr="006A652C">
              <w:rPr>
                <w:rFonts w:ascii="微軟正黑體" w:eastAsia="微軟正黑體" w:hAnsi="微軟正黑體" w:cs="新細明體" w:hint="eastAsia"/>
                <w:color w:val="000000"/>
                <w:kern w:val="0"/>
                <w:sz w:val="22"/>
                <w:szCs w:val="22"/>
              </w:rPr>
              <w:t>45-49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EF427B" w:rsidRDefault="00F152C0" w:rsidP="00C86667">
            <w:pPr>
              <w:widowControl/>
              <w:spacing w:line="320" w:lineRule="exact"/>
              <w:jc w:val="center"/>
              <w:rPr>
                <w:rFonts w:ascii="微軟正黑體" w:eastAsia="微軟正黑體" w:hAnsi="微軟正黑體"/>
                <w:color w:val="000000"/>
                <w:kern w:val="0"/>
                <w:sz w:val="22"/>
                <w:szCs w:val="22"/>
              </w:rPr>
            </w:pPr>
            <w:r w:rsidRPr="00EF427B">
              <w:rPr>
                <w:rFonts w:ascii="微軟正黑體" w:eastAsia="微軟正黑體" w:hAnsi="微軟正黑體"/>
                <w:sz w:val="22"/>
                <w:szCs w:val="22"/>
              </w:rPr>
              <w:t>74.0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66</w:t>
            </w:r>
            <w:r>
              <w:rPr>
                <w:rFonts w:ascii="微軟正黑體" w:eastAsia="微軟正黑體" w:hAnsi="微軟正黑體"/>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79.2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70.8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81</w:t>
            </w:r>
            <w:r>
              <w:rPr>
                <w:rFonts w:ascii="微軟正黑體" w:eastAsia="微軟正黑體" w:hAnsi="微軟正黑體"/>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62.7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sz w:val="22"/>
                <w:szCs w:val="22"/>
              </w:rPr>
              <w:t>86.6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84.4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color w:val="000000"/>
                <w:kern w:val="0"/>
                <w:sz w:val="22"/>
                <w:szCs w:val="22"/>
              </w:rPr>
            </w:pPr>
            <w:r w:rsidRPr="00514380">
              <w:rPr>
                <w:rFonts w:ascii="微軟正黑體" w:eastAsia="微軟正黑體" w:hAnsi="微軟正黑體"/>
                <w:color w:val="000000"/>
                <w:sz w:val="22"/>
                <w:szCs w:val="22"/>
              </w:rPr>
              <w:t>81</w:t>
            </w:r>
            <w:r>
              <w:rPr>
                <w:rFonts w:ascii="微軟正黑體" w:eastAsia="微軟正黑體" w:hAnsi="微軟正黑體"/>
                <w:color w:val="000000"/>
                <w:sz w:val="22"/>
                <w:szCs w:val="22"/>
              </w:rPr>
              <w:t>.0</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b/>
                <w:color w:val="000000"/>
                <w:kern w:val="0"/>
                <w:sz w:val="22"/>
                <w:szCs w:val="22"/>
              </w:rPr>
            </w:pPr>
            <w:r w:rsidRPr="006A652C">
              <w:rPr>
                <w:rFonts w:ascii="微軟正黑體" w:eastAsia="微軟正黑體" w:hAnsi="微軟正黑體" w:cs="新細明體" w:hint="eastAsia"/>
                <w:b/>
                <w:color w:val="000000"/>
                <w:kern w:val="0"/>
                <w:sz w:val="22"/>
                <w:szCs w:val="22"/>
              </w:rPr>
              <w:t>50-54</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F152C0" w:rsidRPr="00EF427B" w:rsidRDefault="00F152C0" w:rsidP="00C86667">
            <w:pPr>
              <w:widowControl/>
              <w:spacing w:line="320" w:lineRule="exact"/>
              <w:jc w:val="center"/>
              <w:rPr>
                <w:rFonts w:ascii="微軟正黑體" w:eastAsia="微軟正黑體" w:hAnsi="微軟正黑體"/>
                <w:b/>
                <w:i/>
                <w:color w:val="000000"/>
                <w:kern w:val="0"/>
                <w:sz w:val="22"/>
                <w:szCs w:val="22"/>
              </w:rPr>
            </w:pPr>
            <w:r w:rsidRPr="00EF427B">
              <w:rPr>
                <w:rFonts w:ascii="微軟正黑體" w:eastAsia="微軟正黑體" w:hAnsi="微軟正黑體"/>
                <w:sz w:val="22"/>
                <w:szCs w:val="22"/>
              </w:rPr>
              <w:t>62.7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65.5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78.1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68.3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78.6</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60.9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86.3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81.4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78.2</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b/>
                <w:color w:val="000000"/>
                <w:kern w:val="0"/>
                <w:sz w:val="22"/>
                <w:szCs w:val="22"/>
              </w:rPr>
            </w:pPr>
            <w:r w:rsidRPr="006A652C">
              <w:rPr>
                <w:rFonts w:ascii="微軟正黑體" w:eastAsia="微軟正黑體" w:hAnsi="微軟正黑體" w:cs="新細明體" w:hint="eastAsia"/>
                <w:b/>
                <w:color w:val="000000"/>
                <w:kern w:val="0"/>
                <w:sz w:val="22"/>
                <w:szCs w:val="22"/>
              </w:rPr>
              <w:t>55-59</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F152C0" w:rsidRPr="00EF427B" w:rsidRDefault="00F152C0" w:rsidP="00C86667">
            <w:pPr>
              <w:widowControl/>
              <w:spacing w:line="320" w:lineRule="exact"/>
              <w:jc w:val="center"/>
              <w:rPr>
                <w:rFonts w:ascii="微軟正黑體" w:eastAsia="微軟正黑體" w:hAnsi="微軟正黑體"/>
                <w:b/>
                <w:i/>
                <w:color w:val="000000"/>
                <w:kern w:val="0"/>
                <w:sz w:val="22"/>
                <w:szCs w:val="22"/>
              </w:rPr>
            </w:pPr>
            <w:r w:rsidRPr="00EF427B">
              <w:rPr>
                <w:rFonts w:ascii="微軟正黑體" w:eastAsia="微軟正黑體" w:hAnsi="微軟正黑體"/>
                <w:sz w:val="22"/>
                <w:szCs w:val="22"/>
              </w:rPr>
              <w:t>43.7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60.6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72.8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61.7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70.2</w:t>
            </w:r>
          </w:p>
        </w:tc>
        <w:tc>
          <w:tcPr>
            <w:tcW w:w="85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54.1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84.4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78.9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71.6</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jc w:val="center"/>
              <w:rPr>
                <w:rFonts w:ascii="微軟正黑體" w:eastAsia="微軟正黑體" w:hAnsi="微軟正黑體" w:cs="新細明體"/>
                <w:b/>
                <w:color w:val="000000"/>
                <w:kern w:val="0"/>
                <w:sz w:val="22"/>
                <w:szCs w:val="22"/>
              </w:rPr>
            </w:pPr>
            <w:r w:rsidRPr="006A652C">
              <w:rPr>
                <w:rFonts w:ascii="微軟正黑體" w:eastAsia="微軟正黑體" w:hAnsi="微軟正黑體" w:cs="新細明體" w:hint="eastAsia"/>
                <w:b/>
                <w:color w:val="000000"/>
                <w:kern w:val="0"/>
                <w:sz w:val="22"/>
                <w:szCs w:val="22"/>
              </w:rPr>
              <w:t>60-64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EF427B" w:rsidRDefault="00F152C0" w:rsidP="00C86667">
            <w:pPr>
              <w:widowControl/>
              <w:spacing w:line="320" w:lineRule="exact"/>
              <w:jc w:val="center"/>
              <w:rPr>
                <w:rFonts w:ascii="微軟正黑體" w:eastAsia="微軟正黑體" w:hAnsi="微軟正黑體"/>
                <w:b/>
                <w:i/>
                <w:color w:val="000000"/>
                <w:kern w:val="0"/>
                <w:sz w:val="22"/>
                <w:szCs w:val="22"/>
              </w:rPr>
            </w:pPr>
            <w:r w:rsidRPr="00EF427B">
              <w:rPr>
                <w:rFonts w:ascii="微軟正黑體" w:eastAsia="微軟正黑體" w:hAnsi="微軟正黑體"/>
                <w:sz w:val="22"/>
                <w:szCs w:val="22"/>
              </w:rPr>
              <w:t>24</w:t>
            </w:r>
            <w:r>
              <w:rPr>
                <w:rFonts w:ascii="微軟正黑體" w:eastAsia="微軟正黑體" w:hAnsi="微軟正黑體"/>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50.1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59.7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47.8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32.5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33.5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65.9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53.9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Pr>
                <w:rFonts w:ascii="微軟正黑體" w:eastAsia="微軟正黑體" w:hAnsi="微軟正黑體" w:hint="eastAsia"/>
                <w:color w:val="000000"/>
                <w:sz w:val="22"/>
                <w:szCs w:val="22"/>
              </w:rPr>
              <w:t>5</w:t>
            </w:r>
            <w:r w:rsidRPr="00514380">
              <w:rPr>
                <w:rFonts w:ascii="微軟正黑體" w:eastAsia="微軟正黑體" w:hAnsi="微軟正黑體"/>
                <w:color w:val="000000"/>
                <w:sz w:val="22"/>
                <w:szCs w:val="22"/>
              </w:rPr>
              <w:t>2.6</w:t>
            </w:r>
          </w:p>
        </w:tc>
      </w:tr>
      <w:tr w:rsidR="00F152C0" w:rsidRPr="006A652C" w:rsidTr="00C86667">
        <w:trPr>
          <w:trHeight w:val="425"/>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52C0" w:rsidRPr="006A652C" w:rsidRDefault="00F152C0" w:rsidP="00C86667">
            <w:pPr>
              <w:widowControl/>
              <w:spacing w:line="320" w:lineRule="exact"/>
              <w:ind w:rightChars="-9" w:right="-22"/>
              <w:jc w:val="center"/>
              <w:rPr>
                <w:rFonts w:ascii="微軟正黑體" w:eastAsia="微軟正黑體" w:hAnsi="微軟正黑體" w:cs="新細明體"/>
                <w:b/>
                <w:color w:val="000000"/>
                <w:kern w:val="0"/>
                <w:sz w:val="22"/>
                <w:szCs w:val="22"/>
              </w:rPr>
            </w:pPr>
            <w:r w:rsidRPr="006A652C">
              <w:rPr>
                <w:rFonts w:ascii="微軟正黑體" w:eastAsia="微軟正黑體" w:hAnsi="微軟正黑體" w:cs="新細明體" w:hint="eastAsia"/>
                <w:b/>
                <w:color w:val="000000"/>
                <w:kern w:val="0"/>
                <w:sz w:val="22"/>
                <w:szCs w:val="22"/>
              </w:rPr>
              <w:t>65以上</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EF427B" w:rsidRDefault="00F152C0" w:rsidP="00C86667">
            <w:pPr>
              <w:widowControl/>
              <w:spacing w:line="320" w:lineRule="exact"/>
              <w:jc w:val="center"/>
              <w:rPr>
                <w:rFonts w:ascii="微軟正黑體" w:eastAsia="微軟正黑體" w:hAnsi="微軟正黑體"/>
                <w:b/>
                <w:i/>
                <w:color w:val="000000"/>
                <w:kern w:val="0"/>
                <w:sz w:val="22"/>
                <w:szCs w:val="22"/>
              </w:rPr>
            </w:pPr>
            <w:r>
              <w:rPr>
                <w:rFonts w:ascii="微軟正黑體" w:eastAsia="微軟正黑體" w:hAnsi="微軟正黑體"/>
                <w:sz w:val="22"/>
                <w:szCs w:val="22"/>
              </w:rPr>
              <w:t xml:space="preserve"> </w:t>
            </w:r>
            <w:r w:rsidRPr="00EF427B">
              <w:rPr>
                <w:rFonts w:ascii="微軟正黑體" w:eastAsia="微軟正黑體" w:hAnsi="微軟正黑體"/>
                <w:sz w:val="22"/>
                <w:szCs w:val="22"/>
              </w:rPr>
              <w:t>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26.9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18</w:t>
            </w:r>
            <w:r>
              <w:rPr>
                <w:rFonts w:ascii="微軟正黑體" w:eastAsia="微軟正黑體" w:hAnsi="微軟正黑體" w:hint="eastAsia"/>
                <w:color w:val="000000"/>
                <w:sz w:val="22"/>
                <w:szCs w:val="22"/>
              </w:rPr>
              <w:t>.</w:t>
            </w:r>
            <w:r>
              <w:rPr>
                <w:rFonts w:ascii="微軟正黑體" w:eastAsia="微軟正黑體" w:hAnsi="微軟正黑體"/>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color w:val="000000"/>
                <w:sz w:val="22"/>
                <w:szCs w:val="22"/>
              </w:rPr>
              <w:t>14.5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Pr>
                <w:rFonts w:ascii="微軟正黑體" w:eastAsia="微軟正黑體" w:hAnsi="微軟正黑體"/>
                <w:color w:val="000000"/>
                <w:sz w:val="22"/>
                <w:szCs w:val="22"/>
              </w:rPr>
              <w:t xml:space="preserve"> </w:t>
            </w:r>
            <w:r w:rsidRPr="00514380">
              <w:rPr>
                <w:rFonts w:ascii="微軟正黑體" w:eastAsia="微軟正黑體" w:hAnsi="微軟正黑體"/>
                <w:color w:val="000000"/>
                <w:sz w:val="22"/>
                <w:szCs w:val="22"/>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Pr>
                <w:rFonts w:ascii="微軟正黑體" w:eastAsia="微軟正黑體" w:hAnsi="微軟正黑體"/>
                <w:color w:val="000000"/>
                <w:sz w:val="22"/>
                <w:szCs w:val="22"/>
              </w:rPr>
              <w:t xml:space="preserve"> </w:t>
            </w:r>
            <w:r w:rsidRPr="00514380">
              <w:rPr>
                <w:rFonts w:ascii="微軟正黑體" w:eastAsia="微軟正黑體" w:hAnsi="微軟正黑體"/>
                <w:color w:val="000000"/>
                <w:sz w:val="22"/>
                <w:szCs w:val="22"/>
              </w:rPr>
              <w:t>2.9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sidRPr="00514380">
              <w:rPr>
                <w:rFonts w:ascii="微軟正黑體" w:eastAsia="微軟正黑體" w:hAnsi="微軟正黑體"/>
                <w:sz w:val="22"/>
                <w:szCs w:val="22"/>
              </w:rPr>
              <w:t>14</w:t>
            </w:r>
            <w:r>
              <w:rPr>
                <w:rFonts w:ascii="微軟正黑體" w:eastAsia="微軟正黑體" w:hAnsi="微軟正黑體"/>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Pr>
                <w:rFonts w:ascii="微軟正黑體" w:eastAsia="微軟正黑體" w:hAnsi="微軟正黑體"/>
                <w:color w:val="000000"/>
                <w:sz w:val="22"/>
                <w:szCs w:val="22"/>
              </w:rPr>
              <w:t xml:space="preserve"> </w:t>
            </w:r>
            <w:r w:rsidRPr="00514380">
              <w:rPr>
                <w:rFonts w:ascii="微軟正黑體" w:eastAsia="微軟正黑體" w:hAnsi="微軟正黑體"/>
                <w:color w:val="000000"/>
                <w:sz w:val="22"/>
                <w:szCs w:val="22"/>
              </w:rPr>
              <w:t>4.7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2C0" w:rsidRPr="00514380" w:rsidRDefault="00F152C0" w:rsidP="00C86667">
            <w:pPr>
              <w:widowControl/>
              <w:spacing w:line="320" w:lineRule="exact"/>
              <w:jc w:val="center"/>
              <w:rPr>
                <w:rFonts w:ascii="微軟正黑體" w:eastAsia="微軟正黑體" w:hAnsi="微軟正黑體"/>
                <w:b/>
                <w:color w:val="000000"/>
                <w:kern w:val="0"/>
                <w:sz w:val="22"/>
                <w:szCs w:val="22"/>
              </w:rPr>
            </w:pPr>
            <w:r>
              <w:rPr>
                <w:rFonts w:ascii="微軟正黑體" w:eastAsia="微軟正黑體" w:hAnsi="微軟正黑體" w:hint="eastAsia"/>
                <w:color w:val="000000"/>
                <w:sz w:val="22"/>
                <w:szCs w:val="22"/>
              </w:rPr>
              <w:t xml:space="preserve"> </w:t>
            </w:r>
            <w:r w:rsidRPr="00514380">
              <w:rPr>
                <w:rFonts w:ascii="微軟正黑體" w:eastAsia="微軟正黑體" w:hAnsi="微軟正黑體"/>
                <w:color w:val="000000"/>
                <w:sz w:val="22"/>
                <w:szCs w:val="22"/>
              </w:rPr>
              <w:t>5.6</w:t>
            </w:r>
          </w:p>
        </w:tc>
      </w:tr>
    </w:tbl>
    <w:p w:rsidR="00F152C0" w:rsidRPr="00027434" w:rsidRDefault="00F152C0" w:rsidP="00F152C0">
      <w:pPr>
        <w:spacing w:beforeLines="30" w:before="108" w:line="320" w:lineRule="exact"/>
        <w:contextualSpacing/>
        <w:rPr>
          <w:rFonts w:ascii="微軟正黑體" w:eastAsia="微軟正黑體" w:hAnsi="微軟正黑體"/>
          <w:sz w:val="20"/>
          <w:szCs w:val="20"/>
        </w:rPr>
      </w:pPr>
      <w:r w:rsidRPr="00027434">
        <w:rPr>
          <w:rFonts w:ascii="微軟正黑體" w:eastAsia="微軟正黑體" w:hAnsi="微軟正黑體" w:hint="eastAsia"/>
          <w:sz w:val="20"/>
          <w:szCs w:val="20"/>
        </w:rPr>
        <w:t>資料來源：</w:t>
      </w:r>
      <w:r>
        <w:rPr>
          <w:rFonts w:ascii="微軟正黑體" w:eastAsia="微軟正黑體" w:hAnsi="微軟正黑體" w:hint="eastAsia"/>
          <w:sz w:val="20"/>
          <w:szCs w:val="20"/>
        </w:rPr>
        <w:t>勞動部</w:t>
      </w:r>
      <w:r w:rsidRPr="00027434">
        <w:rPr>
          <w:rFonts w:ascii="微軟正黑體" w:eastAsia="微軟正黑體" w:hAnsi="微軟正黑體" w:hint="eastAsia"/>
          <w:sz w:val="20"/>
          <w:szCs w:val="20"/>
        </w:rPr>
        <w:t>10</w:t>
      </w:r>
      <w:r>
        <w:rPr>
          <w:rFonts w:ascii="微軟正黑體" w:eastAsia="微軟正黑體" w:hAnsi="微軟正黑體" w:hint="eastAsia"/>
          <w:sz w:val="20"/>
          <w:szCs w:val="20"/>
        </w:rPr>
        <w:t>9</w:t>
      </w:r>
      <w:r w:rsidRPr="00027434">
        <w:rPr>
          <w:rFonts w:ascii="微軟正黑體" w:eastAsia="微軟正黑體" w:hAnsi="微軟正黑體" w:hint="eastAsia"/>
          <w:sz w:val="20"/>
          <w:szCs w:val="20"/>
        </w:rPr>
        <w:t>年國際勞動統計</w:t>
      </w:r>
      <w:r>
        <w:rPr>
          <w:rFonts w:ascii="微軟正黑體" w:eastAsia="微軟正黑體" w:hAnsi="微軟正黑體" w:hint="eastAsia"/>
          <w:sz w:val="20"/>
          <w:szCs w:val="20"/>
        </w:rPr>
        <w:t>(</w:t>
      </w:r>
      <w:r w:rsidRPr="00027434">
        <w:rPr>
          <w:rFonts w:ascii="微軟正黑體" w:eastAsia="微軟正黑體" w:hAnsi="微軟正黑體" w:hint="eastAsia"/>
          <w:sz w:val="20"/>
          <w:szCs w:val="20"/>
        </w:rPr>
        <w:t>20</w:t>
      </w:r>
      <w:r>
        <w:rPr>
          <w:rFonts w:ascii="微軟正黑體" w:eastAsia="微軟正黑體" w:hAnsi="微軟正黑體" w:hint="eastAsia"/>
          <w:sz w:val="20"/>
          <w:szCs w:val="20"/>
        </w:rPr>
        <w:t>20</w:t>
      </w:r>
      <w:r w:rsidRPr="00027434">
        <w:rPr>
          <w:rFonts w:ascii="微軟正黑體" w:eastAsia="微軟正黑體" w:hAnsi="微軟正黑體"/>
          <w:sz w:val="20"/>
          <w:szCs w:val="20"/>
        </w:rPr>
        <w:t xml:space="preserve">: </w:t>
      </w:r>
      <w:r w:rsidRPr="00027434">
        <w:rPr>
          <w:rFonts w:ascii="微軟正黑體" w:eastAsia="微軟正黑體" w:hAnsi="微軟正黑體" w:hint="eastAsia"/>
          <w:sz w:val="20"/>
          <w:szCs w:val="20"/>
        </w:rPr>
        <w:t>3</w:t>
      </w:r>
      <w:r w:rsidRPr="00027434">
        <w:rPr>
          <w:rFonts w:ascii="微軟正黑體" w:eastAsia="微軟正黑體" w:hAnsi="微軟正黑體"/>
          <w:sz w:val="20"/>
          <w:szCs w:val="20"/>
        </w:rPr>
        <w:t>-</w:t>
      </w:r>
      <w:r w:rsidRPr="00027434">
        <w:rPr>
          <w:rFonts w:ascii="微軟正黑體" w:eastAsia="微軟正黑體" w:hAnsi="微軟正黑體" w:hint="eastAsia"/>
          <w:sz w:val="20"/>
          <w:szCs w:val="20"/>
        </w:rPr>
        <w:t>10</w:t>
      </w:r>
      <w:r w:rsidRPr="00027434">
        <w:rPr>
          <w:rFonts w:ascii="微軟正黑體" w:eastAsia="微軟正黑體" w:hAnsi="微軟正黑體"/>
          <w:sz w:val="20"/>
          <w:szCs w:val="20"/>
        </w:rPr>
        <w:t>—</w:t>
      </w:r>
      <w:r w:rsidRPr="00027434">
        <w:rPr>
          <w:rFonts w:ascii="微軟正黑體" w:eastAsia="微軟正黑體" w:hAnsi="微軟正黑體" w:hint="eastAsia"/>
          <w:sz w:val="20"/>
          <w:szCs w:val="20"/>
        </w:rPr>
        <w:t>3</w:t>
      </w:r>
      <w:r w:rsidRPr="00027434">
        <w:rPr>
          <w:rFonts w:ascii="微軟正黑體" w:eastAsia="微軟正黑體" w:hAnsi="微軟正黑體"/>
          <w:sz w:val="20"/>
          <w:szCs w:val="20"/>
        </w:rPr>
        <w:t>-</w:t>
      </w:r>
      <w:r w:rsidRPr="00027434">
        <w:rPr>
          <w:rFonts w:ascii="微軟正黑體" w:eastAsia="微軟正黑體" w:hAnsi="微軟正黑體" w:hint="eastAsia"/>
          <w:sz w:val="20"/>
          <w:szCs w:val="20"/>
        </w:rPr>
        <w:t>14)。</w:t>
      </w:r>
    </w:p>
    <w:p w:rsidR="00F152C0" w:rsidRPr="00027434"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027434">
        <w:rPr>
          <w:rFonts w:ascii="微軟正黑體" w:eastAsia="微軟正黑體" w:hAnsi="微軟正黑體" w:hint="eastAsia"/>
          <w:sz w:val="20"/>
          <w:szCs w:val="20"/>
        </w:rPr>
        <w:t>說明：</w:t>
      </w:r>
      <w:r>
        <w:rPr>
          <w:rFonts w:ascii="微軟正黑體" w:eastAsia="微軟正黑體" w:hAnsi="微軟正黑體" w:hint="eastAsia"/>
          <w:sz w:val="20"/>
          <w:szCs w:val="20"/>
        </w:rPr>
        <w:t>台灣</w:t>
      </w:r>
      <w:r w:rsidRPr="00027434">
        <w:rPr>
          <w:rFonts w:ascii="微軟正黑體" w:eastAsia="微軟正黑體" w:hAnsi="微軟正黑體"/>
          <w:sz w:val="20"/>
          <w:szCs w:val="20"/>
        </w:rPr>
        <w:t>－行政院主計總處「人力資源調查」。各國－Data extracted from OECD.</w:t>
      </w:r>
      <w:r>
        <w:rPr>
          <w:rFonts w:ascii="微軟正黑體" w:eastAsia="微軟正黑體" w:hAnsi="微軟正黑體"/>
          <w:sz w:val="20"/>
          <w:szCs w:val="20"/>
        </w:rPr>
        <w:t xml:space="preserve"> </w:t>
      </w:r>
      <w:r w:rsidRPr="00027434">
        <w:rPr>
          <w:rFonts w:ascii="微軟正黑體" w:eastAsia="微軟正黑體" w:hAnsi="微軟正黑體"/>
          <w:sz w:val="20"/>
          <w:szCs w:val="20"/>
        </w:rPr>
        <w:t>Stat。</w:t>
      </w:r>
    </w:p>
    <w:p w:rsidR="00F152C0" w:rsidRPr="00027434"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027434">
        <w:rPr>
          <w:rFonts w:ascii="微軟正黑體" w:eastAsia="微軟正黑體" w:hAnsi="微軟正黑體"/>
          <w:sz w:val="20"/>
          <w:szCs w:val="20"/>
        </w:rPr>
        <w:t>附註：(1)</w:t>
      </w:r>
      <w:r w:rsidRPr="00027434">
        <w:rPr>
          <w:rFonts w:ascii="微軟正黑體" w:eastAsia="微軟正黑體" w:hAnsi="微軟正黑體" w:hint="eastAsia"/>
          <w:sz w:val="20"/>
          <w:szCs w:val="20"/>
        </w:rPr>
        <w:t xml:space="preserve"> </w:t>
      </w:r>
      <w:r w:rsidRPr="00027434">
        <w:rPr>
          <w:rFonts w:ascii="微軟正黑體" w:eastAsia="微軟正黑體" w:hAnsi="微軟正黑體"/>
          <w:sz w:val="20"/>
          <w:szCs w:val="20"/>
        </w:rPr>
        <w:t>人口及就業者資料為</w:t>
      </w:r>
      <w:hyperlink r:id="rId155">
        <w:r w:rsidRPr="00027434">
          <w:rPr>
            <w:rFonts w:ascii="微軟正黑體" w:eastAsia="微軟正黑體" w:hAnsi="微軟正黑體"/>
            <w:sz w:val="20"/>
            <w:szCs w:val="20"/>
          </w:rPr>
          <w:t>OECD.Stat</w:t>
        </w:r>
      </w:hyperlink>
      <w:r w:rsidRPr="00027434">
        <w:rPr>
          <w:rFonts w:ascii="微軟正黑體" w:eastAsia="微軟正黑體" w:hAnsi="微軟正黑體"/>
          <w:sz w:val="20"/>
          <w:szCs w:val="20"/>
        </w:rPr>
        <w:t>，與各國官方發布資料略有差異。</w:t>
      </w: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027434">
        <w:rPr>
          <w:rFonts w:ascii="微軟正黑體" w:eastAsia="微軟正黑體" w:hAnsi="微軟正黑體" w:hint="eastAsia"/>
          <w:sz w:val="20"/>
          <w:szCs w:val="20"/>
        </w:rPr>
        <w:t xml:space="preserve">      </w:t>
      </w:r>
      <w:r w:rsidRPr="00027434">
        <w:rPr>
          <w:rFonts w:ascii="微軟正黑體" w:eastAsia="微軟正黑體" w:hAnsi="微軟正黑體"/>
          <w:sz w:val="20"/>
          <w:szCs w:val="20"/>
        </w:rPr>
        <w:t>(2)</w:t>
      </w:r>
      <w:r w:rsidRPr="00027434">
        <w:rPr>
          <w:rFonts w:ascii="微軟正黑體" w:eastAsia="微軟正黑體" w:hAnsi="微軟正黑體" w:hint="eastAsia"/>
          <w:sz w:val="20"/>
          <w:szCs w:val="20"/>
        </w:rPr>
        <w:t xml:space="preserve"> </w:t>
      </w:r>
      <w:r w:rsidRPr="00027434">
        <w:rPr>
          <w:rFonts w:ascii="微軟正黑體" w:eastAsia="微軟正黑體" w:hAnsi="微軟正黑體"/>
          <w:sz w:val="20"/>
          <w:szCs w:val="20"/>
        </w:rPr>
        <w:t>各年齡層資料以千人計，總計有捨入誤差。</w:t>
      </w:r>
    </w:p>
    <w:p w:rsidR="00F152C0" w:rsidRPr="002B39D1"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400" w:lineRule="exact"/>
        <w:ind w:left="-2"/>
        <w:contextualSpacing/>
        <w:jc w:val="both"/>
        <w:rPr>
          <w:rFonts w:ascii="微軟正黑體" w:eastAsia="微軟正黑體" w:hAnsi="微軟正黑體"/>
        </w:rPr>
      </w:pPr>
      <w:r>
        <w:rPr>
          <w:rFonts w:ascii="微軟正黑體" w:eastAsia="微軟正黑體" w:hAnsi="微軟正黑體" w:hint="eastAsia"/>
        </w:rPr>
        <w:t xml:space="preserve">    </w:t>
      </w:r>
      <w:r w:rsidRPr="006F76C5">
        <w:rPr>
          <w:rFonts w:ascii="微軟正黑體" w:eastAsia="微軟正黑體" w:hAnsi="微軟正黑體" w:hint="eastAsia"/>
        </w:rPr>
        <w:t>我國109年度全體就業者受雇比率為79.8 %，總受雇人數為917萬8千人左右。中高齡及高齡就業者從業身分受雇人數為315</w:t>
      </w:r>
      <w:r w:rsidRPr="006F76C5">
        <w:rPr>
          <w:rFonts w:ascii="微軟正黑體" w:eastAsia="微軟正黑體" w:hAnsi="微軟正黑體"/>
        </w:rPr>
        <w:t>.6</w:t>
      </w:r>
      <w:r w:rsidRPr="006F76C5">
        <w:rPr>
          <w:rFonts w:ascii="微軟正黑體" w:eastAsia="微軟正黑體" w:hAnsi="微軟正黑體" w:hint="eastAsia"/>
        </w:rPr>
        <w:t>萬人，占67.3%；自營作業者占9</w:t>
      </w:r>
      <w:r w:rsidRPr="006F76C5">
        <w:rPr>
          <w:rFonts w:ascii="微軟正黑體" w:eastAsia="微軟正黑體" w:hAnsi="微軟正黑體"/>
        </w:rPr>
        <w:t>2.9</w:t>
      </w:r>
      <w:r w:rsidRPr="006F76C5">
        <w:rPr>
          <w:rFonts w:ascii="微軟正黑體" w:eastAsia="微軟正黑體" w:hAnsi="微軟正黑體" w:hint="eastAsia"/>
        </w:rPr>
        <w:t>萬人，占19.8%。</w:t>
      </w:r>
      <w:r w:rsidRPr="00027434">
        <w:rPr>
          <w:rFonts w:ascii="微軟正黑體" w:eastAsia="微軟正黑體" w:hAnsi="微軟正黑體" w:hint="eastAsia"/>
        </w:rPr>
        <w:t>如進一步分齡觀察，可發現45-49歲受私人雇用比率仍有6</w:t>
      </w:r>
      <w:r>
        <w:rPr>
          <w:rFonts w:ascii="微軟正黑體" w:eastAsia="微軟正黑體" w:hAnsi="微軟正黑體" w:hint="eastAsia"/>
        </w:rPr>
        <w:t>8</w:t>
      </w:r>
      <w:r w:rsidRPr="00027434">
        <w:rPr>
          <w:rFonts w:ascii="微軟正黑體" w:eastAsia="微軟正黑體" w:hAnsi="微軟正黑體" w:hint="eastAsia"/>
        </w:rPr>
        <w:t>.</w:t>
      </w:r>
      <w:r>
        <w:rPr>
          <w:rFonts w:ascii="微軟正黑體" w:eastAsia="微軟正黑體" w:hAnsi="微軟正黑體" w:hint="eastAsia"/>
        </w:rPr>
        <w:t>96</w:t>
      </w:r>
      <w:r w:rsidRPr="00027434">
        <w:rPr>
          <w:rFonts w:ascii="微軟正黑體" w:eastAsia="微軟正黑體" w:hAnsi="微軟正黑體" w:hint="eastAsia"/>
        </w:rPr>
        <w:t>%，50-54歲降為61.</w:t>
      </w:r>
      <w:r>
        <w:rPr>
          <w:rFonts w:ascii="微軟正黑體" w:eastAsia="微軟正黑體" w:hAnsi="微軟正黑體" w:hint="eastAsia"/>
        </w:rPr>
        <w:t>31</w:t>
      </w:r>
      <w:r w:rsidRPr="00027434">
        <w:rPr>
          <w:rFonts w:ascii="微軟正黑體" w:eastAsia="微軟正黑體" w:hAnsi="微軟正黑體" w:hint="eastAsia"/>
        </w:rPr>
        <w:t>%，但55-59歲受私人雇用比率僅有5</w:t>
      </w:r>
      <w:r>
        <w:rPr>
          <w:rFonts w:ascii="微軟正黑體" w:eastAsia="微軟正黑體" w:hAnsi="微軟正黑體" w:hint="eastAsia"/>
        </w:rPr>
        <w:t>5</w:t>
      </w:r>
      <w:r w:rsidRPr="00027434">
        <w:rPr>
          <w:rFonts w:ascii="微軟正黑體" w:eastAsia="微軟正黑體" w:hAnsi="微軟正黑體" w:hint="eastAsia"/>
        </w:rPr>
        <w:t>.</w:t>
      </w:r>
      <w:r>
        <w:rPr>
          <w:rFonts w:ascii="微軟正黑體" w:eastAsia="微軟正黑體" w:hAnsi="微軟正黑體" w:hint="eastAsia"/>
        </w:rPr>
        <w:t>36</w:t>
      </w:r>
      <w:r w:rsidRPr="00027434">
        <w:rPr>
          <w:rFonts w:ascii="微軟正黑體" w:eastAsia="微軟正黑體" w:hAnsi="微軟正黑體" w:hint="eastAsia"/>
        </w:rPr>
        <w:t>%，60-64歲降為4</w:t>
      </w:r>
      <w:r>
        <w:rPr>
          <w:rFonts w:ascii="微軟正黑體" w:eastAsia="微軟正黑體" w:hAnsi="微軟正黑體" w:hint="eastAsia"/>
        </w:rPr>
        <w:t>6</w:t>
      </w:r>
      <w:r>
        <w:rPr>
          <w:rFonts w:ascii="微軟正黑體" w:eastAsia="微軟正黑體" w:hAnsi="微軟正黑體"/>
        </w:rPr>
        <w:t>.</w:t>
      </w:r>
      <w:r>
        <w:rPr>
          <w:rFonts w:ascii="微軟正黑體" w:eastAsia="微軟正黑體" w:hAnsi="微軟正黑體" w:hint="eastAsia"/>
        </w:rPr>
        <w:t>77</w:t>
      </w:r>
      <w:r w:rsidRPr="00027434">
        <w:rPr>
          <w:rFonts w:ascii="微軟正黑體" w:eastAsia="微軟正黑體" w:hAnsi="微軟正黑體" w:hint="eastAsia"/>
        </w:rPr>
        <w:t>%，65歲以上受私人雇用降為23.</w:t>
      </w:r>
      <w:r>
        <w:rPr>
          <w:rFonts w:ascii="微軟正黑體" w:eastAsia="微軟正黑體" w:hAnsi="微軟正黑體" w:hint="eastAsia"/>
        </w:rPr>
        <w:t>98</w:t>
      </w:r>
      <w:r w:rsidRPr="00027434">
        <w:rPr>
          <w:rFonts w:ascii="微軟正黑體" w:eastAsia="微軟正黑體" w:hAnsi="微軟正黑體" w:hint="eastAsia"/>
        </w:rPr>
        <w:t>%。同時我們也發現從55-59歲開始，勞工成為以勞務承攬為主的自營作業者，成長幅度明顯隨著年齡增加而上升</w:t>
      </w:r>
      <w:r w:rsidRPr="00722597">
        <w:rPr>
          <w:rFonts w:ascii="微軟正黑體" w:eastAsia="微軟正黑體" w:hAnsi="微軟正黑體" w:hint="eastAsia"/>
        </w:rPr>
        <w:t>。</w:t>
      </w:r>
    </w:p>
    <w:p w:rsidR="00F152C0" w:rsidRDefault="00F152C0" w:rsidP="00F152C0">
      <w:pPr>
        <w:spacing w:line="400" w:lineRule="exact"/>
        <w:contextualSpacing/>
        <w:rPr>
          <w:rFonts w:ascii="微軟正黑體" w:eastAsia="微軟正黑體" w:hAnsi="微軟正黑體"/>
        </w:rPr>
      </w:pPr>
      <w:r w:rsidRPr="0045789A">
        <w:rPr>
          <w:noProof/>
          <w:shd w:val="clear" w:color="auto" w:fill="404040" w:themeFill="text1" w:themeFillTint="BF"/>
        </w:rPr>
        <w:drawing>
          <wp:anchor distT="0" distB="0" distL="114300" distR="114300" simplePos="0" relativeHeight="252499968" behindDoc="0" locked="0" layoutInCell="1" allowOverlap="1" wp14:anchorId="5D41616A" wp14:editId="3042FAFF">
            <wp:simplePos x="0" y="0"/>
            <wp:positionH relativeFrom="column">
              <wp:posOffset>7620</wp:posOffset>
            </wp:positionH>
            <wp:positionV relativeFrom="paragraph">
              <wp:posOffset>128270</wp:posOffset>
            </wp:positionV>
            <wp:extent cx="5676900" cy="2349500"/>
            <wp:effectExtent l="0" t="0" r="19050" b="12700"/>
            <wp:wrapNone/>
            <wp:docPr id="21537" name="圖表 215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C4CB3B-F4C5-41B5-A72A-D91FDFAE77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14:sizeRelH relativeFrom="page">
              <wp14:pctWidth>0</wp14:pctWidth>
            </wp14:sizeRelH>
            <wp14:sizeRelV relativeFrom="page">
              <wp14:pctHeight>0</wp14:pctHeight>
            </wp14:sizeRelV>
          </wp:anchor>
        </w:drawing>
      </w:r>
    </w:p>
    <w:p w:rsidR="00F152C0" w:rsidRDefault="00F152C0" w:rsidP="00F152C0">
      <w:pPr>
        <w:contextualSpacing/>
        <w:jc w:val="both"/>
      </w:pPr>
    </w:p>
    <w:p w:rsidR="00F152C0" w:rsidRDefault="00F152C0" w:rsidP="00F152C0">
      <w:pPr>
        <w:contextualSpacing/>
        <w:jc w:val="both"/>
      </w:pPr>
    </w:p>
    <w:p w:rsidR="00F152C0" w:rsidRDefault="00F152C0" w:rsidP="00F152C0">
      <w:pPr>
        <w:contextualSpacing/>
        <w:jc w:val="both"/>
      </w:pPr>
    </w:p>
    <w:p w:rsidR="00F152C0" w:rsidRDefault="00F152C0" w:rsidP="00F152C0">
      <w:pPr>
        <w:contextualSpacing/>
        <w:jc w:val="both"/>
      </w:pPr>
    </w:p>
    <w:p w:rsidR="00F152C0" w:rsidRDefault="00F152C0" w:rsidP="00F152C0">
      <w:pPr>
        <w:contextualSpacing/>
        <w:jc w:val="both"/>
      </w:pPr>
    </w:p>
    <w:p w:rsidR="00F152C0" w:rsidRDefault="00F152C0" w:rsidP="00F152C0">
      <w:pPr>
        <w:contextualSpacing/>
        <w:jc w:val="both"/>
      </w:pPr>
    </w:p>
    <w:p w:rsidR="00F152C0" w:rsidRDefault="00F152C0" w:rsidP="00F152C0">
      <w:pPr>
        <w:contextualSpacing/>
        <w:jc w:val="both"/>
      </w:pPr>
    </w:p>
    <w:p w:rsidR="00F152C0" w:rsidRDefault="00F152C0" w:rsidP="00F152C0">
      <w:pPr>
        <w:contextualSpacing/>
        <w:jc w:val="both"/>
      </w:pPr>
    </w:p>
    <w:p w:rsidR="00F152C0" w:rsidRDefault="00F152C0" w:rsidP="00F152C0">
      <w:pPr>
        <w:contextualSpacing/>
        <w:jc w:val="both"/>
      </w:pPr>
    </w:p>
    <w:p w:rsidR="00F152C0" w:rsidRDefault="00F152C0" w:rsidP="00F152C0">
      <w:pPr>
        <w:contextualSpacing/>
        <w:jc w:val="both"/>
      </w:pPr>
    </w:p>
    <w:p w:rsidR="00F152C0" w:rsidRDefault="00F152C0" w:rsidP="00CB3328">
      <w:pPr>
        <w:spacing w:line="240" w:lineRule="exact"/>
        <w:ind w:leftChars="-1" w:left="998" w:hangingChars="500" w:hanging="1000"/>
        <w:contextualSpacing/>
        <w:rPr>
          <w:rFonts w:ascii="微軟正黑體" w:eastAsia="微軟正黑體" w:hAnsi="微軟正黑體"/>
          <w:sz w:val="20"/>
          <w:szCs w:val="20"/>
        </w:rPr>
      </w:pPr>
      <w:r w:rsidRPr="00027434">
        <w:rPr>
          <w:rFonts w:ascii="微軟正黑體" w:eastAsia="微軟正黑體" w:hAnsi="微軟正黑體" w:hint="eastAsia"/>
          <w:sz w:val="20"/>
          <w:szCs w:val="20"/>
        </w:rPr>
        <w:t xml:space="preserve">資料來源：勞動部109 </w:t>
      </w:r>
      <w:r>
        <w:rPr>
          <w:rFonts w:ascii="微軟正黑體" w:eastAsia="微軟正黑體" w:hAnsi="微軟正黑體" w:hint="eastAsia"/>
          <w:sz w:val="20"/>
          <w:szCs w:val="20"/>
        </w:rPr>
        <w:t>年中高齡及高齡(45歲以上)</w:t>
      </w:r>
      <w:r w:rsidRPr="00027434">
        <w:rPr>
          <w:rFonts w:ascii="微軟正黑體" w:eastAsia="微軟正黑體" w:hAnsi="微軟正黑體" w:hint="eastAsia"/>
          <w:sz w:val="20"/>
          <w:szCs w:val="20"/>
        </w:rPr>
        <w:t>勞動參與狀況。</w:t>
      </w:r>
    </w:p>
    <w:p w:rsidR="00F152C0" w:rsidRDefault="00F152C0" w:rsidP="00CB3328">
      <w:pPr>
        <w:spacing w:line="600" w:lineRule="exact"/>
        <w:ind w:leftChars="-1" w:left="1198" w:hangingChars="500" w:hanging="1200"/>
        <w:contextualSpacing/>
        <w:jc w:val="center"/>
        <w:rPr>
          <w:rFonts w:ascii="微軟正黑體" w:eastAsia="微軟正黑體" w:hAnsi="微軟正黑體"/>
        </w:rPr>
      </w:pPr>
      <w:r w:rsidRPr="003005A8">
        <w:rPr>
          <w:rFonts w:ascii="微軟正黑體" w:eastAsia="微軟正黑體" w:hAnsi="微軟正黑體" w:hint="eastAsia"/>
        </w:rPr>
        <w:t xml:space="preserve">圖5　</w:t>
      </w:r>
      <w:r w:rsidRPr="003005A8">
        <w:rPr>
          <w:rFonts w:ascii="微軟正黑體" w:eastAsia="微軟正黑體" w:hAnsi="微軟正黑體"/>
        </w:rPr>
        <w:t>中高齡及高齡就業者之從業身分結構–按年齡別分</w:t>
      </w:r>
    </w:p>
    <w:p w:rsidR="00F152C0" w:rsidRDefault="00F152C0" w:rsidP="00F152C0">
      <w:pPr>
        <w:spacing w:afterLines="50" w:after="180" w:line="400" w:lineRule="exact"/>
        <w:contextualSpacing/>
        <w:jc w:val="both"/>
        <w:rPr>
          <w:rFonts w:ascii="微軟正黑體" w:eastAsia="微軟正黑體" w:hAnsi="微軟正黑體"/>
        </w:rPr>
      </w:pPr>
      <w:r>
        <w:rPr>
          <w:rFonts w:ascii="微軟正黑體" w:eastAsia="微軟正黑體" w:hAnsi="微軟正黑體" w:hint="eastAsia"/>
        </w:rPr>
        <w:lastRenderedPageBreak/>
        <w:t xml:space="preserve">    </w:t>
      </w:r>
      <w:r w:rsidRPr="00027434">
        <w:rPr>
          <w:rFonts w:ascii="微軟正黑體" w:eastAsia="微軟正黑體" w:hAnsi="微軟正黑體" w:hint="eastAsia"/>
        </w:rPr>
        <w:t>如果我們與其他國家55-64歲就業率與65歲以上就業率進行比較，我們可發現在所參照的國家中，台灣55-64歲就業率低於全體就業率，人口高齡化與台灣目前接近的韓國，兩國55-64歲就業率差距達到20%。但當我們對照其他主要國家，如韓國、日本、美國、英國、德國等國，都可發現55-64歲就業率普遍的高於</w:t>
      </w:r>
      <w:r w:rsidRPr="00323AAF">
        <w:rPr>
          <w:rFonts w:ascii="微軟正黑體" w:eastAsia="微軟正黑體" w:hAnsi="微軟正黑體" w:hint="eastAsia"/>
        </w:rPr>
        <w:t>全體</w:t>
      </w:r>
      <w:r w:rsidRPr="00027434">
        <w:rPr>
          <w:rFonts w:ascii="微軟正黑體" w:eastAsia="微軟正黑體" w:hAnsi="微軟正黑體" w:hint="eastAsia"/>
        </w:rPr>
        <w:t>就業率；65歲以上就業率則以韓國最高、日本次之，瑞典、美國、英國高於台灣；而德國、法國、義大利等國都低於台灣。因此，</w:t>
      </w:r>
      <w:r w:rsidRPr="00323AAF">
        <w:rPr>
          <w:rFonts w:ascii="微軟正黑體" w:eastAsia="微軟正黑體" w:hAnsi="微軟正黑體" w:hint="eastAsia"/>
        </w:rPr>
        <w:t>未來我國對於55-64歲就業率的提升至少要先以達到平均值作為努力方向與目標</w:t>
      </w:r>
      <w:r w:rsidRPr="00027434">
        <w:rPr>
          <w:rFonts w:ascii="微軟正黑體" w:eastAsia="微軟正黑體" w:hAnsi="微軟正黑體" w:hint="eastAsia"/>
        </w:rPr>
        <w:t>。並從個人生命週期延續與支持家庭照顧的方向，協助勞工不至於因為照顧家中長者大幅降低就業參與，尤其是女性</w:t>
      </w:r>
      <w:r w:rsidRPr="00722597">
        <w:rPr>
          <w:rFonts w:ascii="微軟正黑體" w:eastAsia="微軟正黑體" w:hAnsi="微軟正黑體" w:hint="eastAsia"/>
        </w:rPr>
        <w:t>。</w:t>
      </w:r>
    </w:p>
    <w:p w:rsidR="00F152C0" w:rsidRDefault="00E24AF5" w:rsidP="00F152C0">
      <w:pPr>
        <w:spacing w:afterLines="50" w:after="180" w:line="400" w:lineRule="exact"/>
        <w:contextualSpacing/>
        <w:rPr>
          <w:rFonts w:ascii="微軟正黑體" w:eastAsia="微軟正黑體" w:hAnsi="微軟正黑體"/>
        </w:rPr>
      </w:pPr>
      <w:r>
        <w:rPr>
          <w:noProof/>
        </w:rPr>
        <w:drawing>
          <wp:anchor distT="0" distB="0" distL="114300" distR="114300" simplePos="0" relativeHeight="252500992" behindDoc="0" locked="0" layoutInCell="1" allowOverlap="1" wp14:anchorId="14A3DA29" wp14:editId="6CF52258">
            <wp:simplePos x="0" y="0"/>
            <wp:positionH relativeFrom="column">
              <wp:posOffset>4445</wp:posOffset>
            </wp:positionH>
            <wp:positionV relativeFrom="paragraph">
              <wp:posOffset>143510</wp:posOffset>
            </wp:positionV>
            <wp:extent cx="5676900" cy="3152775"/>
            <wp:effectExtent l="0" t="0" r="19050" b="9525"/>
            <wp:wrapNone/>
            <wp:docPr id="21538" name="圖表 215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FAFF33-2136-4D15-A4BC-E92B7EB3C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14:sizeRelH relativeFrom="page">
              <wp14:pctWidth>0</wp14:pctWidth>
            </wp14:sizeRelH>
            <wp14:sizeRelV relativeFrom="page">
              <wp14:pctHeight>0</wp14:pctHeight>
            </wp14:sizeRelV>
          </wp:anchor>
        </w:drawing>
      </w:r>
    </w:p>
    <w:p w:rsidR="00F152C0" w:rsidRPr="008B7A12" w:rsidRDefault="00F152C0" w:rsidP="00F152C0">
      <w:pPr>
        <w:spacing w:line="360" w:lineRule="auto"/>
        <w:ind w:firstLine="142"/>
        <w:contextualSpacing/>
        <w:jc w:val="both"/>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Pr="00027434"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027434">
        <w:rPr>
          <w:rFonts w:ascii="微軟正黑體" w:eastAsia="微軟正黑體" w:hAnsi="微軟正黑體" w:hint="eastAsia"/>
          <w:sz w:val="20"/>
          <w:szCs w:val="20"/>
        </w:rPr>
        <w:t>資料來源：https://stats.oecd.org/2021 年 10 月 11 日 12:42 UTC (GMT) 從OECD. Stat提取的數據及中華民國統計資料網-主計總處統計專區。</w:t>
      </w:r>
    </w:p>
    <w:p w:rsidR="00F152C0" w:rsidRDefault="00F152C0" w:rsidP="00F152C0">
      <w:pPr>
        <w:pStyle w:val="af8"/>
        <w:spacing w:beforeLines="30" w:before="108" w:line="400" w:lineRule="exact"/>
        <w:contextualSpacing/>
        <w:jc w:val="center"/>
        <w:rPr>
          <w:rFonts w:ascii="微軟正黑體" w:eastAsia="微軟正黑體" w:hAnsi="微軟正黑體"/>
          <w:sz w:val="24"/>
          <w:szCs w:val="24"/>
        </w:rPr>
      </w:pPr>
      <w:r w:rsidRPr="00027434">
        <w:rPr>
          <w:rFonts w:ascii="微軟正黑體" w:eastAsia="微軟正黑體" w:hAnsi="微軟正黑體" w:hint="eastAsia"/>
          <w:sz w:val="24"/>
          <w:szCs w:val="24"/>
        </w:rPr>
        <w:t>圖 6　2020年我國與主要國家55</w:t>
      </w:r>
      <w:r w:rsidRPr="00027434">
        <w:rPr>
          <w:rFonts w:ascii="微軟正黑體" w:eastAsia="微軟正黑體" w:hAnsi="微軟正黑體"/>
          <w:sz w:val="24"/>
          <w:szCs w:val="24"/>
        </w:rPr>
        <w:t>-</w:t>
      </w:r>
      <w:r w:rsidRPr="00027434">
        <w:rPr>
          <w:rFonts w:ascii="微軟正黑體" w:eastAsia="微軟正黑體" w:hAnsi="微軟正黑體" w:hint="eastAsia"/>
          <w:sz w:val="24"/>
          <w:szCs w:val="24"/>
        </w:rPr>
        <w:t>64歲與65歲</w:t>
      </w:r>
      <w:r w:rsidRPr="00323AAF">
        <w:rPr>
          <w:rFonts w:ascii="微軟正黑體" w:eastAsia="微軟正黑體" w:hAnsi="微軟正黑體" w:hint="eastAsia"/>
          <w:sz w:val="24"/>
          <w:szCs w:val="24"/>
        </w:rPr>
        <w:t>以上</w:t>
      </w:r>
      <w:r w:rsidRPr="00027434">
        <w:rPr>
          <w:rFonts w:ascii="微軟正黑體" w:eastAsia="微軟正黑體" w:hAnsi="微軟正黑體" w:hint="eastAsia"/>
          <w:sz w:val="24"/>
          <w:szCs w:val="24"/>
        </w:rPr>
        <w:t>就業率之比較</w:t>
      </w: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r>
        <w:rPr>
          <w:rFonts w:ascii="微軟正黑體" w:eastAsia="微軟正黑體" w:hAnsi="微軟正黑體" w:hint="eastAsia"/>
        </w:rPr>
        <w:t xml:space="preserve">    </w:t>
      </w:r>
      <w:r w:rsidRPr="00027434">
        <w:rPr>
          <w:rFonts w:ascii="微軟正黑體" w:eastAsia="微軟正黑體" w:hAnsi="微軟正黑體"/>
        </w:rPr>
        <w:t>自從2000年起，OECD國家55歲以上勞工就業率明顯的上升，同時失業率維</w:t>
      </w:r>
      <w:r w:rsidRPr="00323AAF">
        <w:rPr>
          <w:rFonts w:ascii="微軟正黑體" w:eastAsia="微軟正黑體" w:hAnsi="微軟正黑體" w:hint="eastAsia"/>
        </w:rPr>
        <w:t>持</w:t>
      </w:r>
      <w:r w:rsidRPr="00027434">
        <w:rPr>
          <w:rFonts w:ascii="微軟正黑體" w:eastAsia="微軟正黑體" w:hAnsi="微軟正黑體"/>
        </w:rPr>
        <w:t>在低點，55-64歲就業率從2000年的43.9%上升為2018年61.5%，上升了將近17.</w:t>
      </w:r>
      <w:r w:rsidRPr="00027434">
        <w:rPr>
          <w:rFonts w:ascii="微軟正黑體" w:eastAsia="微軟正黑體" w:hAnsi="微軟正黑體" w:hint="eastAsia"/>
        </w:rPr>
        <w:t>6</w:t>
      </w:r>
      <w:r w:rsidRPr="00027434">
        <w:rPr>
          <w:rFonts w:ascii="微軟正黑體" w:eastAsia="微軟正黑體" w:hAnsi="微軟正黑體"/>
        </w:rPr>
        <w:t>%</w:t>
      </w:r>
      <w:r w:rsidRPr="00027434">
        <w:rPr>
          <w:rFonts w:ascii="微軟正黑體" w:eastAsia="微軟正黑體" w:hAnsi="微軟正黑體" w:hint="eastAsia"/>
        </w:rPr>
        <w:t>，其中我們也可發現德國的成長幅度更超過33</w:t>
      </w:r>
      <w:r w:rsidRPr="00027434">
        <w:rPr>
          <w:rFonts w:ascii="微軟正黑體" w:eastAsia="微軟正黑體" w:hAnsi="微軟正黑體"/>
        </w:rPr>
        <w:t>%</w:t>
      </w:r>
      <w:r w:rsidRPr="00027434">
        <w:rPr>
          <w:rFonts w:ascii="微軟正黑體" w:eastAsia="微軟正黑體" w:hAnsi="微軟正黑體" w:hint="eastAsia"/>
        </w:rPr>
        <w:t>、荷蘭成長30</w:t>
      </w:r>
      <w:r w:rsidRPr="00027434">
        <w:rPr>
          <w:rFonts w:ascii="微軟正黑體" w:eastAsia="微軟正黑體" w:hAnsi="微軟正黑體"/>
        </w:rPr>
        <w:t>%</w:t>
      </w:r>
      <w:r w:rsidRPr="00027434">
        <w:rPr>
          <w:rFonts w:ascii="微軟正黑體" w:eastAsia="微軟正黑體" w:hAnsi="微軟正黑體" w:hint="eastAsia"/>
        </w:rPr>
        <w:t>、義大利成長26</w:t>
      </w:r>
      <w:r w:rsidRPr="00027434">
        <w:rPr>
          <w:rFonts w:ascii="微軟正黑體" w:eastAsia="微軟正黑體" w:hAnsi="微軟正黑體"/>
        </w:rPr>
        <w:t>%</w:t>
      </w:r>
      <w:r w:rsidRPr="00027434">
        <w:rPr>
          <w:rFonts w:ascii="微軟正黑體" w:eastAsia="微軟正黑體" w:hAnsi="微軟正黑體" w:hint="eastAsia"/>
        </w:rPr>
        <w:t>，</w:t>
      </w:r>
      <w:r w:rsidRPr="00027434">
        <w:rPr>
          <w:rFonts w:ascii="微軟正黑體" w:eastAsia="微軟正黑體" w:hAnsi="微軟正黑體"/>
        </w:rPr>
        <w:t>僅有一些相對發展中國家，如印度、巴西</w:t>
      </w:r>
      <w:r>
        <w:rPr>
          <w:rFonts w:ascii="微軟正黑體" w:eastAsia="微軟正黑體" w:hAnsi="微軟正黑體" w:hint="eastAsia"/>
        </w:rPr>
        <w:t>、</w:t>
      </w:r>
      <w:r w:rsidRPr="00027434">
        <w:rPr>
          <w:rFonts w:ascii="微軟正黑體" w:eastAsia="微軟正黑體" w:hAnsi="微軟正黑體"/>
        </w:rPr>
        <w:t>南非</w:t>
      </w:r>
      <w:r>
        <w:rPr>
          <w:rFonts w:ascii="微軟正黑體" w:eastAsia="微軟正黑體" w:hAnsi="微軟正黑體" w:hint="eastAsia"/>
        </w:rPr>
        <w:t>等國不升反降(</w:t>
      </w:r>
      <w:r w:rsidRPr="00027434">
        <w:rPr>
          <w:rFonts w:ascii="微軟正黑體" w:eastAsia="微軟正黑體" w:hAnsi="微軟正黑體"/>
        </w:rPr>
        <w:t>OECD 2019</w:t>
      </w:r>
      <w:r>
        <w:rPr>
          <w:rFonts w:ascii="微軟正黑體" w:eastAsia="微軟正黑體" w:hAnsi="微軟正黑體" w:hint="eastAsia"/>
        </w:rPr>
        <w:t>)</w:t>
      </w:r>
      <w:r w:rsidRPr="00027434">
        <w:rPr>
          <w:rFonts w:ascii="微軟正黑體" w:eastAsia="微軟正黑體" w:hAnsi="微軟正黑體"/>
        </w:rPr>
        <w:t>。</w:t>
      </w: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Default="00F152C0" w:rsidP="00F152C0">
      <w:pPr>
        <w:spacing w:line="400" w:lineRule="exact"/>
        <w:contextualSpacing/>
        <w:jc w:val="both"/>
        <w:rPr>
          <w:rFonts w:ascii="微軟正黑體" w:eastAsia="微軟正黑體" w:hAnsi="微軟正黑體"/>
        </w:rPr>
      </w:pPr>
    </w:p>
    <w:p w:rsidR="00F152C0" w:rsidRPr="00027434" w:rsidRDefault="00F152C0" w:rsidP="00F152C0">
      <w:pPr>
        <w:spacing w:line="400" w:lineRule="exact"/>
        <w:contextualSpacing/>
        <w:jc w:val="both"/>
        <w:rPr>
          <w:rFonts w:ascii="微軟正黑體" w:eastAsia="微軟正黑體" w:hAnsi="微軟正黑體"/>
        </w:rPr>
      </w:pPr>
    </w:p>
    <w:p w:rsidR="00F152C0" w:rsidRDefault="00F152C0" w:rsidP="00F152C0">
      <w:pPr>
        <w:pStyle w:val="Default"/>
        <w:spacing w:before="100" w:beforeAutospacing="1" w:after="100" w:afterAutospacing="1"/>
        <w:contextualSpacing/>
        <w:rPr>
          <w:rFonts w:eastAsiaTheme="minorEastAsia"/>
          <w:sz w:val="22"/>
          <w:szCs w:val="22"/>
        </w:rPr>
      </w:pPr>
      <w:r>
        <w:rPr>
          <w:noProof/>
        </w:rPr>
        <w:lastRenderedPageBreak/>
        <w:drawing>
          <wp:anchor distT="0" distB="0" distL="114300" distR="114300" simplePos="0" relativeHeight="252498944" behindDoc="0" locked="0" layoutInCell="1" allowOverlap="1" wp14:anchorId="133386CD" wp14:editId="3AC731A0">
            <wp:simplePos x="0" y="0"/>
            <wp:positionH relativeFrom="column">
              <wp:posOffset>-54610</wp:posOffset>
            </wp:positionH>
            <wp:positionV relativeFrom="paragraph">
              <wp:posOffset>128270</wp:posOffset>
            </wp:positionV>
            <wp:extent cx="5806440" cy="2766060"/>
            <wp:effectExtent l="0" t="0" r="22860" b="15240"/>
            <wp:wrapNone/>
            <wp:docPr id="21539" name="圖表 215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4CC9E6-BCB4-4B69-B6FE-E770A0DFEA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14:sizeRelH relativeFrom="page">
              <wp14:pctWidth>0</wp14:pctWidth>
            </wp14:sizeRelH>
            <wp14:sizeRelV relativeFrom="page">
              <wp14:pctHeight>0</wp14:pctHeight>
            </wp14:sizeRelV>
          </wp:anchor>
        </w:drawing>
      </w:r>
    </w:p>
    <w:p w:rsidR="00F152C0" w:rsidRDefault="00F152C0" w:rsidP="00F152C0">
      <w:pPr>
        <w:pStyle w:val="Default"/>
        <w:spacing w:before="100" w:beforeAutospacing="1" w:after="100" w:afterAutospacing="1"/>
        <w:contextualSpacing/>
        <w:rPr>
          <w:rFonts w:eastAsiaTheme="minorEastAsia"/>
          <w:sz w:val="22"/>
          <w:szCs w:val="22"/>
        </w:rPr>
      </w:pPr>
    </w:p>
    <w:p w:rsidR="00F152C0" w:rsidRDefault="00F152C0" w:rsidP="00F152C0">
      <w:pPr>
        <w:pStyle w:val="Default"/>
        <w:spacing w:before="100" w:beforeAutospacing="1" w:after="100" w:afterAutospacing="1"/>
        <w:contextualSpacing/>
        <w:rPr>
          <w:rFonts w:eastAsiaTheme="minorEastAsia"/>
          <w:sz w:val="22"/>
          <w:szCs w:val="22"/>
        </w:rPr>
      </w:pPr>
    </w:p>
    <w:p w:rsidR="00F152C0" w:rsidRDefault="00F152C0" w:rsidP="00F152C0">
      <w:pPr>
        <w:pStyle w:val="Default"/>
        <w:spacing w:before="100" w:beforeAutospacing="1" w:after="100" w:afterAutospacing="1"/>
        <w:contextualSpacing/>
        <w:rPr>
          <w:rFonts w:eastAsiaTheme="minorEastAsia"/>
          <w:sz w:val="22"/>
          <w:szCs w:val="22"/>
        </w:rPr>
      </w:pPr>
    </w:p>
    <w:p w:rsidR="00F152C0" w:rsidRDefault="00F152C0" w:rsidP="00F152C0">
      <w:pPr>
        <w:pStyle w:val="Default"/>
        <w:spacing w:before="100" w:beforeAutospacing="1" w:after="100" w:afterAutospacing="1"/>
        <w:contextualSpacing/>
        <w:rPr>
          <w:rFonts w:eastAsiaTheme="minorEastAsia"/>
          <w:sz w:val="22"/>
          <w:szCs w:val="22"/>
        </w:rPr>
      </w:pPr>
    </w:p>
    <w:p w:rsidR="00F152C0" w:rsidRDefault="00F152C0" w:rsidP="00F152C0">
      <w:pPr>
        <w:pStyle w:val="Default"/>
        <w:spacing w:before="100" w:beforeAutospacing="1" w:after="100" w:afterAutospacing="1"/>
        <w:contextualSpacing/>
        <w:rPr>
          <w:rFonts w:eastAsiaTheme="minorEastAsia"/>
          <w:sz w:val="22"/>
          <w:szCs w:val="22"/>
        </w:rPr>
      </w:pPr>
    </w:p>
    <w:p w:rsidR="00F152C0" w:rsidRDefault="00F152C0" w:rsidP="00F152C0">
      <w:pPr>
        <w:pStyle w:val="Default"/>
        <w:spacing w:before="100" w:beforeAutospacing="1" w:after="100" w:afterAutospacing="1"/>
        <w:contextualSpacing/>
        <w:rPr>
          <w:rFonts w:eastAsiaTheme="minorEastAsia"/>
          <w:sz w:val="22"/>
          <w:szCs w:val="22"/>
        </w:rPr>
      </w:pPr>
    </w:p>
    <w:p w:rsidR="00F152C0" w:rsidRDefault="00F152C0" w:rsidP="00F152C0">
      <w:pPr>
        <w:pStyle w:val="Default"/>
        <w:spacing w:before="100" w:beforeAutospacing="1" w:after="100" w:afterAutospacing="1"/>
        <w:contextualSpacing/>
        <w:rPr>
          <w:rFonts w:eastAsiaTheme="minorEastAsia"/>
          <w:sz w:val="22"/>
          <w:szCs w:val="22"/>
        </w:rPr>
      </w:pPr>
    </w:p>
    <w:p w:rsidR="00F152C0" w:rsidRDefault="00F152C0" w:rsidP="00F152C0">
      <w:pPr>
        <w:pStyle w:val="Default"/>
        <w:spacing w:before="100" w:beforeAutospacing="1" w:after="100" w:afterAutospacing="1"/>
        <w:contextualSpacing/>
        <w:rPr>
          <w:rFonts w:eastAsiaTheme="minorEastAsia"/>
          <w:sz w:val="22"/>
          <w:szCs w:val="22"/>
        </w:rPr>
      </w:pPr>
    </w:p>
    <w:p w:rsidR="00F152C0" w:rsidRPr="008B7A12" w:rsidRDefault="00F152C0" w:rsidP="00F152C0">
      <w:pPr>
        <w:pStyle w:val="Default"/>
        <w:spacing w:before="100" w:beforeAutospacing="1" w:after="100" w:afterAutospacing="1"/>
        <w:contextualSpacing/>
        <w:rPr>
          <w:sz w:val="22"/>
          <w:szCs w:val="22"/>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Pr="00027434"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027434">
        <w:rPr>
          <w:rFonts w:ascii="微軟正黑體" w:eastAsia="微軟正黑體" w:hAnsi="微軟正黑體" w:hint="eastAsia"/>
          <w:sz w:val="20"/>
          <w:szCs w:val="20"/>
        </w:rPr>
        <w:t>資料來源：</w:t>
      </w:r>
      <w:r w:rsidRPr="00027434">
        <w:rPr>
          <w:rFonts w:ascii="微軟正黑體" w:eastAsia="微軟正黑體" w:hAnsi="微軟正黑體"/>
          <w:sz w:val="20"/>
          <w:szCs w:val="20"/>
        </w:rPr>
        <w:t>Pensions at a Glance 2019</w:t>
      </w:r>
      <w:r w:rsidRPr="00027434">
        <w:rPr>
          <w:rFonts w:ascii="微軟正黑體" w:eastAsia="微軟正黑體" w:hAnsi="微軟正黑體" w:hint="eastAsia"/>
          <w:sz w:val="20"/>
          <w:szCs w:val="20"/>
        </w:rPr>
        <w:t xml:space="preserve"> </w:t>
      </w:r>
      <w:r w:rsidRPr="00027434">
        <w:rPr>
          <w:rFonts w:ascii="微軟正黑體" w:eastAsia="微軟正黑體" w:hAnsi="微軟正黑體"/>
          <w:sz w:val="20"/>
          <w:szCs w:val="20"/>
        </w:rPr>
        <w:t>OECD and G20 Indications</w:t>
      </w:r>
      <w:r w:rsidRPr="00027434">
        <w:rPr>
          <w:rFonts w:ascii="微軟正黑體" w:eastAsia="微軟正黑體" w:hAnsi="微軟正黑體" w:hint="eastAsia"/>
          <w:sz w:val="20"/>
          <w:szCs w:val="20"/>
        </w:rPr>
        <w:t xml:space="preserve"> :</w:t>
      </w:r>
      <w:r w:rsidRPr="00027434">
        <w:rPr>
          <w:rFonts w:ascii="微軟正黑體" w:eastAsia="微軟正黑體" w:hAnsi="微軟正黑體"/>
          <w:sz w:val="20"/>
          <w:szCs w:val="20"/>
        </w:rPr>
        <w:t xml:space="preserve"> </w:t>
      </w:r>
      <w:r w:rsidRPr="00027434">
        <w:rPr>
          <w:rFonts w:ascii="微軟正黑體" w:eastAsia="微軟正黑體" w:hAnsi="微軟正黑體" w:hint="eastAsia"/>
          <w:sz w:val="20"/>
          <w:szCs w:val="20"/>
        </w:rPr>
        <w:t>24。</w:t>
      </w:r>
    </w:p>
    <w:p w:rsidR="00F152C0" w:rsidRDefault="00F152C0" w:rsidP="00F152C0">
      <w:pPr>
        <w:pStyle w:val="af8"/>
        <w:spacing w:beforeLines="50" w:before="180" w:line="400" w:lineRule="exact"/>
        <w:contextualSpacing/>
        <w:jc w:val="center"/>
        <w:rPr>
          <w:rFonts w:ascii="微軟正黑體" w:eastAsia="微軟正黑體" w:hAnsi="微軟正黑體"/>
          <w:sz w:val="24"/>
          <w:szCs w:val="24"/>
        </w:rPr>
      </w:pPr>
      <w:r w:rsidRPr="00027434">
        <w:rPr>
          <w:rFonts w:ascii="微軟正黑體" w:eastAsia="微軟正黑體" w:hAnsi="微軟正黑體" w:hint="eastAsia"/>
          <w:sz w:val="24"/>
          <w:szCs w:val="24"/>
        </w:rPr>
        <w:t>圖7　OECD國家2000-2018年55-64歲與25</w:t>
      </w:r>
      <w:r w:rsidRPr="00027434">
        <w:rPr>
          <w:rFonts w:ascii="微軟正黑體" w:eastAsia="微軟正黑體" w:hAnsi="微軟正黑體"/>
          <w:sz w:val="24"/>
          <w:szCs w:val="24"/>
        </w:rPr>
        <w:t>-</w:t>
      </w:r>
      <w:r w:rsidRPr="00027434">
        <w:rPr>
          <w:rFonts w:ascii="微軟正黑體" w:eastAsia="微軟正黑體" w:hAnsi="微軟正黑體" w:hint="eastAsia"/>
          <w:sz w:val="24"/>
          <w:szCs w:val="24"/>
        </w:rPr>
        <w:t>54歲就業</w:t>
      </w:r>
      <w:r w:rsidRPr="00323AAF">
        <w:rPr>
          <w:rFonts w:ascii="微軟正黑體" w:eastAsia="微軟正黑體" w:hAnsi="微軟正黑體" w:hint="eastAsia"/>
          <w:sz w:val="24"/>
          <w:szCs w:val="24"/>
        </w:rPr>
        <w:t>率</w:t>
      </w:r>
      <w:r w:rsidRPr="00027434">
        <w:rPr>
          <w:rFonts w:ascii="微軟正黑體" w:eastAsia="微軟正黑體" w:hAnsi="微軟正黑體" w:hint="eastAsia"/>
          <w:sz w:val="24"/>
          <w:szCs w:val="24"/>
        </w:rPr>
        <w:t>成長對照圖</w:t>
      </w:r>
    </w:p>
    <w:p w:rsidR="00F152C0" w:rsidRPr="0060258F" w:rsidRDefault="00F152C0" w:rsidP="00F152C0"/>
    <w:p w:rsidR="00F152C0" w:rsidRPr="00027434" w:rsidRDefault="00F152C0" w:rsidP="00F152C0">
      <w:pPr>
        <w:spacing w:beforeLines="150" w:before="540" w:line="400" w:lineRule="exact"/>
        <w:jc w:val="center"/>
        <w:rPr>
          <w:rFonts w:ascii="微軟正黑體" w:eastAsia="微軟正黑體" w:hAnsi="微軟正黑體"/>
          <w:b/>
          <w:sz w:val="32"/>
          <w:szCs w:val="32"/>
        </w:rPr>
      </w:pPr>
      <w:r>
        <w:rPr>
          <w:rFonts w:ascii="微軟正黑體" w:eastAsia="微軟正黑體" w:hAnsi="微軟正黑體" w:hint="eastAsia"/>
          <w:b/>
          <w:sz w:val="32"/>
          <w:szCs w:val="32"/>
        </w:rPr>
        <w:t>肆、</w:t>
      </w:r>
      <w:r w:rsidRPr="00027434">
        <w:rPr>
          <w:rFonts w:ascii="微軟正黑體" w:eastAsia="微軟正黑體" w:hAnsi="微軟正黑體" w:hint="eastAsia"/>
          <w:b/>
          <w:sz w:val="32"/>
          <w:szCs w:val="32"/>
        </w:rPr>
        <w:t>台灣老年經濟安全、老年貧窮現況與勞保年金改革</w:t>
      </w:r>
    </w:p>
    <w:p w:rsidR="00F152C0" w:rsidRPr="001B1387" w:rsidRDefault="00F152C0" w:rsidP="00F152C0">
      <w:pPr>
        <w:spacing w:beforeLines="100" w:before="360" w:line="400" w:lineRule="exact"/>
        <w:ind w:firstLine="482"/>
        <w:jc w:val="both"/>
        <w:rPr>
          <w:rFonts w:ascii="微軟正黑體" w:eastAsia="微軟正黑體" w:hAnsi="微軟正黑體"/>
        </w:rPr>
      </w:pPr>
      <w:r w:rsidRPr="001B1387">
        <w:rPr>
          <w:rFonts w:ascii="微軟正黑體" w:eastAsia="微軟正黑體" w:hAnsi="微軟正黑體" w:hint="eastAsia"/>
        </w:rPr>
        <w:t>比較台灣的老年貧窮率與</w:t>
      </w:r>
      <w:r w:rsidRPr="00323AAF">
        <w:rPr>
          <w:rFonts w:ascii="微軟正黑體" w:eastAsia="微軟正黑體" w:hAnsi="微軟正黑體" w:hint="eastAsia"/>
        </w:rPr>
        <w:t>全體人口貧窮率</w:t>
      </w:r>
      <w:r w:rsidRPr="001B1387">
        <w:rPr>
          <w:rFonts w:ascii="微軟正黑體" w:eastAsia="微軟正黑體" w:hAnsi="微軟正黑體" w:hint="eastAsia"/>
        </w:rPr>
        <w:t>，從表</w:t>
      </w:r>
      <w:r w:rsidRPr="00323AAF">
        <w:rPr>
          <w:rFonts w:ascii="微軟正黑體" w:eastAsia="微軟正黑體" w:hAnsi="微軟正黑體" w:hint="eastAsia"/>
        </w:rPr>
        <w:t>5</w:t>
      </w:r>
      <w:r w:rsidRPr="001B1387">
        <w:rPr>
          <w:rFonts w:ascii="微軟正黑體" w:eastAsia="微軟正黑體" w:hAnsi="微軟正黑體" w:hint="eastAsia"/>
        </w:rPr>
        <w:t>我們可發現OECD國家平均之老年貧窮率為13</w:t>
      </w:r>
      <w:r w:rsidRPr="001B1387">
        <w:rPr>
          <w:rFonts w:ascii="微軟正黑體" w:eastAsia="微軟正黑體" w:hAnsi="微軟正黑體"/>
        </w:rPr>
        <w:t>.</w:t>
      </w:r>
      <w:r w:rsidRPr="001B1387">
        <w:rPr>
          <w:rFonts w:ascii="微軟正黑體" w:eastAsia="微軟正黑體" w:hAnsi="微軟正黑體" w:hint="eastAsia"/>
        </w:rPr>
        <w:t>5</w:t>
      </w:r>
      <w:r w:rsidRPr="001B1387">
        <w:rPr>
          <w:rFonts w:ascii="微軟正黑體" w:eastAsia="微軟正黑體" w:hAnsi="微軟正黑體"/>
        </w:rPr>
        <w:t>%(</w:t>
      </w:r>
      <w:r w:rsidRPr="001B1387">
        <w:rPr>
          <w:rFonts w:ascii="微軟正黑體" w:eastAsia="微軟正黑體" w:hAnsi="微軟正黑體" w:hint="eastAsia"/>
        </w:rPr>
        <w:t>採取的相對貧窮指標為可支配所得低於50</w:t>
      </w:r>
      <w:r w:rsidRPr="001B1387">
        <w:rPr>
          <w:rFonts w:ascii="微軟正黑體" w:eastAsia="微軟正黑體" w:hAnsi="微軟正黑體"/>
        </w:rPr>
        <w:t>%)</w:t>
      </w:r>
      <w:r w:rsidRPr="001B1387">
        <w:rPr>
          <w:rFonts w:ascii="微軟正黑體" w:eastAsia="微軟正黑體" w:hAnsi="微軟正黑體" w:hint="eastAsia"/>
        </w:rPr>
        <w:t>，而且女性老年貧窮率都普遍大於男性老年。韓國的老年貧窮率為43</w:t>
      </w:r>
      <w:r w:rsidRPr="001B1387">
        <w:rPr>
          <w:rFonts w:ascii="微軟正黑體" w:eastAsia="微軟正黑體" w:hAnsi="微軟正黑體"/>
        </w:rPr>
        <w:t>.</w:t>
      </w:r>
      <w:r w:rsidRPr="001B1387">
        <w:rPr>
          <w:rFonts w:ascii="微軟正黑體" w:eastAsia="微軟正黑體" w:hAnsi="微軟正黑體" w:hint="eastAsia"/>
        </w:rPr>
        <w:t>8</w:t>
      </w:r>
      <w:r w:rsidRPr="001B1387">
        <w:rPr>
          <w:rFonts w:ascii="微軟正黑體" w:eastAsia="微軟正黑體" w:hAnsi="微軟正黑體"/>
        </w:rPr>
        <w:t>%</w:t>
      </w:r>
      <w:r w:rsidRPr="001B1387">
        <w:rPr>
          <w:rFonts w:ascii="微軟正黑體" w:eastAsia="微軟正黑體" w:hAnsi="微軟正黑體" w:hint="eastAsia"/>
        </w:rPr>
        <w:t>，全體人口貧窮率為17</w:t>
      </w:r>
      <w:r w:rsidRPr="001B1387">
        <w:rPr>
          <w:rFonts w:ascii="微軟正黑體" w:eastAsia="微軟正黑體" w:hAnsi="微軟正黑體"/>
        </w:rPr>
        <w:t>.</w:t>
      </w:r>
      <w:r w:rsidRPr="001B1387">
        <w:rPr>
          <w:rFonts w:ascii="微軟正黑體" w:eastAsia="微軟正黑體" w:hAnsi="微軟正黑體" w:hint="eastAsia"/>
        </w:rPr>
        <w:t>4</w:t>
      </w:r>
      <w:r w:rsidRPr="001B1387">
        <w:rPr>
          <w:rFonts w:ascii="微軟正黑體" w:eastAsia="微軟正黑體" w:hAnsi="微軟正黑體"/>
        </w:rPr>
        <w:t>%</w:t>
      </w:r>
      <w:r w:rsidRPr="001B1387">
        <w:rPr>
          <w:rFonts w:ascii="微軟正黑體" w:eastAsia="微軟正黑體" w:hAnsi="微軟正黑體" w:hint="eastAsia"/>
        </w:rPr>
        <w:t>；日本老年貧窮率為19</w:t>
      </w:r>
      <w:r w:rsidRPr="001B1387">
        <w:rPr>
          <w:rFonts w:ascii="微軟正黑體" w:eastAsia="微軟正黑體" w:hAnsi="微軟正黑體"/>
        </w:rPr>
        <w:t>.</w:t>
      </w:r>
      <w:r w:rsidRPr="001B1387">
        <w:rPr>
          <w:rFonts w:ascii="微軟正黑體" w:eastAsia="微軟正黑體" w:hAnsi="微軟正黑體" w:hint="eastAsia"/>
        </w:rPr>
        <w:t>6</w:t>
      </w:r>
      <w:r w:rsidRPr="001B1387">
        <w:rPr>
          <w:rFonts w:ascii="微軟正黑體" w:eastAsia="微軟正黑體" w:hAnsi="微軟正黑體"/>
        </w:rPr>
        <w:t>%</w:t>
      </w:r>
      <w:r w:rsidRPr="001B1387">
        <w:rPr>
          <w:rFonts w:ascii="微軟正黑體" w:eastAsia="微軟正黑體" w:hAnsi="微軟正黑體" w:hint="eastAsia"/>
        </w:rPr>
        <w:t>，全體人口貧窮率為15</w:t>
      </w:r>
      <w:r w:rsidRPr="001B1387">
        <w:rPr>
          <w:rFonts w:ascii="微軟正黑體" w:eastAsia="微軟正黑體" w:hAnsi="微軟正黑體"/>
        </w:rPr>
        <w:t>.</w:t>
      </w:r>
      <w:r w:rsidRPr="001B1387">
        <w:rPr>
          <w:rFonts w:ascii="微軟正黑體" w:eastAsia="微軟正黑體" w:hAnsi="微軟正黑體" w:hint="eastAsia"/>
        </w:rPr>
        <w:t>7</w:t>
      </w:r>
      <w:r w:rsidRPr="001B1387">
        <w:rPr>
          <w:rFonts w:ascii="微軟正黑體" w:eastAsia="微軟正黑體" w:hAnsi="微軟正黑體"/>
        </w:rPr>
        <w:t>%</w:t>
      </w:r>
      <w:r w:rsidRPr="001B1387">
        <w:rPr>
          <w:rFonts w:ascii="微軟正黑體" w:eastAsia="微軟正黑體" w:hAnsi="微軟正黑體" w:hint="eastAsia"/>
        </w:rPr>
        <w:t>。台灣的老年貧窮率也已達到22</w:t>
      </w:r>
      <w:r w:rsidRPr="001B1387">
        <w:rPr>
          <w:rFonts w:ascii="微軟正黑體" w:eastAsia="微軟正黑體" w:hAnsi="微軟正黑體"/>
        </w:rPr>
        <w:t>.</w:t>
      </w:r>
      <w:r w:rsidRPr="001B1387">
        <w:rPr>
          <w:rFonts w:ascii="微軟正黑體" w:eastAsia="微軟正黑體" w:hAnsi="微軟正黑體" w:hint="eastAsia"/>
        </w:rPr>
        <w:t>6</w:t>
      </w:r>
      <w:r w:rsidRPr="001B1387">
        <w:rPr>
          <w:rFonts w:ascii="微軟正黑體" w:eastAsia="微軟正黑體" w:hAnsi="微軟正黑體"/>
        </w:rPr>
        <w:t>%</w:t>
      </w:r>
      <w:r w:rsidRPr="001B1387">
        <w:rPr>
          <w:rFonts w:ascii="微軟正黑體" w:eastAsia="微軟正黑體" w:hAnsi="微軟正黑體" w:hint="eastAsia"/>
        </w:rPr>
        <w:t>，全體人口貧窮率7</w:t>
      </w:r>
      <w:r w:rsidRPr="001B1387">
        <w:rPr>
          <w:rFonts w:ascii="微軟正黑體" w:eastAsia="微軟正黑體" w:hAnsi="微軟正黑體"/>
        </w:rPr>
        <w:t>.</w:t>
      </w:r>
      <w:r w:rsidRPr="001B1387">
        <w:rPr>
          <w:rFonts w:ascii="微軟正黑體" w:eastAsia="微軟正黑體" w:hAnsi="微軟正黑體" w:hint="eastAsia"/>
        </w:rPr>
        <w:t>6</w:t>
      </w:r>
      <w:r w:rsidRPr="001B1387">
        <w:rPr>
          <w:rFonts w:ascii="微軟正黑體" w:eastAsia="微軟正黑體" w:hAnsi="微軟正黑體"/>
        </w:rPr>
        <w:t>%</w:t>
      </w:r>
      <w:r w:rsidRPr="001B1387">
        <w:rPr>
          <w:rFonts w:ascii="微軟正黑體" w:eastAsia="微軟正黑體" w:hAnsi="微軟正黑體" w:hint="eastAsia"/>
        </w:rPr>
        <w:t>，低於日本、韓國。對照法國、義大利、希臘65歲以上老年就業率雖然與台灣都是低於百分之十，但是他們的老年貧窮率卻分別僅有3</w:t>
      </w:r>
      <w:r w:rsidRPr="001B1387">
        <w:rPr>
          <w:rFonts w:ascii="微軟正黑體" w:eastAsia="微軟正黑體" w:hAnsi="微軟正黑體"/>
        </w:rPr>
        <w:t>.</w:t>
      </w:r>
      <w:r w:rsidRPr="001B1387">
        <w:rPr>
          <w:rFonts w:ascii="微軟正黑體" w:eastAsia="微軟正黑體" w:hAnsi="微軟正黑體" w:hint="eastAsia"/>
        </w:rPr>
        <w:t>4</w:t>
      </w:r>
      <w:r w:rsidRPr="001B1387">
        <w:rPr>
          <w:rFonts w:ascii="微軟正黑體" w:eastAsia="微軟正黑體" w:hAnsi="微軟正黑體"/>
        </w:rPr>
        <w:t>%</w:t>
      </w:r>
      <w:r w:rsidRPr="001B1387">
        <w:rPr>
          <w:rFonts w:ascii="微軟正黑體" w:eastAsia="微軟正黑體" w:hAnsi="微軟正黑體" w:hint="eastAsia"/>
        </w:rPr>
        <w:t>、10</w:t>
      </w:r>
      <w:r w:rsidRPr="001B1387">
        <w:rPr>
          <w:rFonts w:ascii="微軟正黑體" w:eastAsia="微軟正黑體" w:hAnsi="微軟正黑體"/>
        </w:rPr>
        <w:t>.</w:t>
      </w:r>
      <w:r w:rsidRPr="001B1387">
        <w:rPr>
          <w:rFonts w:ascii="微軟正黑體" w:eastAsia="微軟正黑體" w:hAnsi="微軟正黑體" w:hint="eastAsia"/>
        </w:rPr>
        <w:t>3%與7</w:t>
      </w:r>
      <w:r w:rsidRPr="001B1387">
        <w:rPr>
          <w:rFonts w:ascii="微軟正黑體" w:eastAsia="微軟正黑體" w:hAnsi="微軟正黑體"/>
        </w:rPr>
        <w:t>.</w:t>
      </w:r>
      <w:r w:rsidRPr="001B1387">
        <w:rPr>
          <w:rFonts w:ascii="微軟正黑體" w:eastAsia="微軟正黑體" w:hAnsi="微軟正黑體" w:hint="eastAsia"/>
        </w:rPr>
        <w:t>8</w:t>
      </w:r>
      <w:r w:rsidRPr="001B1387">
        <w:rPr>
          <w:rFonts w:ascii="微軟正黑體" w:eastAsia="微軟正黑體" w:hAnsi="微軟正黑體"/>
        </w:rPr>
        <w:t>%</w:t>
      </w:r>
      <w:r w:rsidRPr="001B1387">
        <w:rPr>
          <w:rFonts w:ascii="微軟正黑體" w:eastAsia="微軟正黑體" w:hAnsi="微軟正黑體" w:hint="eastAsia"/>
        </w:rPr>
        <w:t>。</w:t>
      </w:r>
    </w:p>
    <w:p w:rsidR="00F152C0" w:rsidRDefault="00F152C0" w:rsidP="00F152C0">
      <w:pPr>
        <w:pStyle w:val="af8"/>
        <w:spacing w:line="400" w:lineRule="exact"/>
        <w:contextualSpacing/>
        <w:jc w:val="center"/>
        <w:rPr>
          <w:rFonts w:ascii="微軟正黑體" w:eastAsia="微軟正黑體" w:hAnsi="微軟正黑體"/>
          <w:sz w:val="24"/>
          <w:szCs w:val="24"/>
        </w:rPr>
      </w:pPr>
    </w:p>
    <w:p w:rsidR="00F152C0" w:rsidRPr="001B1387" w:rsidRDefault="00F152C0" w:rsidP="00F152C0">
      <w:pPr>
        <w:pStyle w:val="af8"/>
        <w:spacing w:afterLines="30" w:after="108" w:line="400" w:lineRule="exact"/>
        <w:contextualSpacing/>
        <w:jc w:val="center"/>
        <w:rPr>
          <w:rFonts w:ascii="微軟正黑體" w:eastAsia="微軟正黑體" w:hAnsi="微軟正黑體"/>
          <w:sz w:val="24"/>
          <w:szCs w:val="24"/>
        </w:rPr>
      </w:pPr>
      <w:r w:rsidRPr="001B1387">
        <w:rPr>
          <w:rFonts w:ascii="微軟正黑體" w:eastAsia="微軟正黑體" w:hAnsi="微軟正黑體" w:hint="eastAsia"/>
          <w:sz w:val="24"/>
          <w:szCs w:val="24"/>
        </w:rPr>
        <w:t>表5　老年貧窮率依不同國家別、年齡層與性別區分及與全體人口貧窮率對照</w:t>
      </w:r>
    </w:p>
    <w:tbl>
      <w:tblPr>
        <w:tblStyle w:val="a5"/>
        <w:tblW w:w="0" w:type="auto"/>
        <w:jc w:val="center"/>
        <w:tblLook w:val="04A0" w:firstRow="1" w:lastRow="0" w:firstColumn="1" w:lastColumn="0" w:noHBand="0" w:noVBand="1"/>
      </w:tblPr>
      <w:tblGrid>
        <w:gridCol w:w="1525"/>
        <w:gridCol w:w="1238"/>
        <w:gridCol w:w="1191"/>
        <w:gridCol w:w="1191"/>
        <w:gridCol w:w="1152"/>
        <w:gridCol w:w="1230"/>
        <w:gridCol w:w="1191"/>
      </w:tblGrid>
      <w:tr w:rsidR="00F152C0" w:rsidRPr="006A652C" w:rsidTr="00C86667">
        <w:trPr>
          <w:trHeight w:val="454"/>
          <w:tblHeader/>
          <w:jc w:val="center"/>
        </w:trPr>
        <w:tc>
          <w:tcPr>
            <w:tcW w:w="1525" w:type="dxa"/>
            <w:vMerge w:val="restart"/>
            <w:shd w:val="clear" w:color="auto" w:fill="8064A2" w:themeFill="accent4"/>
            <w:vAlign w:val="center"/>
          </w:tcPr>
          <w:p w:rsidR="00F152C0" w:rsidRPr="00323AAF" w:rsidRDefault="00F152C0" w:rsidP="00E24AF5">
            <w:pPr>
              <w:spacing w:line="400" w:lineRule="exact"/>
              <w:contextualSpacing/>
              <w:jc w:val="center"/>
              <w:rPr>
                <w:rFonts w:ascii="微軟正黑體" w:eastAsia="微軟正黑體" w:hAnsi="微軟正黑體"/>
                <w:b/>
                <w:sz w:val="22"/>
                <w:szCs w:val="22"/>
              </w:rPr>
            </w:pPr>
            <w:r w:rsidRPr="00D37CEE">
              <w:rPr>
                <w:rFonts w:ascii="微軟正黑體" w:eastAsia="微軟正黑體" w:hAnsi="微軟正黑體" w:hint="eastAsia"/>
                <w:b/>
                <w:color w:val="FFFFFF" w:themeColor="background1"/>
                <w:sz w:val="22"/>
                <w:szCs w:val="22"/>
              </w:rPr>
              <w:t>國家</w:t>
            </w:r>
          </w:p>
        </w:tc>
        <w:tc>
          <w:tcPr>
            <w:tcW w:w="6002" w:type="dxa"/>
            <w:gridSpan w:val="5"/>
            <w:shd w:val="clear" w:color="auto" w:fill="8064A2" w:themeFill="accent4"/>
            <w:vAlign w:val="center"/>
          </w:tcPr>
          <w:p w:rsidR="00F152C0" w:rsidRPr="00CA71C8" w:rsidRDefault="00F152C0" w:rsidP="00E24AF5">
            <w:pPr>
              <w:spacing w:line="400" w:lineRule="exact"/>
              <w:contextualSpacing/>
              <w:jc w:val="center"/>
              <w:rPr>
                <w:rFonts w:ascii="微軟正黑體" w:eastAsia="微軟正黑體" w:hAnsi="微軟正黑體"/>
                <w:b/>
                <w:color w:val="FFFFFF" w:themeColor="background1"/>
                <w:sz w:val="22"/>
                <w:szCs w:val="22"/>
              </w:rPr>
            </w:pPr>
            <w:r w:rsidRPr="00CA71C8">
              <w:rPr>
                <w:rFonts w:ascii="微軟正黑體" w:eastAsia="微軟正黑體" w:hAnsi="微軟正黑體" w:hint="eastAsia"/>
                <w:b/>
                <w:color w:val="FFFFFF" w:themeColor="background1"/>
                <w:sz w:val="22"/>
                <w:szCs w:val="22"/>
              </w:rPr>
              <w:t>65歲及以上老年貧窮</w:t>
            </w:r>
            <w:r w:rsidRPr="00323AAF">
              <w:rPr>
                <w:rFonts w:ascii="微軟正黑體" w:eastAsia="微軟正黑體" w:hAnsi="微軟正黑體" w:hint="eastAsia"/>
                <w:b/>
                <w:color w:val="FFFFFF" w:themeColor="background1"/>
                <w:sz w:val="22"/>
                <w:szCs w:val="22"/>
              </w:rPr>
              <w:t>率</w:t>
            </w:r>
          </w:p>
        </w:tc>
        <w:tc>
          <w:tcPr>
            <w:tcW w:w="1191" w:type="dxa"/>
            <w:vMerge w:val="restart"/>
            <w:shd w:val="clear" w:color="auto" w:fill="8064A2" w:themeFill="accent4"/>
            <w:vAlign w:val="center"/>
          </w:tcPr>
          <w:p w:rsidR="00F152C0" w:rsidRPr="00CA71C8" w:rsidRDefault="00F152C0" w:rsidP="00E24AF5">
            <w:pPr>
              <w:spacing w:line="340" w:lineRule="exact"/>
              <w:contextualSpacing/>
              <w:jc w:val="center"/>
              <w:rPr>
                <w:rFonts w:ascii="微軟正黑體" w:eastAsia="微軟正黑體" w:hAnsi="微軟正黑體"/>
                <w:b/>
                <w:color w:val="FFFFFF" w:themeColor="background1"/>
                <w:sz w:val="22"/>
                <w:szCs w:val="22"/>
              </w:rPr>
            </w:pPr>
            <w:r w:rsidRPr="00CA71C8">
              <w:rPr>
                <w:rFonts w:ascii="微軟正黑體" w:eastAsia="微軟正黑體" w:hAnsi="微軟正黑體" w:hint="eastAsia"/>
                <w:b/>
                <w:color w:val="FFFFFF" w:themeColor="background1"/>
                <w:sz w:val="22"/>
                <w:szCs w:val="22"/>
              </w:rPr>
              <w:t>全體人口貧窮率</w:t>
            </w:r>
          </w:p>
        </w:tc>
      </w:tr>
      <w:tr w:rsidR="00F152C0" w:rsidRPr="006A652C" w:rsidTr="00C86667">
        <w:trPr>
          <w:trHeight w:val="454"/>
          <w:tblHeader/>
          <w:jc w:val="center"/>
        </w:trPr>
        <w:tc>
          <w:tcPr>
            <w:tcW w:w="1525" w:type="dxa"/>
            <w:vMerge/>
            <w:shd w:val="clear" w:color="auto" w:fill="8064A2" w:themeFill="accent4"/>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p>
        </w:tc>
        <w:tc>
          <w:tcPr>
            <w:tcW w:w="1238" w:type="dxa"/>
            <w:vMerge w:val="restart"/>
            <w:shd w:val="clear" w:color="auto" w:fill="8064A2" w:themeFill="accent4"/>
            <w:vAlign w:val="center"/>
          </w:tcPr>
          <w:p w:rsidR="00F152C0" w:rsidRPr="00D37CEE" w:rsidRDefault="00F152C0" w:rsidP="00E24AF5">
            <w:pPr>
              <w:spacing w:line="340" w:lineRule="exact"/>
              <w:jc w:val="center"/>
              <w:rPr>
                <w:rFonts w:ascii="微軟正黑體" w:eastAsia="微軟正黑體" w:hAnsi="微軟正黑體"/>
                <w:b/>
                <w:color w:val="FFFFFF" w:themeColor="background1"/>
                <w:sz w:val="22"/>
                <w:szCs w:val="22"/>
              </w:rPr>
            </w:pPr>
            <w:r w:rsidRPr="00D37CEE">
              <w:rPr>
                <w:rFonts w:ascii="微軟正黑體" w:eastAsia="微軟正黑體" w:hAnsi="微軟正黑體" w:hint="eastAsia"/>
                <w:b/>
                <w:color w:val="FFFFFF" w:themeColor="background1"/>
                <w:sz w:val="22"/>
                <w:szCs w:val="22"/>
              </w:rPr>
              <w:t>65歲及 以上</w:t>
            </w:r>
          </w:p>
        </w:tc>
        <w:tc>
          <w:tcPr>
            <w:tcW w:w="2382" w:type="dxa"/>
            <w:gridSpan w:val="2"/>
            <w:shd w:val="clear" w:color="auto" w:fill="8064A2" w:themeFill="accent4"/>
            <w:vAlign w:val="center"/>
          </w:tcPr>
          <w:p w:rsidR="00F152C0" w:rsidRPr="00CA71C8" w:rsidRDefault="00F152C0" w:rsidP="00E24AF5">
            <w:pPr>
              <w:spacing w:line="400" w:lineRule="exact"/>
              <w:contextualSpacing/>
              <w:jc w:val="center"/>
              <w:rPr>
                <w:rFonts w:ascii="微軟正黑體" w:eastAsia="微軟正黑體" w:hAnsi="微軟正黑體"/>
                <w:b/>
                <w:color w:val="FFFFFF" w:themeColor="background1"/>
                <w:sz w:val="22"/>
                <w:szCs w:val="22"/>
              </w:rPr>
            </w:pPr>
            <w:r w:rsidRPr="00CA71C8">
              <w:rPr>
                <w:rFonts w:ascii="微軟正黑體" w:eastAsia="微軟正黑體" w:hAnsi="微軟正黑體" w:hint="eastAsia"/>
                <w:b/>
                <w:color w:val="FFFFFF" w:themeColor="background1"/>
                <w:sz w:val="22"/>
                <w:szCs w:val="22"/>
              </w:rPr>
              <w:t>年齡</w:t>
            </w:r>
          </w:p>
        </w:tc>
        <w:tc>
          <w:tcPr>
            <w:tcW w:w="2382" w:type="dxa"/>
            <w:gridSpan w:val="2"/>
            <w:shd w:val="clear" w:color="auto" w:fill="8064A2" w:themeFill="accent4"/>
            <w:vAlign w:val="center"/>
          </w:tcPr>
          <w:p w:rsidR="00F152C0" w:rsidRPr="00CA71C8" w:rsidRDefault="00F152C0" w:rsidP="00E24AF5">
            <w:pPr>
              <w:spacing w:line="400" w:lineRule="exact"/>
              <w:contextualSpacing/>
              <w:jc w:val="center"/>
              <w:rPr>
                <w:rFonts w:ascii="微軟正黑體" w:eastAsia="微軟正黑體" w:hAnsi="微軟正黑體"/>
                <w:b/>
                <w:color w:val="FFFFFF" w:themeColor="background1"/>
                <w:sz w:val="22"/>
                <w:szCs w:val="22"/>
              </w:rPr>
            </w:pPr>
            <w:r w:rsidRPr="00CA71C8">
              <w:rPr>
                <w:rFonts w:ascii="微軟正黑體" w:eastAsia="微軟正黑體" w:hAnsi="微軟正黑體" w:hint="eastAsia"/>
                <w:b/>
                <w:color w:val="FFFFFF" w:themeColor="background1"/>
                <w:sz w:val="22"/>
                <w:szCs w:val="22"/>
              </w:rPr>
              <w:t>性別</w:t>
            </w:r>
          </w:p>
        </w:tc>
        <w:tc>
          <w:tcPr>
            <w:tcW w:w="1191" w:type="dxa"/>
            <w:vMerge/>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p>
        </w:tc>
      </w:tr>
      <w:tr w:rsidR="00F152C0" w:rsidRPr="006A652C" w:rsidTr="00C86667">
        <w:trPr>
          <w:trHeight w:val="454"/>
          <w:tblHeader/>
          <w:jc w:val="center"/>
        </w:trPr>
        <w:tc>
          <w:tcPr>
            <w:tcW w:w="1525" w:type="dxa"/>
            <w:vMerge/>
            <w:shd w:val="clear" w:color="auto" w:fill="8064A2" w:themeFill="accent4"/>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p>
        </w:tc>
        <w:tc>
          <w:tcPr>
            <w:tcW w:w="1238" w:type="dxa"/>
            <w:vMerge/>
            <w:shd w:val="clear" w:color="auto" w:fill="8064A2" w:themeFill="accent4"/>
            <w:vAlign w:val="center"/>
          </w:tcPr>
          <w:p w:rsidR="00F152C0" w:rsidRPr="006A652C" w:rsidRDefault="00F152C0" w:rsidP="00E24AF5">
            <w:pPr>
              <w:spacing w:line="400" w:lineRule="exact"/>
              <w:jc w:val="center"/>
              <w:rPr>
                <w:rFonts w:ascii="微軟正黑體" w:eastAsia="微軟正黑體" w:hAnsi="微軟正黑體"/>
                <w:sz w:val="22"/>
                <w:szCs w:val="22"/>
              </w:rPr>
            </w:pPr>
          </w:p>
        </w:tc>
        <w:tc>
          <w:tcPr>
            <w:tcW w:w="1191" w:type="dxa"/>
            <w:shd w:val="clear" w:color="auto" w:fill="E5DFEC" w:themeFill="accent4" w:themeFillTint="33"/>
            <w:vAlign w:val="center"/>
          </w:tcPr>
          <w:p w:rsidR="00F152C0" w:rsidRPr="006A652C" w:rsidRDefault="00F152C0" w:rsidP="00E24AF5">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66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75歲</w:t>
            </w:r>
          </w:p>
        </w:tc>
        <w:tc>
          <w:tcPr>
            <w:tcW w:w="1191" w:type="dxa"/>
            <w:shd w:val="clear" w:color="auto" w:fill="E5DFEC" w:themeFill="accent4" w:themeFillTint="33"/>
            <w:vAlign w:val="center"/>
          </w:tcPr>
          <w:p w:rsidR="00F152C0" w:rsidRPr="006A652C" w:rsidRDefault="00F152C0" w:rsidP="00E24AF5">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75歲以上</w:t>
            </w:r>
          </w:p>
        </w:tc>
        <w:tc>
          <w:tcPr>
            <w:tcW w:w="1152" w:type="dxa"/>
            <w:shd w:val="clear" w:color="auto" w:fill="E5DFEC" w:themeFill="accent4" w:themeFillTint="33"/>
            <w:vAlign w:val="center"/>
          </w:tcPr>
          <w:p w:rsidR="00F152C0" w:rsidRPr="006A652C" w:rsidRDefault="00F152C0" w:rsidP="00E24AF5">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男性</w:t>
            </w:r>
          </w:p>
        </w:tc>
        <w:tc>
          <w:tcPr>
            <w:tcW w:w="1230" w:type="dxa"/>
            <w:shd w:val="clear" w:color="auto" w:fill="E5DFEC" w:themeFill="accent4" w:themeFillTint="33"/>
            <w:vAlign w:val="center"/>
          </w:tcPr>
          <w:p w:rsidR="00F152C0" w:rsidRPr="006A652C" w:rsidRDefault="00F152C0" w:rsidP="00E24AF5">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女性</w:t>
            </w:r>
          </w:p>
        </w:tc>
        <w:tc>
          <w:tcPr>
            <w:tcW w:w="1191" w:type="dxa"/>
            <w:vMerge/>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韓國</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43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35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55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37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49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日本</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2</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美國</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英國</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法國</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c>
          <w:tcPr>
            <w:tcW w:w="1191" w:type="dxa"/>
            <w:vAlign w:val="center"/>
          </w:tcPr>
          <w:p w:rsidR="00F152C0" w:rsidRPr="006A652C" w:rsidRDefault="00F152C0" w:rsidP="00E24AF5">
            <w:pPr>
              <w:spacing w:line="400" w:lineRule="exact"/>
              <w:ind w:firstLineChars="150" w:firstLine="330"/>
              <w:contextualSpacing/>
              <w:rPr>
                <w:rFonts w:ascii="微軟正黑體" w:eastAsia="微軟正黑體" w:hAnsi="微軟正黑體"/>
                <w:sz w:val="22"/>
                <w:szCs w:val="22"/>
              </w:rPr>
            </w:pPr>
            <w:r w:rsidRPr="006A652C">
              <w:rPr>
                <w:rFonts w:ascii="微軟正黑體" w:eastAsia="微軟正黑體" w:hAnsi="微軟正黑體" w:hint="eastAsia"/>
                <w:sz w:val="22"/>
                <w:szCs w:val="22"/>
              </w:rPr>
              <w:t>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c>
          <w:tcPr>
            <w:tcW w:w="1191" w:type="dxa"/>
            <w:vAlign w:val="center"/>
          </w:tcPr>
          <w:p w:rsidR="00F152C0" w:rsidRPr="006A652C" w:rsidRDefault="00F152C0" w:rsidP="00E24AF5">
            <w:pPr>
              <w:spacing w:line="400" w:lineRule="exact"/>
              <w:ind w:firstLineChars="50" w:firstLine="110"/>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1152" w:type="dxa"/>
            <w:vAlign w:val="center"/>
          </w:tcPr>
          <w:p w:rsidR="00F152C0" w:rsidRPr="006A652C" w:rsidRDefault="00F152C0" w:rsidP="00E24AF5">
            <w:pPr>
              <w:spacing w:line="400" w:lineRule="exact"/>
              <w:ind w:firstLineChars="50" w:firstLine="110"/>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lastRenderedPageBreak/>
              <w:t>德國</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瑞典</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c>
          <w:tcPr>
            <w:tcW w:w="1191" w:type="dxa"/>
            <w:vAlign w:val="center"/>
          </w:tcPr>
          <w:p w:rsidR="00F152C0" w:rsidRPr="006A652C" w:rsidRDefault="00F152C0" w:rsidP="00E24AF5">
            <w:pPr>
              <w:spacing w:line="400" w:lineRule="exact"/>
              <w:ind w:firstLineChars="50" w:firstLine="110"/>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丹麥</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191" w:type="dxa"/>
            <w:vAlign w:val="center"/>
          </w:tcPr>
          <w:p w:rsidR="00F152C0" w:rsidRPr="006A652C" w:rsidRDefault="00F152C0" w:rsidP="00E24AF5">
            <w:pPr>
              <w:spacing w:line="400" w:lineRule="exact"/>
              <w:ind w:firstLineChars="150" w:firstLine="330"/>
              <w:contextualSpacing/>
              <w:rPr>
                <w:rFonts w:ascii="微軟正黑體" w:eastAsia="微軟正黑體" w:hAnsi="微軟正黑體"/>
                <w:sz w:val="22"/>
                <w:szCs w:val="22"/>
              </w:rPr>
            </w:pPr>
            <w:r w:rsidRPr="006A652C">
              <w:rPr>
                <w:rFonts w:ascii="微軟正黑體" w:eastAsia="微軟正黑體" w:hAnsi="微軟正黑體" w:hint="eastAsia"/>
                <w:sz w:val="22"/>
                <w:szCs w:val="22"/>
              </w:rPr>
              <w:t>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191" w:type="dxa"/>
            <w:vAlign w:val="center"/>
          </w:tcPr>
          <w:p w:rsidR="00F152C0" w:rsidRPr="006A652C" w:rsidRDefault="00F152C0" w:rsidP="00E24AF5">
            <w:pPr>
              <w:spacing w:line="400" w:lineRule="exact"/>
              <w:ind w:firstLineChars="50" w:firstLine="110"/>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荷蘭</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義大利</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152" w:type="dxa"/>
            <w:vAlign w:val="center"/>
          </w:tcPr>
          <w:p w:rsidR="00F152C0" w:rsidRPr="006A652C" w:rsidRDefault="00F152C0" w:rsidP="00E24AF5">
            <w:pPr>
              <w:spacing w:line="400" w:lineRule="exact"/>
              <w:ind w:firstLineChars="50" w:firstLine="110"/>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希臘</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c>
          <w:tcPr>
            <w:tcW w:w="1191" w:type="dxa"/>
            <w:vAlign w:val="center"/>
          </w:tcPr>
          <w:p w:rsidR="00F152C0" w:rsidRPr="006A652C" w:rsidRDefault="00F152C0" w:rsidP="00E24AF5">
            <w:pPr>
              <w:spacing w:line="400" w:lineRule="exact"/>
              <w:ind w:firstLineChars="50" w:firstLine="110"/>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c>
          <w:tcPr>
            <w:tcW w:w="1230" w:type="dxa"/>
            <w:vAlign w:val="center"/>
          </w:tcPr>
          <w:p w:rsidR="00F152C0" w:rsidRPr="006A652C" w:rsidRDefault="00F152C0" w:rsidP="00E24AF5">
            <w:pPr>
              <w:spacing w:line="400" w:lineRule="exact"/>
              <w:ind w:firstLineChars="50" w:firstLine="110"/>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O</w:t>
            </w:r>
            <w:r w:rsidRPr="006A652C">
              <w:rPr>
                <w:rFonts w:ascii="微軟正黑體" w:eastAsia="微軟正黑體" w:hAnsi="微軟正黑體"/>
                <w:sz w:val="22"/>
                <w:szCs w:val="22"/>
              </w:rPr>
              <w:t>ECD</w:t>
            </w:r>
            <w:r w:rsidRPr="006A652C">
              <w:rPr>
                <w:rFonts w:ascii="微軟正黑體" w:eastAsia="微軟正黑體" w:hAnsi="微軟正黑體" w:hint="eastAsia"/>
                <w:sz w:val="22"/>
                <w:szCs w:val="22"/>
              </w:rPr>
              <w:t>平均</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2</w:t>
            </w:r>
          </w:p>
        </w:tc>
        <w:tc>
          <w:tcPr>
            <w:tcW w:w="1152"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c>
          <w:tcPr>
            <w:tcW w:w="1230"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r>
      <w:tr w:rsidR="00F152C0" w:rsidRPr="006A652C" w:rsidTr="00E24AF5">
        <w:trPr>
          <w:trHeight w:val="340"/>
          <w:jc w:val="center"/>
        </w:trPr>
        <w:tc>
          <w:tcPr>
            <w:tcW w:w="1525"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台灣</w:t>
            </w:r>
          </w:p>
        </w:tc>
        <w:tc>
          <w:tcPr>
            <w:tcW w:w="1238"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r w:rsidRPr="006A652C">
              <w:rPr>
                <w:rFonts w:ascii="微軟正黑體" w:eastAsia="微軟正黑體" w:hAnsi="微軟正黑體"/>
                <w:sz w:val="22"/>
                <w:szCs w:val="22"/>
              </w:rPr>
              <w:t>*</w:t>
            </w:r>
          </w:p>
        </w:tc>
        <w:tc>
          <w:tcPr>
            <w:tcW w:w="1191" w:type="dxa"/>
            <w:vAlign w:val="center"/>
          </w:tcPr>
          <w:p w:rsidR="00F152C0" w:rsidRPr="00BC4216" w:rsidRDefault="00F152C0" w:rsidP="00E24AF5">
            <w:pPr>
              <w:spacing w:line="400" w:lineRule="exact"/>
              <w:contextualSpacing/>
              <w:jc w:val="center"/>
              <w:rPr>
                <w:rFonts w:ascii="微軟正黑體" w:eastAsia="微軟正黑體" w:hAnsi="微軟正黑體"/>
                <w:sz w:val="22"/>
                <w:szCs w:val="22"/>
              </w:rPr>
            </w:pPr>
            <w:r w:rsidRPr="00BC4216">
              <w:rPr>
                <w:rFonts w:ascii="微軟正黑體" w:eastAsia="微軟正黑體" w:hAnsi="微軟正黑體" w:hint="eastAsia"/>
                <w:sz w:val="22"/>
                <w:szCs w:val="22"/>
              </w:rPr>
              <w:t>-</w:t>
            </w:r>
          </w:p>
        </w:tc>
        <w:tc>
          <w:tcPr>
            <w:tcW w:w="1191" w:type="dxa"/>
            <w:vAlign w:val="center"/>
          </w:tcPr>
          <w:p w:rsidR="00F152C0" w:rsidRPr="00BC4216" w:rsidRDefault="00F152C0" w:rsidP="00E24AF5">
            <w:pPr>
              <w:spacing w:line="400" w:lineRule="exact"/>
              <w:contextualSpacing/>
              <w:jc w:val="center"/>
              <w:rPr>
                <w:rFonts w:ascii="微軟正黑體" w:eastAsia="微軟正黑體" w:hAnsi="微軟正黑體"/>
                <w:sz w:val="22"/>
                <w:szCs w:val="22"/>
              </w:rPr>
            </w:pPr>
            <w:r w:rsidRPr="00BC4216">
              <w:rPr>
                <w:rFonts w:ascii="微軟正黑體" w:eastAsia="微軟正黑體" w:hAnsi="微軟正黑體" w:hint="eastAsia"/>
                <w:sz w:val="22"/>
                <w:szCs w:val="22"/>
              </w:rPr>
              <w:t>-</w:t>
            </w:r>
          </w:p>
        </w:tc>
        <w:tc>
          <w:tcPr>
            <w:tcW w:w="1152" w:type="dxa"/>
            <w:vAlign w:val="center"/>
          </w:tcPr>
          <w:p w:rsidR="00F152C0" w:rsidRPr="00BC4216" w:rsidRDefault="00F152C0" w:rsidP="00E24AF5">
            <w:pPr>
              <w:spacing w:line="400" w:lineRule="exact"/>
              <w:contextualSpacing/>
              <w:jc w:val="center"/>
              <w:rPr>
                <w:rFonts w:ascii="微軟正黑體" w:eastAsia="微軟正黑體" w:hAnsi="微軟正黑體"/>
                <w:sz w:val="22"/>
                <w:szCs w:val="22"/>
              </w:rPr>
            </w:pPr>
            <w:r w:rsidRPr="00BC4216">
              <w:rPr>
                <w:rFonts w:ascii="微軟正黑體" w:eastAsia="微軟正黑體" w:hAnsi="微軟正黑體" w:hint="eastAsia"/>
                <w:sz w:val="22"/>
                <w:szCs w:val="22"/>
              </w:rPr>
              <w:t>-</w:t>
            </w:r>
          </w:p>
        </w:tc>
        <w:tc>
          <w:tcPr>
            <w:tcW w:w="1230" w:type="dxa"/>
            <w:vAlign w:val="center"/>
          </w:tcPr>
          <w:p w:rsidR="00F152C0" w:rsidRPr="00BC4216" w:rsidRDefault="00F152C0" w:rsidP="00E24AF5">
            <w:pPr>
              <w:spacing w:line="400" w:lineRule="exact"/>
              <w:contextualSpacing/>
              <w:jc w:val="center"/>
              <w:rPr>
                <w:rFonts w:ascii="微軟正黑體" w:eastAsia="微軟正黑體" w:hAnsi="微軟正黑體"/>
                <w:sz w:val="22"/>
                <w:szCs w:val="22"/>
              </w:rPr>
            </w:pPr>
            <w:r w:rsidRPr="00BC4216">
              <w:rPr>
                <w:rFonts w:ascii="微軟正黑體" w:eastAsia="微軟正黑體" w:hAnsi="微軟正黑體" w:hint="eastAsia"/>
                <w:sz w:val="22"/>
                <w:szCs w:val="22"/>
              </w:rPr>
              <w:t>-</w:t>
            </w:r>
          </w:p>
        </w:tc>
        <w:tc>
          <w:tcPr>
            <w:tcW w:w="1191" w:type="dxa"/>
            <w:vAlign w:val="center"/>
          </w:tcPr>
          <w:p w:rsidR="00F152C0" w:rsidRPr="006A652C" w:rsidRDefault="00F152C0" w:rsidP="00E24AF5">
            <w:pPr>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sz w:val="22"/>
                <w:szCs w:val="22"/>
              </w:rPr>
              <w:t xml:space="preserve"> </w:t>
            </w:r>
            <w:r w:rsidRPr="006A652C">
              <w:rPr>
                <w:rFonts w:ascii="微軟正黑體" w:eastAsia="微軟正黑體" w:hAnsi="微軟正黑體" w:hint="eastAsia"/>
                <w:sz w:val="22"/>
                <w:szCs w:val="22"/>
              </w:rPr>
              <w:t>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r>
    </w:tbl>
    <w:p w:rsidR="00F152C0" w:rsidRPr="00BC4216" w:rsidRDefault="00F152C0" w:rsidP="00E24AF5">
      <w:pPr>
        <w:spacing w:beforeLines="30" w:before="108" w:line="240" w:lineRule="exact"/>
        <w:ind w:left="709" w:rightChars="57" w:right="137" w:hanging="567"/>
        <w:contextualSpacing/>
        <w:rPr>
          <w:rFonts w:ascii="微軟正黑體" w:eastAsia="微軟正黑體" w:hAnsi="微軟正黑體"/>
          <w:sz w:val="20"/>
          <w:szCs w:val="20"/>
        </w:rPr>
      </w:pPr>
      <w:r w:rsidRPr="001B1387">
        <w:rPr>
          <w:rFonts w:ascii="微軟正黑體" w:eastAsia="微軟正黑體" w:hAnsi="微軟正黑體" w:hint="eastAsia"/>
          <w:sz w:val="20"/>
          <w:szCs w:val="20"/>
        </w:rPr>
        <w:t>說明：呈現與比較的資料主要皆為2016年資料，台灣亦是採相同年度與可支配所得50</w:t>
      </w:r>
      <w:r w:rsidRPr="001B1387">
        <w:rPr>
          <w:rFonts w:ascii="微軟正黑體" w:eastAsia="微軟正黑體" w:hAnsi="微軟正黑體"/>
          <w:sz w:val="20"/>
          <w:szCs w:val="20"/>
        </w:rPr>
        <w:t>%</w:t>
      </w:r>
      <w:r w:rsidRPr="001B1387">
        <w:rPr>
          <w:rFonts w:ascii="微軟正黑體" w:eastAsia="微軟正黑體" w:hAnsi="微軟正黑體" w:hint="eastAsia"/>
          <w:sz w:val="20"/>
          <w:szCs w:val="20"/>
        </w:rPr>
        <w:t>進行計算，計算結果取自盧森堡LIS跨國數據中心；＊如果根據低於可支配所得60</w:t>
      </w:r>
      <w:r w:rsidRPr="001B1387">
        <w:rPr>
          <w:rFonts w:ascii="微軟正黑體" w:eastAsia="微軟正黑體" w:hAnsi="微軟正黑體"/>
          <w:sz w:val="20"/>
          <w:szCs w:val="20"/>
        </w:rPr>
        <w:t>%</w:t>
      </w:r>
      <w:r w:rsidRPr="001B1387">
        <w:rPr>
          <w:rFonts w:ascii="微軟正黑體" w:eastAsia="微軟正黑體" w:hAnsi="微軟正黑體" w:hint="eastAsia"/>
          <w:sz w:val="20"/>
          <w:szCs w:val="20"/>
        </w:rPr>
        <w:t>來計算老年相對貧窮率，則我國有32</w:t>
      </w:r>
      <w:r w:rsidRPr="001B1387">
        <w:rPr>
          <w:rFonts w:ascii="微軟正黑體" w:eastAsia="微軟正黑體" w:hAnsi="微軟正黑體"/>
          <w:sz w:val="20"/>
          <w:szCs w:val="20"/>
        </w:rPr>
        <w:t>.</w:t>
      </w:r>
      <w:r w:rsidRPr="001B1387">
        <w:rPr>
          <w:rFonts w:ascii="微軟正黑體" w:eastAsia="微軟正黑體" w:hAnsi="微軟正黑體" w:hint="eastAsia"/>
          <w:sz w:val="20"/>
          <w:szCs w:val="20"/>
        </w:rPr>
        <w:t>1</w:t>
      </w:r>
      <w:r w:rsidRPr="001B1387">
        <w:rPr>
          <w:rFonts w:ascii="微軟正黑體" w:eastAsia="微軟正黑體" w:hAnsi="微軟正黑體"/>
          <w:sz w:val="20"/>
          <w:szCs w:val="20"/>
        </w:rPr>
        <w:t>%</w:t>
      </w:r>
      <w:r w:rsidRPr="001B1387">
        <w:rPr>
          <w:rFonts w:ascii="微軟正黑體" w:eastAsia="微軟正黑體" w:hAnsi="微軟正黑體" w:hint="eastAsia"/>
          <w:sz w:val="20"/>
          <w:szCs w:val="20"/>
        </w:rPr>
        <w:t>的老年貧窮率。</w:t>
      </w:r>
      <w:r w:rsidRPr="00BC4216">
        <w:rPr>
          <w:rFonts w:ascii="微軟正黑體" w:eastAsia="微軟正黑體" w:hAnsi="微軟正黑體" w:hint="eastAsia"/>
          <w:sz w:val="20"/>
          <w:szCs w:val="20"/>
        </w:rPr>
        <w:t>台灣的整體平均率之國際比較指標取自行政院主計總處社會指標之福祉衡量指標。</w:t>
      </w:r>
    </w:p>
    <w:p w:rsidR="00F152C0" w:rsidRDefault="00F152C0" w:rsidP="00F152C0">
      <w:pPr>
        <w:spacing w:line="240" w:lineRule="exact"/>
        <w:contextualSpacing/>
        <w:rPr>
          <w:rFonts w:ascii="微軟正黑體" w:eastAsia="微軟正黑體" w:hAnsi="微軟正黑體"/>
          <w:sz w:val="20"/>
          <w:szCs w:val="20"/>
        </w:rPr>
      </w:pPr>
    </w:p>
    <w:p w:rsidR="00F152C0" w:rsidRDefault="00F152C0" w:rsidP="00F152C0">
      <w:pPr>
        <w:spacing w:line="240" w:lineRule="exact"/>
        <w:contextualSpacing/>
        <w:rPr>
          <w:rFonts w:ascii="微軟正黑體" w:eastAsia="微軟正黑體" w:hAnsi="微軟正黑體"/>
          <w:sz w:val="20"/>
          <w:szCs w:val="20"/>
        </w:rPr>
      </w:pPr>
    </w:p>
    <w:p w:rsidR="00F152C0" w:rsidRDefault="00F152C0" w:rsidP="00F152C0">
      <w:pPr>
        <w:spacing w:line="240" w:lineRule="exact"/>
        <w:ind w:leftChars="-1" w:left="1198" w:hangingChars="500" w:hanging="1200"/>
        <w:contextualSpacing/>
        <w:rPr>
          <w:rFonts w:ascii="微軟正黑體" w:eastAsia="微軟正黑體" w:hAnsi="微軟正黑體"/>
          <w:sz w:val="20"/>
          <w:szCs w:val="20"/>
        </w:rPr>
      </w:pPr>
      <w:r w:rsidRPr="001E7ED0">
        <w:rPr>
          <w:noProof/>
        </w:rPr>
        <w:drawing>
          <wp:anchor distT="0" distB="0" distL="114300" distR="114300" simplePos="0" relativeHeight="252502016" behindDoc="0" locked="0" layoutInCell="1" allowOverlap="1" wp14:anchorId="06C7A816" wp14:editId="3488091E">
            <wp:simplePos x="0" y="0"/>
            <wp:positionH relativeFrom="column">
              <wp:posOffset>21590</wp:posOffset>
            </wp:positionH>
            <wp:positionV relativeFrom="paragraph">
              <wp:posOffset>72390</wp:posOffset>
            </wp:positionV>
            <wp:extent cx="5654040" cy="2933700"/>
            <wp:effectExtent l="0" t="0" r="22860" b="19050"/>
            <wp:wrapNone/>
            <wp:docPr id="15" name="圖表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EC976A-A0C8-433D-831B-55609874A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H relativeFrom="page">
              <wp14:pctWidth>0</wp14:pctWidth>
            </wp14:sizeRelH>
            <wp14:sizeRelV relativeFrom="page">
              <wp14:pctHeight>0</wp14:pctHeight>
            </wp14:sizeRelV>
          </wp:anchor>
        </w:drawing>
      </w: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Pr="001B1387" w:rsidRDefault="00F152C0" w:rsidP="00F152C0">
      <w:pPr>
        <w:spacing w:line="240" w:lineRule="exact"/>
        <w:ind w:leftChars="-1" w:left="598" w:hangingChars="300" w:hanging="600"/>
        <w:contextualSpacing/>
        <w:rPr>
          <w:rFonts w:ascii="微軟正黑體" w:eastAsia="微軟正黑體" w:hAnsi="微軟正黑體"/>
          <w:sz w:val="20"/>
          <w:szCs w:val="20"/>
        </w:rPr>
      </w:pPr>
      <w:r w:rsidRPr="001B1387">
        <w:rPr>
          <w:rFonts w:ascii="微軟正黑體" w:eastAsia="微軟正黑體" w:hAnsi="微軟正黑體" w:hint="eastAsia"/>
          <w:sz w:val="20"/>
          <w:szCs w:val="20"/>
        </w:rPr>
        <w:t>說明：低於所得中位數</w:t>
      </w:r>
      <w:r w:rsidRPr="001B1387">
        <w:rPr>
          <w:rFonts w:ascii="微軟正黑體" w:eastAsia="微軟正黑體" w:hAnsi="微軟正黑體"/>
          <w:sz w:val="20"/>
          <w:szCs w:val="20"/>
        </w:rPr>
        <w:t>50%</w:t>
      </w:r>
      <w:r w:rsidRPr="001B1387">
        <w:rPr>
          <w:rFonts w:ascii="微軟正黑體" w:eastAsia="微軟正黑體" w:hAnsi="微軟正黑體" w:hint="eastAsia"/>
          <w:sz w:val="20"/>
          <w:szCs w:val="20"/>
        </w:rPr>
        <w:t>作為貧窮線。大部分國家為</w:t>
      </w:r>
      <w:r w:rsidRPr="001B1387">
        <w:rPr>
          <w:rFonts w:ascii="微軟正黑體" w:eastAsia="微軟正黑體" w:hAnsi="微軟正黑體"/>
          <w:sz w:val="20"/>
          <w:szCs w:val="20"/>
        </w:rPr>
        <w:t>2018</w:t>
      </w:r>
      <w:r w:rsidRPr="001B1387">
        <w:rPr>
          <w:rFonts w:ascii="微軟正黑體" w:eastAsia="微軟正黑體" w:hAnsi="微軟正黑體" w:hint="eastAsia"/>
          <w:sz w:val="20"/>
          <w:szCs w:val="20"/>
        </w:rPr>
        <w:t>年之資料，</w:t>
      </w:r>
      <w:r w:rsidRPr="001B1387">
        <w:rPr>
          <w:rFonts w:ascii="微軟正黑體" w:eastAsia="微軟正黑體" w:hAnsi="微軟正黑體"/>
          <w:sz w:val="20"/>
          <w:szCs w:val="20"/>
        </w:rPr>
        <w:t>OECD</w:t>
      </w:r>
      <w:r w:rsidRPr="001B1387">
        <w:rPr>
          <w:rFonts w:ascii="微軟正黑體" w:eastAsia="微軟正黑體" w:hAnsi="微軟正黑體" w:hint="eastAsia"/>
          <w:sz w:val="20"/>
          <w:szCs w:val="20"/>
        </w:rPr>
        <w:t>為</w:t>
      </w:r>
      <w:r w:rsidRPr="001B1387">
        <w:rPr>
          <w:rFonts w:ascii="微軟正黑體" w:eastAsia="微軟正黑體" w:hAnsi="微軟正黑體"/>
          <w:sz w:val="20"/>
          <w:szCs w:val="20"/>
        </w:rPr>
        <w:t>2016</w:t>
      </w:r>
      <w:r w:rsidRPr="001B1387">
        <w:rPr>
          <w:rFonts w:ascii="微軟正黑體" w:eastAsia="微軟正黑體" w:hAnsi="微軟正黑體" w:hint="eastAsia"/>
          <w:sz w:val="20"/>
          <w:szCs w:val="20"/>
        </w:rPr>
        <w:t>年資料，美國為</w:t>
      </w:r>
      <w:r w:rsidRPr="001B1387">
        <w:rPr>
          <w:rFonts w:ascii="微軟正黑體" w:eastAsia="微軟正黑體" w:hAnsi="微軟正黑體"/>
          <w:sz w:val="20"/>
          <w:szCs w:val="20"/>
        </w:rPr>
        <w:t>2017</w:t>
      </w:r>
      <w:r w:rsidRPr="001B1387">
        <w:rPr>
          <w:rFonts w:ascii="微軟正黑體" w:eastAsia="微軟正黑體" w:hAnsi="微軟正黑體" w:hint="eastAsia"/>
          <w:sz w:val="20"/>
          <w:szCs w:val="20"/>
        </w:rPr>
        <w:t>年資料，英國、瑞典為</w:t>
      </w:r>
      <w:r w:rsidRPr="001B1387">
        <w:rPr>
          <w:rFonts w:ascii="微軟正黑體" w:eastAsia="微軟正黑體" w:hAnsi="微軟正黑體"/>
          <w:sz w:val="20"/>
          <w:szCs w:val="20"/>
        </w:rPr>
        <w:t>2019</w:t>
      </w:r>
      <w:r w:rsidRPr="001B1387">
        <w:rPr>
          <w:rFonts w:ascii="微軟正黑體" w:eastAsia="微軟正黑體" w:hAnsi="微軟正黑體" w:hint="eastAsia"/>
          <w:sz w:val="20"/>
          <w:szCs w:val="20"/>
        </w:rPr>
        <w:t>年之資料。</w:t>
      </w:r>
    </w:p>
    <w:p w:rsidR="00F152C0" w:rsidRPr="001B1387" w:rsidRDefault="00F152C0" w:rsidP="00F152C0">
      <w:pPr>
        <w:spacing w:line="240" w:lineRule="exact"/>
        <w:ind w:leftChars="-1" w:left="998" w:hangingChars="500" w:hanging="1000"/>
        <w:contextualSpacing/>
        <w:rPr>
          <w:rFonts w:ascii="微軟正黑體" w:eastAsia="微軟正黑體" w:hAnsi="微軟正黑體"/>
          <w:sz w:val="20"/>
          <w:szCs w:val="20"/>
        </w:rPr>
      </w:pPr>
      <w:r w:rsidRPr="001B1387">
        <w:rPr>
          <w:rFonts w:ascii="微軟正黑體" w:eastAsia="微軟正黑體" w:hAnsi="微軟正黑體" w:hint="eastAsia"/>
          <w:sz w:val="20"/>
          <w:szCs w:val="20"/>
        </w:rPr>
        <w:t>資料來源：OECD</w:t>
      </w:r>
      <w:r>
        <w:rPr>
          <w:rFonts w:ascii="微軟正黑體" w:eastAsia="微軟正黑體" w:hAnsi="微軟正黑體" w:hint="eastAsia"/>
          <w:sz w:val="20"/>
          <w:szCs w:val="20"/>
        </w:rPr>
        <w:t>(</w:t>
      </w:r>
      <w:r w:rsidRPr="001B1387">
        <w:rPr>
          <w:rFonts w:ascii="微軟正黑體" w:eastAsia="微軟正黑體" w:hAnsi="微軟正黑體" w:hint="eastAsia"/>
          <w:sz w:val="20"/>
          <w:szCs w:val="20"/>
        </w:rPr>
        <w:t>2019:187</w:t>
      </w:r>
      <w:r>
        <w:rPr>
          <w:rFonts w:ascii="微軟正黑體" w:eastAsia="微軟正黑體" w:hAnsi="微軟正黑體" w:hint="eastAsia"/>
          <w:sz w:val="20"/>
          <w:szCs w:val="20"/>
        </w:rPr>
        <w:t xml:space="preserve">) </w:t>
      </w:r>
      <w:r w:rsidRPr="001B1387">
        <w:rPr>
          <w:rFonts w:ascii="微軟正黑體" w:eastAsia="微軟正黑體" w:hAnsi="微軟正黑體" w:hint="eastAsia"/>
          <w:sz w:val="20"/>
          <w:szCs w:val="20"/>
        </w:rPr>
        <w:t>/</w:t>
      </w:r>
      <w:r>
        <w:rPr>
          <w:rFonts w:ascii="微軟正黑體" w:eastAsia="微軟正黑體" w:hAnsi="微軟正黑體" w:hint="eastAsia"/>
          <w:sz w:val="20"/>
          <w:szCs w:val="20"/>
        </w:rPr>
        <w:t>行政院主計總處(</w:t>
      </w:r>
      <w:r w:rsidRPr="001B1387">
        <w:rPr>
          <w:rFonts w:ascii="微軟正黑體" w:eastAsia="微軟正黑體" w:hAnsi="微軟正黑體" w:hint="eastAsia"/>
          <w:sz w:val="20"/>
          <w:szCs w:val="20"/>
        </w:rPr>
        <w:t>2021</w:t>
      </w:r>
      <w:r>
        <w:rPr>
          <w:rFonts w:ascii="微軟正黑體" w:eastAsia="微軟正黑體" w:hAnsi="微軟正黑體" w:hint="eastAsia"/>
          <w:sz w:val="20"/>
          <w:szCs w:val="20"/>
        </w:rPr>
        <w:t>)</w:t>
      </w:r>
      <w:r w:rsidRPr="001B1387">
        <w:rPr>
          <w:rFonts w:ascii="微軟正黑體" w:eastAsia="微軟正黑體" w:hAnsi="微軟正黑體" w:hint="eastAsia"/>
          <w:sz w:val="20"/>
          <w:szCs w:val="20"/>
        </w:rPr>
        <w:t>。</w:t>
      </w:r>
      <w:bookmarkStart w:id="51" w:name="_Toc81294624"/>
      <w:bookmarkStart w:id="52" w:name="_Toc81296396"/>
    </w:p>
    <w:p w:rsidR="00F152C0" w:rsidRDefault="00F152C0" w:rsidP="00F152C0">
      <w:pPr>
        <w:pStyle w:val="af8"/>
        <w:spacing w:beforeLines="50" w:before="180" w:line="400" w:lineRule="exact"/>
        <w:contextualSpacing/>
        <w:jc w:val="center"/>
        <w:rPr>
          <w:rFonts w:ascii="微軟正黑體" w:eastAsia="微軟正黑體" w:hAnsi="微軟正黑體"/>
          <w:sz w:val="24"/>
          <w:szCs w:val="24"/>
        </w:rPr>
      </w:pPr>
      <w:bookmarkStart w:id="53" w:name="_Toc81834124"/>
      <w:r w:rsidRPr="001B1387">
        <w:rPr>
          <w:rFonts w:ascii="微軟正黑體" w:eastAsia="微軟正黑體" w:hAnsi="微軟正黑體" w:hint="eastAsia"/>
          <w:sz w:val="24"/>
          <w:szCs w:val="24"/>
        </w:rPr>
        <w:t>圖 8　台灣與OECD主要國家老年貧窮率之比較-按性別分</w:t>
      </w:r>
      <w:bookmarkEnd w:id="51"/>
      <w:bookmarkEnd w:id="52"/>
      <w:bookmarkEnd w:id="53"/>
    </w:p>
    <w:p w:rsidR="00F152C0" w:rsidRDefault="00F152C0" w:rsidP="00F152C0">
      <w:pPr>
        <w:spacing w:line="400" w:lineRule="exact"/>
        <w:ind w:firstLine="482"/>
        <w:jc w:val="both"/>
        <w:rPr>
          <w:rFonts w:ascii="微軟正黑體" w:eastAsia="微軟正黑體" w:hAnsi="微軟正黑體"/>
        </w:rPr>
      </w:pPr>
    </w:p>
    <w:p w:rsidR="00F152C0" w:rsidRPr="00C47D98" w:rsidRDefault="00F152C0" w:rsidP="00F152C0">
      <w:pPr>
        <w:spacing w:line="400" w:lineRule="exact"/>
        <w:ind w:firstLine="482"/>
        <w:jc w:val="both"/>
        <w:rPr>
          <w:rFonts w:ascii="微軟正黑體" w:eastAsia="微軟正黑體" w:hAnsi="微軟正黑體"/>
        </w:rPr>
      </w:pPr>
      <w:r>
        <w:rPr>
          <w:rFonts w:ascii="微軟正黑體" w:eastAsia="微軟正黑體" w:hAnsi="微軟正黑體"/>
        </w:rPr>
        <w:t>如再根據行政院主計總處</w:t>
      </w:r>
      <w:r>
        <w:rPr>
          <w:rFonts w:ascii="微軟正黑體" w:eastAsia="微軟正黑體" w:hAnsi="微軟正黑體" w:hint="eastAsia"/>
        </w:rPr>
        <w:t>(</w:t>
      </w:r>
      <w:r w:rsidRPr="001B1387">
        <w:rPr>
          <w:rFonts w:ascii="微軟正黑體" w:eastAsia="微軟正黑體" w:hAnsi="微軟正黑體"/>
        </w:rPr>
        <w:t>2010</w:t>
      </w:r>
      <w:r>
        <w:rPr>
          <w:rFonts w:ascii="微軟正黑體" w:eastAsia="微軟正黑體" w:hAnsi="微軟正黑體" w:hint="eastAsia"/>
        </w:rPr>
        <w:t>)</w:t>
      </w:r>
      <w:r w:rsidRPr="001B1387">
        <w:rPr>
          <w:rFonts w:ascii="微軟正黑體" w:eastAsia="微軟正黑體" w:hAnsi="微軟正黑體"/>
        </w:rPr>
        <w:t>參考OECD同樣基準，計算出台灣全體平均貧窮率為7.</w:t>
      </w:r>
      <w:r>
        <w:rPr>
          <w:rFonts w:ascii="微軟正黑體" w:eastAsia="微軟正黑體" w:hAnsi="微軟正黑體" w:hint="eastAsia"/>
        </w:rPr>
        <w:t>6</w:t>
      </w:r>
      <w:r w:rsidRPr="001B1387">
        <w:rPr>
          <w:rFonts w:ascii="微軟正黑體" w:eastAsia="微軟正黑體" w:hAnsi="微軟正黑體"/>
        </w:rPr>
        <w:t>%，65-75歲之老年貧窮率為26.7％，75歲以上略降為23.2%。2009年OECD國家66-75歲老年貧窮率平均為11.6%，75歲以上為15.2%，我國的老年貧窮風險高出OECD國家甚多</w:t>
      </w:r>
      <w:r>
        <w:rPr>
          <w:rFonts w:ascii="微軟正黑體" w:eastAsia="微軟正黑體" w:hAnsi="微軟正黑體" w:hint="eastAsia"/>
        </w:rPr>
        <w:t>(</w:t>
      </w:r>
      <w:r w:rsidRPr="001B1387">
        <w:rPr>
          <w:rFonts w:ascii="微軟正黑體" w:eastAsia="微軟正黑體" w:hAnsi="微軟正黑體"/>
        </w:rPr>
        <w:t>陳靜雯 2017</w:t>
      </w:r>
      <w:r>
        <w:rPr>
          <w:rFonts w:ascii="微軟正黑體" w:eastAsia="微軟正黑體" w:hAnsi="微軟正黑體" w:hint="eastAsia"/>
        </w:rPr>
        <w:t>)</w:t>
      </w:r>
      <w:r w:rsidRPr="001B1387">
        <w:rPr>
          <w:rFonts w:ascii="微軟正黑體" w:eastAsia="微軟正黑體" w:hAnsi="微軟正黑體"/>
        </w:rPr>
        <w:t>。鄭清霞(2014)以可支配所得低於60%</w:t>
      </w:r>
      <w:r>
        <w:rPr>
          <w:rFonts w:ascii="微軟正黑體" w:eastAsia="微軟正黑體" w:hAnsi="微軟正黑體"/>
        </w:rPr>
        <w:t>所計算出的老</w:t>
      </w:r>
      <w:r>
        <w:rPr>
          <w:rFonts w:ascii="微軟正黑體" w:eastAsia="微軟正黑體" w:hAnsi="微軟正黑體"/>
        </w:rPr>
        <w:lastRenderedPageBreak/>
        <w:t>人家庭與非老人家庭的貧窮率，指</w:t>
      </w:r>
      <w:r>
        <w:rPr>
          <w:rFonts w:ascii="微軟正黑體" w:eastAsia="微軟正黑體" w:hAnsi="微軟正黑體" w:hint="eastAsia"/>
        </w:rPr>
        <w:t>出</w:t>
      </w:r>
      <w:r w:rsidRPr="001B1387">
        <w:rPr>
          <w:rFonts w:ascii="微軟正黑體" w:eastAsia="微軟正黑體" w:hAnsi="微軟正黑體"/>
        </w:rPr>
        <w:t>2003-2006年老人家庭貧窮率都大於19.67%，非老人家庭則由12.13%降到10%。2007年老人與非老人家庭貧窮率的差距明顯縮小，分別是18.07%與10.64%。在2008年，老人家庭貧窮率大幅躍升到19.63%，非老人家庭則降到10.29%的低點，差距明顯又拉大。2009-2012年間，兩類家庭的貧窮率差距變小且穩定，但2013年老人家庭貧窮率從18.36%上升到18.85%，非老人家庭則由11.07%大幅降為9.59%，差距又拉大。</w:t>
      </w:r>
    </w:p>
    <w:p w:rsidR="00F152C0" w:rsidRDefault="00F152C0" w:rsidP="00F152C0">
      <w:pPr>
        <w:spacing w:beforeLines="30" w:before="108" w:line="400" w:lineRule="exact"/>
        <w:ind w:firstLine="482"/>
        <w:jc w:val="both"/>
        <w:rPr>
          <w:rFonts w:ascii="微軟正黑體" w:eastAsia="微軟正黑體" w:hAnsi="微軟正黑體"/>
        </w:rPr>
      </w:pPr>
      <w:r w:rsidRPr="001B1387">
        <w:rPr>
          <w:rFonts w:ascii="微軟正黑體" w:eastAsia="微軟正黑體" w:hAnsi="微軟正黑體" w:hint="eastAsia"/>
        </w:rPr>
        <w:t>在65歲以上老人所得來源，主要包括政府的移轉性收入、個人的職業年金、資產所得與工作所得四大項目。根據O</w:t>
      </w:r>
      <w:r w:rsidRPr="001B1387">
        <w:rPr>
          <w:rFonts w:ascii="微軟正黑體" w:eastAsia="微軟正黑體" w:hAnsi="微軟正黑體"/>
        </w:rPr>
        <w:t>ECD(</w:t>
      </w:r>
      <w:r w:rsidRPr="001B1387">
        <w:rPr>
          <w:rFonts w:ascii="微軟正黑體" w:eastAsia="微軟正黑體" w:hAnsi="微軟正黑體" w:hint="eastAsia"/>
        </w:rPr>
        <w:t>2019</w:t>
      </w:r>
      <w:r w:rsidRPr="001B1387">
        <w:rPr>
          <w:rFonts w:ascii="微軟正黑體" w:eastAsia="微軟正黑體" w:hAnsi="微軟正黑體"/>
        </w:rPr>
        <w:t>)</w:t>
      </w:r>
      <w:r w:rsidRPr="001B1387">
        <w:rPr>
          <w:rFonts w:ascii="微軟正黑體" w:eastAsia="微軟正黑體" w:hAnsi="微軟正黑體" w:hint="eastAsia"/>
        </w:rPr>
        <w:t>所進行的國際比較結果，我們可發現韓國老人的所得來自個人工作的比重最高達到52</w:t>
      </w:r>
      <w:r w:rsidRPr="001B1387">
        <w:rPr>
          <w:rFonts w:ascii="微軟正黑體" w:eastAsia="微軟正黑體" w:hAnsi="微軟正黑體"/>
        </w:rPr>
        <w:t>.</w:t>
      </w:r>
      <w:r w:rsidRPr="001B1387">
        <w:rPr>
          <w:rFonts w:ascii="微軟正黑體" w:eastAsia="微軟正黑體" w:hAnsi="微軟正黑體" w:hint="eastAsia"/>
        </w:rPr>
        <w:t>5</w:t>
      </w:r>
      <w:r w:rsidRPr="001B1387">
        <w:rPr>
          <w:rFonts w:ascii="微軟正黑體" w:eastAsia="微軟正黑體" w:hAnsi="微軟正黑體"/>
        </w:rPr>
        <w:t>%</w:t>
      </w:r>
      <w:r w:rsidRPr="001B1387">
        <w:rPr>
          <w:rFonts w:ascii="微軟正黑體" w:eastAsia="微軟正黑體" w:hAnsi="微軟正黑體" w:hint="eastAsia"/>
        </w:rPr>
        <w:t>、其次是日本的40</w:t>
      </w:r>
      <w:r w:rsidRPr="001B1387">
        <w:rPr>
          <w:rFonts w:ascii="微軟正黑體" w:eastAsia="微軟正黑體" w:hAnsi="微軟正黑體"/>
        </w:rPr>
        <w:t>.</w:t>
      </w:r>
      <w:r w:rsidRPr="001B1387">
        <w:rPr>
          <w:rFonts w:ascii="微軟正黑體" w:eastAsia="微軟正黑體" w:hAnsi="微軟正黑體" w:hint="eastAsia"/>
        </w:rPr>
        <w:t>2</w:t>
      </w:r>
      <w:r w:rsidRPr="001B1387">
        <w:rPr>
          <w:rFonts w:ascii="微軟正黑體" w:eastAsia="微軟正黑體" w:hAnsi="微軟正黑體"/>
        </w:rPr>
        <w:t>%</w:t>
      </w:r>
      <w:r w:rsidRPr="001B1387">
        <w:rPr>
          <w:rFonts w:ascii="微軟正黑體" w:eastAsia="微軟正黑體" w:hAnsi="微軟正黑體" w:hint="eastAsia"/>
        </w:rPr>
        <w:t>、美國35</w:t>
      </w:r>
      <w:r w:rsidRPr="001B1387">
        <w:rPr>
          <w:rFonts w:ascii="微軟正黑體" w:eastAsia="微軟正黑體" w:hAnsi="微軟正黑體"/>
        </w:rPr>
        <w:t>.</w:t>
      </w:r>
      <w:r w:rsidRPr="001B1387">
        <w:rPr>
          <w:rFonts w:ascii="微軟正黑體" w:eastAsia="微軟正黑體" w:hAnsi="微軟正黑體" w:hint="eastAsia"/>
        </w:rPr>
        <w:t>3</w:t>
      </w:r>
      <w:r w:rsidRPr="001B1387">
        <w:rPr>
          <w:rFonts w:ascii="微軟正黑體" w:eastAsia="微軟正黑體" w:hAnsi="微軟正黑體"/>
        </w:rPr>
        <w:t>%</w:t>
      </w:r>
      <w:r w:rsidRPr="001B1387">
        <w:rPr>
          <w:rFonts w:ascii="微軟正黑體" w:eastAsia="微軟正黑體" w:hAnsi="微軟正黑體" w:hint="eastAsia"/>
        </w:rPr>
        <w:t>、O</w:t>
      </w:r>
      <w:r w:rsidRPr="001B1387">
        <w:rPr>
          <w:rFonts w:ascii="微軟正黑體" w:eastAsia="微軟正黑體" w:hAnsi="微軟正黑體"/>
        </w:rPr>
        <w:t>ECD</w:t>
      </w:r>
      <w:r w:rsidRPr="001B1387">
        <w:rPr>
          <w:rFonts w:ascii="微軟正黑體" w:eastAsia="微軟正黑體" w:hAnsi="微軟正黑體" w:hint="eastAsia"/>
        </w:rPr>
        <w:t>國家平均為24</w:t>
      </w:r>
      <w:r w:rsidRPr="001B1387">
        <w:rPr>
          <w:rFonts w:ascii="微軟正黑體" w:eastAsia="微軟正黑體" w:hAnsi="微軟正黑體"/>
        </w:rPr>
        <w:t>.</w:t>
      </w:r>
      <w:r w:rsidRPr="001B1387">
        <w:rPr>
          <w:rFonts w:ascii="微軟正黑體" w:eastAsia="微軟正黑體" w:hAnsi="微軟正黑體" w:hint="eastAsia"/>
        </w:rPr>
        <w:t>6</w:t>
      </w:r>
      <w:r w:rsidRPr="001B1387">
        <w:rPr>
          <w:rFonts w:ascii="微軟正黑體" w:eastAsia="微軟正黑體" w:hAnsi="微軟正黑體"/>
        </w:rPr>
        <w:t>%</w:t>
      </w:r>
      <w:r w:rsidRPr="00BC4216">
        <w:rPr>
          <w:rFonts w:ascii="微軟正黑體" w:eastAsia="微軟正黑體" w:hAnsi="微軟正黑體" w:hint="eastAsia"/>
        </w:rPr>
        <w:t>，</w:t>
      </w:r>
      <w:r w:rsidRPr="001B1387">
        <w:rPr>
          <w:rFonts w:ascii="微軟正黑體" w:eastAsia="微軟正黑體" w:hAnsi="微軟正黑體" w:hint="eastAsia"/>
        </w:rPr>
        <w:t>法國</w:t>
      </w:r>
      <w:r w:rsidRPr="00544A7F">
        <w:rPr>
          <w:rFonts w:ascii="微軟正黑體" w:eastAsia="微軟正黑體" w:hAnsi="微軟正黑體" w:hint="eastAsia"/>
        </w:rPr>
        <w:t>雖然</w:t>
      </w:r>
      <w:r w:rsidRPr="001B1387">
        <w:rPr>
          <w:rFonts w:ascii="微軟正黑體" w:eastAsia="微軟正黑體" w:hAnsi="微軟正黑體" w:hint="eastAsia"/>
        </w:rPr>
        <w:t>工作所得</w:t>
      </w:r>
      <w:r>
        <w:rPr>
          <w:rFonts w:ascii="微軟正黑體" w:eastAsia="微軟正黑體" w:hAnsi="微軟正黑體" w:hint="eastAsia"/>
        </w:rPr>
        <w:t>占</w:t>
      </w:r>
      <w:r w:rsidRPr="001B1387">
        <w:rPr>
          <w:rFonts w:ascii="微軟正黑體" w:eastAsia="微軟正黑體" w:hAnsi="微軟正黑體" w:hint="eastAsia"/>
        </w:rPr>
        <w:t>比最低僅有6</w:t>
      </w:r>
      <w:r w:rsidRPr="001B1387">
        <w:rPr>
          <w:rFonts w:ascii="微軟正黑體" w:eastAsia="微軟正黑體" w:hAnsi="微軟正黑體"/>
        </w:rPr>
        <w:t>.</w:t>
      </w:r>
      <w:r w:rsidRPr="001B1387">
        <w:rPr>
          <w:rFonts w:ascii="微軟正黑體" w:eastAsia="微軟正黑體" w:hAnsi="微軟正黑體" w:hint="eastAsia"/>
        </w:rPr>
        <w:t>0</w:t>
      </w:r>
      <w:r w:rsidRPr="001B1387">
        <w:rPr>
          <w:rFonts w:ascii="微軟正黑體" w:eastAsia="微軟正黑體" w:hAnsi="微軟正黑體"/>
        </w:rPr>
        <w:t>%</w:t>
      </w:r>
      <w:r w:rsidRPr="001B1387">
        <w:rPr>
          <w:rFonts w:ascii="微軟正黑體" w:eastAsia="微軟正黑體" w:hAnsi="微軟正黑體" w:hint="eastAsia"/>
        </w:rPr>
        <w:t>，但是其來自政府與就業</w:t>
      </w:r>
      <w:r w:rsidRPr="00BC4216">
        <w:rPr>
          <w:rFonts w:ascii="微軟正黑體" w:eastAsia="微軟正黑體" w:hAnsi="微軟正黑體" w:hint="eastAsia"/>
        </w:rPr>
        <w:t>及</w:t>
      </w:r>
      <w:r w:rsidRPr="001B1387">
        <w:rPr>
          <w:rFonts w:ascii="微軟正黑體" w:eastAsia="微軟正黑體" w:hAnsi="微軟正黑體" w:hint="eastAsia"/>
        </w:rPr>
        <w:t>社會保險給付</w:t>
      </w:r>
      <w:r>
        <w:rPr>
          <w:rFonts w:ascii="微軟正黑體" w:eastAsia="微軟正黑體" w:hAnsi="微軟正黑體" w:hint="eastAsia"/>
        </w:rPr>
        <w:t>占</w:t>
      </w:r>
      <w:r w:rsidRPr="001B1387">
        <w:rPr>
          <w:rFonts w:ascii="微軟正黑體" w:eastAsia="微軟正黑體" w:hAnsi="微軟正黑體" w:hint="eastAsia"/>
        </w:rPr>
        <w:t>比高達78</w:t>
      </w:r>
      <w:r w:rsidRPr="001B1387">
        <w:rPr>
          <w:rFonts w:ascii="微軟正黑體" w:eastAsia="微軟正黑體" w:hAnsi="微軟正黑體"/>
        </w:rPr>
        <w:t>.</w:t>
      </w:r>
      <w:r w:rsidRPr="001B1387">
        <w:rPr>
          <w:rFonts w:ascii="微軟正黑體" w:eastAsia="微軟正黑體" w:hAnsi="微軟正黑體" w:hint="eastAsia"/>
        </w:rPr>
        <w:t>1</w:t>
      </w:r>
      <w:r w:rsidRPr="001B1387">
        <w:rPr>
          <w:rFonts w:ascii="微軟正黑體" w:eastAsia="微軟正黑體" w:hAnsi="微軟正黑體"/>
        </w:rPr>
        <w:t>%</w:t>
      </w:r>
      <w:r w:rsidRPr="001B1387">
        <w:rPr>
          <w:rFonts w:ascii="微軟正黑體" w:eastAsia="微軟正黑體" w:hAnsi="微軟正黑體" w:hint="eastAsia"/>
        </w:rPr>
        <w:t>，台灣僅有46</w:t>
      </w:r>
      <w:r w:rsidRPr="001B1387">
        <w:rPr>
          <w:rFonts w:ascii="微軟正黑體" w:eastAsia="微軟正黑體" w:hAnsi="微軟正黑體"/>
        </w:rPr>
        <w:t>.</w:t>
      </w:r>
      <w:r w:rsidRPr="001B1387">
        <w:rPr>
          <w:rFonts w:ascii="微軟正黑體" w:eastAsia="微軟正黑體" w:hAnsi="微軟正黑體" w:hint="eastAsia"/>
        </w:rPr>
        <w:t>6</w:t>
      </w:r>
      <w:r w:rsidRPr="001B1387">
        <w:rPr>
          <w:rFonts w:ascii="微軟正黑體" w:eastAsia="微軟正黑體" w:hAnsi="微軟正黑體"/>
        </w:rPr>
        <w:t>%</w:t>
      </w:r>
      <w:r w:rsidRPr="00BC4216">
        <w:rPr>
          <w:rFonts w:ascii="微軟正黑體" w:eastAsia="微軟正黑體" w:hAnsi="微軟正黑體" w:hint="eastAsia"/>
        </w:rPr>
        <w:t>。</w:t>
      </w:r>
      <w:r w:rsidRPr="00B91D4B">
        <w:rPr>
          <w:rFonts w:ascii="微軟正黑體" w:eastAsia="微軟正黑體" w:hAnsi="微軟正黑體" w:hint="eastAsia"/>
        </w:rPr>
        <w:t>相對的多透過政府的移轉性與就業及社會保險所得，多數OECD國家著重國家社會保障</w:t>
      </w:r>
      <w:r>
        <w:rPr>
          <w:rFonts w:ascii="微軟正黑體" w:eastAsia="微軟正黑體" w:hAnsi="微軟正黑體" w:hint="eastAsia"/>
        </w:rPr>
        <w:t>占</w:t>
      </w:r>
      <w:r w:rsidRPr="00B91D4B">
        <w:rPr>
          <w:rFonts w:ascii="微軟正黑體" w:eastAsia="微軟正黑體" w:hAnsi="微軟正黑體" w:hint="eastAsia"/>
        </w:rPr>
        <w:t>比多高達七成以上，除了日本為49</w:t>
      </w:r>
      <w:r w:rsidRPr="00B91D4B">
        <w:rPr>
          <w:rFonts w:ascii="微軟正黑體" w:eastAsia="微軟正黑體" w:hAnsi="微軟正黑體"/>
        </w:rPr>
        <w:t>.</w:t>
      </w:r>
      <w:r w:rsidRPr="00B91D4B">
        <w:rPr>
          <w:rFonts w:ascii="微軟正黑體" w:eastAsia="微軟正黑體" w:hAnsi="微軟正黑體" w:hint="eastAsia"/>
        </w:rPr>
        <w:t>2</w:t>
      </w:r>
      <w:r w:rsidRPr="00B91D4B">
        <w:rPr>
          <w:rFonts w:ascii="微軟正黑體" w:eastAsia="微軟正黑體" w:hAnsi="微軟正黑體"/>
        </w:rPr>
        <w:t>%</w:t>
      </w:r>
      <w:r w:rsidRPr="00B91D4B">
        <w:rPr>
          <w:rFonts w:ascii="微軟正黑體" w:eastAsia="微軟正黑體" w:hAnsi="微軟正黑體" w:hint="eastAsia"/>
        </w:rPr>
        <w:t>、美國為48</w:t>
      </w:r>
      <w:r w:rsidRPr="00B91D4B">
        <w:rPr>
          <w:rFonts w:ascii="微軟正黑體" w:eastAsia="微軟正黑體" w:hAnsi="微軟正黑體"/>
        </w:rPr>
        <w:t>.</w:t>
      </w:r>
      <w:r w:rsidRPr="00B91D4B">
        <w:rPr>
          <w:rFonts w:ascii="微軟正黑體" w:eastAsia="微軟正黑體" w:hAnsi="微軟正黑體" w:hint="eastAsia"/>
        </w:rPr>
        <w:t>9</w:t>
      </w:r>
      <w:r w:rsidRPr="00B91D4B">
        <w:rPr>
          <w:rFonts w:ascii="微軟正黑體" w:eastAsia="微軟正黑體" w:hAnsi="微軟正黑體"/>
        </w:rPr>
        <w:t>%</w:t>
      </w:r>
      <w:r w:rsidRPr="00B91D4B">
        <w:rPr>
          <w:rFonts w:ascii="微軟正黑體" w:eastAsia="微軟正黑體" w:hAnsi="微軟正黑體" w:hint="eastAsia"/>
        </w:rPr>
        <w:t>、韓國為25</w:t>
      </w:r>
      <w:r w:rsidRPr="00B91D4B">
        <w:rPr>
          <w:rFonts w:ascii="微軟正黑體" w:eastAsia="微軟正黑體" w:hAnsi="微軟正黑體"/>
        </w:rPr>
        <w:t>.</w:t>
      </w:r>
      <w:r w:rsidRPr="00B91D4B">
        <w:rPr>
          <w:rFonts w:ascii="微軟正黑體" w:eastAsia="微軟正黑體" w:hAnsi="微軟正黑體" w:hint="eastAsia"/>
        </w:rPr>
        <w:t>0</w:t>
      </w:r>
      <w:r w:rsidRPr="00B91D4B">
        <w:rPr>
          <w:rFonts w:ascii="微軟正黑體" w:eastAsia="微軟正黑體" w:hAnsi="微軟正黑體"/>
        </w:rPr>
        <w:t>%</w:t>
      </w:r>
      <w:r w:rsidRPr="00E1350E">
        <w:rPr>
          <w:rFonts w:ascii="微軟正黑體" w:eastAsia="微軟正黑體" w:hAnsi="微軟正黑體" w:hint="eastAsia"/>
        </w:rPr>
        <w:t>，</w:t>
      </w:r>
      <w:r w:rsidRPr="00BC4216">
        <w:rPr>
          <w:rFonts w:ascii="微軟正黑體" w:eastAsia="微軟正黑體" w:hAnsi="微軟正黑體" w:hint="eastAsia"/>
        </w:rPr>
        <w:t>而</w:t>
      </w:r>
      <w:r w:rsidRPr="00E1350E">
        <w:rPr>
          <w:rFonts w:ascii="微軟正黑體" w:eastAsia="微軟正黑體" w:hAnsi="微軟正黑體" w:hint="eastAsia"/>
        </w:rPr>
        <w:t>台灣為</w:t>
      </w:r>
      <w:r w:rsidRPr="00BC4216">
        <w:rPr>
          <w:rFonts w:ascii="微軟正黑體" w:eastAsia="微軟正黑體" w:hAnsi="微軟正黑體" w:hint="eastAsia"/>
        </w:rPr>
        <w:t>46</w:t>
      </w:r>
      <w:r w:rsidRPr="00BC4216">
        <w:rPr>
          <w:rFonts w:ascii="微軟正黑體" w:eastAsia="微軟正黑體" w:hAnsi="微軟正黑體"/>
        </w:rPr>
        <w:t>.</w:t>
      </w:r>
      <w:r w:rsidRPr="00BC4216">
        <w:rPr>
          <w:rFonts w:ascii="微軟正黑體" w:eastAsia="微軟正黑體" w:hAnsi="微軟正黑體" w:hint="eastAsia"/>
        </w:rPr>
        <w:t>6</w:t>
      </w:r>
      <w:r w:rsidRPr="00BC4216">
        <w:rPr>
          <w:rFonts w:ascii="微軟正黑體" w:eastAsia="微軟正黑體" w:hAnsi="微軟正黑體"/>
        </w:rPr>
        <w:t>%</w:t>
      </w:r>
      <w:r w:rsidRPr="006F76C5">
        <w:rPr>
          <w:rFonts w:ascii="微軟正黑體" w:eastAsia="微軟正黑體" w:hAnsi="微軟正黑體" w:hint="eastAsia"/>
        </w:rPr>
        <w:t>；</w:t>
      </w:r>
      <w:r w:rsidRPr="00B91D4B">
        <w:rPr>
          <w:rFonts w:ascii="微軟正黑體" w:eastAsia="微軟正黑體" w:hAnsi="微軟正黑體" w:hint="eastAsia"/>
        </w:rPr>
        <w:t>相對屬</w:t>
      </w:r>
      <w:r w:rsidRPr="001B1387">
        <w:rPr>
          <w:rFonts w:ascii="微軟正黑體" w:eastAsia="微軟正黑體" w:hAnsi="微軟正黑體" w:hint="eastAsia"/>
        </w:rPr>
        <w:t>於強調個人責任，國家社會對老年保障</w:t>
      </w:r>
      <w:r>
        <w:rPr>
          <w:rFonts w:ascii="微軟正黑體" w:eastAsia="微軟正黑體" w:hAnsi="微軟正黑體" w:hint="eastAsia"/>
        </w:rPr>
        <w:t>占</w:t>
      </w:r>
      <w:r w:rsidRPr="001B1387">
        <w:rPr>
          <w:rFonts w:ascii="微軟正黑體" w:eastAsia="微軟正黑體" w:hAnsi="微軟正黑體" w:hint="eastAsia"/>
        </w:rPr>
        <w:t>比相對較低。</w:t>
      </w:r>
    </w:p>
    <w:p w:rsidR="00F152C0" w:rsidRDefault="00F152C0" w:rsidP="00F152C0">
      <w:pPr>
        <w:spacing w:beforeLines="30" w:before="108" w:line="400" w:lineRule="exact"/>
        <w:ind w:firstLine="482"/>
        <w:jc w:val="both"/>
        <w:rPr>
          <w:rFonts w:ascii="微軟正黑體" w:eastAsia="微軟正黑體" w:hAnsi="微軟正黑體"/>
        </w:rPr>
      </w:pPr>
    </w:p>
    <w:p w:rsidR="00F152C0" w:rsidRPr="001B1387" w:rsidRDefault="00F152C0" w:rsidP="00F152C0">
      <w:pPr>
        <w:pStyle w:val="af8"/>
        <w:spacing w:afterLines="30" w:after="108" w:line="400" w:lineRule="exact"/>
        <w:contextualSpacing/>
        <w:jc w:val="center"/>
        <w:rPr>
          <w:rFonts w:ascii="微軟正黑體" w:eastAsia="微軟正黑體" w:hAnsi="微軟正黑體"/>
          <w:sz w:val="24"/>
          <w:szCs w:val="24"/>
        </w:rPr>
      </w:pPr>
      <w:r w:rsidRPr="001B1387">
        <w:rPr>
          <w:rFonts w:ascii="微軟正黑體" w:eastAsia="微軟正黑體" w:hAnsi="微軟正黑體" w:hint="eastAsia"/>
          <w:sz w:val="24"/>
          <w:szCs w:val="24"/>
        </w:rPr>
        <w:t>表6　老人所得來源的比重分佈按不同國家與不同所得來源進行比較</w:t>
      </w:r>
    </w:p>
    <w:tbl>
      <w:tblPr>
        <w:tblStyle w:val="a5"/>
        <w:tblW w:w="8884" w:type="dxa"/>
        <w:jc w:val="center"/>
        <w:tblLook w:val="04A0" w:firstRow="1" w:lastRow="0" w:firstColumn="1" w:lastColumn="0" w:noHBand="0" w:noVBand="1"/>
      </w:tblPr>
      <w:tblGrid>
        <w:gridCol w:w="2026"/>
        <w:gridCol w:w="2369"/>
        <w:gridCol w:w="1439"/>
        <w:gridCol w:w="1525"/>
        <w:gridCol w:w="1525"/>
      </w:tblGrid>
      <w:tr w:rsidR="00F152C0" w:rsidRPr="001367E0" w:rsidTr="00C86667">
        <w:trPr>
          <w:jc w:val="center"/>
        </w:trPr>
        <w:tc>
          <w:tcPr>
            <w:tcW w:w="2026" w:type="dxa"/>
            <w:shd w:val="clear" w:color="auto" w:fill="8064A2" w:themeFill="accent4"/>
            <w:vAlign w:val="center"/>
          </w:tcPr>
          <w:p w:rsidR="00F152C0" w:rsidRPr="00BC4216" w:rsidRDefault="00F152C0" w:rsidP="00C86667">
            <w:pPr>
              <w:spacing w:line="400" w:lineRule="exact"/>
              <w:jc w:val="center"/>
              <w:rPr>
                <w:rFonts w:ascii="微軟正黑體" w:eastAsia="微軟正黑體" w:hAnsi="微軟正黑體"/>
                <w:b/>
                <w:color w:val="0000FF"/>
                <w:sz w:val="22"/>
                <w:szCs w:val="22"/>
              </w:rPr>
            </w:pPr>
            <w:r w:rsidRPr="008E4CE3">
              <w:rPr>
                <w:rFonts w:ascii="微軟正黑體" w:eastAsia="微軟正黑體" w:hAnsi="微軟正黑體" w:hint="eastAsia"/>
                <w:b/>
                <w:color w:val="FFFFFF" w:themeColor="background1"/>
                <w:sz w:val="22"/>
                <w:szCs w:val="22"/>
              </w:rPr>
              <w:t>國家</w:t>
            </w:r>
          </w:p>
        </w:tc>
        <w:tc>
          <w:tcPr>
            <w:tcW w:w="2369" w:type="dxa"/>
            <w:shd w:val="clear" w:color="auto" w:fill="8064A2" w:themeFill="accent4"/>
            <w:vAlign w:val="center"/>
          </w:tcPr>
          <w:p w:rsidR="00F152C0" w:rsidRPr="001367E0" w:rsidRDefault="00F152C0" w:rsidP="00C86667">
            <w:pPr>
              <w:spacing w:line="340" w:lineRule="exact"/>
              <w:jc w:val="center"/>
              <w:rPr>
                <w:rFonts w:ascii="微軟正黑體" w:eastAsia="微軟正黑體" w:hAnsi="微軟正黑體"/>
                <w:b/>
                <w:color w:val="FFFFFF" w:themeColor="background1"/>
                <w:sz w:val="22"/>
                <w:szCs w:val="22"/>
              </w:rPr>
            </w:pPr>
            <w:r w:rsidRPr="001367E0">
              <w:rPr>
                <w:rFonts w:ascii="微軟正黑體" w:eastAsia="微軟正黑體" w:hAnsi="微軟正黑體" w:hint="eastAsia"/>
                <w:b/>
                <w:color w:val="FFFFFF" w:themeColor="background1"/>
                <w:sz w:val="22"/>
                <w:szCs w:val="22"/>
              </w:rPr>
              <w:t>來自政府的公共移轉與個人職業/保險</w:t>
            </w:r>
          </w:p>
        </w:tc>
        <w:tc>
          <w:tcPr>
            <w:tcW w:w="1439" w:type="dxa"/>
            <w:shd w:val="clear" w:color="auto" w:fill="8064A2" w:themeFill="accent4"/>
            <w:vAlign w:val="center"/>
          </w:tcPr>
          <w:p w:rsidR="00F152C0" w:rsidRPr="001367E0" w:rsidRDefault="00F152C0" w:rsidP="00C86667">
            <w:pPr>
              <w:spacing w:line="340" w:lineRule="exact"/>
              <w:jc w:val="center"/>
              <w:rPr>
                <w:rFonts w:ascii="微軟正黑體" w:eastAsia="微軟正黑體" w:hAnsi="微軟正黑體"/>
                <w:b/>
                <w:color w:val="FFFFFF" w:themeColor="background1"/>
                <w:sz w:val="22"/>
                <w:szCs w:val="22"/>
              </w:rPr>
            </w:pPr>
            <w:r w:rsidRPr="001367E0">
              <w:rPr>
                <w:rFonts w:ascii="微軟正黑體" w:eastAsia="微軟正黑體" w:hAnsi="微軟正黑體" w:hint="eastAsia"/>
                <w:b/>
                <w:color w:val="FFFFFF" w:themeColor="background1"/>
                <w:sz w:val="22"/>
                <w:szCs w:val="22"/>
              </w:rPr>
              <w:t>來自個人</w:t>
            </w:r>
          </w:p>
          <w:p w:rsidR="00F152C0" w:rsidRPr="001367E0" w:rsidRDefault="00F152C0" w:rsidP="00C86667">
            <w:pPr>
              <w:spacing w:line="340" w:lineRule="exact"/>
              <w:jc w:val="center"/>
              <w:rPr>
                <w:rFonts w:ascii="微軟正黑體" w:eastAsia="微軟正黑體" w:hAnsi="微軟正黑體"/>
                <w:b/>
                <w:color w:val="FFFFFF" w:themeColor="background1"/>
                <w:sz w:val="22"/>
                <w:szCs w:val="22"/>
              </w:rPr>
            </w:pPr>
            <w:r w:rsidRPr="001367E0">
              <w:rPr>
                <w:rFonts w:ascii="微軟正黑體" w:eastAsia="微軟正黑體" w:hAnsi="微軟正黑體" w:hint="eastAsia"/>
                <w:b/>
                <w:color w:val="FFFFFF" w:themeColor="background1"/>
                <w:sz w:val="22"/>
                <w:szCs w:val="22"/>
              </w:rPr>
              <w:t>工作所得</w:t>
            </w:r>
          </w:p>
        </w:tc>
        <w:tc>
          <w:tcPr>
            <w:tcW w:w="1525" w:type="dxa"/>
            <w:shd w:val="clear" w:color="auto" w:fill="8064A2" w:themeFill="accent4"/>
            <w:vAlign w:val="center"/>
          </w:tcPr>
          <w:p w:rsidR="00F152C0" w:rsidRPr="001367E0" w:rsidRDefault="00F152C0" w:rsidP="00C86667">
            <w:pPr>
              <w:spacing w:line="340" w:lineRule="exact"/>
              <w:jc w:val="center"/>
              <w:rPr>
                <w:rFonts w:ascii="微軟正黑體" w:eastAsia="微軟正黑體" w:hAnsi="微軟正黑體"/>
                <w:b/>
                <w:color w:val="FFFFFF" w:themeColor="background1"/>
                <w:sz w:val="22"/>
                <w:szCs w:val="22"/>
              </w:rPr>
            </w:pPr>
            <w:r w:rsidRPr="001367E0">
              <w:rPr>
                <w:rFonts w:ascii="微軟正黑體" w:eastAsia="微軟正黑體" w:hAnsi="微軟正黑體" w:hint="eastAsia"/>
                <w:b/>
                <w:color w:val="FFFFFF" w:themeColor="background1"/>
                <w:sz w:val="22"/>
                <w:szCs w:val="22"/>
              </w:rPr>
              <w:t>來自個人</w:t>
            </w:r>
          </w:p>
          <w:p w:rsidR="00F152C0" w:rsidRPr="001367E0" w:rsidRDefault="00F152C0" w:rsidP="00C86667">
            <w:pPr>
              <w:spacing w:line="340" w:lineRule="exact"/>
              <w:jc w:val="center"/>
              <w:rPr>
                <w:rFonts w:ascii="微軟正黑體" w:eastAsia="微軟正黑體" w:hAnsi="微軟正黑體"/>
                <w:b/>
                <w:color w:val="FFFFFF" w:themeColor="background1"/>
                <w:sz w:val="22"/>
                <w:szCs w:val="22"/>
              </w:rPr>
            </w:pPr>
            <w:r w:rsidRPr="001367E0">
              <w:rPr>
                <w:rFonts w:ascii="微軟正黑體" w:eastAsia="微軟正黑體" w:hAnsi="微軟正黑體" w:hint="eastAsia"/>
                <w:b/>
                <w:color w:val="FFFFFF" w:themeColor="background1"/>
                <w:sz w:val="22"/>
                <w:szCs w:val="22"/>
              </w:rPr>
              <w:t>資產所得</w:t>
            </w:r>
          </w:p>
        </w:tc>
        <w:tc>
          <w:tcPr>
            <w:tcW w:w="1525" w:type="dxa"/>
            <w:shd w:val="clear" w:color="auto" w:fill="8064A2" w:themeFill="accent4"/>
            <w:vAlign w:val="center"/>
          </w:tcPr>
          <w:p w:rsidR="00F152C0" w:rsidRDefault="00F152C0" w:rsidP="00C86667">
            <w:pPr>
              <w:spacing w:line="340" w:lineRule="exact"/>
              <w:jc w:val="center"/>
              <w:rPr>
                <w:rFonts w:ascii="微軟正黑體" w:eastAsia="微軟正黑體" w:hAnsi="微軟正黑體"/>
                <w:b/>
                <w:color w:val="FFFFFF" w:themeColor="background1"/>
                <w:sz w:val="22"/>
                <w:szCs w:val="22"/>
              </w:rPr>
            </w:pPr>
            <w:r w:rsidRPr="001367E0">
              <w:rPr>
                <w:rFonts w:ascii="微軟正黑體" w:eastAsia="微軟正黑體" w:hAnsi="微軟正黑體" w:hint="eastAsia"/>
                <w:b/>
                <w:color w:val="FFFFFF" w:themeColor="background1"/>
                <w:sz w:val="22"/>
                <w:szCs w:val="22"/>
              </w:rPr>
              <w:t>來自子女</w:t>
            </w:r>
          </w:p>
          <w:p w:rsidR="00F152C0" w:rsidRPr="001367E0" w:rsidRDefault="00F152C0" w:rsidP="00C86667">
            <w:pPr>
              <w:spacing w:line="340" w:lineRule="exact"/>
              <w:jc w:val="center"/>
              <w:rPr>
                <w:rFonts w:ascii="微軟正黑體" w:eastAsia="微軟正黑體" w:hAnsi="微軟正黑體"/>
                <w:b/>
                <w:color w:val="FFFFFF" w:themeColor="background1"/>
                <w:sz w:val="22"/>
                <w:szCs w:val="22"/>
              </w:rPr>
            </w:pPr>
            <w:r w:rsidRPr="001367E0">
              <w:rPr>
                <w:rFonts w:ascii="微軟正黑體" w:eastAsia="微軟正黑體" w:hAnsi="微軟正黑體" w:hint="eastAsia"/>
                <w:b/>
                <w:color w:val="FFFFFF" w:themeColor="background1"/>
                <w:sz w:val="22"/>
                <w:szCs w:val="22"/>
              </w:rPr>
              <w:t>與配偶</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韓國</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52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525" w:type="dxa"/>
            <w:vAlign w:val="center"/>
          </w:tcPr>
          <w:p w:rsidR="00F152C0" w:rsidRPr="006C2211" w:rsidRDefault="00F152C0" w:rsidP="00C86667">
            <w:pPr>
              <w:spacing w:line="400" w:lineRule="exact"/>
              <w:jc w:val="center"/>
              <w:rPr>
                <w:rFonts w:ascii="微軟正黑體" w:eastAsia="微軟正黑體" w:hAnsi="微軟正黑體"/>
                <w:sz w:val="22"/>
                <w:szCs w:val="22"/>
              </w:rPr>
            </w:pPr>
            <w:r w:rsidRPr="006C2211">
              <w:rPr>
                <w:rFonts w:ascii="微軟正黑體" w:eastAsia="微軟正黑體" w:hAnsi="微軟正黑體" w:hint="eastAsia"/>
                <w:sz w:val="22"/>
                <w:szCs w:val="22"/>
              </w:rPr>
              <w:t>-</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日本</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49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2</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40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2</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525" w:type="dxa"/>
            <w:vAlign w:val="center"/>
          </w:tcPr>
          <w:p w:rsidR="00F152C0" w:rsidRPr="006C2211" w:rsidRDefault="00F152C0" w:rsidP="00C86667">
            <w:pPr>
              <w:spacing w:line="400" w:lineRule="exact"/>
              <w:jc w:val="center"/>
              <w:rPr>
                <w:rFonts w:ascii="微軟正黑體" w:eastAsia="微軟正黑體" w:hAnsi="微軟正黑體"/>
                <w:sz w:val="22"/>
                <w:szCs w:val="22"/>
              </w:rPr>
            </w:pPr>
            <w:r w:rsidRPr="006C2211">
              <w:rPr>
                <w:rFonts w:ascii="微軟正黑體" w:eastAsia="微軟正黑體" w:hAnsi="微軟正黑體" w:hint="eastAsia"/>
                <w:sz w:val="22"/>
                <w:szCs w:val="22"/>
              </w:rPr>
              <w:t>-</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美國</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48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35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525" w:type="dxa"/>
            <w:vAlign w:val="center"/>
          </w:tcPr>
          <w:p w:rsidR="00F152C0" w:rsidRPr="006C2211" w:rsidRDefault="00F152C0" w:rsidP="00C86667">
            <w:pPr>
              <w:spacing w:line="400" w:lineRule="exact"/>
              <w:jc w:val="center"/>
              <w:rPr>
                <w:rFonts w:ascii="微軟正黑體" w:eastAsia="微軟正黑體" w:hAnsi="微軟正黑體"/>
                <w:sz w:val="22"/>
                <w:szCs w:val="22"/>
              </w:rPr>
            </w:pPr>
            <w:r w:rsidRPr="006C2211">
              <w:rPr>
                <w:rFonts w:ascii="微軟正黑體" w:eastAsia="微軟正黑體" w:hAnsi="微軟正黑體" w:hint="eastAsia"/>
                <w:sz w:val="22"/>
                <w:szCs w:val="22"/>
              </w:rPr>
              <w:t>-</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英國</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2</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w:t>
            </w:r>
          </w:p>
        </w:tc>
        <w:tc>
          <w:tcPr>
            <w:tcW w:w="1525" w:type="dxa"/>
            <w:vAlign w:val="center"/>
          </w:tcPr>
          <w:p w:rsidR="00F152C0" w:rsidRPr="006C2211" w:rsidRDefault="00F152C0" w:rsidP="00C86667">
            <w:pPr>
              <w:spacing w:line="400" w:lineRule="exact"/>
              <w:jc w:val="center"/>
              <w:rPr>
                <w:rFonts w:ascii="微軟正黑體" w:eastAsia="微軟正黑體" w:hAnsi="微軟正黑體"/>
                <w:sz w:val="22"/>
                <w:szCs w:val="22"/>
              </w:rPr>
            </w:pPr>
            <w:r w:rsidRPr="006C2211">
              <w:rPr>
                <w:rFonts w:ascii="微軟正黑體" w:eastAsia="微軟正黑體" w:hAnsi="微軟正黑體" w:hint="eastAsia"/>
                <w:sz w:val="22"/>
                <w:szCs w:val="22"/>
              </w:rPr>
              <w:t>-</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德國</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525" w:type="dxa"/>
            <w:vAlign w:val="center"/>
          </w:tcPr>
          <w:p w:rsidR="00F152C0" w:rsidRPr="006C2211" w:rsidRDefault="00F152C0" w:rsidP="00C86667">
            <w:pPr>
              <w:spacing w:line="400" w:lineRule="exact"/>
              <w:jc w:val="center"/>
              <w:rPr>
                <w:rFonts w:ascii="微軟正黑體" w:eastAsia="微軟正黑體" w:hAnsi="微軟正黑體"/>
                <w:sz w:val="22"/>
                <w:szCs w:val="22"/>
              </w:rPr>
            </w:pPr>
            <w:r w:rsidRPr="006C2211">
              <w:rPr>
                <w:rFonts w:ascii="微軟正黑體" w:eastAsia="微軟正黑體" w:hAnsi="微軟正黑體" w:hint="eastAsia"/>
                <w:sz w:val="22"/>
                <w:szCs w:val="22"/>
              </w:rPr>
              <w:t>-</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瑞典</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2</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525" w:type="dxa"/>
            <w:vAlign w:val="center"/>
          </w:tcPr>
          <w:p w:rsidR="00F152C0" w:rsidRPr="006C2211" w:rsidRDefault="00F152C0" w:rsidP="00C86667">
            <w:pPr>
              <w:spacing w:line="400" w:lineRule="exact"/>
              <w:jc w:val="center"/>
              <w:rPr>
                <w:rFonts w:ascii="微軟正黑體" w:eastAsia="微軟正黑體" w:hAnsi="微軟正黑體"/>
                <w:sz w:val="22"/>
                <w:szCs w:val="22"/>
              </w:rPr>
            </w:pPr>
            <w:r w:rsidRPr="006C2211">
              <w:rPr>
                <w:rFonts w:ascii="微軟正黑體" w:eastAsia="微軟正黑體" w:hAnsi="微軟正黑體" w:hint="eastAsia"/>
                <w:sz w:val="22"/>
                <w:szCs w:val="22"/>
              </w:rPr>
              <w:t>-</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法國</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525" w:type="dxa"/>
            <w:vAlign w:val="center"/>
          </w:tcPr>
          <w:p w:rsidR="00F152C0" w:rsidRPr="006C2211" w:rsidRDefault="00F152C0" w:rsidP="00C86667">
            <w:pPr>
              <w:spacing w:line="400" w:lineRule="exact"/>
              <w:jc w:val="center"/>
              <w:rPr>
                <w:rFonts w:ascii="微軟正黑體" w:eastAsia="微軟正黑體" w:hAnsi="微軟正黑體"/>
                <w:sz w:val="22"/>
                <w:szCs w:val="22"/>
              </w:rPr>
            </w:pPr>
            <w:r w:rsidRPr="006C2211">
              <w:rPr>
                <w:rFonts w:ascii="微軟正黑體" w:eastAsia="微軟正黑體" w:hAnsi="微軟正黑體" w:hint="eastAsia"/>
                <w:sz w:val="22"/>
                <w:szCs w:val="22"/>
              </w:rPr>
              <w:t>-</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義大利</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75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1525" w:type="dxa"/>
            <w:vAlign w:val="center"/>
          </w:tcPr>
          <w:p w:rsidR="00F152C0" w:rsidRPr="006C2211" w:rsidRDefault="00F152C0" w:rsidP="00C86667">
            <w:pPr>
              <w:spacing w:line="400" w:lineRule="exact"/>
              <w:jc w:val="center"/>
              <w:rPr>
                <w:rFonts w:ascii="微軟正黑體" w:eastAsia="微軟正黑體" w:hAnsi="微軟正黑體"/>
                <w:sz w:val="22"/>
                <w:szCs w:val="22"/>
              </w:rPr>
            </w:pPr>
            <w:r w:rsidRPr="006C2211">
              <w:rPr>
                <w:rFonts w:ascii="微軟正黑體" w:eastAsia="微軟正黑體" w:hAnsi="微軟正黑體" w:hint="eastAsia"/>
                <w:sz w:val="22"/>
                <w:szCs w:val="22"/>
              </w:rPr>
              <w:t>-</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O</w:t>
            </w:r>
            <w:r w:rsidRPr="006A652C">
              <w:rPr>
                <w:rFonts w:ascii="微軟正黑體" w:eastAsia="微軟正黑體" w:hAnsi="微軟正黑體"/>
                <w:sz w:val="22"/>
                <w:szCs w:val="22"/>
              </w:rPr>
              <w:t>ECD</w:t>
            </w:r>
            <w:r w:rsidRPr="006A652C">
              <w:rPr>
                <w:rFonts w:ascii="微軟正黑體" w:eastAsia="微軟正黑體" w:hAnsi="微軟正黑體" w:hint="eastAsia"/>
                <w:sz w:val="22"/>
                <w:szCs w:val="22"/>
              </w:rPr>
              <w:t>平均值</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65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10</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1525" w:type="dxa"/>
          </w:tcPr>
          <w:p w:rsidR="00F152C0" w:rsidRPr="006C2211" w:rsidRDefault="00F152C0" w:rsidP="00C86667">
            <w:pPr>
              <w:spacing w:line="400" w:lineRule="exact"/>
              <w:jc w:val="center"/>
              <w:rPr>
                <w:rFonts w:ascii="微軟正黑體" w:eastAsia="微軟正黑體" w:hAnsi="微軟正黑體"/>
                <w:sz w:val="22"/>
                <w:szCs w:val="22"/>
              </w:rPr>
            </w:pPr>
            <w:r w:rsidRPr="006C2211">
              <w:rPr>
                <w:rFonts w:ascii="微軟正黑體" w:eastAsia="微軟正黑體" w:hAnsi="微軟正黑體" w:hint="eastAsia"/>
                <w:sz w:val="22"/>
                <w:szCs w:val="22"/>
              </w:rPr>
              <w:t>-</w:t>
            </w:r>
          </w:p>
        </w:tc>
      </w:tr>
      <w:tr w:rsidR="00F152C0" w:rsidRPr="006A652C" w:rsidTr="00C86667">
        <w:trPr>
          <w:jc w:val="center"/>
        </w:trPr>
        <w:tc>
          <w:tcPr>
            <w:tcW w:w="2026"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台灣</w:t>
            </w:r>
          </w:p>
        </w:tc>
        <w:tc>
          <w:tcPr>
            <w:tcW w:w="236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Pr>
                <w:rFonts w:ascii="微軟正黑體" w:eastAsia="微軟正黑體" w:hAnsi="微軟正黑體"/>
                <w:sz w:val="22"/>
                <w:szCs w:val="22"/>
              </w:rPr>
              <w:t>46.6</w:t>
            </w:r>
          </w:p>
        </w:tc>
        <w:tc>
          <w:tcPr>
            <w:tcW w:w="1439"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Pr>
                <w:rFonts w:ascii="微軟正黑體" w:eastAsia="微軟正黑體" w:hAnsi="微軟正黑體" w:hint="eastAsia"/>
                <w:sz w:val="22"/>
                <w:szCs w:val="22"/>
              </w:rPr>
              <w:t xml:space="preserve"> </w:t>
            </w:r>
            <w:r w:rsidRPr="006A652C">
              <w:rPr>
                <w:rFonts w:ascii="微軟正黑體" w:eastAsia="微軟正黑體" w:hAnsi="微軟正黑體" w:hint="eastAsia"/>
                <w:sz w:val="22"/>
                <w:szCs w:val="22"/>
              </w:rPr>
              <w:t>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1525" w:type="dxa"/>
            <w:vAlign w:val="center"/>
          </w:tcPr>
          <w:p w:rsidR="00F152C0" w:rsidRPr="006A652C" w:rsidRDefault="00F152C0" w:rsidP="00C86667">
            <w:pPr>
              <w:spacing w:line="400" w:lineRule="exact"/>
              <w:jc w:val="center"/>
              <w:rPr>
                <w:rFonts w:ascii="微軟正黑體" w:eastAsia="微軟正黑體" w:hAnsi="微軟正黑體"/>
                <w:sz w:val="22"/>
                <w:szCs w:val="22"/>
              </w:rPr>
            </w:pPr>
            <w:r w:rsidRPr="006A652C">
              <w:rPr>
                <w:rFonts w:ascii="微軟正黑體" w:eastAsia="微軟正黑體" w:hAnsi="微軟正黑體" w:hint="eastAsia"/>
                <w:sz w:val="22"/>
                <w:szCs w:val="22"/>
              </w:rPr>
              <w:t>14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c>
          <w:tcPr>
            <w:tcW w:w="1525" w:type="dxa"/>
          </w:tcPr>
          <w:p w:rsidR="00F152C0" w:rsidRPr="006A652C" w:rsidRDefault="00F152C0" w:rsidP="00C86667">
            <w:pPr>
              <w:spacing w:line="400" w:lineRule="exact"/>
              <w:jc w:val="center"/>
              <w:rPr>
                <w:rFonts w:ascii="微軟正黑體" w:eastAsia="微軟正黑體" w:hAnsi="微軟正黑體"/>
                <w:sz w:val="22"/>
                <w:szCs w:val="22"/>
              </w:rPr>
            </w:pPr>
            <w:r>
              <w:rPr>
                <w:rFonts w:ascii="微軟正黑體" w:eastAsia="微軟正黑體" w:hAnsi="微軟正黑體" w:hint="eastAsia"/>
                <w:sz w:val="22"/>
                <w:szCs w:val="22"/>
              </w:rPr>
              <w:t>28.4</w:t>
            </w:r>
          </w:p>
        </w:tc>
      </w:tr>
    </w:tbl>
    <w:p w:rsidR="00F152C0" w:rsidRDefault="00F152C0" w:rsidP="00F152C0">
      <w:pPr>
        <w:spacing w:line="240" w:lineRule="exact"/>
        <w:ind w:left="516" w:rightChars="117" w:right="281" w:hanging="488"/>
        <w:contextualSpacing/>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1B1387">
        <w:rPr>
          <w:rFonts w:ascii="微軟正黑體" w:eastAsia="微軟正黑體" w:hAnsi="微軟正黑體" w:hint="eastAsia"/>
          <w:sz w:val="20"/>
          <w:szCs w:val="20"/>
        </w:rPr>
        <w:t>註：OECD各國老人所得來源，總計100的項目，並未包括有子女與配偶此項目，台灣在此項</w:t>
      </w:r>
      <w:r>
        <w:rPr>
          <w:rFonts w:ascii="微軟正黑體" w:eastAsia="微軟正黑體" w:hAnsi="微軟正黑體" w:hint="eastAsia"/>
          <w:sz w:val="20"/>
          <w:szCs w:val="20"/>
        </w:rPr>
        <w:t>占</w:t>
      </w:r>
      <w:r w:rsidRPr="001B1387">
        <w:rPr>
          <w:rFonts w:ascii="微軟正黑體" w:eastAsia="微軟正黑體" w:hAnsi="微軟正黑體" w:hint="eastAsia"/>
          <w:sz w:val="20"/>
          <w:szCs w:val="20"/>
        </w:rPr>
        <w:t>比的比重卻高於個人工作所得與個人資產所得。</w:t>
      </w:r>
      <w:r>
        <w:rPr>
          <w:rFonts w:ascii="微軟正黑體" w:eastAsia="微軟正黑體" w:hAnsi="微軟正黑體" w:hint="eastAsia"/>
          <w:sz w:val="20"/>
          <w:szCs w:val="20"/>
        </w:rPr>
        <w:t>(</w:t>
      </w:r>
      <w:r w:rsidRPr="00A77B41">
        <w:rPr>
          <w:rFonts w:ascii="微軟正黑體" w:eastAsia="微軟正黑體" w:hAnsi="微軟正黑體" w:hint="eastAsia"/>
          <w:sz w:val="20"/>
          <w:szCs w:val="20"/>
        </w:rPr>
        <w:t>台灣部分加總不及100%，主要係因為靠子女或孫子女奉養比率為24.3%與靠配偶或同居人提供為4.1%，其他如親友救助或金融借貸佔比為0.7%。</w:t>
      </w:r>
      <w:r>
        <w:rPr>
          <w:rFonts w:ascii="微軟正黑體" w:eastAsia="微軟正黑體" w:hAnsi="微軟正黑體" w:hint="eastAsia"/>
          <w:sz w:val="20"/>
          <w:szCs w:val="20"/>
        </w:rPr>
        <w:t>)</w:t>
      </w:r>
      <w:r w:rsidRPr="001B1387">
        <w:rPr>
          <w:rFonts w:ascii="微軟正黑體" w:eastAsia="微軟正黑體" w:hAnsi="微軟正黑體" w:hint="eastAsia"/>
          <w:sz w:val="20"/>
          <w:szCs w:val="20"/>
        </w:rPr>
        <w:t xml:space="preserve"> </w:t>
      </w:r>
    </w:p>
    <w:p w:rsidR="00F152C0" w:rsidRDefault="00F152C0" w:rsidP="00F152C0">
      <w:pPr>
        <w:spacing w:line="240" w:lineRule="exact"/>
        <w:ind w:left="1100" w:rightChars="117" w:right="281" w:hangingChars="550" w:hanging="1100"/>
        <w:contextualSpacing/>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1B1387">
        <w:rPr>
          <w:rFonts w:ascii="微軟正黑體" w:eastAsia="微軟正黑體" w:hAnsi="微軟正黑體" w:hint="eastAsia"/>
          <w:sz w:val="20"/>
          <w:szCs w:val="20"/>
        </w:rPr>
        <w:t>資料來源：</w:t>
      </w:r>
      <w:r>
        <w:rPr>
          <w:rFonts w:ascii="微軟正黑體" w:eastAsia="微軟正黑體" w:hAnsi="微軟正黑體" w:hint="eastAsia"/>
          <w:sz w:val="20"/>
          <w:szCs w:val="20"/>
        </w:rPr>
        <w:t>OECD</w:t>
      </w:r>
      <w:r w:rsidRPr="001B1387">
        <w:rPr>
          <w:rFonts w:ascii="微軟正黑體" w:eastAsia="微軟正黑體" w:hAnsi="微軟正黑體" w:hint="eastAsia"/>
          <w:sz w:val="20"/>
          <w:szCs w:val="20"/>
        </w:rPr>
        <w:t>統計網</w:t>
      </w:r>
      <w:r>
        <w:rPr>
          <w:rFonts w:ascii="微軟正黑體" w:eastAsia="微軟正黑體" w:hAnsi="微軟正黑體" w:hint="eastAsia"/>
          <w:sz w:val="20"/>
          <w:szCs w:val="20"/>
        </w:rPr>
        <w:t>(</w:t>
      </w:r>
      <w:hyperlink r:id="rId160" w:history="1">
        <w:r w:rsidRPr="00AC451C">
          <w:rPr>
            <w:rStyle w:val="af7"/>
            <w:rFonts w:ascii="微軟正黑體" w:eastAsia="微軟正黑體" w:hAnsi="微軟正黑體"/>
            <w:sz w:val="20"/>
            <w:szCs w:val="20"/>
          </w:rPr>
          <w:t>https://stats.oecd.org/Index.aspx?QueryId=69414#</w:t>
        </w:r>
      </w:hyperlink>
      <w:r>
        <w:rPr>
          <w:rFonts w:ascii="微軟正黑體" w:eastAsia="微軟正黑體" w:hAnsi="微軟正黑體" w:hint="eastAsia"/>
          <w:sz w:val="20"/>
          <w:szCs w:val="20"/>
        </w:rPr>
        <w:t>)；台灣資料係依據衛福部(</w:t>
      </w:r>
      <w:r w:rsidRPr="001B1387">
        <w:rPr>
          <w:rFonts w:ascii="微軟正黑體" w:eastAsia="微軟正黑體" w:hAnsi="微軟正黑體" w:hint="eastAsia"/>
          <w:sz w:val="20"/>
          <w:szCs w:val="20"/>
        </w:rPr>
        <w:t>2017</w:t>
      </w:r>
      <w:r>
        <w:rPr>
          <w:rFonts w:ascii="微軟正黑體" w:eastAsia="微軟正黑體" w:hAnsi="微軟正黑體" w:hint="eastAsia"/>
          <w:sz w:val="20"/>
          <w:szCs w:val="20"/>
        </w:rPr>
        <w:t>)，</w:t>
      </w:r>
      <w:r w:rsidRPr="001B1387">
        <w:rPr>
          <w:rFonts w:ascii="微軟正黑體" w:eastAsia="微軟正黑體" w:hAnsi="微軟正黑體" w:hint="eastAsia"/>
          <w:sz w:val="20"/>
          <w:szCs w:val="20"/>
        </w:rPr>
        <w:t>老人生活狀況調查65歲以上長者主要經濟來源的分佈。</w:t>
      </w:r>
    </w:p>
    <w:p w:rsidR="00F152C0" w:rsidRDefault="00F152C0" w:rsidP="00F152C0">
      <w:pPr>
        <w:spacing w:line="240" w:lineRule="exact"/>
        <w:ind w:left="1100" w:rightChars="117" w:right="281" w:hangingChars="550" w:hanging="11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43673D" w:rsidRDefault="0043673D" w:rsidP="00F152C0">
      <w:pPr>
        <w:spacing w:line="240" w:lineRule="exact"/>
        <w:ind w:leftChars="-1" w:left="998" w:hangingChars="500" w:hanging="1000"/>
        <w:contextualSpacing/>
        <w:rPr>
          <w:rFonts w:ascii="微軟正黑體" w:eastAsia="微軟正黑體" w:hAnsi="微軟正黑體"/>
          <w:sz w:val="20"/>
          <w:szCs w:val="20"/>
        </w:rPr>
      </w:pPr>
    </w:p>
    <w:p w:rsidR="0043673D" w:rsidRDefault="0043673D"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AE41E7" w:rsidP="00F152C0">
      <w:pPr>
        <w:spacing w:line="400" w:lineRule="exact"/>
        <w:ind w:firstLine="482"/>
        <w:jc w:val="both"/>
        <w:rPr>
          <w:rFonts w:ascii="微軟正黑體" w:eastAsia="微軟正黑體" w:hAnsi="微軟正黑體"/>
        </w:rPr>
      </w:pPr>
      <w:r>
        <w:rPr>
          <w:noProof/>
        </w:rPr>
        <w:lastRenderedPageBreak/>
        <w:drawing>
          <wp:anchor distT="0" distB="0" distL="114300" distR="114300" simplePos="0" relativeHeight="252665856" behindDoc="0" locked="0" layoutInCell="1" allowOverlap="1" wp14:anchorId="63A11F49" wp14:editId="373A226A">
            <wp:simplePos x="0" y="0"/>
            <wp:positionH relativeFrom="column">
              <wp:posOffset>-188595</wp:posOffset>
            </wp:positionH>
            <wp:positionV relativeFrom="paragraph">
              <wp:posOffset>2648585</wp:posOffset>
            </wp:positionV>
            <wp:extent cx="3124200" cy="2726055"/>
            <wp:effectExtent l="0" t="0" r="0" b="0"/>
            <wp:wrapNone/>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14:sizeRelH relativeFrom="page">
              <wp14:pctWidth>0</wp14:pctWidth>
            </wp14:sizeRelH>
            <wp14:sizeRelV relativeFrom="page">
              <wp14:pctHeight>0</wp14:pctHeight>
            </wp14:sizeRelV>
          </wp:anchor>
        </w:drawing>
      </w:r>
      <w:r w:rsidR="00F152C0" w:rsidRPr="0051173B">
        <w:rPr>
          <w:rFonts w:ascii="微軟正黑體" w:eastAsia="微軟正黑體" w:hAnsi="微軟正黑體" w:hint="eastAsia"/>
          <w:color w:val="000000" w:themeColor="text1"/>
        </w:rPr>
        <w:t>台灣65歲以上老人所得來源來自工作的比重大約僅有9</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5</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；來自子女與配偶者共計為28</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4</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；來自個人的就業與其他相關社會保險</w:t>
      </w:r>
      <w:r w:rsidR="00F152C0">
        <w:rPr>
          <w:rFonts w:ascii="微軟正黑體" w:eastAsia="微軟正黑體" w:hAnsi="微軟正黑體" w:hint="eastAsia"/>
          <w:color w:val="000000" w:themeColor="text1"/>
        </w:rPr>
        <w:t>占</w:t>
      </w:r>
      <w:r w:rsidR="00F152C0" w:rsidRPr="0051173B">
        <w:rPr>
          <w:rFonts w:ascii="微軟正黑體" w:eastAsia="微軟正黑體" w:hAnsi="微軟正黑體"/>
          <w:color w:val="000000" w:themeColor="text1"/>
        </w:rPr>
        <w:t>31.1%</w:t>
      </w:r>
      <w:r w:rsidR="00F152C0" w:rsidRPr="0051173B">
        <w:rPr>
          <w:rFonts w:ascii="微軟正黑體" w:eastAsia="微軟正黑體" w:hAnsi="微軟正黑體" w:hint="eastAsia"/>
          <w:color w:val="000000" w:themeColor="text1"/>
        </w:rPr>
        <w:t>；來自政府救助與津貼為15</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5</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；來自個人資產與投資所得為14</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8</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 xml:space="preserve"> </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衛福部 2017</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。也就是台灣老人的工作所得</w:t>
      </w:r>
      <w:r w:rsidR="00F152C0">
        <w:rPr>
          <w:rFonts w:ascii="微軟正黑體" w:eastAsia="微軟正黑體" w:hAnsi="微軟正黑體" w:hint="eastAsia"/>
          <w:color w:val="000000" w:themeColor="text1"/>
        </w:rPr>
        <w:t>占</w:t>
      </w:r>
      <w:r w:rsidR="00F152C0" w:rsidRPr="0051173B">
        <w:rPr>
          <w:rFonts w:ascii="微軟正黑體" w:eastAsia="微軟正黑體" w:hAnsi="微軟正黑體" w:hint="eastAsia"/>
          <w:color w:val="000000" w:themeColor="text1"/>
        </w:rPr>
        <w:t>比最低，依靠子女與配偶達到28</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4</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超過個人的就業與社會保險與政府救助與津貼，這在高齡少子女化及單身化的趨勢持續發展過程中，可以預期的將面臨很大的挑戰，因為來自政府的移轉所得份額有限、個人就業與社會保險所得亦成長有限，如果個人工作所得</w:t>
      </w:r>
      <w:r w:rsidR="00F152C0">
        <w:rPr>
          <w:rFonts w:ascii="微軟正黑體" w:eastAsia="微軟正黑體" w:hAnsi="微軟正黑體" w:hint="eastAsia"/>
        </w:rPr>
        <w:t>占</w:t>
      </w:r>
      <w:r w:rsidR="00F152C0" w:rsidRPr="0051173B">
        <w:rPr>
          <w:rFonts w:ascii="微軟正黑體" w:eastAsia="微軟正黑體" w:hAnsi="微軟正黑體" w:hint="eastAsia"/>
          <w:color w:val="000000" w:themeColor="text1"/>
        </w:rPr>
        <w:t>比無法提高，將面臨明顯的困境，因此根據衛福部的調查亦可發現目前已有21</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7</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的65歲以上受訪老人表示生活費「有點不夠用」到「相當困難」；僅有6</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9</w:t>
      </w:r>
      <w:r w:rsidR="00F152C0" w:rsidRPr="0051173B">
        <w:rPr>
          <w:rFonts w:ascii="微軟正黑體" w:eastAsia="微軟正黑體" w:hAnsi="微軟正黑體"/>
          <w:color w:val="000000" w:themeColor="text1"/>
        </w:rPr>
        <w:t>%</w:t>
      </w:r>
      <w:r w:rsidR="00F152C0" w:rsidRPr="0051173B">
        <w:rPr>
          <w:rFonts w:ascii="微軟正黑體" w:eastAsia="微軟正黑體" w:hAnsi="微軟正黑體" w:hint="eastAsia"/>
          <w:color w:val="000000" w:themeColor="text1"/>
        </w:rPr>
        <w:t>回答「相當充裕且有餘」。</w:t>
      </w:r>
      <w:r w:rsidR="00F152C0" w:rsidRPr="00345DF7">
        <w:rPr>
          <w:rFonts w:ascii="微軟正黑體" w:eastAsia="微軟正黑體" w:hAnsi="微軟正黑體" w:hint="eastAsia"/>
          <w:color w:val="000000" w:themeColor="text1"/>
        </w:rPr>
        <w:t>65歲</w:t>
      </w:r>
      <w:r w:rsidR="00F152C0" w:rsidRPr="0051173B">
        <w:rPr>
          <w:rFonts w:ascii="微軟正黑體" w:eastAsia="微軟正黑體" w:hAnsi="微軟正黑體" w:hint="eastAsia"/>
          <w:color w:val="000000" w:themeColor="text1"/>
        </w:rPr>
        <w:t>以上有工作的主要原因，也可發現有高達55％是因為經濟</w:t>
      </w:r>
      <w:r w:rsidR="00F152C0" w:rsidRPr="001B1387">
        <w:rPr>
          <w:rFonts w:ascii="微軟正黑體" w:eastAsia="微軟正黑體" w:hAnsi="微軟正黑體" w:hint="eastAsia"/>
        </w:rPr>
        <w:t>上因素；希望有所貢獻、避免社會脫節、傳承經驗技術或怕無聊等社會連結因素共有23</w:t>
      </w:r>
      <w:r w:rsidR="00F152C0" w:rsidRPr="001B1387">
        <w:rPr>
          <w:rFonts w:ascii="微軟正黑體" w:eastAsia="微軟正黑體" w:hAnsi="微軟正黑體"/>
        </w:rPr>
        <w:t>.</w:t>
      </w:r>
      <w:r w:rsidR="00F152C0" w:rsidRPr="001B1387">
        <w:rPr>
          <w:rFonts w:ascii="微軟正黑體" w:eastAsia="微軟正黑體" w:hAnsi="微軟正黑體" w:hint="eastAsia"/>
        </w:rPr>
        <w:t>9</w:t>
      </w:r>
      <w:r w:rsidR="00F152C0" w:rsidRPr="001B1387">
        <w:rPr>
          <w:rFonts w:ascii="微軟正黑體" w:eastAsia="微軟正黑體" w:hAnsi="微軟正黑體"/>
        </w:rPr>
        <w:t>%</w:t>
      </w:r>
      <w:r w:rsidR="00F152C0" w:rsidRPr="001B1387">
        <w:rPr>
          <w:rFonts w:ascii="微軟正黑體" w:eastAsia="微軟正黑體" w:hAnsi="微軟正黑體" w:hint="eastAsia"/>
        </w:rPr>
        <w:t>；再其次是想維持體力上有勞動與避免大腦退化等健康促進因素為21</w:t>
      </w:r>
      <w:r w:rsidR="00F152C0" w:rsidRPr="001B1387">
        <w:rPr>
          <w:rFonts w:ascii="微軟正黑體" w:eastAsia="微軟正黑體" w:hAnsi="微軟正黑體"/>
        </w:rPr>
        <w:t>.</w:t>
      </w:r>
      <w:r w:rsidR="00F152C0" w:rsidRPr="001B1387">
        <w:rPr>
          <w:rFonts w:ascii="微軟正黑體" w:eastAsia="微軟正黑體" w:hAnsi="微軟正黑體" w:hint="eastAsia"/>
        </w:rPr>
        <w:t>2</w:t>
      </w:r>
      <w:r w:rsidR="00F152C0" w:rsidRPr="001B1387">
        <w:rPr>
          <w:rFonts w:ascii="微軟正黑體" w:eastAsia="微軟正黑體" w:hAnsi="微軟正黑體"/>
        </w:rPr>
        <w:t>%</w:t>
      </w:r>
      <w:r w:rsidR="00F152C0" w:rsidRPr="001B1387">
        <w:rPr>
          <w:rFonts w:ascii="微軟正黑體" w:eastAsia="微軟正黑體" w:hAnsi="微軟正黑體" w:hint="eastAsia"/>
        </w:rPr>
        <w:t>。</w:t>
      </w:r>
    </w:p>
    <w:p w:rsidR="00F152C0" w:rsidRDefault="00503D6B" w:rsidP="00F152C0">
      <w:pPr>
        <w:spacing w:before="100" w:beforeAutospacing="1" w:after="100" w:afterAutospacing="1" w:line="360" w:lineRule="auto"/>
        <w:contextualSpacing/>
        <w:jc w:val="both"/>
      </w:pPr>
      <w:r>
        <w:rPr>
          <w:noProof/>
        </w:rPr>
        <w:drawing>
          <wp:anchor distT="0" distB="0" distL="114300" distR="114300" simplePos="0" relativeHeight="252668928" behindDoc="0" locked="0" layoutInCell="1" allowOverlap="1" wp14:anchorId="5712F8FE" wp14:editId="0DE70736">
            <wp:simplePos x="0" y="0"/>
            <wp:positionH relativeFrom="column">
              <wp:posOffset>2799503</wp:posOffset>
            </wp:positionH>
            <wp:positionV relativeFrom="paragraph">
              <wp:posOffset>177377</wp:posOffset>
            </wp:positionV>
            <wp:extent cx="3166534" cy="2844800"/>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3166535" cy="28448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667904" behindDoc="0" locked="0" layoutInCell="1" allowOverlap="1" wp14:anchorId="158D6EB7" wp14:editId="6DDD1F9F">
                <wp:simplePos x="0" y="0"/>
                <wp:positionH relativeFrom="column">
                  <wp:posOffset>47625</wp:posOffset>
                </wp:positionH>
                <wp:positionV relativeFrom="paragraph">
                  <wp:posOffset>180975</wp:posOffset>
                </wp:positionV>
                <wp:extent cx="346710" cy="27051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270510"/>
                        </a:xfrm>
                        <a:prstGeom prst="rect">
                          <a:avLst/>
                        </a:prstGeom>
                        <a:noFill/>
                        <a:ln w="9525">
                          <a:noFill/>
                          <a:miter lim="800000"/>
                          <a:headEnd/>
                          <a:tailEnd/>
                        </a:ln>
                      </wps:spPr>
                      <wps:txbx>
                        <w:txbxContent>
                          <w:p w:rsidR="00745375" w:rsidRPr="00AE41E7" w:rsidRDefault="00745375">
                            <w:pPr>
                              <w:rPr>
                                <w:rFonts w:ascii="微軟正黑體" w:eastAsia="微軟正黑體" w:hAnsi="微軟正黑體"/>
                                <w:sz w:val="20"/>
                                <w:szCs w:val="20"/>
                              </w:rPr>
                            </w:pPr>
                            <w:r w:rsidRPr="00AE41E7">
                              <w:rPr>
                                <w:rFonts w:ascii="微軟正黑體" w:eastAsia="微軟正黑體" w:hAnsi="微軟正黑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75pt;margin-top:14.25pt;width:27.3pt;height:21.3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" filled="f" stroked="f">
                <v:textbox>
                  <w:txbxContent>
                    <w:p w:rsidR="00745375" w:rsidRPr="00AE41E7" w:rsidRDefault="00745375">
                      <w:pPr>
                        <w:rPr>
                          <w:rFonts w:ascii="微軟正黑體" w:eastAsia="微軟正黑體" w:hAnsi="微軟正黑體"/>
                          <w:sz w:val="20"/>
                          <w:szCs w:val="20"/>
                        </w:rPr>
                      </w:pPr>
                      <w:r w:rsidRPr="00AE41E7">
                        <w:rPr>
                          <w:rFonts w:ascii="微軟正黑體" w:eastAsia="微軟正黑體" w:hAnsi="微軟正黑體" w:hint="eastAsia"/>
                          <w:sz w:val="20"/>
                          <w:szCs w:val="20"/>
                        </w:rPr>
                        <w:t>%</w:t>
                      </w:r>
                    </w:p>
                  </w:txbxContent>
                </v:textbox>
              </v:shape>
            </w:pict>
          </mc:Fallback>
        </mc:AlternateContent>
      </w:r>
      <w:r w:rsidRPr="00503D6B">
        <w:rPr>
          <w:noProof/>
        </w:rPr>
        <w:t xml:space="preserve"> </w:t>
      </w:r>
    </w:p>
    <w:p w:rsidR="00F152C0" w:rsidRDefault="00F152C0" w:rsidP="00F152C0">
      <w:pPr>
        <w:spacing w:before="100" w:beforeAutospacing="1" w:after="100" w:afterAutospacing="1" w:line="360" w:lineRule="auto"/>
        <w:contextualSpacing/>
        <w:jc w:val="center"/>
      </w:pPr>
    </w:p>
    <w:p w:rsidR="00F152C0" w:rsidRDefault="00F152C0" w:rsidP="00F152C0">
      <w:pPr>
        <w:spacing w:before="100" w:beforeAutospacing="1" w:after="100" w:afterAutospacing="1" w:line="360" w:lineRule="auto"/>
        <w:contextualSpacing/>
        <w:jc w:val="center"/>
      </w:pPr>
    </w:p>
    <w:p w:rsidR="00F152C0" w:rsidRDefault="00F152C0" w:rsidP="00F152C0">
      <w:pPr>
        <w:spacing w:before="100" w:beforeAutospacing="1" w:after="100" w:afterAutospacing="1" w:line="360" w:lineRule="auto"/>
        <w:contextualSpacing/>
        <w:jc w:val="center"/>
      </w:pPr>
    </w:p>
    <w:p w:rsidR="00F152C0" w:rsidRDefault="00F152C0" w:rsidP="00F152C0">
      <w:pPr>
        <w:spacing w:before="100" w:beforeAutospacing="1" w:after="100" w:afterAutospacing="1" w:line="360" w:lineRule="auto"/>
        <w:contextualSpacing/>
        <w:jc w:val="center"/>
      </w:pPr>
    </w:p>
    <w:p w:rsidR="00F152C0" w:rsidRDefault="00F152C0" w:rsidP="00F152C0">
      <w:pPr>
        <w:spacing w:before="100" w:beforeAutospacing="1" w:after="100" w:afterAutospacing="1" w:line="360" w:lineRule="auto"/>
        <w:contextualSpacing/>
        <w:jc w:val="center"/>
      </w:pPr>
    </w:p>
    <w:p w:rsidR="00F152C0" w:rsidRDefault="00F152C0" w:rsidP="00F152C0">
      <w:pPr>
        <w:spacing w:before="100" w:beforeAutospacing="1" w:after="100" w:afterAutospacing="1" w:line="360" w:lineRule="auto"/>
        <w:contextualSpacing/>
        <w:jc w:val="center"/>
      </w:pPr>
    </w:p>
    <w:p w:rsidR="00F152C0" w:rsidRDefault="00F152C0" w:rsidP="00F152C0">
      <w:pPr>
        <w:spacing w:before="100" w:beforeAutospacing="1" w:after="100" w:afterAutospacing="1" w:line="360" w:lineRule="auto"/>
        <w:contextualSpacing/>
        <w:jc w:val="center"/>
      </w:pPr>
    </w:p>
    <w:p w:rsidR="0093541E" w:rsidRDefault="0093541E" w:rsidP="0093541E">
      <w:pPr>
        <w:spacing w:beforeLines="50" w:before="180" w:line="400" w:lineRule="exact"/>
        <w:contextualSpacing/>
        <w:rPr>
          <w:rFonts w:ascii="微軟正黑體" w:eastAsia="微軟正黑體" w:hAnsi="微軟正黑體"/>
          <w:sz w:val="20"/>
          <w:szCs w:val="20"/>
        </w:rPr>
      </w:pPr>
      <w:r>
        <w:rPr>
          <w:rFonts w:ascii="微軟正黑體" w:eastAsia="微軟正黑體" w:hAnsi="微軟正黑體" w:hint="eastAsia"/>
          <w:sz w:val="20"/>
          <w:szCs w:val="20"/>
        </w:rPr>
        <w:t xml:space="preserve">  </w:t>
      </w:r>
    </w:p>
    <w:p w:rsidR="00F152C0" w:rsidRDefault="002D3F34" w:rsidP="0093541E">
      <w:pPr>
        <w:spacing w:beforeLines="50" w:before="180" w:line="400" w:lineRule="exact"/>
        <w:contextualSpacing/>
      </w:pPr>
      <w:r>
        <w:rPr>
          <w:rFonts w:ascii="微軟正黑體" w:eastAsia="微軟正黑體" w:hAnsi="微軟正黑體" w:hint="eastAsia"/>
          <w:sz w:val="20"/>
          <w:szCs w:val="20"/>
        </w:rPr>
        <w:t xml:space="preserve">  </w:t>
      </w:r>
      <w:r w:rsidR="0093541E">
        <w:rPr>
          <w:rFonts w:ascii="微軟正黑體" w:eastAsia="微軟正黑體" w:hAnsi="微軟正黑體" w:hint="eastAsia"/>
          <w:sz w:val="20"/>
          <w:szCs w:val="20"/>
        </w:rPr>
        <w:t>資料來源：衛生福利部106年「老人狀況調查」(資料時間106年9月，前次調查期間為102年6月)。</w:t>
      </w:r>
    </w:p>
    <w:p w:rsidR="00F152C0" w:rsidRDefault="00F152C0" w:rsidP="00F152C0">
      <w:pPr>
        <w:pStyle w:val="af8"/>
        <w:spacing w:beforeLines="50" w:before="180" w:line="400" w:lineRule="exact"/>
        <w:contextualSpacing/>
        <w:jc w:val="center"/>
        <w:rPr>
          <w:rFonts w:ascii="微軟正黑體" w:eastAsia="微軟正黑體" w:hAnsi="微軟正黑體"/>
          <w:sz w:val="24"/>
          <w:szCs w:val="24"/>
        </w:rPr>
      </w:pPr>
      <w:bookmarkStart w:id="54" w:name="_Toc81834123"/>
      <w:r w:rsidRPr="001B1387">
        <w:rPr>
          <w:rFonts w:ascii="微軟正黑體" w:eastAsia="微軟正黑體" w:hAnsi="微軟正黑體" w:hint="eastAsia"/>
          <w:sz w:val="24"/>
          <w:szCs w:val="24"/>
        </w:rPr>
        <w:t>圖9　我國65歲以上老人生活費用不足的比率與工作的主要原因</w:t>
      </w:r>
      <w:bookmarkEnd w:id="54"/>
    </w:p>
    <w:p w:rsidR="00F152C0" w:rsidRPr="00425A9A" w:rsidRDefault="00F152C0" w:rsidP="00F152C0">
      <w:pPr>
        <w:spacing w:line="400" w:lineRule="exact"/>
      </w:pPr>
    </w:p>
    <w:p w:rsidR="00F152C0" w:rsidRPr="0051173B" w:rsidRDefault="00F152C0" w:rsidP="00F152C0">
      <w:pPr>
        <w:spacing w:line="400" w:lineRule="exact"/>
        <w:ind w:firstLine="482"/>
        <w:jc w:val="both"/>
        <w:rPr>
          <w:rFonts w:ascii="微軟正黑體" w:eastAsia="微軟正黑體" w:hAnsi="微軟正黑體"/>
          <w:color w:val="000000" w:themeColor="text1"/>
        </w:rPr>
      </w:pPr>
      <w:r w:rsidRPr="0051173B">
        <w:rPr>
          <w:rFonts w:ascii="微軟正黑體" w:eastAsia="微軟正黑體" w:hAnsi="微軟正黑體"/>
          <w:color w:val="000000" w:themeColor="text1"/>
        </w:rPr>
        <w:t>在2019年受雇員工平均所得為64.4萬元，中位數所得為49.8萬元，但25歲以下年輕人之中位數所得為34.9萬元，25-29歲中位數所得為47.3萬元及65歲以上中位數所得為40.4萬元，為三個低於中位數所得的年輕與年老群體，而且15-24歲與65</w:t>
      </w:r>
      <w:r w:rsidRPr="001B1387">
        <w:rPr>
          <w:rFonts w:ascii="微軟正黑體" w:eastAsia="微軟正黑體" w:hAnsi="微軟正黑體"/>
        </w:rPr>
        <w:t>歲以上，</w:t>
      </w:r>
      <w:r w:rsidRPr="0051173B">
        <w:rPr>
          <w:rFonts w:ascii="微軟正黑體" w:eastAsia="微軟正黑體" w:hAnsi="微軟正黑體"/>
          <w:color w:val="000000" w:themeColor="text1"/>
        </w:rPr>
        <w:t>有將近一半以上受雇人口所得低於或是接近每月</w:t>
      </w:r>
      <w:r w:rsidRPr="0051173B">
        <w:rPr>
          <w:rFonts w:ascii="微軟正黑體" w:eastAsia="微軟正黑體" w:hAnsi="微軟正黑體" w:hint="eastAsia"/>
          <w:color w:val="000000" w:themeColor="text1"/>
        </w:rPr>
        <w:t>3</w:t>
      </w:r>
      <w:r w:rsidRPr="0051173B">
        <w:rPr>
          <w:rFonts w:ascii="微軟正黑體" w:eastAsia="微軟正黑體" w:hAnsi="微軟正黑體"/>
          <w:color w:val="000000" w:themeColor="text1"/>
        </w:rPr>
        <w:t>萬元左右</w:t>
      </w:r>
      <w:r w:rsidRPr="0051173B">
        <w:rPr>
          <w:rFonts w:ascii="微軟正黑體" w:eastAsia="微軟正黑體" w:hAnsi="微軟正黑體" w:hint="eastAsia"/>
          <w:color w:val="000000" w:themeColor="text1"/>
        </w:rPr>
        <w:t>，年齡越大者其薪資中位數與平均數之間的差距並同時擴大中，65歲以上高齡者差距達到23</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6萬</w:t>
      </w:r>
      <w:r w:rsidRPr="0051173B">
        <w:rPr>
          <w:rFonts w:ascii="微軟正黑體" w:eastAsia="微軟正黑體" w:hAnsi="微軟正黑體"/>
          <w:color w:val="000000" w:themeColor="text1"/>
        </w:rPr>
        <w:t>元</w:t>
      </w:r>
      <w:r w:rsidRPr="0051173B">
        <w:rPr>
          <w:rFonts w:ascii="微軟正黑體" w:eastAsia="微軟正黑體" w:hAnsi="微軟正黑體" w:hint="eastAsia"/>
          <w:color w:val="000000" w:themeColor="text1"/>
        </w:rPr>
        <w:t>(</w:t>
      </w:r>
      <w:r w:rsidRPr="0051173B">
        <w:rPr>
          <w:rFonts w:ascii="微軟正黑體" w:eastAsia="微軟正黑體" w:hAnsi="微軟正黑體"/>
          <w:color w:val="000000" w:themeColor="text1"/>
        </w:rPr>
        <w:t>主計</w:t>
      </w:r>
      <w:r w:rsidRPr="0051173B">
        <w:rPr>
          <w:rFonts w:ascii="微軟正黑體" w:eastAsia="微軟正黑體" w:hAnsi="微軟正黑體" w:hint="eastAsia"/>
          <w:color w:val="000000" w:themeColor="text1"/>
        </w:rPr>
        <w:t>總</w:t>
      </w:r>
      <w:r w:rsidRPr="0051173B">
        <w:rPr>
          <w:rFonts w:ascii="微軟正黑體" w:eastAsia="微軟正黑體" w:hAnsi="微軟正黑體"/>
          <w:color w:val="000000" w:themeColor="text1"/>
        </w:rPr>
        <w:t>處 2020</w:t>
      </w:r>
      <w:r w:rsidRPr="0051173B">
        <w:rPr>
          <w:rFonts w:ascii="微軟正黑體" w:eastAsia="微軟正黑體" w:hAnsi="微軟正黑體" w:hint="eastAsia"/>
          <w:color w:val="000000" w:themeColor="text1"/>
        </w:rPr>
        <w:t>)</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最低百分之十從2012年到2019年更上升了 25</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3</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；最低百分之二十所得組從2012年到2019年亦上升了23</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2</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，是成長幅度最高的兩個群體。</w:t>
      </w:r>
    </w:p>
    <w:p w:rsidR="00F152C0" w:rsidRDefault="00F152C0" w:rsidP="00F152C0">
      <w:pPr>
        <w:spacing w:beforeLines="30" w:before="108" w:afterLines="50" w:after="180" w:line="400" w:lineRule="exact"/>
        <w:rPr>
          <w:rFonts w:ascii="微軟正黑體" w:eastAsia="微軟正黑體" w:hAnsi="微軟正黑體"/>
        </w:rPr>
      </w:pPr>
    </w:p>
    <w:p w:rsidR="00F152C0" w:rsidRDefault="00F152C0" w:rsidP="00F152C0">
      <w:pPr>
        <w:spacing w:beforeLines="30" w:before="108" w:afterLines="50" w:after="180" w:line="400" w:lineRule="exact"/>
        <w:rPr>
          <w:rFonts w:ascii="微軟正黑體" w:eastAsia="微軟正黑體" w:hAnsi="微軟正黑體"/>
        </w:rPr>
      </w:pPr>
    </w:p>
    <w:p w:rsidR="00F152C0" w:rsidRDefault="00F152C0" w:rsidP="00F152C0">
      <w:pPr>
        <w:spacing w:line="240" w:lineRule="exact"/>
        <w:ind w:leftChars="-1" w:left="1198" w:hangingChars="500" w:hanging="1200"/>
        <w:contextualSpacing/>
        <w:jc w:val="center"/>
        <w:rPr>
          <w:rFonts w:ascii="微軟正黑體" w:eastAsia="微軟正黑體" w:hAnsi="微軟正黑體"/>
          <w:sz w:val="20"/>
          <w:szCs w:val="20"/>
        </w:rPr>
      </w:pPr>
      <w:r w:rsidRPr="00D14B6D">
        <w:rPr>
          <w:noProof/>
        </w:rPr>
        <w:lastRenderedPageBreak/>
        <w:drawing>
          <wp:anchor distT="0" distB="0" distL="114300" distR="114300" simplePos="0" relativeHeight="252507136" behindDoc="1" locked="0" layoutInCell="1" allowOverlap="1" wp14:anchorId="33220568" wp14:editId="3B3631C9">
            <wp:simplePos x="0" y="0"/>
            <wp:positionH relativeFrom="column">
              <wp:posOffset>17780</wp:posOffset>
            </wp:positionH>
            <wp:positionV relativeFrom="paragraph">
              <wp:posOffset>210820</wp:posOffset>
            </wp:positionV>
            <wp:extent cx="5695950" cy="2853690"/>
            <wp:effectExtent l="19050" t="19050" r="19050" b="22860"/>
            <wp:wrapTight wrapText="bothSides">
              <wp:wrapPolygon edited="0">
                <wp:start x="-72" y="-144"/>
                <wp:lineTo x="-72" y="21629"/>
                <wp:lineTo x="21600" y="21629"/>
                <wp:lineTo x="21600" y="-144"/>
                <wp:lineTo x="-72" y="-144"/>
              </wp:wrapPolygon>
            </wp:wrapTight>
            <wp:docPr id="21540" name="圖片 2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extLst>
                        <a:ext uri="{28A0092B-C50C-407E-A947-70E740481C1C}">
                          <a14:useLocalDpi xmlns:a14="http://schemas.microsoft.com/office/drawing/2010/main" val="0"/>
                        </a:ext>
                      </a:extLst>
                    </a:blip>
                    <a:srcRect l="2826" t="10582"/>
                    <a:stretch/>
                  </pic:blipFill>
                  <pic:spPr bwMode="auto">
                    <a:xfrm>
                      <a:off x="0" y="0"/>
                      <a:ext cx="5695950" cy="2853690"/>
                    </a:xfrm>
                    <a:prstGeom prst="rect">
                      <a:avLst/>
                    </a:prstGeom>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52C0" w:rsidRPr="0051173B" w:rsidRDefault="00F152C0" w:rsidP="00F152C0">
      <w:pPr>
        <w:spacing w:line="240" w:lineRule="exact"/>
        <w:ind w:leftChars="-1" w:left="998" w:hangingChars="500" w:hanging="1000"/>
        <w:contextualSpacing/>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51173B">
        <w:rPr>
          <w:rFonts w:ascii="微軟正黑體" w:eastAsia="微軟正黑體" w:hAnsi="微軟正黑體" w:hint="eastAsia"/>
          <w:color w:val="000000" w:themeColor="text1"/>
          <w:sz w:val="20"/>
          <w:szCs w:val="20"/>
        </w:rPr>
        <w:t>資料來源：行政院主計總處2019年工業及服務業受雇員工薪資收入分佈圖</w:t>
      </w:r>
    </w:p>
    <w:p w:rsidR="00F152C0" w:rsidRDefault="00F152C0" w:rsidP="00F152C0">
      <w:pPr>
        <w:pStyle w:val="af8"/>
        <w:spacing w:beforeLines="50" w:before="180" w:line="400" w:lineRule="exact"/>
        <w:contextualSpacing/>
        <w:jc w:val="center"/>
        <w:rPr>
          <w:rFonts w:ascii="微軟正黑體" w:eastAsia="微軟正黑體" w:hAnsi="微軟正黑體"/>
          <w:sz w:val="24"/>
          <w:szCs w:val="24"/>
        </w:rPr>
      </w:pPr>
      <w:r w:rsidRPr="0051173B">
        <w:rPr>
          <w:rFonts w:ascii="微軟正黑體" w:eastAsia="微軟正黑體" w:hAnsi="微軟正黑體" w:hint="eastAsia"/>
          <w:sz w:val="24"/>
          <w:szCs w:val="24"/>
        </w:rPr>
        <w:t>圖10　2019年工業及服務業受雇員工薪資收入分佈</w:t>
      </w:r>
    </w:p>
    <w:p w:rsidR="00F152C0" w:rsidRDefault="00F152C0" w:rsidP="00F152C0">
      <w:pPr>
        <w:pStyle w:val="af8"/>
        <w:spacing w:beforeLines="50" w:before="180" w:line="400" w:lineRule="exact"/>
        <w:contextualSpacing/>
        <w:jc w:val="center"/>
        <w:rPr>
          <w:rFonts w:ascii="微軟正黑體" w:eastAsia="微軟正黑體" w:hAnsi="微軟正黑體"/>
          <w:sz w:val="24"/>
          <w:szCs w:val="24"/>
        </w:rPr>
      </w:pPr>
    </w:p>
    <w:p w:rsidR="00F152C0" w:rsidRPr="001B1387" w:rsidRDefault="00F152C0" w:rsidP="00F152C0">
      <w:pPr>
        <w:pStyle w:val="af8"/>
        <w:spacing w:beforeLines="50" w:before="180" w:line="400" w:lineRule="exact"/>
        <w:contextualSpacing/>
        <w:jc w:val="center"/>
        <w:rPr>
          <w:rFonts w:ascii="微軟正黑體" w:eastAsia="微軟正黑體" w:hAnsi="微軟正黑體"/>
          <w:sz w:val="24"/>
          <w:szCs w:val="24"/>
        </w:rPr>
      </w:pPr>
      <w:r w:rsidRPr="001B1387">
        <w:rPr>
          <w:rFonts w:ascii="微軟正黑體" w:eastAsia="微軟正黑體" w:hAnsi="微軟正黑體" w:hint="eastAsia"/>
          <w:sz w:val="24"/>
          <w:szCs w:val="24"/>
        </w:rPr>
        <w:t>表7　2019年薪資中位數與四等分位薪資依性別、年齡層、教育程度與規模別</w:t>
      </w:r>
    </w:p>
    <w:p w:rsidR="00F152C0" w:rsidRDefault="00F152C0" w:rsidP="00F152C0">
      <w:pPr>
        <w:pStyle w:val="Default"/>
        <w:ind w:rightChars="57" w:right="137"/>
        <w:contextualSpacing/>
        <w:jc w:val="right"/>
        <w:rPr>
          <w:rFonts w:ascii="微軟正黑體" w:eastAsia="微軟正黑體" w:hAnsi="微軟正黑體"/>
          <w:sz w:val="18"/>
          <w:szCs w:val="18"/>
        </w:rPr>
      </w:pPr>
      <w:r w:rsidRPr="00547CBD">
        <w:rPr>
          <w:rFonts w:ascii="微軟正黑體" w:eastAsia="微軟正黑體" w:hAnsi="微軟正黑體"/>
          <w:sz w:val="18"/>
          <w:szCs w:val="18"/>
        </w:rPr>
        <w:t>單位：萬元</w:t>
      </w:r>
    </w:p>
    <w:tbl>
      <w:tblPr>
        <w:tblStyle w:val="a5"/>
        <w:tblW w:w="0" w:type="auto"/>
        <w:jc w:val="center"/>
        <w:tblInd w:w="-459" w:type="dxa"/>
        <w:tblLook w:val="04A0" w:firstRow="1" w:lastRow="0" w:firstColumn="1" w:lastColumn="0" w:noHBand="0" w:noVBand="1"/>
      </w:tblPr>
      <w:tblGrid>
        <w:gridCol w:w="1453"/>
        <w:gridCol w:w="827"/>
        <w:gridCol w:w="807"/>
        <w:gridCol w:w="790"/>
        <w:gridCol w:w="827"/>
        <w:gridCol w:w="807"/>
        <w:gridCol w:w="827"/>
        <w:gridCol w:w="881"/>
        <w:gridCol w:w="881"/>
        <w:gridCol w:w="881"/>
      </w:tblGrid>
      <w:tr w:rsidR="00B02CF7" w:rsidRPr="008676C3" w:rsidTr="00D07C5A">
        <w:trPr>
          <w:jc w:val="center"/>
        </w:trPr>
        <w:tc>
          <w:tcPr>
            <w:tcW w:w="1453" w:type="dxa"/>
            <w:vMerge w:val="restart"/>
          </w:tcPr>
          <w:p w:rsidR="00B02CF7" w:rsidRPr="008676C3" w:rsidRDefault="00B02CF7" w:rsidP="0065748A">
            <w:pPr>
              <w:spacing w:line="260" w:lineRule="exact"/>
              <w:rPr>
                <w:rFonts w:ascii="微軟正黑體" w:eastAsia="微軟正黑體" w:hAnsi="微軟正黑體"/>
                <w:sz w:val="18"/>
                <w:szCs w:val="18"/>
              </w:rPr>
            </w:pPr>
          </w:p>
        </w:tc>
        <w:tc>
          <w:tcPr>
            <w:tcW w:w="4885" w:type="dxa"/>
            <w:gridSpan w:val="6"/>
            <w:tcBorders>
              <w:right w:val="double" w:sz="4" w:space="0" w:color="auto"/>
            </w:tcBorders>
          </w:tcPr>
          <w:p w:rsidR="00B02CF7" w:rsidRPr="008676C3" w:rsidRDefault="00B02CF7"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四等分位組之分界點</w:t>
            </w:r>
          </w:p>
        </w:tc>
        <w:tc>
          <w:tcPr>
            <w:tcW w:w="881" w:type="dxa"/>
            <w:vMerge w:val="restart"/>
            <w:tcBorders>
              <w:left w:val="double" w:sz="4" w:space="0" w:color="auto"/>
            </w:tcBorders>
            <w:vAlign w:val="center"/>
          </w:tcPr>
          <w:p w:rsidR="00B02CF7" w:rsidRPr="008676C3" w:rsidRDefault="00B02CF7"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平均數</w:t>
            </w:r>
          </w:p>
        </w:tc>
        <w:tc>
          <w:tcPr>
            <w:tcW w:w="881" w:type="dxa"/>
            <w:vMerge w:val="restart"/>
            <w:vAlign w:val="center"/>
          </w:tcPr>
          <w:p w:rsidR="00B02CF7" w:rsidRPr="008676C3" w:rsidRDefault="00B02CF7" w:rsidP="00B02CF7">
            <w:pPr>
              <w:spacing w:line="260" w:lineRule="exact"/>
              <w:ind w:leftChars="-71" w:left="-170" w:rightChars="-64" w:right="-154"/>
              <w:jc w:val="center"/>
              <w:rPr>
                <w:rFonts w:ascii="微軟正黑體" w:eastAsia="微軟正黑體" w:hAnsi="微軟正黑體"/>
                <w:sz w:val="18"/>
                <w:szCs w:val="18"/>
              </w:rPr>
            </w:pPr>
            <w:r w:rsidRPr="008676C3">
              <w:rPr>
                <w:rFonts w:ascii="微軟正黑體" w:eastAsia="微軟正黑體" w:hAnsi="微軟正黑體" w:hint="eastAsia"/>
                <w:sz w:val="18"/>
                <w:szCs w:val="18"/>
              </w:rPr>
              <w:t>中位數</w:t>
            </w:r>
            <w:r>
              <w:rPr>
                <w:rFonts w:ascii="微軟正黑體" w:eastAsia="微軟正黑體" w:hAnsi="微軟正黑體" w:hint="eastAsia"/>
                <w:sz w:val="18"/>
                <w:szCs w:val="18"/>
              </w:rPr>
              <w:t xml:space="preserve">與 </w:t>
            </w:r>
            <w:r w:rsidRPr="008676C3">
              <w:rPr>
                <w:rFonts w:ascii="微軟正黑體" w:eastAsia="微軟正黑體" w:hAnsi="微軟正黑體" w:hint="eastAsia"/>
                <w:sz w:val="18"/>
                <w:szCs w:val="18"/>
              </w:rPr>
              <w:t>平均數</w:t>
            </w:r>
            <w:r>
              <w:rPr>
                <w:rFonts w:ascii="微軟正黑體" w:eastAsia="微軟正黑體" w:hAnsi="微軟正黑體" w:hint="eastAsia"/>
                <w:sz w:val="18"/>
                <w:szCs w:val="18"/>
              </w:rPr>
              <w:t xml:space="preserve">   差距</w:t>
            </w:r>
          </w:p>
        </w:tc>
        <w:tc>
          <w:tcPr>
            <w:tcW w:w="881" w:type="dxa"/>
            <w:vMerge w:val="restart"/>
            <w:vAlign w:val="center"/>
          </w:tcPr>
          <w:p w:rsidR="00B02CF7" w:rsidRPr="008676C3" w:rsidRDefault="00B02CF7" w:rsidP="00F45CD3">
            <w:pPr>
              <w:spacing w:line="260" w:lineRule="exact"/>
              <w:ind w:leftChars="-71" w:left="-170" w:rightChars="-64" w:right="-154"/>
              <w:jc w:val="center"/>
              <w:rPr>
                <w:rFonts w:ascii="微軟正黑體" w:eastAsia="微軟正黑體" w:hAnsi="微軟正黑體"/>
                <w:sz w:val="18"/>
                <w:szCs w:val="18"/>
              </w:rPr>
            </w:pPr>
            <w:r w:rsidRPr="008676C3">
              <w:rPr>
                <w:rFonts w:ascii="微軟正黑體" w:eastAsia="微軟正黑體" w:hAnsi="微軟正黑體" w:hint="eastAsia"/>
                <w:sz w:val="18"/>
                <w:szCs w:val="18"/>
              </w:rPr>
              <w:t>中位數對</w:t>
            </w:r>
            <w:r>
              <w:rPr>
                <w:rFonts w:ascii="微軟正黑體" w:eastAsia="微軟正黑體" w:hAnsi="微軟正黑體" w:hint="eastAsia"/>
                <w:sz w:val="18"/>
                <w:szCs w:val="18"/>
              </w:rPr>
              <w:t xml:space="preserve"> </w:t>
            </w:r>
            <w:r w:rsidRPr="008676C3">
              <w:rPr>
                <w:rFonts w:ascii="微軟正黑體" w:eastAsia="微軟正黑體" w:hAnsi="微軟正黑體" w:hint="eastAsia"/>
                <w:sz w:val="18"/>
                <w:szCs w:val="18"/>
              </w:rPr>
              <w:t>平均數</w:t>
            </w:r>
            <w:r>
              <w:rPr>
                <w:rFonts w:ascii="微軟正黑體" w:eastAsia="微軟正黑體" w:hAnsi="微軟正黑體" w:hint="eastAsia"/>
                <w:sz w:val="18"/>
                <w:szCs w:val="18"/>
              </w:rPr>
              <w:t xml:space="preserve">   </w:t>
            </w:r>
            <w:r w:rsidRPr="008676C3">
              <w:rPr>
                <w:rFonts w:ascii="微軟正黑體" w:eastAsia="微軟正黑體" w:hAnsi="微軟正黑體" w:hint="eastAsia"/>
                <w:sz w:val="18"/>
                <w:szCs w:val="18"/>
              </w:rPr>
              <w:t>比值</w:t>
            </w:r>
          </w:p>
        </w:tc>
      </w:tr>
      <w:tr w:rsidR="00D07C5A" w:rsidRPr="008676C3" w:rsidTr="00D07C5A">
        <w:trPr>
          <w:jc w:val="center"/>
        </w:trPr>
        <w:tc>
          <w:tcPr>
            <w:tcW w:w="1453" w:type="dxa"/>
            <w:vMerge/>
          </w:tcPr>
          <w:p w:rsidR="00D07C5A" w:rsidRPr="008676C3" w:rsidRDefault="00D07C5A" w:rsidP="0065748A">
            <w:pPr>
              <w:spacing w:line="260" w:lineRule="exact"/>
              <w:rPr>
                <w:rFonts w:ascii="微軟正黑體" w:eastAsia="微軟正黑體" w:hAnsi="微軟正黑體"/>
                <w:sz w:val="18"/>
                <w:szCs w:val="18"/>
              </w:rPr>
            </w:pPr>
          </w:p>
        </w:tc>
        <w:tc>
          <w:tcPr>
            <w:tcW w:w="827" w:type="dxa"/>
            <w:tcBorders>
              <w:bottom w:val="single" w:sz="4" w:space="0" w:color="BFBFBF" w:themeColor="background1" w:themeShade="BF"/>
            </w:tcBorders>
            <w:vAlign w:val="center"/>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1</w:t>
            </w:r>
          </w:p>
        </w:tc>
        <w:tc>
          <w:tcPr>
            <w:tcW w:w="1597" w:type="dxa"/>
            <w:gridSpan w:val="2"/>
            <w:tcBorders>
              <w:bottom w:val="single" w:sz="4" w:space="0" w:color="BFBFBF" w:themeColor="background1" w:themeShade="BF"/>
            </w:tcBorders>
            <w:vAlign w:val="center"/>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2</w:t>
            </w:r>
          </w:p>
        </w:tc>
        <w:tc>
          <w:tcPr>
            <w:tcW w:w="1634" w:type="dxa"/>
            <w:gridSpan w:val="2"/>
            <w:tcBorders>
              <w:bottom w:val="single" w:sz="4" w:space="0" w:color="BFBFBF" w:themeColor="background1" w:themeShade="BF"/>
            </w:tcBorders>
            <w:vAlign w:val="center"/>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w:t>
            </w:r>
          </w:p>
        </w:tc>
        <w:tc>
          <w:tcPr>
            <w:tcW w:w="827" w:type="dxa"/>
            <w:tcBorders>
              <w:bottom w:val="single" w:sz="4" w:space="0" w:color="BFBFBF" w:themeColor="background1" w:themeShade="BF"/>
              <w:right w:val="double" w:sz="4" w:space="0" w:color="auto"/>
            </w:tcBorders>
            <w:vAlign w:val="center"/>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w:t>
            </w:r>
          </w:p>
        </w:tc>
        <w:tc>
          <w:tcPr>
            <w:tcW w:w="881" w:type="dxa"/>
            <w:vMerge/>
            <w:tcBorders>
              <w:left w:val="double" w:sz="4" w:space="0" w:color="auto"/>
            </w:tcBorders>
          </w:tcPr>
          <w:p w:rsidR="00D07C5A" w:rsidRPr="008676C3" w:rsidRDefault="00D07C5A" w:rsidP="0065748A">
            <w:pPr>
              <w:spacing w:line="260" w:lineRule="exact"/>
              <w:rPr>
                <w:rFonts w:ascii="微軟正黑體" w:eastAsia="微軟正黑體" w:hAnsi="微軟正黑體"/>
                <w:sz w:val="18"/>
                <w:szCs w:val="18"/>
              </w:rPr>
            </w:pPr>
          </w:p>
        </w:tc>
        <w:tc>
          <w:tcPr>
            <w:tcW w:w="881" w:type="dxa"/>
            <w:vMerge/>
          </w:tcPr>
          <w:p w:rsidR="00D07C5A" w:rsidRPr="008676C3" w:rsidRDefault="00D07C5A" w:rsidP="0065748A">
            <w:pPr>
              <w:spacing w:line="260" w:lineRule="exact"/>
              <w:rPr>
                <w:rFonts w:ascii="微軟正黑體" w:eastAsia="微軟正黑體" w:hAnsi="微軟正黑體"/>
                <w:sz w:val="18"/>
                <w:szCs w:val="18"/>
              </w:rPr>
            </w:pPr>
          </w:p>
        </w:tc>
        <w:tc>
          <w:tcPr>
            <w:tcW w:w="881" w:type="dxa"/>
            <w:vMerge/>
          </w:tcPr>
          <w:p w:rsidR="00D07C5A" w:rsidRPr="008676C3" w:rsidRDefault="00D07C5A" w:rsidP="0065748A">
            <w:pPr>
              <w:spacing w:line="260" w:lineRule="exact"/>
              <w:rPr>
                <w:rFonts w:ascii="微軟正黑體" w:eastAsia="微軟正黑體" w:hAnsi="微軟正黑體"/>
                <w:sz w:val="18"/>
                <w:szCs w:val="18"/>
              </w:rPr>
            </w:pPr>
          </w:p>
        </w:tc>
      </w:tr>
      <w:tr w:rsidR="00D07C5A" w:rsidRPr="008676C3" w:rsidTr="00D07C5A">
        <w:trPr>
          <w:jc w:val="center"/>
        </w:trPr>
        <w:tc>
          <w:tcPr>
            <w:tcW w:w="1453" w:type="dxa"/>
            <w:vMerge/>
          </w:tcPr>
          <w:p w:rsidR="00D07C5A" w:rsidRPr="008676C3" w:rsidRDefault="00D07C5A" w:rsidP="0065748A">
            <w:pPr>
              <w:spacing w:line="260" w:lineRule="exact"/>
              <w:rPr>
                <w:rFonts w:ascii="微軟正黑體" w:eastAsia="微軟正黑體" w:hAnsi="微軟正黑體"/>
                <w:sz w:val="18"/>
                <w:szCs w:val="18"/>
              </w:rPr>
            </w:pPr>
          </w:p>
        </w:tc>
        <w:tc>
          <w:tcPr>
            <w:tcW w:w="827" w:type="dxa"/>
            <w:tcBorders>
              <w:top w:val="single" w:sz="4" w:space="0" w:color="BFBFBF" w:themeColor="background1" w:themeShade="BF"/>
            </w:tcBorders>
          </w:tcPr>
          <w:p w:rsidR="00D07C5A" w:rsidRPr="008676C3" w:rsidRDefault="00D07C5A" w:rsidP="0065748A">
            <w:pPr>
              <w:spacing w:line="260" w:lineRule="exact"/>
              <w:rPr>
                <w:rFonts w:ascii="微軟正黑體" w:eastAsia="微軟正黑體" w:hAnsi="微軟正黑體"/>
                <w:sz w:val="18"/>
                <w:szCs w:val="18"/>
              </w:rPr>
            </w:pPr>
          </w:p>
        </w:tc>
        <w:tc>
          <w:tcPr>
            <w:tcW w:w="807" w:type="dxa"/>
            <w:tcBorders>
              <w:top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1617"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(中位數)</w:t>
            </w:r>
          </w:p>
        </w:tc>
        <w:tc>
          <w:tcPr>
            <w:tcW w:w="807" w:type="dxa"/>
            <w:tcBorders>
              <w:top w:val="single" w:sz="4" w:space="0" w:color="BFBFBF" w:themeColor="background1" w:themeShade="BF"/>
              <w:left w:val="single" w:sz="4" w:space="0" w:color="BFBFBF" w:themeColor="background1" w:themeShade="BF"/>
            </w:tcBorders>
          </w:tcPr>
          <w:p w:rsidR="00D07C5A" w:rsidRPr="008676C3" w:rsidRDefault="00D07C5A" w:rsidP="0065748A">
            <w:pPr>
              <w:spacing w:line="260" w:lineRule="exact"/>
              <w:rPr>
                <w:rFonts w:ascii="微軟正黑體" w:eastAsia="微軟正黑體" w:hAnsi="微軟正黑體"/>
                <w:sz w:val="18"/>
                <w:szCs w:val="18"/>
              </w:rPr>
            </w:pPr>
          </w:p>
        </w:tc>
        <w:tc>
          <w:tcPr>
            <w:tcW w:w="827" w:type="dxa"/>
            <w:tcBorders>
              <w:top w:val="single" w:sz="4" w:space="0" w:color="BFBFBF" w:themeColor="background1" w:themeShade="BF"/>
              <w:right w:val="double" w:sz="4" w:space="0" w:color="auto"/>
            </w:tcBorders>
          </w:tcPr>
          <w:p w:rsidR="00D07C5A" w:rsidRPr="008676C3" w:rsidRDefault="00D07C5A" w:rsidP="0065748A">
            <w:pPr>
              <w:spacing w:line="260" w:lineRule="exact"/>
              <w:rPr>
                <w:rFonts w:ascii="微軟正黑體" w:eastAsia="微軟正黑體" w:hAnsi="微軟正黑體"/>
                <w:sz w:val="18"/>
                <w:szCs w:val="18"/>
              </w:rPr>
            </w:pPr>
          </w:p>
        </w:tc>
        <w:tc>
          <w:tcPr>
            <w:tcW w:w="881" w:type="dxa"/>
            <w:vMerge/>
            <w:tcBorders>
              <w:left w:val="double" w:sz="4" w:space="0" w:color="auto"/>
            </w:tcBorders>
          </w:tcPr>
          <w:p w:rsidR="00D07C5A" w:rsidRPr="008676C3" w:rsidRDefault="00D07C5A" w:rsidP="0065748A">
            <w:pPr>
              <w:spacing w:line="260" w:lineRule="exact"/>
              <w:rPr>
                <w:rFonts w:ascii="微軟正黑體" w:eastAsia="微軟正黑體" w:hAnsi="微軟正黑體"/>
                <w:sz w:val="18"/>
                <w:szCs w:val="18"/>
              </w:rPr>
            </w:pPr>
          </w:p>
        </w:tc>
        <w:tc>
          <w:tcPr>
            <w:tcW w:w="881" w:type="dxa"/>
            <w:vMerge/>
          </w:tcPr>
          <w:p w:rsidR="00D07C5A" w:rsidRPr="008676C3" w:rsidRDefault="00D07C5A" w:rsidP="0065748A">
            <w:pPr>
              <w:spacing w:line="260" w:lineRule="exact"/>
              <w:rPr>
                <w:rFonts w:ascii="微軟正黑體" w:eastAsia="微軟正黑體" w:hAnsi="微軟正黑體"/>
                <w:sz w:val="18"/>
                <w:szCs w:val="18"/>
              </w:rPr>
            </w:pPr>
          </w:p>
        </w:tc>
        <w:tc>
          <w:tcPr>
            <w:tcW w:w="881" w:type="dxa"/>
            <w:vMerge/>
          </w:tcPr>
          <w:p w:rsidR="00D07C5A" w:rsidRPr="008676C3" w:rsidRDefault="00D07C5A" w:rsidP="0065748A">
            <w:pPr>
              <w:spacing w:line="260" w:lineRule="exact"/>
              <w:rPr>
                <w:rFonts w:ascii="微軟正黑體" w:eastAsia="微軟正黑體" w:hAnsi="微軟正黑體"/>
                <w:sz w:val="18"/>
                <w:szCs w:val="18"/>
              </w:rPr>
            </w:pPr>
          </w:p>
        </w:tc>
      </w:tr>
      <w:tr w:rsidR="00D07C5A" w:rsidRPr="008676C3" w:rsidTr="00D07C5A">
        <w:trPr>
          <w:jc w:val="center"/>
        </w:trPr>
        <w:tc>
          <w:tcPr>
            <w:tcW w:w="1453" w:type="dxa"/>
          </w:tcPr>
          <w:p w:rsidR="00D07C5A" w:rsidRPr="008676C3" w:rsidRDefault="00D07C5A" w:rsidP="0065748A">
            <w:pPr>
              <w:spacing w:line="260" w:lineRule="exact"/>
              <w:jc w:val="center"/>
              <w:rPr>
                <w:rFonts w:ascii="微軟正黑體" w:eastAsia="微軟正黑體" w:hAnsi="微軟正黑體"/>
                <w:b/>
                <w:sz w:val="18"/>
                <w:szCs w:val="18"/>
              </w:rPr>
            </w:pPr>
            <w:r w:rsidRPr="008676C3">
              <w:rPr>
                <w:rFonts w:ascii="微軟正黑體" w:eastAsia="微軟正黑體" w:hAnsi="微軟正黑體" w:hint="eastAsia"/>
                <w:b/>
                <w:sz w:val="18"/>
                <w:szCs w:val="18"/>
              </w:rPr>
              <w:t>總計</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36.0</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49.8</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74.6</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64.4</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-14.6</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0.774</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b/>
                <w:sz w:val="18"/>
                <w:szCs w:val="18"/>
              </w:rPr>
            </w:pPr>
            <w:r w:rsidRPr="008676C3">
              <w:rPr>
                <w:rFonts w:ascii="微軟正黑體" w:eastAsia="微軟正黑體" w:hAnsi="微軟正黑體" w:hint="eastAsia"/>
                <w:b/>
                <w:sz w:val="18"/>
                <w:szCs w:val="18"/>
              </w:rPr>
              <w:t>性別</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男</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38.2</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53.0</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81.1</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69.8</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-16.8</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0.759</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女</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34.4</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46.5</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67.7</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58.2</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-11.7</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0.798</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b/>
                <w:sz w:val="18"/>
                <w:szCs w:val="18"/>
              </w:rPr>
            </w:pPr>
            <w:r w:rsidRPr="008676C3">
              <w:rPr>
                <w:rFonts w:ascii="微軟正黑體" w:eastAsia="微軟正黑體" w:hAnsi="微軟正黑體" w:hint="eastAsia"/>
                <w:b/>
                <w:sz w:val="18"/>
                <w:szCs w:val="18"/>
              </w:rPr>
              <w:t>年齡別</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未滿25歲</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27.3</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34.9</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44.3</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37.0</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-2.1</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0.943</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25-29歲</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36</w:t>
            </w:r>
            <w:r>
              <w:rPr>
                <w:rFonts w:ascii="微軟正黑體" w:eastAsia="微軟正黑體" w:hAnsi="微軟正黑體" w:hint="eastAsia"/>
                <w:sz w:val="18"/>
                <w:szCs w:val="18"/>
              </w:rPr>
              <w:t>.</w:t>
            </w:r>
            <w:r w:rsidRPr="008676C3">
              <w:rPr>
                <w:rFonts w:ascii="微軟正黑體" w:eastAsia="微軟正黑體" w:hAnsi="微軟正黑體" w:hint="eastAsia"/>
                <w:sz w:val="18"/>
                <w:szCs w:val="18"/>
              </w:rPr>
              <w:t>0</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47.3</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61.3</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52.4</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-5.1</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0.902</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30-39歲</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38.6</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53.6</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77.0</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63.7</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-10.1</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0.840</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40-49歲</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39.3</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57.2</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92.0</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74.7</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-17.5</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0.765</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50-64歲</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37.2</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53.6</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Pr>
                <w:rFonts w:ascii="微軟正黑體" w:eastAsia="微軟正黑體" w:hAnsi="微軟正黑體" w:hint="eastAsia"/>
                <w:sz w:val="18"/>
                <w:szCs w:val="18"/>
              </w:rPr>
              <w:t>88.6</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75.5</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-21.9</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0.711</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65歲以上</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30.2</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40.4</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63.8</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64.0</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-23.6</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0.630</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b/>
                <w:sz w:val="18"/>
                <w:szCs w:val="18"/>
              </w:rPr>
            </w:pPr>
            <w:r w:rsidRPr="008676C3">
              <w:rPr>
                <w:rFonts w:ascii="微軟正黑體" w:eastAsia="微軟正黑體" w:hAnsi="微軟正黑體" w:hint="eastAsia"/>
                <w:b/>
                <w:sz w:val="18"/>
                <w:szCs w:val="18"/>
              </w:rPr>
              <w:t>教育程度別</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國中及以下</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32.3</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40.1</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52.2</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45.3</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-5.2</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0.887</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高中(職)</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33.8</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44.3</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60.0</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51.7</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-7.4</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0.857</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大專</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38.1</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53.9</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80.7</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67.1</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-13.2</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0.804</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研究所</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60.6</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95.9</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139.2</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116.3</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-20.4</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0.824</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b/>
                <w:sz w:val="18"/>
                <w:szCs w:val="18"/>
              </w:rPr>
            </w:pPr>
            <w:r w:rsidRPr="008676C3">
              <w:rPr>
                <w:rFonts w:ascii="微軟正黑體" w:eastAsia="微軟正黑體" w:hAnsi="微軟正黑體" w:hint="eastAsia"/>
                <w:b/>
                <w:sz w:val="18"/>
                <w:szCs w:val="18"/>
              </w:rPr>
              <w:t>規模別</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4人以下</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30.3</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35.5</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48.2</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41.6</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-6.1</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0.855</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5-99人</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34.3</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43.9</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60.3</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53.7</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-9.8</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0.819</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100-299人</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41.6</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53.1</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77.8</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68.6</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-15.5</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0.775</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300-499人</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43.0</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55.2</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81.8</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71.4</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-16.2</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0.774</w:t>
            </w:r>
          </w:p>
        </w:tc>
      </w:tr>
      <w:tr w:rsidR="00D07C5A" w:rsidRPr="008676C3" w:rsidTr="00D07C5A">
        <w:trPr>
          <w:jc w:val="center"/>
        </w:trPr>
        <w:tc>
          <w:tcPr>
            <w:tcW w:w="1453" w:type="dxa"/>
          </w:tcPr>
          <w:p w:rsidR="00D07C5A" w:rsidRPr="008676C3" w:rsidRDefault="00D07C5A" w:rsidP="0065748A">
            <w:pPr>
              <w:spacing w:line="260" w:lineRule="exact"/>
              <w:rPr>
                <w:rFonts w:ascii="微軟正黑體" w:eastAsia="微軟正黑體" w:hAnsi="微軟正黑體"/>
                <w:sz w:val="18"/>
                <w:szCs w:val="18"/>
              </w:rPr>
            </w:pPr>
            <w:r w:rsidRPr="008676C3">
              <w:rPr>
                <w:rFonts w:ascii="微軟正黑體" w:eastAsia="微軟正黑體" w:hAnsi="微軟正黑體" w:hint="eastAsia"/>
                <w:sz w:val="18"/>
                <w:szCs w:val="18"/>
              </w:rPr>
              <w:t xml:space="preserve">  500人以上</w:t>
            </w:r>
          </w:p>
        </w:tc>
        <w:tc>
          <w:tcPr>
            <w:tcW w:w="1634" w:type="dxa"/>
            <w:gridSpan w:val="2"/>
            <w:tcBorders>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48.9</w:t>
            </w:r>
          </w:p>
        </w:tc>
        <w:tc>
          <w:tcPr>
            <w:tcW w:w="1617" w:type="dxa"/>
            <w:gridSpan w:val="2"/>
            <w:tcBorders>
              <w:left w:val="single" w:sz="4" w:space="0" w:color="BFBFBF" w:themeColor="background1" w:themeShade="BF"/>
              <w:right w:val="single" w:sz="4" w:space="0" w:color="BFBFBF" w:themeColor="background1" w:themeShade="BF"/>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69.3</w:t>
            </w:r>
          </w:p>
        </w:tc>
        <w:tc>
          <w:tcPr>
            <w:tcW w:w="1634" w:type="dxa"/>
            <w:gridSpan w:val="2"/>
            <w:tcBorders>
              <w:left w:val="single" w:sz="4" w:space="0" w:color="BFBFBF" w:themeColor="background1" w:themeShade="BF"/>
              <w:right w:val="double" w:sz="4" w:space="0" w:color="auto"/>
            </w:tcBorders>
          </w:tcPr>
          <w:p w:rsidR="00D07C5A" w:rsidRPr="008676C3" w:rsidRDefault="00D07C5A" w:rsidP="0065748A">
            <w:pPr>
              <w:spacing w:line="260" w:lineRule="exact"/>
              <w:jc w:val="center"/>
              <w:rPr>
                <w:rFonts w:ascii="微軟正黑體" w:eastAsia="微軟正黑體" w:hAnsi="微軟正黑體"/>
                <w:sz w:val="18"/>
                <w:szCs w:val="18"/>
              </w:rPr>
            </w:pPr>
            <w:r w:rsidRPr="008676C3">
              <w:rPr>
                <w:rFonts w:ascii="微軟正黑體" w:eastAsia="微軟正黑體" w:hAnsi="微軟正黑體" w:hint="eastAsia"/>
                <w:sz w:val="18"/>
                <w:szCs w:val="18"/>
              </w:rPr>
              <w:t>107.8</w:t>
            </w:r>
          </w:p>
        </w:tc>
        <w:tc>
          <w:tcPr>
            <w:tcW w:w="881" w:type="dxa"/>
            <w:tcBorders>
              <w:left w:val="double" w:sz="4" w:space="0" w:color="auto"/>
            </w:tcBorders>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86.5</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-17.2</w:t>
            </w:r>
          </w:p>
        </w:tc>
        <w:tc>
          <w:tcPr>
            <w:tcW w:w="881" w:type="dxa"/>
          </w:tcPr>
          <w:p w:rsidR="00D07C5A" w:rsidRPr="008676C3" w:rsidRDefault="00D07C5A" w:rsidP="0065748A">
            <w:pPr>
              <w:spacing w:line="260" w:lineRule="exact"/>
              <w:jc w:val="right"/>
              <w:rPr>
                <w:rFonts w:ascii="微軟正黑體" w:eastAsia="微軟正黑體" w:hAnsi="微軟正黑體"/>
                <w:sz w:val="18"/>
                <w:szCs w:val="18"/>
              </w:rPr>
            </w:pPr>
            <w:r w:rsidRPr="008676C3">
              <w:rPr>
                <w:rFonts w:ascii="微軟正黑體" w:eastAsia="微軟正黑體" w:hAnsi="微軟正黑體" w:hint="eastAsia"/>
                <w:sz w:val="18"/>
                <w:szCs w:val="18"/>
              </w:rPr>
              <w:t>0.801</w:t>
            </w:r>
          </w:p>
        </w:tc>
      </w:tr>
    </w:tbl>
    <w:p w:rsidR="00F152C0" w:rsidRPr="0051173B" w:rsidRDefault="00D07C5A" w:rsidP="003B2FE3">
      <w:pPr>
        <w:spacing w:beforeLines="50" w:before="180" w:line="300" w:lineRule="exact"/>
        <w:ind w:leftChars="-1" w:left="998" w:hangingChars="500" w:hanging="1000"/>
        <w:contextualSpacing/>
        <w:rPr>
          <w:rFonts w:ascii="微軟正黑體" w:eastAsia="微軟正黑體" w:hAnsi="微軟正黑體"/>
          <w:color w:val="000000" w:themeColor="text1"/>
          <w:sz w:val="20"/>
          <w:szCs w:val="20"/>
        </w:rPr>
      </w:pPr>
      <w:r>
        <w:rPr>
          <w:rFonts w:ascii="微軟正黑體" w:eastAsia="微軟正黑體" w:hAnsi="微軟正黑體" w:hint="eastAsia"/>
          <w:color w:val="000000" w:themeColor="text1"/>
          <w:sz w:val="20"/>
          <w:szCs w:val="20"/>
        </w:rPr>
        <w:t xml:space="preserve"> </w:t>
      </w:r>
      <w:r w:rsidR="00F152C0" w:rsidRPr="0051173B">
        <w:rPr>
          <w:rFonts w:ascii="微軟正黑體" w:eastAsia="微軟正黑體" w:hAnsi="微軟正黑體" w:hint="eastAsia"/>
          <w:color w:val="000000" w:themeColor="text1"/>
          <w:sz w:val="20"/>
          <w:szCs w:val="20"/>
        </w:rPr>
        <w:t>資料來源：行政院主計總處2019年主計總處薪資中位數。</w:t>
      </w:r>
    </w:p>
    <w:p w:rsidR="00F152C0" w:rsidRPr="001B1387" w:rsidRDefault="00F152C0" w:rsidP="00F152C0">
      <w:pPr>
        <w:spacing w:line="400" w:lineRule="exact"/>
        <w:ind w:firstLine="482"/>
        <w:jc w:val="both"/>
        <w:rPr>
          <w:rFonts w:ascii="微軟正黑體" w:eastAsia="微軟正黑體" w:hAnsi="微軟正黑體"/>
        </w:rPr>
      </w:pPr>
      <w:r w:rsidRPr="00993D7D">
        <w:rPr>
          <w:rFonts w:ascii="微軟正黑體" w:eastAsia="微軟正黑體" w:hAnsi="微軟正黑體" w:hint="eastAsia"/>
        </w:rPr>
        <w:lastRenderedPageBreak/>
        <w:t>從以上的</w:t>
      </w:r>
      <w:r w:rsidRPr="001B1387">
        <w:rPr>
          <w:rFonts w:ascii="微軟正黑體" w:eastAsia="微軟正黑體" w:hAnsi="微軟正黑體" w:hint="eastAsia"/>
        </w:rPr>
        <w:t>資料顯示，我們的確需要進一步思考台灣的經濟發展、就業政策與家庭照顧政策的總體協調策略，加上人口快速老化與少子女化，已到了需要進一步檢視其社會保障體系之周全性，本文將聚焦於台灣的全球經濟發展軌跡與對照我國的就業參與，尤其是55歲以上就業率的提升，目前國際上因應人口老化所採取的政策方向主要以活力老化與世代團結為主，而活力老化推動成果的指標檢視，即包括55</w:t>
      </w:r>
      <w:r w:rsidRPr="001B1387">
        <w:rPr>
          <w:rFonts w:ascii="微軟正黑體" w:eastAsia="微軟正黑體" w:hAnsi="微軟正黑體"/>
        </w:rPr>
        <w:t>-</w:t>
      </w:r>
      <w:r w:rsidRPr="001B1387">
        <w:rPr>
          <w:rFonts w:ascii="微軟正黑體" w:eastAsia="微軟正黑體" w:hAnsi="微軟正黑體" w:hint="eastAsia"/>
        </w:rPr>
        <w:t>59歲、60</w:t>
      </w:r>
      <w:r w:rsidRPr="001B1387">
        <w:rPr>
          <w:rFonts w:ascii="微軟正黑體" w:eastAsia="微軟正黑體" w:hAnsi="微軟正黑體"/>
        </w:rPr>
        <w:t>-</w:t>
      </w:r>
      <w:r w:rsidRPr="001B1387">
        <w:rPr>
          <w:rFonts w:ascii="微軟正黑體" w:eastAsia="微軟正黑體" w:hAnsi="微軟正黑體" w:hint="eastAsia"/>
        </w:rPr>
        <w:t>64歲、65</w:t>
      </w:r>
      <w:r w:rsidRPr="001B1387">
        <w:rPr>
          <w:rFonts w:ascii="微軟正黑體" w:eastAsia="微軟正黑體" w:hAnsi="微軟正黑體"/>
        </w:rPr>
        <w:t>-</w:t>
      </w:r>
      <w:r w:rsidRPr="001B1387">
        <w:rPr>
          <w:rFonts w:ascii="微軟正黑體" w:eastAsia="微軟正黑體" w:hAnsi="微軟正黑體" w:hint="eastAsia"/>
        </w:rPr>
        <w:t>69歲、70</w:t>
      </w:r>
      <w:r w:rsidRPr="001B1387">
        <w:rPr>
          <w:rFonts w:ascii="微軟正黑體" w:eastAsia="微軟正黑體" w:hAnsi="微軟正黑體"/>
        </w:rPr>
        <w:t>-</w:t>
      </w:r>
      <w:r w:rsidRPr="001B1387">
        <w:rPr>
          <w:rFonts w:ascii="微軟正黑體" w:eastAsia="微軟正黑體" w:hAnsi="微軟正黑體" w:hint="eastAsia"/>
        </w:rPr>
        <w:t>74歲就業率的改善(Active</w:t>
      </w:r>
      <w:r w:rsidRPr="001B1387">
        <w:rPr>
          <w:rFonts w:ascii="微軟正黑體" w:eastAsia="微軟正黑體" w:hAnsi="微軟正黑體"/>
        </w:rPr>
        <w:t xml:space="preserve"> </w:t>
      </w:r>
      <w:r w:rsidRPr="001B1387">
        <w:rPr>
          <w:rFonts w:ascii="微軟正黑體" w:eastAsia="微軟正黑體" w:hAnsi="微軟正黑體" w:hint="eastAsia"/>
        </w:rPr>
        <w:t>Ageing</w:t>
      </w:r>
      <w:r w:rsidRPr="001B1387">
        <w:rPr>
          <w:rFonts w:ascii="微軟正黑體" w:eastAsia="微軟正黑體" w:hAnsi="微軟正黑體"/>
        </w:rPr>
        <w:t xml:space="preserve"> </w:t>
      </w:r>
      <w:r w:rsidRPr="001B1387">
        <w:rPr>
          <w:rFonts w:ascii="微軟正黑體" w:eastAsia="微軟正黑體" w:hAnsi="微軟正黑體" w:hint="eastAsia"/>
        </w:rPr>
        <w:t>Index</w:t>
      </w:r>
      <w:r w:rsidRPr="001B1387">
        <w:rPr>
          <w:rFonts w:ascii="微軟正黑體" w:eastAsia="微軟正黑體" w:hAnsi="微軟正黑體"/>
        </w:rPr>
        <w:t xml:space="preserve">, </w:t>
      </w:r>
      <w:r w:rsidRPr="001B1387">
        <w:rPr>
          <w:rFonts w:ascii="微軟正黑體" w:eastAsia="微軟正黑體" w:hAnsi="微軟正黑體" w:hint="eastAsia"/>
        </w:rPr>
        <w:t>AAI</w:t>
      </w:r>
      <w:r w:rsidRPr="001B1387">
        <w:rPr>
          <w:rFonts w:ascii="微軟正黑體" w:eastAsia="微軟正黑體" w:hAnsi="微軟正黑體"/>
        </w:rPr>
        <w:t xml:space="preserve">) </w:t>
      </w:r>
      <w:r w:rsidRPr="001B1387">
        <w:rPr>
          <w:rFonts w:ascii="微軟正黑體" w:eastAsia="微軟正黑體" w:hAnsi="微軟正黑體" w:hint="eastAsia"/>
        </w:rPr>
        <w:t>，因為就業機會的提供，除了是基本人權與</w:t>
      </w:r>
      <w:r>
        <w:rPr>
          <w:rFonts w:ascii="微軟正黑體" w:eastAsia="微軟正黑體" w:hAnsi="微軟正黑體" w:hint="eastAsia"/>
        </w:rPr>
        <w:t>平等權的落實之外，亦攸關老年經濟安全維護、避免陷入老年貧窮風險(</w:t>
      </w:r>
      <w:r w:rsidRPr="001B1387">
        <w:rPr>
          <w:rFonts w:ascii="微軟正黑體" w:eastAsia="微軟正黑體" w:hAnsi="微軟正黑體" w:hint="eastAsia"/>
        </w:rPr>
        <w:t>陳明芳 2013；周玟琪 2019</w:t>
      </w:r>
      <w:r>
        <w:rPr>
          <w:rFonts w:ascii="微軟正黑體" w:eastAsia="微軟正黑體" w:hAnsi="微軟正黑體" w:hint="eastAsia"/>
        </w:rPr>
        <w:t>)</w:t>
      </w:r>
      <w:r w:rsidRPr="001B1387">
        <w:rPr>
          <w:rFonts w:ascii="微軟正黑體" w:eastAsia="微軟正黑體" w:hAnsi="微軟正黑體" w:hint="eastAsia"/>
        </w:rPr>
        <w:t xml:space="preserve">。 </w:t>
      </w:r>
    </w:p>
    <w:p w:rsidR="00F152C0" w:rsidRPr="0051173B" w:rsidRDefault="00F152C0" w:rsidP="00F152C0">
      <w:pPr>
        <w:spacing w:beforeLines="30" w:before="108" w:line="400" w:lineRule="exact"/>
        <w:ind w:firstLine="482"/>
        <w:jc w:val="both"/>
        <w:rPr>
          <w:rFonts w:ascii="微軟正黑體" w:eastAsia="微軟正黑體" w:hAnsi="微軟正黑體"/>
          <w:color w:val="000000" w:themeColor="text1"/>
        </w:rPr>
      </w:pPr>
      <w:r w:rsidRPr="0051173B">
        <w:rPr>
          <w:rFonts w:ascii="微軟正黑體" w:eastAsia="微軟正黑體" w:hAnsi="微軟正黑體"/>
          <w:color w:val="000000" w:themeColor="text1"/>
        </w:rPr>
        <w:t>我國勞工保險在2020年平均</w:t>
      </w:r>
      <w:r w:rsidRPr="0051173B">
        <w:rPr>
          <w:rFonts w:ascii="微軟正黑體" w:eastAsia="微軟正黑體" w:hAnsi="微軟正黑體" w:hint="eastAsia"/>
          <w:color w:val="000000" w:themeColor="text1"/>
        </w:rPr>
        <w:t>投保薪資額度為32</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356元；</w:t>
      </w:r>
      <w:r>
        <w:rPr>
          <w:rFonts w:ascii="微軟正黑體" w:eastAsia="微軟正黑體" w:hAnsi="微軟正黑體" w:hint="eastAsia"/>
          <w:color w:val="000000" w:themeColor="text1"/>
        </w:rPr>
        <w:t>占</w:t>
      </w:r>
      <w:r w:rsidRPr="0051173B">
        <w:rPr>
          <w:rFonts w:ascii="微軟正黑體" w:eastAsia="微軟正黑體" w:hAnsi="微軟正黑體" w:hint="eastAsia"/>
          <w:color w:val="000000" w:themeColor="text1"/>
        </w:rPr>
        <w:t>平均月經常性薪資比率76</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7</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；產業勞工之平均投保薪資較高為34</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333元、公司行號員工平均投保薪資為33</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096元、職業工會加保平均投保薪資為28</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239元。在2021年7月產業及公司行號員工加保人數為696萬7</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175人，新聞文化公益及合作事業員工加保人數為36萬6</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586人；政府機關及公私立學校員工為39萬7</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426人；自願投保者人數為45萬3</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925人；漁會甲類會員及漁業勞動者人數總計為26萬5</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913人；職業工會加保人數為211萬5</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833人，大約是總投保人數的20</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。在2021年7月底統計資料可發現，投保薪資額度為基本工資及以下</w:t>
      </w:r>
      <w:r>
        <w:rPr>
          <w:rFonts w:ascii="微軟正黑體" w:eastAsia="微軟正黑體" w:hAnsi="微軟正黑體" w:hint="eastAsia"/>
          <w:color w:val="000000" w:themeColor="text1"/>
        </w:rPr>
        <w:t>占</w:t>
      </w:r>
      <w:r w:rsidRPr="0051173B">
        <w:rPr>
          <w:rFonts w:ascii="微軟正黑體" w:eastAsia="微軟正黑體" w:hAnsi="微軟正黑體" w:hint="eastAsia"/>
          <w:color w:val="000000" w:themeColor="text1"/>
        </w:rPr>
        <w:t>比達到35</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6</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，超過三分之一；而以最高投保薪資加保人數達到26</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3</w:t>
      </w:r>
      <w:r w:rsidRPr="0051173B">
        <w:rPr>
          <w:rFonts w:ascii="微軟正黑體" w:eastAsia="微軟正黑體" w:hAnsi="微軟正黑體"/>
          <w:color w:val="000000" w:themeColor="text1"/>
        </w:rPr>
        <w:t>%</w:t>
      </w:r>
      <w:r w:rsidRPr="0051173B">
        <w:rPr>
          <w:rFonts w:ascii="微軟正黑體" w:eastAsia="微軟正黑體" w:hAnsi="微軟正黑體" w:hint="eastAsia"/>
          <w:color w:val="000000" w:themeColor="text1"/>
        </w:rPr>
        <w:t>；隨著符合領取勞保年金人數持續快速上升，無怪乎從2017年開始出現入不敷出的結果。勞工</w:t>
      </w:r>
      <w:r>
        <w:rPr>
          <w:rFonts w:ascii="微軟正黑體" w:eastAsia="微軟正黑體" w:hAnsi="微軟正黑體" w:hint="eastAsia"/>
          <w:color w:val="000000" w:themeColor="text1"/>
        </w:rPr>
        <w:t>在職場亦可能面臨</w:t>
      </w:r>
      <w:r w:rsidRPr="0051173B">
        <w:rPr>
          <w:rFonts w:ascii="微軟正黑體" w:eastAsia="微軟正黑體" w:hAnsi="微軟正黑體" w:hint="eastAsia"/>
          <w:color w:val="000000" w:themeColor="text1"/>
        </w:rPr>
        <w:t>被迫提早退休或離職</w:t>
      </w:r>
      <w:r>
        <w:rPr>
          <w:rFonts w:ascii="微軟正黑體" w:eastAsia="微軟正黑體" w:hAnsi="微軟正黑體" w:hint="eastAsia"/>
          <w:color w:val="000000" w:themeColor="text1"/>
        </w:rPr>
        <w:t>問題</w:t>
      </w:r>
      <w:r w:rsidRPr="0051173B">
        <w:rPr>
          <w:rFonts w:ascii="微軟正黑體" w:eastAsia="微軟正黑體" w:hAnsi="微軟正黑體" w:hint="eastAsia"/>
          <w:color w:val="000000" w:themeColor="text1"/>
        </w:rPr>
        <w:t>，導致我國勞工原本受雇勞工身份別</w:t>
      </w:r>
      <w:r>
        <w:rPr>
          <w:rFonts w:ascii="微軟正黑體" w:eastAsia="微軟正黑體" w:hAnsi="微軟正黑體" w:hint="eastAsia"/>
          <w:color w:val="000000" w:themeColor="text1"/>
        </w:rPr>
        <w:t>占</w:t>
      </w:r>
      <w:r w:rsidRPr="0051173B">
        <w:rPr>
          <w:rFonts w:ascii="微軟正黑體" w:eastAsia="微軟正黑體" w:hAnsi="微軟正黑體" w:hint="eastAsia"/>
          <w:color w:val="000000" w:themeColor="text1"/>
        </w:rPr>
        <w:t>將</w:t>
      </w:r>
      <w:r>
        <w:rPr>
          <w:rFonts w:ascii="微軟正黑體" w:eastAsia="微軟正黑體" w:hAnsi="微軟正黑體" w:hint="eastAsia"/>
          <w:color w:val="000000" w:themeColor="text1"/>
        </w:rPr>
        <w:t>近七成五</w:t>
      </w:r>
      <w:r w:rsidRPr="0051173B">
        <w:rPr>
          <w:rFonts w:ascii="微軟正黑體" w:eastAsia="微軟正黑體" w:hAnsi="微軟正黑體" w:hint="eastAsia"/>
          <w:color w:val="000000" w:themeColor="text1"/>
        </w:rPr>
        <w:t>，但是到領取老年給付條件滿足</w:t>
      </w:r>
      <w:r>
        <w:rPr>
          <w:rFonts w:ascii="微軟正黑體" w:eastAsia="微軟正黑體" w:hAnsi="微軟正黑體" w:hint="eastAsia"/>
          <w:color w:val="000000" w:themeColor="text1"/>
        </w:rPr>
        <w:t>之</w:t>
      </w:r>
      <w:r w:rsidRPr="0051173B">
        <w:rPr>
          <w:rFonts w:ascii="微軟正黑體" w:eastAsia="微軟正黑體" w:hAnsi="微軟正黑體" w:hint="eastAsia"/>
          <w:color w:val="000000" w:themeColor="text1"/>
        </w:rPr>
        <w:t>時，</w:t>
      </w:r>
      <w:r>
        <w:rPr>
          <w:rFonts w:ascii="微軟正黑體" w:eastAsia="微軟正黑體" w:hAnsi="微軟正黑體" w:hint="eastAsia"/>
          <w:color w:val="000000" w:themeColor="text1"/>
        </w:rPr>
        <w:t>卻變成超過五成五</w:t>
      </w:r>
      <w:r w:rsidRPr="0051173B">
        <w:rPr>
          <w:rFonts w:ascii="微軟正黑體" w:eastAsia="微軟正黑體" w:hAnsi="微軟正黑體" w:hint="eastAsia"/>
          <w:color w:val="000000" w:themeColor="text1"/>
        </w:rPr>
        <w:t>以職業工會身份領取(孫友聯 2020)，目前的投保薪資也</w:t>
      </w:r>
      <w:r>
        <w:rPr>
          <w:rFonts w:ascii="微軟正黑體" w:eastAsia="微軟正黑體" w:hAnsi="微軟正黑體" w:hint="eastAsia"/>
          <w:color w:val="000000" w:themeColor="text1"/>
        </w:rPr>
        <w:t>已</w:t>
      </w:r>
      <w:r w:rsidRPr="0051173B">
        <w:rPr>
          <w:rFonts w:ascii="微軟正黑體" w:eastAsia="微軟正黑體" w:hAnsi="微軟正黑體" w:hint="eastAsia"/>
          <w:color w:val="000000" w:themeColor="text1"/>
        </w:rPr>
        <w:t>出現兩極化的失衡狀況，加速惡化目前的勞保財務，也對於年輕世代形成不均等負擔，挑戰合理的世代契約，影響年輕人加保意願。</w:t>
      </w:r>
    </w:p>
    <w:p w:rsidR="00F152C0" w:rsidRPr="008B7A12" w:rsidRDefault="00F152C0" w:rsidP="00F152C0">
      <w:pPr>
        <w:spacing w:before="100" w:beforeAutospacing="1" w:after="100" w:afterAutospacing="1" w:line="360" w:lineRule="auto"/>
        <w:jc w:val="both"/>
      </w:pPr>
      <w:r w:rsidRPr="008B7A12">
        <w:rPr>
          <w:noProof/>
        </w:rPr>
        <w:drawing>
          <wp:anchor distT="0" distB="0" distL="114300" distR="114300" simplePos="0" relativeHeight="252506112" behindDoc="0" locked="0" layoutInCell="1" allowOverlap="1" wp14:anchorId="0ABFAE90" wp14:editId="76987671">
            <wp:simplePos x="0" y="0"/>
            <wp:positionH relativeFrom="column">
              <wp:posOffset>134620</wp:posOffset>
            </wp:positionH>
            <wp:positionV relativeFrom="paragraph">
              <wp:posOffset>185420</wp:posOffset>
            </wp:positionV>
            <wp:extent cx="5278120" cy="2724150"/>
            <wp:effectExtent l="0" t="0" r="17780" b="19050"/>
            <wp:wrapNone/>
            <wp:docPr id="21542" name="圖表 215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6FF5A6-F687-4EBE-A799-EF2973553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14:sizeRelH relativeFrom="page">
              <wp14:pctWidth>0</wp14:pctWidth>
            </wp14:sizeRelH>
            <wp14:sizeRelV relativeFrom="page">
              <wp14:pctHeight>0</wp14:pctHeight>
            </wp14:sizeRelV>
          </wp:anchor>
        </w:drawing>
      </w: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Default="00F152C0" w:rsidP="00F152C0">
      <w:pPr>
        <w:spacing w:line="240" w:lineRule="exact"/>
        <w:ind w:leftChars="-1" w:left="998" w:hangingChars="500" w:hanging="1000"/>
        <w:contextualSpacing/>
        <w:rPr>
          <w:rFonts w:ascii="微軟正黑體" w:eastAsia="微軟正黑體" w:hAnsi="微軟正黑體"/>
          <w:sz w:val="20"/>
          <w:szCs w:val="20"/>
        </w:rPr>
      </w:pPr>
    </w:p>
    <w:p w:rsidR="00F152C0" w:rsidRPr="001B1387" w:rsidRDefault="00F152C0" w:rsidP="00F152C0">
      <w:pPr>
        <w:spacing w:line="240" w:lineRule="exact"/>
        <w:ind w:leftChars="-1" w:left="998" w:hangingChars="500" w:hanging="1000"/>
        <w:contextualSpacing/>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1B1387">
        <w:rPr>
          <w:rFonts w:ascii="微軟正黑體" w:eastAsia="微軟正黑體" w:hAnsi="微軟正黑體" w:hint="eastAsia"/>
          <w:sz w:val="20"/>
          <w:szCs w:val="20"/>
        </w:rPr>
        <w:t>資料來源：2021年7月勞工保險統計月報。</w:t>
      </w:r>
    </w:p>
    <w:p w:rsidR="00F152C0" w:rsidRDefault="00F152C0" w:rsidP="00F152C0">
      <w:pPr>
        <w:pStyle w:val="af8"/>
        <w:spacing w:beforeLines="50" w:before="180" w:line="400" w:lineRule="exact"/>
        <w:contextualSpacing/>
        <w:jc w:val="center"/>
        <w:rPr>
          <w:rFonts w:ascii="微軟正黑體" w:eastAsia="微軟正黑體" w:hAnsi="微軟正黑體"/>
          <w:sz w:val="24"/>
          <w:szCs w:val="24"/>
        </w:rPr>
      </w:pPr>
      <w:r w:rsidRPr="001B1387">
        <w:rPr>
          <w:rFonts w:ascii="微軟正黑體" w:eastAsia="微軟正黑體" w:hAnsi="微軟正黑體" w:hint="eastAsia"/>
          <w:sz w:val="24"/>
          <w:szCs w:val="24"/>
        </w:rPr>
        <w:t>圖11</w:t>
      </w:r>
      <w:r>
        <w:rPr>
          <w:rFonts w:ascii="微軟正黑體" w:eastAsia="微軟正黑體" w:hAnsi="微軟正黑體" w:hint="eastAsia"/>
          <w:sz w:val="24"/>
          <w:szCs w:val="24"/>
        </w:rPr>
        <w:t xml:space="preserve"> </w:t>
      </w:r>
      <w:r w:rsidRPr="001B1387">
        <w:rPr>
          <w:rFonts w:ascii="微軟正黑體" w:eastAsia="微軟正黑體" w:hAnsi="微軟正黑體"/>
          <w:sz w:val="24"/>
          <w:szCs w:val="24"/>
        </w:rPr>
        <w:t xml:space="preserve"> </w:t>
      </w:r>
      <w:r w:rsidRPr="001B1387">
        <w:rPr>
          <w:rFonts w:ascii="微軟正黑體" w:eastAsia="微軟正黑體" w:hAnsi="微軟正黑體" w:hint="eastAsia"/>
          <w:sz w:val="24"/>
          <w:szCs w:val="24"/>
        </w:rPr>
        <w:t>勞工保險投保薪資按年齡層分</w:t>
      </w:r>
    </w:p>
    <w:p w:rsidR="00F152C0" w:rsidRPr="001B1387" w:rsidRDefault="00F152C0" w:rsidP="00F152C0">
      <w:pPr>
        <w:spacing w:line="400" w:lineRule="exact"/>
        <w:ind w:firstLine="482"/>
        <w:jc w:val="both"/>
        <w:rPr>
          <w:rFonts w:ascii="微軟正黑體" w:eastAsia="微軟正黑體" w:hAnsi="微軟正黑體"/>
        </w:rPr>
      </w:pPr>
      <w:r w:rsidRPr="001B1387">
        <w:rPr>
          <w:rFonts w:ascii="微軟正黑體" w:eastAsia="微軟正黑體" w:hAnsi="微軟正黑體" w:hint="eastAsia"/>
        </w:rPr>
        <w:lastRenderedPageBreak/>
        <w:t>台灣的勞工保險</w:t>
      </w:r>
      <w:r w:rsidRPr="0051173B">
        <w:rPr>
          <w:rFonts w:ascii="微軟正黑體" w:eastAsia="微軟正黑體" w:hAnsi="微軟正黑體" w:hint="eastAsia"/>
          <w:color w:val="000000" w:themeColor="text1"/>
        </w:rPr>
        <w:t>2021年有</w:t>
      </w:r>
      <w:r w:rsidRPr="001B1387">
        <w:rPr>
          <w:rFonts w:ascii="微軟正黑體" w:eastAsia="微軟正黑體" w:hAnsi="微軟正黑體" w:hint="eastAsia"/>
        </w:rPr>
        <w:t>超過1</w:t>
      </w:r>
      <w:r w:rsidRPr="001B1387">
        <w:rPr>
          <w:rFonts w:ascii="微軟正黑體" w:eastAsia="微軟正黑體" w:hAnsi="微軟正黑體"/>
        </w:rPr>
        <w:t>,</w:t>
      </w:r>
      <w:r w:rsidRPr="001B1387">
        <w:rPr>
          <w:rFonts w:ascii="微軟正黑體" w:eastAsia="微軟正黑體" w:hAnsi="微軟正黑體" w:hint="eastAsia"/>
        </w:rPr>
        <w:t>058萬加保人數，是我國勞動者老年給付的主要來源之一，但是自從2017年起勞工保險已呈現入不敷出的窘境，累計自2020年超支的額度已超過1</w:t>
      </w:r>
      <w:r w:rsidRPr="001B1387">
        <w:rPr>
          <w:rFonts w:ascii="微軟正黑體" w:eastAsia="微軟正黑體" w:hAnsi="微軟正黑體"/>
        </w:rPr>
        <w:t>,</w:t>
      </w:r>
      <w:r w:rsidRPr="001B1387">
        <w:rPr>
          <w:rFonts w:ascii="微軟正黑體" w:eastAsia="微軟正黑體" w:hAnsi="微軟正黑體" w:hint="eastAsia"/>
        </w:rPr>
        <w:t>000億元，</w:t>
      </w:r>
      <w:r w:rsidRPr="00747D7C">
        <w:rPr>
          <w:rFonts w:ascii="微軟正黑體" w:eastAsia="微軟正黑體" w:hAnsi="微軟正黑體" w:hint="eastAsia"/>
        </w:rPr>
        <w:t>雖然政府從2020年開始撥補200億元，2</w:t>
      </w:r>
      <w:r w:rsidRPr="00747D7C">
        <w:rPr>
          <w:rFonts w:ascii="微軟正黑體" w:eastAsia="微軟正黑體" w:hAnsi="微軟正黑體"/>
        </w:rPr>
        <w:t>021</w:t>
      </w:r>
      <w:r w:rsidRPr="00747D7C">
        <w:rPr>
          <w:rFonts w:ascii="微軟正黑體" w:eastAsia="微軟正黑體" w:hAnsi="微軟正黑體" w:hint="eastAsia"/>
        </w:rPr>
        <w:t>年撥補2</w:t>
      </w:r>
      <w:r w:rsidRPr="00747D7C">
        <w:rPr>
          <w:rFonts w:ascii="微軟正黑體" w:eastAsia="微軟正黑體" w:hAnsi="微軟正黑體"/>
        </w:rPr>
        <w:t>20</w:t>
      </w:r>
      <w:r w:rsidRPr="00747D7C">
        <w:rPr>
          <w:rFonts w:ascii="微軟正黑體" w:eastAsia="微軟正黑體" w:hAnsi="微軟正黑體" w:hint="eastAsia"/>
        </w:rPr>
        <w:t>億元，</w:t>
      </w:r>
      <w:r w:rsidRPr="007A5796">
        <w:rPr>
          <w:rFonts w:ascii="微軟正黑體" w:eastAsia="微軟正黑體" w:hAnsi="微軟正黑體" w:hint="eastAsia"/>
        </w:rPr>
        <w:t>在2</w:t>
      </w:r>
      <w:r w:rsidRPr="007A5796">
        <w:rPr>
          <w:rFonts w:ascii="微軟正黑體" w:eastAsia="微軟正黑體" w:hAnsi="微軟正黑體"/>
        </w:rPr>
        <w:t>022</w:t>
      </w:r>
      <w:r w:rsidRPr="007A5796">
        <w:rPr>
          <w:rFonts w:ascii="微軟正黑體" w:eastAsia="微軟正黑體" w:hAnsi="微軟正黑體" w:hint="eastAsia"/>
        </w:rPr>
        <w:t>年將撥補3</w:t>
      </w:r>
      <w:r w:rsidRPr="007A5796">
        <w:rPr>
          <w:rFonts w:ascii="微軟正黑體" w:eastAsia="微軟正黑體" w:hAnsi="微軟正黑體"/>
        </w:rPr>
        <w:t>00</w:t>
      </w:r>
      <w:r w:rsidRPr="007A5796">
        <w:rPr>
          <w:rFonts w:ascii="微軟正黑體" w:eastAsia="微軟正黑體" w:hAnsi="微軟正黑體" w:hint="eastAsia"/>
        </w:rPr>
        <w:t>億元，</w:t>
      </w:r>
      <w:r w:rsidRPr="00747D7C">
        <w:rPr>
          <w:rFonts w:ascii="微軟正黑體" w:eastAsia="微軟正黑體" w:hAnsi="微軟正黑體" w:hint="eastAsia"/>
        </w:rPr>
        <w:t>但如</w:t>
      </w:r>
      <w:r w:rsidRPr="001B1387">
        <w:rPr>
          <w:rFonts w:ascii="微軟正黑體" w:eastAsia="微軟正黑體" w:hAnsi="微軟正黑體" w:hint="eastAsia"/>
        </w:rPr>
        <w:t>果沒有結構性的改革勞工保險，僅是一味的訴求「繳多、領少與延後退休」恐怕無法根本解決問題，我們國家當時在通過勞保年金化的2008年，將年資給付率從原來行政院2003年第一版的1</w:t>
      </w:r>
      <w:r w:rsidRPr="001B1387">
        <w:rPr>
          <w:rFonts w:ascii="微軟正黑體" w:eastAsia="微軟正黑體" w:hAnsi="微軟正黑體"/>
        </w:rPr>
        <w:t>%</w:t>
      </w:r>
      <w:r w:rsidRPr="001B1387">
        <w:rPr>
          <w:rFonts w:ascii="微軟正黑體" w:eastAsia="微軟正黑體" w:hAnsi="微軟正黑體" w:hint="eastAsia"/>
        </w:rPr>
        <w:t>，提高到第三版的1</w:t>
      </w:r>
      <w:r w:rsidRPr="001B1387">
        <w:rPr>
          <w:rFonts w:ascii="微軟正黑體" w:eastAsia="微軟正黑體" w:hAnsi="微軟正黑體"/>
        </w:rPr>
        <w:t>.</w:t>
      </w:r>
      <w:r w:rsidRPr="001B1387">
        <w:rPr>
          <w:rFonts w:ascii="微軟正黑體" w:eastAsia="微軟正黑體" w:hAnsi="微軟正黑體" w:hint="eastAsia"/>
        </w:rPr>
        <w:t>3</w:t>
      </w:r>
      <w:r w:rsidRPr="001B1387">
        <w:rPr>
          <w:rFonts w:ascii="微軟正黑體" w:eastAsia="微軟正黑體" w:hAnsi="微軟正黑體"/>
        </w:rPr>
        <w:t>%</w:t>
      </w:r>
      <w:r w:rsidRPr="001B1387">
        <w:rPr>
          <w:rFonts w:ascii="微軟正黑體" w:eastAsia="微軟正黑體" w:hAnsi="微軟正黑體" w:hint="eastAsia"/>
        </w:rPr>
        <w:t>，最後在立法院2008年7月三讀通過加碼至1</w:t>
      </w:r>
      <w:r w:rsidRPr="001B1387">
        <w:rPr>
          <w:rFonts w:ascii="微軟正黑體" w:eastAsia="微軟正黑體" w:hAnsi="微軟正黑體"/>
        </w:rPr>
        <w:t>.</w:t>
      </w:r>
      <w:r w:rsidRPr="001B1387">
        <w:rPr>
          <w:rFonts w:ascii="微軟正黑體" w:eastAsia="微軟正黑體" w:hAnsi="微軟正黑體" w:hint="eastAsia"/>
        </w:rPr>
        <w:t>55</w:t>
      </w:r>
      <w:r w:rsidRPr="001B1387">
        <w:rPr>
          <w:rFonts w:ascii="微軟正黑體" w:eastAsia="微軟正黑體" w:hAnsi="微軟正黑體"/>
        </w:rPr>
        <w:t>%</w:t>
      </w:r>
      <w:r w:rsidRPr="001B1387">
        <w:rPr>
          <w:rFonts w:ascii="微軟正黑體" w:eastAsia="微軟正黑體" w:hAnsi="微軟正黑體" w:hint="eastAsia"/>
        </w:rPr>
        <w:t>，但勞工保險年資給付率在日本僅為0</w:t>
      </w:r>
      <w:r w:rsidRPr="001B1387">
        <w:rPr>
          <w:rFonts w:ascii="微軟正黑體" w:eastAsia="微軟正黑體" w:hAnsi="微軟正黑體"/>
        </w:rPr>
        <w:t>.</w:t>
      </w:r>
      <w:r w:rsidRPr="001B1387">
        <w:rPr>
          <w:rFonts w:ascii="微軟正黑體" w:eastAsia="微軟正黑體" w:hAnsi="微軟正黑體" w:hint="eastAsia"/>
        </w:rPr>
        <w:t>55</w:t>
      </w:r>
      <w:r w:rsidRPr="001B1387">
        <w:rPr>
          <w:rFonts w:ascii="微軟正黑體" w:eastAsia="微軟正黑體" w:hAnsi="微軟正黑體"/>
        </w:rPr>
        <w:t>%</w:t>
      </w:r>
      <w:r w:rsidRPr="001B1387">
        <w:rPr>
          <w:rFonts w:ascii="微軟正黑體" w:eastAsia="微軟正黑體" w:hAnsi="微軟正黑體" w:hint="eastAsia"/>
        </w:rPr>
        <w:t>、韓國為0</w:t>
      </w:r>
      <w:r w:rsidRPr="001B1387">
        <w:rPr>
          <w:rFonts w:ascii="微軟正黑體" w:eastAsia="微軟正黑體" w:hAnsi="微軟正黑體"/>
        </w:rPr>
        <w:t>.</w:t>
      </w:r>
      <w:r w:rsidRPr="001B1387">
        <w:rPr>
          <w:rFonts w:ascii="微軟正黑體" w:eastAsia="微軟正黑體" w:hAnsi="微軟正黑體" w:hint="eastAsia"/>
        </w:rPr>
        <w:t>87</w:t>
      </w:r>
      <w:r w:rsidRPr="001B1387">
        <w:rPr>
          <w:rFonts w:ascii="微軟正黑體" w:eastAsia="微軟正黑體" w:hAnsi="微軟正黑體"/>
        </w:rPr>
        <w:t>%</w:t>
      </w:r>
      <w:r w:rsidRPr="001B1387">
        <w:rPr>
          <w:rFonts w:ascii="微軟正黑體" w:eastAsia="微軟正黑體" w:hAnsi="微軟正黑體" w:hint="eastAsia"/>
        </w:rPr>
        <w:t>、美國為0</w:t>
      </w:r>
      <w:r w:rsidRPr="001B1387">
        <w:rPr>
          <w:rFonts w:ascii="微軟正黑體" w:eastAsia="微軟正黑體" w:hAnsi="微軟正黑體"/>
        </w:rPr>
        <w:t>.</w:t>
      </w:r>
      <w:r w:rsidRPr="001B1387">
        <w:rPr>
          <w:rFonts w:ascii="微軟正黑體" w:eastAsia="微軟正黑體" w:hAnsi="微軟正黑體" w:hint="eastAsia"/>
        </w:rPr>
        <w:t>75</w:t>
      </w:r>
      <w:r w:rsidRPr="001B1387">
        <w:rPr>
          <w:rFonts w:ascii="微軟正黑體" w:eastAsia="微軟正黑體" w:hAnsi="微軟正黑體"/>
        </w:rPr>
        <w:t>%</w:t>
      </w:r>
      <w:r w:rsidRPr="001B1387">
        <w:rPr>
          <w:rFonts w:ascii="微軟正黑體" w:eastAsia="微軟正黑體" w:hAnsi="微軟正黑體" w:hint="eastAsia"/>
        </w:rPr>
        <w:t>、德國為0</w:t>
      </w:r>
      <w:r w:rsidRPr="001B1387">
        <w:rPr>
          <w:rFonts w:ascii="微軟正黑體" w:eastAsia="微軟正黑體" w:hAnsi="微軟正黑體"/>
        </w:rPr>
        <w:t>.</w:t>
      </w:r>
      <w:r w:rsidRPr="001B1387">
        <w:rPr>
          <w:rFonts w:ascii="微軟正黑體" w:eastAsia="微軟正黑體" w:hAnsi="微軟正黑體" w:hint="eastAsia"/>
        </w:rPr>
        <w:t>97</w:t>
      </w:r>
      <w:r w:rsidRPr="001B1387">
        <w:rPr>
          <w:rFonts w:ascii="微軟正黑體" w:eastAsia="微軟正黑體" w:hAnsi="微軟正黑體"/>
        </w:rPr>
        <w:t>%</w:t>
      </w:r>
      <w:r>
        <w:rPr>
          <w:rFonts w:ascii="微軟正黑體" w:eastAsia="微軟正黑體" w:hAnsi="微軟正黑體" w:hint="eastAsia"/>
        </w:rPr>
        <w:t>(</w:t>
      </w:r>
      <w:r w:rsidRPr="001B1387">
        <w:rPr>
          <w:rFonts w:ascii="微軟正黑體" w:eastAsia="微軟正黑體" w:hAnsi="微軟正黑體" w:hint="eastAsia"/>
        </w:rPr>
        <w:t>孫友聯 2020</w:t>
      </w:r>
      <w:r>
        <w:rPr>
          <w:rFonts w:ascii="微軟正黑體" w:eastAsia="微軟正黑體" w:hAnsi="微軟正黑體" w:hint="eastAsia"/>
        </w:rPr>
        <w:t>)</w:t>
      </w:r>
      <w:r w:rsidRPr="001B1387">
        <w:rPr>
          <w:rFonts w:ascii="微軟正黑體" w:eastAsia="微軟正黑體" w:hAnsi="微軟正黑體" w:hint="eastAsia"/>
        </w:rPr>
        <w:t>，十多年前在立法院的不當放寬，造就了目前快速惡化的勞保財務。另外我國勞保老年給付採計薪資為最高</w:t>
      </w:r>
      <w:r w:rsidRPr="00227390">
        <w:rPr>
          <w:rFonts w:ascii="微軟正黑體" w:eastAsia="微軟正黑體" w:hAnsi="微軟正黑體" w:hint="eastAsia"/>
        </w:rPr>
        <w:t>六十</w:t>
      </w:r>
      <w:r w:rsidRPr="001B1387">
        <w:rPr>
          <w:rFonts w:ascii="微軟正黑體" w:eastAsia="微軟正黑體" w:hAnsi="微軟正黑體" w:hint="eastAsia"/>
        </w:rPr>
        <w:t>個月，與世界各國所採取的合理計算方式</w:t>
      </w:r>
      <w:r>
        <w:rPr>
          <w:rFonts w:ascii="微軟正黑體" w:eastAsia="微軟正黑體" w:hAnsi="微軟正黑體" w:hint="eastAsia"/>
        </w:rPr>
        <w:t>(如採取平均</w:t>
      </w:r>
      <w:r w:rsidRPr="00227390">
        <w:rPr>
          <w:rFonts w:ascii="微軟正黑體" w:eastAsia="微軟正黑體" w:hAnsi="微軟正黑體" w:hint="eastAsia"/>
        </w:rPr>
        <w:t>十</w:t>
      </w:r>
      <w:r>
        <w:rPr>
          <w:rFonts w:ascii="微軟正黑體" w:eastAsia="微軟正黑體" w:hAnsi="微軟正黑體" w:hint="eastAsia"/>
        </w:rPr>
        <w:t>年、</w:t>
      </w:r>
      <w:r w:rsidRPr="00227390">
        <w:rPr>
          <w:rFonts w:ascii="微軟正黑體" w:eastAsia="微軟正黑體" w:hAnsi="微軟正黑體" w:hint="eastAsia"/>
        </w:rPr>
        <w:t>十五</w:t>
      </w:r>
      <w:r>
        <w:rPr>
          <w:rFonts w:ascii="微軟正黑體" w:eastAsia="微軟正黑體" w:hAnsi="微軟正黑體" w:hint="eastAsia"/>
        </w:rPr>
        <w:t>年、甚至是終身平均所得)</w:t>
      </w:r>
      <w:r w:rsidRPr="001B1387">
        <w:rPr>
          <w:rFonts w:ascii="微軟正黑體" w:eastAsia="微軟正黑體" w:hAnsi="微軟正黑體" w:hint="eastAsia"/>
        </w:rPr>
        <w:t>也有所偏離，制度未能合理建構，導致民眾從職業工會加保拉高最後投保薪資，也形成了我國受雇勞工身份</w:t>
      </w:r>
      <w:r>
        <w:rPr>
          <w:rFonts w:ascii="微軟正黑體" w:eastAsia="微軟正黑體" w:hAnsi="微軟正黑體" w:hint="eastAsia"/>
        </w:rPr>
        <w:t>占</w:t>
      </w:r>
      <w:r w:rsidRPr="001B1387">
        <w:rPr>
          <w:rFonts w:ascii="微軟正黑體" w:eastAsia="微軟正黑體" w:hAnsi="微軟正黑體" w:hint="eastAsia"/>
        </w:rPr>
        <w:t>勞保投保人數比重為74</w:t>
      </w:r>
      <w:r w:rsidRPr="001B1387">
        <w:rPr>
          <w:rFonts w:ascii="微軟正黑體" w:eastAsia="微軟正黑體" w:hAnsi="微軟正黑體"/>
        </w:rPr>
        <w:t>%</w:t>
      </w:r>
      <w:r w:rsidRPr="001B1387">
        <w:rPr>
          <w:rFonts w:ascii="微軟正黑體" w:eastAsia="微軟正黑體" w:hAnsi="微軟正黑體" w:hint="eastAsia"/>
        </w:rPr>
        <w:t>，但是最後領取勞保老年給付人數，受雇勞工身份僅剩下39</w:t>
      </w:r>
      <w:r w:rsidRPr="001B1387">
        <w:rPr>
          <w:rFonts w:ascii="微軟正黑體" w:eastAsia="微軟正黑體" w:hAnsi="微軟正黑體"/>
        </w:rPr>
        <w:t>%</w:t>
      </w:r>
      <w:r w:rsidRPr="001462B8">
        <w:rPr>
          <w:rFonts w:ascii="微軟正黑體" w:eastAsia="微軟正黑體" w:hAnsi="微軟正黑體" w:hint="eastAsia"/>
        </w:rPr>
        <w:t>；</w:t>
      </w:r>
      <w:r w:rsidRPr="001B1387">
        <w:rPr>
          <w:rFonts w:ascii="微軟正黑體" w:eastAsia="微軟正黑體" w:hAnsi="微軟正黑體" w:hint="eastAsia"/>
        </w:rPr>
        <w:t>我國職業工會加保身份者平均為20</w:t>
      </w:r>
      <w:r w:rsidRPr="001B1387">
        <w:rPr>
          <w:rFonts w:ascii="微軟正黑體" w:eastAsia="微軟正黑體" w:hAnsi="微軟正黑體"/>
        </w:rPr>
        <w:t>%</w:t>
      </w:r>
      <w:r w:rsidRPr="001B1387">
        <w:rPr>
          <w:rFonts w:ascii="微軟正黑體" w:eastAsia="微軟正黑體" w:hAnsi="微軟正黑體" w:hint="eastAsia"/>
        </w:rPr>
        <w:t>，平均加保金額為28</w:t>
      </w:r>
      <w:r w:rsidRPr="001B1387">
        <w:rPr>
          <w:rFonts w:ascii="微軟正黑體" w:eastAsia="微軟正黑體" w:hAnsi="微軟正黑體"/>
        </w:rPr>
        <w:t>,</w:t>
      </w:r>
      <w:r w:rsidRPr="001B1387">
        <w:rPr>
          <w:rFonts w:ascii="微軟正黑體" w:eastAsia="微軟正黑體" w:hAnsi="微軟正黑體" w:hint="eastAsia"/>
        </w:rPr>
        <w:t>000元，但是到了接近領取老年給付人數比重卻大幅上升為55</w:t>
      </w:r>
      <w:r w:rsidRPr="001B1387">
        <w:rPr>
          <w:rFonts w:ascii="微軟正黑體" w:eastAsia="微軟正黑體" w:hAnsi="微軟正黑體"/>
        </w:rPr>
        <w:t>%</w:t>
      </w:r>
      <w:r w:rsidRPr="001B1387">
        <w:rPr>
          <w:rFonts w:ascii="微軟正黑體" w:eastAsia="微軟正黑體" w:hAnsi="微軟正黑體" w:hint="eastAsia"/>
        </w:rPr>
        <w:t>，平均領取金額也大幅上升。這些制度面的不合理設計，因而導致民眾扭曲的投保行為，也可能同時反映出我國銀髮及高齡受雇就業困難，也導致勞保加保之集體利益受損，甚至衝擊年輕人加入勞工保險意願，這些都是必須要因應的問題。</w:t>
      </w:r>
    </w:p>
    <w:p w:rsidR="00F152C0" w:rsidRDefault="00F152C0" w:rsidP="00F152C0">
      <w:pPr>
        <w:spacing w:beforeLines="30" w:before="108" w:line="400" w:lineRule="exact"/>
        <w:ind w:firstLine="482"/>
        <w:jc w:val="both"/>
        <w:rPr>
          <w:rFonts w:ascii="微軟正黑體" w:eastAsia="微軟正黑體" w:hAnsi="微軟正黑體"/>
        </w:rPr>
      </w:pPr>
      <w:r w:rsidRPr="001B1387">
        <w:rPr>
          <w:rFonts w:ascii="微軟正黑體" w:eastAsia="微軟正黑體" w:hAnsi="微軟正黑體" w:hint="eastAsia"/>
        </w:rPr>
        <w:t>台灣的年金改革問題，世界其他各國經歷人口老化也都必須面對，經濟合作發展組織(OECD</w:t>
      </w:r>
      <w:r w:rsidRPr="001B1387">
        <w:rPr>
          <w:rFonts w:ascii="微軟正黑體" w:eastAsia="微軟正黑體" w:hAnsi="微軟正黑體"/>
        </w:rPr>
        <w:t>)</w:t>
      </w:r>
      <w:r w:rsidRPr="001B1387">
        <w:rPr>
          <w:rFonts w:ascii="微軟正黑體" w:eastAsia="微軟正黑體" w:hAnsi="微軟正黑體" w:hint="eastAsia"/>
        </w:rPr>
        <w:t>在2001年就業、勞動與社會事務委員會(Employment</w:t>
      </w:r>
      <w:r w:rsidRPr="001B1387">
        <w:rPr>
          <w:rFonts w:ascii="微軟正黑體" w:eastAsia="微軟正黑體" w:hAnsi="微軟正黑體"/>
        </w:rPr>
        <w:t xml:space="preserve">, </w:t>
      </w:r>
      <w:r w:rsidRPr="001B1387">
        <w:rPr>
          <w:rFonts w:ascii="微軟正黑體" w:eastAsia="微軟正黑體" w:hAnsi="微軟正黑體" w:hint="eastAsia"/>
        </w:rPr>
        <w:t>Labor</w:t>
      </w:r>
      <w:r w:rsidRPr="001B1387">
        <w:rPr>
          <w:rFonts w:ascii="微軟正黑體" w:eastAsia="微軟正黑體" w:hAnsi="微軟正黑體"/>
        </w:rPr>
        <w:t xml:space="preserve"> </w:t>
      </w:r>
      <w:r w:rsidRPr="001B1387">
        <w:rPr>
          <w:rFonts w:ascii="微軟正黑體" w:eastAsia="微軟正黑體" w:hAnsi="微軟正黑體" w:hint="eastAsia"/>
        </w:rPr>
        <w:t>and</w:t>
      </w:r>
      <w:r w:rsidRPr="001B1387">
        <w:rPr>
          <w:rFonts w:ascii="微軟正黑體" w:eastAsia="微軟正黑體" w:hAnsi="微軟正黑體"/>
        </w:rPr>
        <w:t xml:space="preserve"> </w:t>
      </w:r>
      <w:r w:rsidRPr="001B1387">
        <w:rPr>
          <w:rFonts w:ascii="微軟正黑體" w:eastAsia="微軟正黑體" w:hAnsi="微軟正黑體" w:hint="eastAsia"/>
        </w:rPr>
        <w:t>Social</w:t>
      </w:r>
      <w:r w:rsidRPr="001B1387">
        <w:rPr>
          <w:rFonts w:ascii="微軟正黑體" w:eastAsia="微軟正黑體" w:hAnsi="微軟正黑體"/>
        </w:rPr>
        <w:t xml:space="preserve"> </w:t>
      </w:r>
      <w:r w:rsidRPr="001B1387">
        <w:rPr>
          <w:rFonts w:ascii="微軟正黑體" w:eastAsia="微軟正黑體" w:hAnsi="微軟正黑體" w:hint="eastAsia"/>
        </w:rPr>
        <w:t>Affairs</w:t>
      </w:r>
      <w:r w:rsidRPr="001B1387">
        <w:rPr>
          <w:rFonts w:ascii="微軟正黑體" w:eastAsia="微軟正黑體" w:hAnsi="微軟正黑體"/>
        </w:rPr>
        <w:t xml:space="preserve">, </w:t>
      </w:r>
      <w:r w:rsidRPr="001B1387">
        <w:rPr>
          <w:rFonts w:ascii="微軟正黑體" w:eastAsia="微軟正黑體" w:hAnsi="微軟正黑體" w:hint="eastAsia"/>
        </w:rPr>
        <w:t>ELSA</w:t>
      </w:r>
      <w:r w:rsidRPr="001B1387">
        <w:rPr>
          <w:rFonts w:ascii="微軟正黑體" w:eastAsia="微軟正黑體" w:hAnsi="微軟正黑體"/>
        </w:rPr>
        <w:t>)</w:t>
      </w:r>
      <w:r w:rsidRPr="001B1387">
        <w:rPr>
          <w:rFonts w:ascii="微軟正黑體" w:eastAsia="微軟正黑體" w:hAnsi="微軟正黑體" w:hint="eastAsia"/>
        </w:rPr>
        <w:t>即展開各會員國對人口老化與就業政策問題的因應，進而出版Ageing</w:t>
      </w:r>
      <w:r w:rsidRPr="001B1387">
        <w:rPr>
          <w:rFonts w:ascii="微軟正黑體" w:eastAsia="微軟正黑體" w:hAnsi="微軟正黑體"/>
        </w:rPr>
        <w:t xml:space="preserve"> </w:t>
      </w:r>
      <w:r w:rsidRPr="001B1387">
        <w:rPr>
          <w:rFonts w:ascii="微軟正黑體" w:eastAsia="微軟正黑體" w:hAnsi="微軟正黑體" w:hint="eastAsia"/>
        </w:rPr>
        <w:t>and</w:t>
      </w:r>
      <w:r w:rsidRPr="001B1387">
        <w:rPr>
          <w:rFonts w:ascii="微軟正黑體" w:eastAsia="微軟正黑體" w:hAnsi="微軟正黑體"/>
        </w:rPr>
        <w:t xml:space="preserve"> </w:t>
      </w:r>
      <w:r w:rsidRPr="001B1387">
        <w:rPr>
          <w:rFonts w:ascii="微軟正黑體" w:eastAsia="微軟正黑體" w:hAnsi="微軟正黑體" w:hint="eastAsia"/>
        </w:rPr>
        <w:t>Employment</w:t>
      </w:r>
      <w:r w:rsidRPr="001B1387">
        <w:rPr>
          <w:rFonts w:ascii="微軟正黑體" w:eastAsia="微軟正黑體" w:hAnsi="微軟正黑體"/>
        </w:rPr>
        <w:t xml:space="preserve"> </w:t>
      </w:r>
      <w:r w:rsidRPr="001B1387">
        <w:rPr>
          <w:rFonts w:ascii="微軟正黑體" w:eastAsia="微軟正黑體" w:hAnsi="微軟正黑體" w:hint="eastAsia"/>
        </w:rPr>
        <w:t>Policies各國的報告，當時OECD國家50</w:t>
      </w:r>
      <w:r w:rsidRPr="001B1387">
        <w:rPr>
          <w:rFonts w:ascii="微軟正黑體" w:eastAsia="微軟正黑體" w:hAnsi="微軟正黑體"/>
        </w:rPr>
        <w:t>-</w:t>
      </w:r>
      <w:r w:rsidRPr="001B1387">
        <w:rPr>
          <w:rFonts w:ascii="微軟正黑體" w:eastAsia="微軟正黑體" w:hAnsi="微軟正黑體" w:hint="eastAsia"/>
        </w:rPr>
        <w:t>64歲就業率平均不到六成(台灣目前低於四成)，但相對25</w:t>
      </w:r>
      <w:r w:rsidRPr="001B1387">
        <w:rPr>
          <w:rFonts w:ascii="微軟正黑體" w:eastAsia="微軟正黑體" w:hAnsi="微軟正黑體"/>
        </w:rPr>
        <w:t>-</w:t>
      </w:r>
      <w:r w:rsidRPr="001B1387">
        <w:rPr>
          <w:rFonts w:ascii="微軟正黑體" w:eastAsia="微軟正黑體" w:hAnsi="微軟正黑體" w:hint="eastAsia"/>
        </w:rPr>
        <w:t>49歲年齡層就業率高達七成五，因此當時O</w:t>
      </w:r>
      <w:r w:rsidRPr="001B1387">
        <w:rPr>
          <w:rFonts w:ascii="微軟正黑體" w:eastAsia="微軟正黑體" w:hAnsi="微軟正黑體"/>
        </w:rPr>
        <w:t>ECD</w:t>
      </w:r>
      <w:r w:rsidRPr="001B1387">
        <w:rPr>
          <w:rFonts w:ascii="微軟正黑體" w:eastAsia="微軟正黑體" w:hAnsi="微軟正黑體" w:hint="eastAsia"/>
        </w:rPr>
        <w:t>即指出隨著人口老化非勞動力的成長，將可能使得國內生產毛額每年下降1</w:t>
      </w:r>
      <w:r w:rsidRPr="001B1387">
        <w:rPr>
          <w:rFonts w:ascii="微軟正黑體" w:eastAsia="微軟正黑體" w:hAnsi="微軟正黑體"/>
        </w:rPr>
        <w:t>.</w:t>
      </w:r>
      <w:r w:rsidRPr="001B1387">
        <w:rPr>
          <w:rFonts w:ascii="微軟正黑體" w:eastAsia="微軟正黑體" w:hAnsi="微軟正黑體" w:hint="eastAsia"/>
        </w:rPr>
        <w:t>7</w:t>
      </w:r>
      <w:r w:rsidRPr="001B1387">
        <w:rPr>
          <w:rFonts w:ascii="微軟正黑體" w:eastAsia="微軟正黑體" w:hAnsi="微軟正黑體"/>
        </w:rPr>
        <w:t>%</w:t>
      </w:r>
      <w:r w:rsidRPr="001B1387">
        <w:rPr>
          <w:rFonts w:ascii="微軟正黑體" w:eastAsia="微軟正黑體" w:hAnsi="微軟正黑體" w:hint="eastAsia"/>
        </w:rPr>
        <w:t>，低於1970</w:t>
      </w:r>
      <w:r w:rsidRPr="001B1387">
        <w:rPr>
          <w:rFonts w:ascii="微軟正黑體" w:eastAsia="微軟正黑體" w:hAnsi="微軟正黑體"/>
        </w:rPr>
        <w:t>-</w:t>
      </w:r>
      <w:r w:rsidRPr="001B1387">
        <w:rPr>
          <w:rFonts w:ascii="微軟正黑體" w:eastAsia="微軟正黑體" w:hAnsi="微軟正黑體" w:hint="eastAsia"/>
        </w:rPr>
        <w:t>2000年的水準達到30</w:t>
      </w:r>
      <w:r w:rsidRPr="001B1387">
        <w:rPr>
          <w:rFonts w:ascii="微軟正黑體" w:eastAsia="微軟正黑體" w:hAnsi="微軟正黑體"/>
        </w:rPr>
        <w:t>%</w:t>
      </w:r>
      <w:r w:rsidRPr="001B1387">
        <w:rPr>
          <w:rFonts w:ascii="微軟正黑體" w:eastAsia="微軟正黑體" w:hAnsi="微軟正黑體" w:hint="eastAsia"/>
        </w:rPr>
        <w:t>。而公共支出方面，預計有40</w:t>
      </w:r>
      <w:r w:rsidRPr="001B1387">
        <w:rPr>
          <w:rFonts w:ascii="微軟正黑體" w:eastAsia="微軟正黑體" w:hAnsi="微軟正黑體"/>
        </w:rPr>
        <w:t>%-</w:t>
      </w:r>
      <w:r w:rsidRPr="001B1387">
        <w:rPr>
          <w:rFonts w:ascii="微軟正黑體" w:eastAsia="微軟正黑體" w:hAnsi="微軟正黑體" w:hint="eastAsia"/>
        </w:rPr>
        <w:t>60</w:t>
      </w:r>
      <w:r w:rsidRPr="001B1387">
        <w:rPr>
          <w:rFonts w:ascii="微軟正黑體" w:eastAsia="微軟正黑體" w:hAnsi="微軟正黑體"/>
        </w:rPr>
        <w:t>%</w:t>
      </w:r>
      <w:r w:rsidRPr="001B1387">
        <w:rPr>
          <w:rFonts w:ascii="微軟正黑體" w:eastAsia="微軟正黑體" w:hAnsi="微軟正黑體" w:hint="eastAsia"/>
        </w:rPr>
        <w:t>與高齡支出相關。台灣目前的社會保障支出</w:t>
      </w:r>
      <w:r w:rsidRPr="00C77DF5">
        <w:rPr>
          <w:rFonts w:ascii="微軟正黑體" w:eastAsia="微軟正黑體" w:hAnsi="微軟正黑體" w:hint="eastAsia"/>
          <w:color w:val="000000" w:themeColor="text1"/>
        </w:rPr>
        <w:t>，</w:t>
      </w:r>
      <w:r w:rsidRPr="001B1387">
        <w:rPr>
          <w:rFonts w:ascii="微軟正黑體" w:eastAsia="微軟正黑體" w:hAnsi="微軟正黑體" w:hint="eastAsia"/>
        </w:rPr>
        <w:t>高齡相關部分已達到50</w:t>
      </w:r>
      <w:r w:rsidRPr="001B1387">
        <w:rPr>
          <w:rFonts w:ascii="微軟正黑體" w:eastAsia="微軟正黑體" w:hAnsi="微軟正黑體"/>
        </w:rPr>
        <w:t>.</w:t>
      </w:r>
      <w:r w:rsidRPr="001B1387">
        <w:rPr>
          <w:rFonts w:ascii="微軟正黑體" w:eastAsia="微軟正黑體" w:hAnsi="微軟正黑體" w:hint="eastAsia"/>
        </w:rPr>
        <w:t>5</w:t>
      </w:r>
      <w:r w:rsidRPr="001B1387">
        <w:rPr>
          <w:rFonts w:ascii="微軟正黑體" w:eastAsia="微軟正黑體" w:hAnsi="微軟正黑體"/>
        </w:rPr>
        <w:t>%</w:t>
      </w:r>
      <w:r w:rsidRPr="001B1387">
        <w:rPr>
          <w:rFonts w:ascii="微軟正黑體" w:eastAsia="微軟正黑體" w:hAnsi="微軟正黑體" w:hint="eastAsia"/>
        </w:rPr>
        <w:t>、疾病與健康支出為33</w:t>
      </w:r>
      <w:r w:rsidRPr="001B1387">
        <w:rPr>
          <w:rFonts w:ascii="微軟正黑體" w:eastAsia="微軟正黑體" w:hAnsi="微軟正黑體"/>
        </w:rPr>
        <w:t>.</w:t>
      </w:r>
      <w:r w:rsidRPr="001B1387">
        <w:rPr>
          <w:rFonts w:ascii="微軟正黑體" w:eastAsia="微軟正黑體" w:hAnsi="微軟正黑體" w:hint="eastAsia"/>
        </w:rPr>
        <w:t>7</w:t>
      </w:r>
      <w:r w:rsidRPr="001B1387">
        <w:rPr>
          <w:rFonts w:ascii="微軟正黑體" w:eastAsia="微軟正黑體" w:hAnsi="微軟正黑體"/>
        </w:rPr>
        <w:t>%</w:t>
      </w:r>
      <w:r w:rsidRPr="001B1387">
        <w:rPr>
          <w:rFonts w:ascii="微軟正黑體" w:eastAsia="微軟正黑體" w:hAnsi="微軟正黑體" w:hint="eastAsia"/>
        </w:rPr>
        <w:t>、失業僅0</w:t>
      </w:r>
      <w:r w:rsidRPr="001B1387">
        <w:rPr>
          <w:rFonts w:ascii="微軟正黑體" w:eastAsia="微軟正黑體" w:hAnsi="微軟正黑體"/>
        </w:rPr>
        <w:t>.</w:t>
      </w:r>
      <w:r w:rsidRPr="001B1387">
        <w:rPr>
          <w:rFonts w:ascii="微軟正黑體" w:eastAsia="微軟正黑體" w:hAnsi="微軟正黑體" w:hint="eastAsia"/>
        </w:rPr>
        <w:t>8％、住宅也僅有0</w:t>
      </w:r>
      <w:r w:rsidRPr="001B1387">
        <w:rPr>
          <w:rFonts w:ascii="微軟正黑體" w:eastAsia="微軟正黑體" w:hAnsi="微軟正黑體"/>
        </w:rPr>
        <w:t>.</w:t>
      </w:r>
      <w:r w:rsidRPr="001B1387">
        <w:rPr>
          <w:rFonts w:ascii="微軟正黑體" w:eastAsia="微軟正黑體" w:hAnsi="微軟正黑體" w:hint="eastAsia"/>
        </w:rPr>
        <w:t>8</w:t>
      </w:r>
      <w:r w:rsidRPr="001B1387">
        <w:rPr>
          <w:rFonts w:ascii="微軟正黑體" w:eastAsia="微軟正黑體" w:hAnsi="微軟正黑體"/>
        </w:rPr>
        <w:t>%</w:t>
      </w:r>
      <w:r w:rsidRPr="001B1387">
        <w:rPr>
          <w:rFonts w:ascii="微軟正黑體" w:eastAsia="微軟正黑體" w:hAnsi="微軟正黑體" w:hint="eastAsia"/>
        </w:rPr>
        <w:t>。高齡相關給付從2010年的5</w:t>
      </w:r>
      <w:r w:rsidRPr="001B1387">
        <w:rPr>
          <w:rFonts w:ascii="微軟正黑體" w:eastAsia="微軟正黑體" w:hAnsi="微軟正黑體"/>
        </w:rPr>
        <w:t>,</w:t>
      </w:r>
      <w:r w:rsidRPr="001B1387">
        <w:rPr>
          <w:rFonts w:ascii="微軟正黑體" w:eastAsia="微軟正黑體" w:hAnsi="微軟正黑體" w:hint="eastAsia"/>
        </w:rPr>
        <w:t>503億元，達到2019年的1</w:t>
      </w:r>
      <w:r w:rsidRPr="00C77DF5">
        <w:rPr>
          <w:rFonts w:ascii="微軟正黑體" w:eastAsia="微軟正黑體" w:hAnsi="微軟正黑體" w:hint="eastAsia"/>
          <w:color w:val="000000" w:themeColor="text1"/>
        </w:rPr>
        <w:t>兆385億元，成長已超過將近一倍，但是主要是社會保險支出，高齡相關的社會救助與福利服務僅有5</w:t>
      </w:r>
      <w:r w:rsidRPr="00C77DF5">
        <w:rPr>
          <w:rFonts w:ascii="微軟正黑體" w:eastAsia="微軟正黑體" w:hAnsi="微軟正黑體"/>
          <w:color w:val="000000" w:themeColor="text1"/>
        </w:rPr>
        <w:t>.</w:t>
      </w:r>
      <w:r w:rsidRPr="00C77DF5">
        <w:rPr>
          <w:rFonts w:ascii="微軟正黑體" w:eastAsia="微軟正黑體" w:hAnsi="微軟正黑體" w:hint="eastAsia"/>
          <w:color w:val="000000" w:themeColor="text1"/>
        </w:rPr>
        <w:t>4</w:t>
      </w:r>
      <w:r w:rsidRPr="00C77DF5">
        <w:rPr>
          <w:rFonts w:ascii="微軟正黑體" w:eastAsia="微軟正黑體" w:hAnsi="微軟正黑體"/>
          <w:color w:val="000000" w:themeColor="text1"/>
        </w:rPr>
        <w:t>%</w:t>
      </w:r>
      <w:r w:rsidRPr="00C77DF5">
        <w:rPr>
          <w:rFonts w:ascii="微軟正黑體" w:eastAsia="微軟正黑體" w:hAnsi="微軟正黑體" w:hint="eastAsia"/>
          <w:color w:val="000000" w:themeColor="text1"/>
        </w:rPr>
        <w:t xml:space="preserve"> </w:t>
      </w:r>
      <w:r w:rsidRPr="00C77DF5">
        <w:rPr>
          <w:rFonts w:ascii="微軟正黑體" w:eastAsia="微軟正黑體" w:hAnsi="微軟正黑體"/>
          <w:color w:val="000000" w:themeColor="text1"/>
        </w:rPr>
        <w:t>(</w:t>
      </w:r>
      <w:r w:rsidRPr="00C77DF5">
        <w:rPr>
          <w:rFonts w:ascii="微軟正黑體" w:eastAsia="微軟正黑體" w:hAnsi="微軟正黑體" w:hint="eastAsia"/>
          <w:color w:val="000000" w:themeColor="text1"/>
        </w:rPr>
        <w:t>主計總處社會保障支出統計 2020</w:t>
      </w:r>
      <w:r w:rsidRPr="00C77DF5">
        <w:rPr>
          <w:rFonts w:ascii="微軟正黑體" w:eastAsia="微軟正黑體" w:hAnsi="微軟正黑體"/>
          <w:color w:val="000000" w:themeColor="text1"/>
        </w:rPr>
        <w:t>)</w:t>
      </w:r>
      <w:r w:rsidRPr="00C77DF5">
        <w:rPr>
          <w:rFonts w:ascii="微軟正黑體" w:eastAsia="微軟正黑體" w:hAnsi="微軟正黑體" w:hint="eastAsia"/>
          <w:color w:val="000000" w:themeColor="text1"/>
        </w:rPr>
        <w:t>。O</w:t>
      </w:r>
      <w:r w:rsidRPr="00C77DF5">
        <w:rPr>
          <w:rFonts w:ascii="微軟正黑體" w:eastAsia="微軟正黑體" w:hAnsi="微軟正黑體"/>
          <w:color w:val="000000" w:themeColor="text1"/>
        </w:rPr>
        <w:t>ECD</w:t>
      </w:r>
      <w:r w:rsidRPr="00C77DF5">
        <w:rPr>
          <w:rFonts w:ascii="微軟正黑體" w:eastAsia="微軟正黑體" w:hAnsi="微軟正黑體" w:hint="eastAsia"/>
          <w:color w:val="000000" w:themeColor="text1"/>
        </w:rPr>
        <w:t>當時經過模擬推</w:t>
      </w:r>
      <w:r w:rsidRPr="001B1387">
        <w:rPr>
          <w:rFonts w:ascii="微軟正黑體" w:eastAsia="微軟正黑體" w:hAnsi="微軟正黑體" w:hint="eastAsia"/>
        </w:rPr>
        <w:t>估，即指出透過就業率提升減輕財政壓力，每晚十年就要多投入四分之一的成本(2005</w:t>
      </w:r>
      <w:r w:rsidRPr="001B1387">
        <w:rPr>
          <w:rFonts w:ascii="微軟正黑體" w:eastAsia="微軟正黑體" w:hAnsi="微軟正黑體"/>
        </w:rPr>
        <w:t>-</w:t>
      </w:r>
      <w:r w:rsidRPr="001B1387">
        <w:rPr>
          <w:rFonts w:ascii="微軟正黑體" w:eastAsia="微軟正黑體" w:hAnsi="微軟正黑體" w:hint="eastAsia"/>
        </w:rPr>
        <w:t>2015年)；每晚二十年則要多投入四分之三的成本(</w:t>
      </w:r>
      <w:r w:rsidRPr="00BF4838">
        <w:rPr>
          <w:rFonts w:ascii="微軟正黑體" w:eastAsia="微軟正黑體" w:hAnsi="微軟正黑體" w:hint="eastAsia"/>
        </w:rPr>
        <w:t>2005</w:t>
      </w:r>
      <w:r>
        <w:rPr>
          <w:rFonts w:ascii="微軟正黑體" w:eastAsia="微軟正黑體" w:hAnsi="微軟正黑體"/>
        </w:rPr>
        <w:t>-</w:t>
      </w:r>
      <w:r w:rsidRPr="00BF4838">
        <w:rPr>
          <w:rFonts w:ascii="微軟正黑體" w:eastAsia="微軟正黑體" w:hAnsi="微軟正黑體" w:hint="eastAsia"/>
        </w:rPr>
        <w:t>2025年</w:t>
      </w:r>
      <w:r w:rsidRPr="001B1387">
        <w:rPr>
          <w:rFonts w:ascii="微軟正黑體" w:eastAsia="微軟正黑體" w:hAnsi="微軟正黑體" w:hint="eastAsia"/>
        </w:rPr>
        <w:t>)，才能達到2050年相同的財政支出目標</w:t>
      </w:r>
      <w:r w:rsidRPr="001B1387">
        <w:rPr>
          <w:rFonts w:ascii="微軟正黑體" w:eastAsia="微軟正黑體" w:hAnsi="微軟正黑體"/>
        </w:rPr>
        <w:t>(</w:t>
      </w:r>
      <w:r w:rsidRPr="001B1387">
        <w:rPr>
          <w:rFonts w:ascii="微軟正黑體" w:eastAsia="微軟正黑體" w:hAnsi="微軟正黑體" w:hint="eastAsia"/>
        </w:rPr>
        <w:t>OECD</w:t>
      </w:r>
      <w:r w:rsidRPr="001B1387">
        <w:rPr>
          <w:rFonts w:ascii="微軟正黑體" w:eastAsia="微軟正黑體" w:hAnsi="微軟正黑體"/>
        </w:rPr>
        <w:t xml:space="preserve"> </w:t>
      </w:r>
      <w:r w:rsidRPr="001B1387">
        <w:rPr>
          <w:rFonts w:ascii="微軟正黑體" w:eastAsia="微軟正黑體" w:hAnsi="微軟正黑體" w:hint="eastAsia"/>
        </w:rPr>
        <w:t>2001；轉引自周玟琪 2007：12</w:t>
      </w:r>
      <w:r w:rsidRPr="001B1387">
        <w:rPr>
          <w:rFonts w:ascii="微軟正黑體" w:eastAsia="微軟正黑體" w:hAnsi="微軟正黑體"/>
        </w:rPr>
        <w:t>)</w:t>
      </w:r>
      <w:r w:rsidRPr="001B1387">
        <w:rPr>
          <w:rFonts w:ascii="微軟正黑體" w:eastAsia="微軟正黑體" w:hAnsi="微軟正黑體" w:hint="eastAsia"/>
        </w:rPr>
        <w:t>。台灣的超高齡社會人口挑戰已迫在眉睫，我們的確必須更全面的從財政、經濟、就業、年金、社會保障等面向，加倍的投入相關資源才能及時扭轉目前的泥沼。</w:t>
      </w:r>
    </w:p>
    <w:p w:rsidR="00F152C0" w:rsidRDefault="00F152C0" w:rsidP="00F152C0">
      <w:pPr>
        <w:spacing w:line="400" w:lineRule="exact"/>
        <w:ind w:firstLine="482"/>
        <w:jc w:val="both"/>
        <w:rPr>
          <w:rFonts w:ascii="微軟正黑體" w:eastAsia="微軟正黑體" w:hAnsi="微軟正黑體"/>
        </w:rPr>
      </w:pPr>
    </w:p>
    <w:p w:rsidR="00F152C0" w:rsidRDefault="00F152C0" w:rsidP="00F152C0">
      <w:pPr>
        <w:spacing w:line="400" w:lineRule="exact"/>
        <w:ind w:firstLine="482"/>
        <w:jc w:val="both"/>
        <w:rPr>
          <w:rFonts w:ascii="微軟正黑體" w:eastAsia="微軟正黑體" w:hAnsi="微軟正黑體"/>
        </w:rPr>
      </w:pPr>
    </w:p>
    <w:p w:rsidR="00F152C0" w:rsidRPr="001B1387" w:rsidRDefault="00F152C0" w:rsidP="00F152C0">
      <w:pPr>
        <w:pStyle w:val="af8"/>
        <w:spacing w:afterLines="30" w:after="108" w:line="400" w:lineRule="exact"/>
        <w:contextualSpacing/>
        <w:jc w:val="center"/>
        <w:rPr>
          <w:rFonts w:ascii="微軟正黑體" w:eastAsia="微軟正黑體" w:hAnsi="微軟正黑體"/>
          <w:sz w:val="24"/>
          <w:szCs w:val="24"/>
        </w:rPr>
      </w:pPr>
      <w:r w:rsidRPr="001B1387">
        <w:rPr>
          <w:rFonts w:ascii="微軟正黑體" w:eastAsia="微軟正黑體" w:hAnsi="微軟正黑體" w:hint="eastAsia"/>
          <w:sz w:val="24"/>
          <w:szCs w:val="24"/>
        </w:rPr>
        <w:lastRenderedPageBreak/>
        <w:t>表 8　2010</w:t>
      </w:r>
      <w:r w:rsidRPr="001B1387">
        <w:rPr>
          <w:rFonts w:ascii="微軟正黑體" w:eastAsia="微軟正黑體" w:hAnsi="微軟正黑體"/>
          <w:sz w:val="24"/>
          <w:szCs w:val="24"/>
        </w:rPr>
        <w:t>-</w:t>
      </w:r>
      <w:r w:rsidRPr="001B1387">
        <w:rPr>
          <w:rFonts w:ascii="微軟正黑體" w:eastAsia="微軟正黑體" w:hAnsi="微軟正黑體" w:hint="eastAsia"/>
          <w:sz w:val="24"/>
          <w:szCs w:val="24"/>
        </w:rPr>
        <w:t>2021年勞工保險年金領取人數與老年年金給付與收支平衡狀況</w:t>
      </w:r>
    </w:p>
    <w:tbl>
      <w:tblPr>
        <w:tblStyle w:val="a5"/>
        <w:tblW w:w="8998" w:type="dxa"/>
        <w:jc w:val="center"/>
        <w:tblLook w:val="04A0" w:firstRow="1" w:lastRow="0" w:firstColumn="1" w:lastColumn="0" w:noHBand="0" w:noVBand="1"/>
      </w:tblPr>
      <w:tblGrid>
        <w:gridCol w:w="1566"/>
        <w:gridCol w:w="2422"/>
        <w:gridCol w:w="2608"/>
        <w:gridCol w:w="2402"/>
      </w:tblGrid>
      <w:tr w:rsidR="00F152C0" w:rsidRPr="00094519" w:rsidTr="0043673D">
        <w:trPr>
          <w:trHeight w:val="397"/>
          <w:jc w:val="center"/>
        </w:trPr>
        <w:tc>
          <w:tcPr>
            <w:tcW w:w="1566" w:type="dxa"/>
            <w:shd w:val="clear" w:color="auto" w:fill="8064A2" w:themeFill="accent4"/>
            <w:vAlign w:val="center"/>
          </w:tcPr>
          <w:p w:rsidR="00F152C0" w:rsidRPr="00094519" w:rsidRDefault="00F152C0" w:rsidP="00C86667">
            <w:pPr>
              <w:snapToGrid w:val="0"/>
              <w:spacing w:line="400" w:lineRule="exact"/>
              <w:contextualSpacing/>
              <w:jc w:val="center"/>
              <w:rPr>
                <w:rFonts w:ascii="微軟正黑體" w:eastAsia="微軟正黑體" w:hAnsi="微軟正黑體"/>
                <w:b/>
                <w:color w:val="FFFFFF" w:themeColor="background1"/>
                <w:sz w:val="22"/>
                <w:szCs w:val="22"/>
              </w:rPr>
            </w:pPr>
            <w:r w:rsidRPr="00094519">
              <w:rPr>
                <w:rFonts w:ascii="微軟正黑體" w:eastAsia="微軟正黑體" w:hAnsi="微軟正黑體" w:hint="eastAsia"/>
                <w:b/>
                <w:color w:val="FFFFFF" w:themeColor="background1"/>
                <w:sz w:val="22"/>
                <w:szCs w:val="22"/>
              </w:rPr>
              <w:t>年分</w:t>
            </w:r>
          </w:p>
        </w:tc>
        <w:tc>
          <w:tcPr>
            <w:tcW w:w="2422" w:type="dxa"/>
            <w:shd w:val="clear" w:color="auto" w:fill="8064A2" w:themeFill="accent4"/>
            <w:vAlign w:val="center"/>
          </w:tcPr>
          <w:p w:rsidR="00F152C0" w:rsidRPr="00094519" w:rsidRDefault="00F152C0" w:rsidP="00C86667">
            <w:pPr>
              <w:snapToGrid w:val="0"/>
              <w:spacing w:line="400" w:lineRule="exact"/>
              <w:contextualSpacing/>
              <w:jc w:val="center"/>
              <w:rPr>
                <w:rFonts w:ascii="微軟正黑體" w:eastAsia="微軟正黑體" w:hAnsi="微軟正黑體"/>
                <w:b/>
                <w:color w:val="FFFFFF" w:themeColor="background1"/>
                <w:sz w:val="22"/>
                <w:szCs w:val="22"/>
              </w:rPr>
            </w:pPr>
            <w:r w:rsidRPr="00094519">
              <w:rPr>
                <w:rFonts w:ascii="微軟正黑體" w:eastAsia="微軟正黑體" w:hAnsi="微軟正黑體" w:hint="eastAsia"/>
                <w:b/>
                <w:color w:val="FFFFFF" w:themeColor="background1"/>
                <w:sz w:val="22"/>
                <w:szCs w:val="22"/>
              </w:rPr>
              <w:t>老年年金領取人數(人)</w:t>
            </w:r>
          </w:p>
        </w:tc>
        <w:tc>
          <w:tcPr>
            <w:tcW w:w="2608" w:type="dxa"/>
            <w:shd w:val="clear" w:color="auto" w:fill="8064A2" w:themeFill="accent4"/>
            <w:vAlign w:val="center"/>
          </w:tcPr>
          <w:p w:rsidR="00F152C0" w:rsidRPr="00094519" w:rsidRDefault="00F152C0" w:rsidP="00C86667">
            <w:pPr>
              <w:snapToGrid w:val="0"/>
              <w:spacing w:line="400" w:lineRule="exact"/>
              <w:contextualSpacing/>
              <w:jc w:val="center"/>
              <w:rPr>
                <w:rFonts w:ascii="微軟正黑體" w:eastAsia="微軟正黑體" w:hAnsi="微軟正黑體"/>
                <w:b/>
                <w:color w:val="FFFFFF" w:themeColor="background1"/>
                <w:sz w:val="22"/>
                <w:szCs w:val="22"/>
              </w:rPr>
            </w:pPr>
            <w:r w:rsidRPr="00094519">
              <w:rPr>
                <w:rFonts w:ascii="微軟正黑體" w:eastAsia="微軟正黑體" w:hAnsi="微軟正黑體" w:hint="eastAsia"/>
                <w:b/>
                <w:color w:val="FFFFFF" w:themeColor="background1"/>
                <w:sz w:val="22"/>
                <w:szCs w:val="22"/>
              </w:rPr>
              <w:t>老年年金給付金額(億元)</w:t>
            </w:r>
          </w:p>
        </w:tc>
        <w:tc>
          <w:tcPr>
            <w:tcW w:w="2402" w:type="dxa"/>
            <w:shd w:val="clear" w:color="auto" w:fill="8064A2" w:themeFill="accent4"/>
            <w:vAlign w:val="center"/>
          </w:tcPr>
          <w:p w:rsidR="00F152C0" w:rsidRPr="00094519" w:rsidRDefault="00F152C0" w:rsidP="00C86667">
            <w:pPr>
              <w:snapToGrid w:val="0"/>
              <w:spacing w:line="400" w:lineRule="exact"/>
              <w:contextualSpacing/>
              <w:jc w:val="center"/>
              <w:rPr>
                <w:rFonts w:ascii="微軟正黑體" w:eastAsia="微軟正黑體" w:hAnsi="微軟正黑體"/>
                <w:b/>
                <w:color w:val="FFFFFF" w:themeColor="background1"/>
                <w:sz w:val="22"/>
                <w:szCs w:val="22"/>
              </w:rPr>
            </w:pPr>
            <w:r w:rsidRPr="00094519">
              <w:rPr>
                <w:rFonts w:ascii="微軟正黑體" w:eastAsia="微軟正黑體" w:hAnsi="微軟正黑體" w:hint="eastAsia"/>
                <w:b/>
                <w:color w:val="FFFFFF" w:themeColor="background1"/>
                <w:sz w:val="22"/>
                <w:szCs w:val="22"/>
              </w:rPr>
              <w:t>收支平衡狀況(億元)</w:t>
            </w:r>
          </w:p>
        </w:tc>
      </w:tr>
      <w:tr w:rsidR="00F152C0" w:rsidRPr="006A652C" w:rsidTr="0043673D">
        <w:trPr>
          <w:trHeight w:val="397"/>
          <w:jc w:val="center"/>
        </w:trPr>
        <w:tc>
          <w:tcPr>
            <w:tcW w:w="1566" w:type="dxa"/>
            <w:vAlign w:val="center"/>
          </w:tcPr>
          <w:p w:rsidR="00F152C0" w:rsidRPr="00C77DF5" w:rsidRDefault="00F152C0" w:rsidP="00C86667">
            <w:pPr>
              <w:snapToGrid w:val="0"/>
              <w:spacing w:line="400" w:lineRule="exact"/>
              <w:contextualSpacing/>
              <w:jc w:val="center"/>
              <w:rPr>
                <w:rFonts w:ascii="微軟正黑體" w:eastAsia="微軟正黑體" w:hAnsi="微軟正黑體"/>
                <w:color w:val="000000" w:themeColor="text1"/>
                <w:sz w:val="22"/>
                <w:szCs w:val="22"/>
              </w:rPr>
            </w:pPr>
            <w:r w:rsidRPr="00C77DF5">
              <w:rPr>
                <w:rFonts w:ascii="微軟正黑體" w:eastAsia="微軟正黑體" w:hAnsi="微軟正黑體" w:hint="eastAsia"/>
                <w:color w:val="000000" w:themeColor="text1"/>
                <w:sz w:val="22"/>
                <w:szCs w:val="22"/>
              </w:rPr>
              <w:t>2010</w:t>
            </w:r>
          </w:p>
        </w:tc>
        <w:tc>
          <w:tcPr>
            <w:tcW w:w="2422" w:type="dxa"/>
            <w:vAlign w:val="center"/>
          </w:tcPr>
          <w:p w:rsidR="00F152C0" w:rsidRPr="00C77DF5" w:rsidRDefault="00F152C0" w:rsidP="00C86667">
            <w:pPr>
              <w:snapToGrid w:val="0"/>
              <w:spacing w:line="400" w:lineRule="exact"/>
              <w:ind w:rightChars="38" w:right="91" w:firstLineChars="100" w:firstLine="220"/>
              <w:contextualSpacing/>
              <w:jc w:val="right"/>
              <w:rPr>
                <w:rFonts w:ascii="微軟正黑體" w:eastAsia="微軟正黑體" w:hAnsi="微軟正黑體"/>
                <w:color w:val="000000" w:themeColor="text1"/>
                <w:sz w:val="22"/>
                <w:szCs w:val="22"/>
              </w:rPr>
            </w:pPr>
            <w:r w:rsidRPr="00C77DF5">
              <w:rPr>
                <w:rFonts w:ascii="微軟正黑體" w:eastAsia="微軟正黑體" w:hAnsi="微軟正黑體" w:hint="eastAsia"/>
                <w:color w:val="000000" w:themeColor="text1"/>
                <w:sz w:val="22"/>
                <w:szCs w:val="22"/>
              </w:rPr>
              <w:t>118</w:t>
            </w:r>
            <w:r w:rsidRPr="00C77DF5">
              <w:rPr>
                <w:rFonts w:ascii="微軟正黑體" w:eastAsia="微軟正黑體" w:hAnsi="微軟正黑體"/>
                <w:color w:val="000000" w:themeColor="text1"/>
                <w:sz w:val="22"/>
                <w:szCs w:val="22"/>
              </w:rPr>
              <w:t>,</w:t>
            </w:r>
            <w:r w:rsidRPr="00C77DF5">
              <w:rPr>
                <w:rFonts w:ascii="微軟正黑體" w:eastAsia="微軟正黑體" w:hAnsi="微軟正黑體" w:hint="eastAsia"/>
                <w:color w:val="000000" w:themeColor="text1"/>
                <w:sz w:val="22"/>
                <w:szCs w:val="22"/>
              </w:rPr>
              <w:t>502</w:t>
            </w:r>
          </w:p>
        </w:tc>
        <w:tc>
          <w:tcPr>
            <w:tcW w:w="2608" w:type="dxa"/>
            <w:vAlign w:val="center"/>
          </w:tcPr>
          <w:p w:rsidR="00F152C0" w:rsidRPr="00C77DF5" w:rsidRDefault="00F152C0" w:rsidP="00C86667">
            <w:pPr>
              <w:snapToGrid w:val="0"/>
              <w:spacing w:line="400" w:lineRule="exact"/>
              <w:ind w:rightChars="58" w:right="139"/>
              <w:contextualSpacing/>
              <w:jc w:val="right"/>
              <w:rPr>
                <w:rFonts w:ascii="微軟正黑體" w:eastAsia="微軟正黑體" w:hAnsi="微軟正黑體"/>
                <w:color w:val="000000" w:themeColor="text1"/>
                <w:sz w:val="22"/>
                <w:szCs w:val="22"/>
              </w:rPr>
            </w:pPr>
            <w:r w:rsidRPr="00C77DF5">
              <w:rPr>
                <w:rFonts w:ascii="微軟正黑體" w:eastAsia="微軟正黑體" w:hAnsi="微軟正黑體" w:hint="eastAsia"/>
                <w:color w:val="000000" w:themeColor="text1"/>
                <w:sz w:val="22"/>
                <w:szCs w:val="22"/>
              </w:rPr>
              <w:t>150</w:t>
            </w:r>
            <w:r w:rsidRPr="00C77DF5">
              <w:rPr>
                <w:rFonts w:ascii="微軟正黑體" w:eastAsia="微軟正黑體" w:hAnsi="微軟正黑體"/>
                <w:color w:val="000000" w:themeColor="text1"/>
                <w:sz w:val="22"/>
                <w:szCs w:val="22"/>
              </w:rPr>
              <w:t>.</w:t>
            </w:r>
            <w:r w:rsidRPr="00C77DF5">
              <w:rPr>
                <w:rFonts w:ascii="微軟正黑體" w:eastAsia="微軟正黑體" w:hAnsi="微軟正黑體" w:hint="eastAsia"/>
                <w:color w:val="000000" w:themeColor="text1"/>
                <w:sz w:val="22"/>
                <w:szCs w:val="22"/>
              </w:rPr>
              <w:t>0</w:t>
            </w:r>
          </w:p>
        </w:tc>
        <w:tc>
          <w:tcPr>
            <w:tcW w:w="2402" w:type="dxa"/>
            <w:vAlign w:val="center"/>
          </w:tcPr>
          <w:p w:rsidR="00F152C0" w:rsidRPr="00C77DF5" w:rsidRDefault="00F152C0" w:rsidP="00C86667">
            <w:pPr>
              <w:snapToGrid w:val="0"/>
              <w:spacing w:line="400" w:lineRule="exact"/>
              <w:ind w:rightChars="55" w:right="132"/>
              <w:contextualSpacing/>
              <w:jc w:val="right"/>
              <w:rPr>
                <w:rFonts w:ascii="微軟正黑體" w:eastAsia="微軟正黑體" w:hAnsi="微軟正黑體"/>
                <w:color w:val="000000" w:themeColor="text1"/>
                <w:sz w:val="22"/>
                <w:szCs w:val="22"/>
              </w:rPr>
            </w:pPr>
            <w:r w:rsidRPr="00C77DF5">
              <w:rPr>
                <w:rFonts w:ascii="微軟正黑體" w:eastAsia="微軟正黑體" w:hAnsi="微軟正黑體" w:hint="eastAsia"/>
                <w:color w:val="000000" w:themeColor="text1"/>
                <w:sz w:val="22"/>
                <w:szCs w:val="22"/>
              </w:rPr>
              <w:t>769</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2011</w:t>
            </w:r>
          </w:p>
        </w:tc>
        <w:tc>
          <w:tcPr>
            <w:tcW w:w="2422" w:type="dxa"/>
            <w:vAlign w:val="center"/>
          </w:tcPr>
          <w:p w:rsidR="00F152C0" w:rsidRPr="006A652C"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188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716</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259</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906</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2012</w:t>
            </w:r>
          </w:p>
        </w:tc>
        <w:tc>
          <w:tcPr>
            <w:tcW w:w="2422" w:type="dxa"/>
            <w:vAlign w:val="center"/>
          </w:tcPr>
          <w:p w:rsidR="00F152C0" w:rsidRPr="006A652C"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318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973</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427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6</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-14 (擠兌潮)</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2013</w:t>
            </w:r>
          </w:p>
        </w:tc>
        <w:tc>
          <w:tcPr>
            <w:tcW w:w="2422" w:type="dxa"/>
            <w:vAlign w:val="center"/>
          </w:tcPr>
          <w:p w:rsidR="00F152C0" w:rsidRPr="006A652C"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497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373</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802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-32</w:t>
            </w:r>
            <w:r>
              <w:rPr>
                <w:rFonts w:ascii="微軟正黑體" w:eastAsia="微軟正黑體" w:hAnsi="微軟正黑體" w:hint="eastAsia"/>
                <w:sz w:val="22"/>
                <w:szCs w:val="22"/>
              </w:rPr>
              <w:t xml:space="preserve"> (</w:t>
            </w:r>
            <w:r w:rsidRPr="006A652C">
              <w:rPr>
                <w:rFonts w:ascii="微軟正黑體" w:eastAsia="微軟正黑體" w:hAnsi="微軟正黑體" w:hint="eastAsia"/>
                <w:sz w:val="22"/>
                <w:szCs w:val="22"/>
              </w:rPr>
              <w:t>擠兌潮</w:t>
            </w:r>
            <w:r>
              <w:rPr>
                <w:rFonts w:ascii="微軟正黑體" w:eastAsia="微軟正黑體" w:hAnsi="微軟正黑體" w:hint="eastAsia"/>
                <w:sz w:val="22"/>
                <w:szCs w:val="22"/>
              </w:rPr>
              <w:t>)</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2014</w:t>
            </w:r>
          </w:p>
        </w:tc>
        <w:tc>
          <w:tcPr>
            <w:tcW w:w="2422" w:type="dxa"/>
            <w:vAlign w:val="center"/>
          </w:tcPr>
          <w:p w:rsidR="00F152C0" w:rsidRPr="006A652C"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614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960</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1053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519</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2015</w:t>
            </w:r>
          </w:p>
        </w:tc>
        <w:tc>
          <w:tcPr>
            <w:tcW w:w="2422" w:type="dxa"/>
            <w:vAlign w:val="center"/>
          </w:tcPr>
          <w:p w:rsidR="00F152C0" w:rsidRPr="006A652C"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731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428</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1308</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440</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2016</w:t>
            </w:r>
          </w:p>
        </w:tc>
        <w:tc>
          <w:tcPr>
            <w:tcW w:w="2422" w:type="dxa"/>
            <w:vAlign w:val="center"/>
          </w:tcPr>
          <w:p w:rsidR="00F152C0" w:rsidRPr="006A652C"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884</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481</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1605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2</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88</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2017</w:t>
            </w:r>
          </w:p>
        </w:tc>
        <w:tc>
          <w:tcPr>
            <w:tcW w:w="2422" w:type="dxa"/>
            <w:vAlign w:val="center"/>
          </w:tcPr>
          <w:p w:rsidR="00F152C0" w:rsidRPr="006A652C" w:rsidRDefault="00F152C0" w:rsidP="00C86667">
            <w:pPr>
              <w:snapToGrid w:val="0"/>
              <w:spacing w:line="400" w:lineRule="exact"/>
              <w:ind w:rightChars="38" w:right="91"/>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041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873</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1971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2</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-275</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2018</w:t>
            </w:r>
          </w:p>
        </w:tc>
        <w:tc>
          <w:tcPr>
            <w:tcW w:w="2422" w:type="dxa"/>
            <w:vAlign w:val="center"/>
          </w:tcPr>
          <w:p w:rsidR="00F152C0" w:rsidRPr="006A652C" w:rsidRDefault="00F152C0" w:rsidP="00C86667">
            <w:pPr>
              <w:snapToGrid w:val="0"/>
              <w:spacing w:line="400" w:lineRule="exact"/>
              <w:ind w:rightChars="38" w:right="91"/>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165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766</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2276</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0</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-253</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2019</w:t>
            </w:r>
          </w:p>
        </w:tc>
        <w:tc>
          <w:tcPr>
            <w:tcW w:w="2422" w:type="dxa"/>
            <w:vAlign w:val="center"/>
          </w:tcPr>
          <w:p w:rsidR="00F152C0" w:rsidRPr="006A652C" w:rsidRDefault="00F152C0" w:rsidP="00C86667">
            <w:pPr>
              <w:snapToGrid w:val="0"/>
              <w:spacing w:line="400" w:lineRule="exact"/>
              <w:ind w:rightChars="38" w:right="91"/>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273</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387</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2552</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9</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-228</w:t>
            </w:r>
          </w:p>
        </w:tc>
      </w:tr>
      <w:tr w:rsidR="00F152C0" w:rsidRPr="006A652C" w:rsidTr="0043673D">
        <w:trPr>
          <w:trHeight w:val="397"/>
          <w:jc w:val="center"/>
        </w:trPr>
        <w:tc>
          <w:tcPr>
            <w:tcW w:w="1566" w:type="dxa"/>
            <w:vAlign w:val="center"/>
          </w:tcPr>
          <w:p w:rsidR="00F152C0" w:rsidRPr="006A652C" w:rsidRDefault="00F152C0" w:rsidP="00C86667">
            <w:pPr>
              <w:snapToGrid w:val="0"/>
              <w:spacing w:line="400" w:lineRule="exact"/>
              <w:contextualSpacing/>
              <w:jc w:val="center"/>
              <w:rPr>
                <w:rFonts w:ascii="微軟正黑體" w:eastAsia="微軟正黑體" w:hAnsi="微軟正黑體"/>
                <w:sz w:val="22"/>
                <w:szCs w:val="22"/>
              </w:rPr>
            </w:pPr>
            <w:r w:rsidRPr="006A652C">
              <w:rPr>
                <w:rFonts w:ascii="微軟正黑體" w:eastAsia="微軟正黑體" w:hAnsi="微軟正黑體" w:hint="eastAsia"/>
                <w:sz w:val="22"/>
                <w:szCs w:val="22"/>
              </w:rPr>
              <w:t>2020</w:t>
            </w:r>
          </w:p>
        </w:tc>
        <w:tc>
          <w:tcPr>
            <w:tcW w:w="2422" w:type="dxa"/>
            <w:vAlign w:val="center"/>
          </w:tcPr>
          <w:p w:rsidR="00F152C0" w:rsidRPr="006A652C" w:rsidRDefault="00F152C0" w:rsidP="00C86667">
            <w:pPr>
              <w:snapToGrid w:val="0"/>
              <w:spacing w:line="400" w:lineRule="exact"/>
              <w:ind w:rightChars="38" w:right="91"/>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1</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397</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302</w:t>
            </w:r>
          </w:p>
        </w:tc>
        <w:tc>
          <w:tcPr>
            <w:tcW w:w="2608" w:type="dxa"/>
            <w:vAlign w:val="center"/>
          </w:tcPr>
          <w:p w:rsidR="00F152C0" w:rsidRPr="006A652C" w:rsidRDefault="00F152C0" w:rsidP="00C86667">
            <w:pPr>
              <w:snapToGrid w:val="0"/>
              <w:spacing w:line="400" w:lineRule="exact"/>
              <w:ind w:rightChars="58" w:right="139"/>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2825</w:t>
            </w:r>
            <w:r w:rsidRPr="006A652C">
              <w:rPr>
                <w:rFonts w:ascii="微軟正黑體" w:eastAsia="微軟正黑體" w:hAnsi="微軟正黑體"/>
                <w:sz w:val="22"/>
                <w:szCs w:val="22"/>
              </w:rPr>
              <w:t>.</w:t>
            </w:r>
            <w:r w:rsidRPr="006A652C">
              <w:rPr>
                <w:rFonts w:ascii="微軟正黑體" w:eastAsia="微軟正黑體" w:hAnsi="微軟正黑體" w:hint="eastAsia"/>
                <w:sz w:val="22"/>
                <w:szCs w:val="22"/>
              </w:rPr>
              <w:t>5</w:t>
            </w:r>
          </w:p>
        </w:tc>
        <w:tc>
          <w:tcPr>
            <w:tcW w:w="2402" w:type="dxa"/>
            <w:vAlign w:val="center"/>
          </w:tcPr>
          <w:p w:rsidR="00F152C0" w:rsidRPr="006A652C" w:rsidRDefault="00F152C0" w:rsidP="00C86667">
            <w:pPr>
              <w:snapToGrid w:val="0"/>
              <w:spacing w:line="400" w:lineRule="exact"/>
              <w:ind w:rightChars="55" w:right="132"/>
              <w:contextualSpacing/>
              <w:jc w:val="right"/>
              <w:rPr>
                <w:rFonts w:ascii="微軟正黑體" w:eastAsia="微軟正黑體" w:hAnsi="微軟正黑體"/>
                <w:sz w:val="22"/>
                <w:szCs w:val="22"/>
              </w:rPr>
            </w:pPr>
            <w:r w:rsidRPr="006A652C">
              <w:rPr>
                <w:rFonts w:ascii="微軟正黑體" w:eastAsia="微軟正黑體" w:hAnsi="微軟正黑體" w:hint="eastAsia"/>
                <w:sz w:val="22"/>
                <w:szCs w:val="22"/>
              </w:rPr>
              <w:t>-487</w:t>
            </w:r>
          </w:p>
        </w:tc>
      </w:tr>
      <w:tr w:rsidR="00F152C0" w:rsidRPr="00C77DF5" w:rsidTr="0043673D">
        <w:trPr>
          <w:trHeight w:val="397"/>
          <w:jc w:val="center"/>
        </w:trPr>
        <w:tc>
          <w:tcPr>
            <w:tcW w:w="1566" w:type="dxa"/>
            <w:vAlign w:val="center"/>
          </w:tcPr>
          <w:p w:rsidR="00F152C0" w:rsidRPr="005F657B" w:rsidRDefault="00F152C0" w:rsidP="00C86667">
            <w:pPr>
              <w:snapToGrid w:val="0"/>
              <w:spacing w:line="400" w:lineRule="exact"/>
              <w:contextualSpacing/>
              <w:jc w:val="center"/>
              <w:rPr>
                <w:rFonts w:ascii="微軟正黑體" w:eastAsia="微軟正黑體" w:hAnsi="微軟正黑體"/>
                <w:color w:val="000000" w:themeColor="text1"/>
                <w:sz w:val="22"/>
                <w:szCs w:val="22"/>
              </w:rPr>
            </w:pPr>
            <w:r w:rsidRPr="005F657B">
              <w:rPr>
                <w:rFonts w:ascii="微軟正黑體" w:eastAsia="微軟正黑體" w:hAnsi="微軟正黑體" w:hint="eastAsia"/>
                <w:color w:val="000000" w:themeColor="text1"/>
                <w:sz w:val="22"/>
                <w:szCs w:val="22"/>
              </w:rPr>
              <w:t>2021</w:t>
            </w:r>
          </w:p>
        </w:tc>
        <w:tc>
          <w:tcPr>
            <w:tcW w:w="2422" w:type="dxa"/>
            <w:vAlign w:val="center"/>
          </w:tcPr>
          <w:p w:rsidR="00F152C0" w:rsidRPr="005F657B" w:rsidRDefault="00F152C0" w:rsidP="00C86667">
            <w:pPr>
              <w:snapToGrid w:val="0"/>
              <w:spacing w:line="400" w:lineRule="exact"/>
              <w:ind w:rightChars="38" w:right="91"/>
              <w:contextualSpacing/>
              <w:jc w:val="right"/>
              <w:rPr>
                <w:rFonts w:ascii="微軟正黑體" w:eastAsia="微軟正黑體" w:hAnsi="微軟正黑體"/>
                <w:color w:val="000000" w:themeColor="text1"/>
                <w:sz w:val="22"/>
                <w:szCs w:val="22"/>
              </w:rPr>
            </w:pPr>
            <w:r w:rsidRPr="005F657B">
              <w:rPr>
                <w:rFonts w:ascii="微軟正黑體" w:eastAsia="微軟正黑體" w:hAnsi="微軟正黑體" w:hint="eastAsia"/>
                <w:color w:val="000000" w:themeColor="text1"/>
                <w:sz w:val="22"/>
                <w:szCs w:val="22"/>
              </w:rPr>
              <w:t>-</w:t>
            </w:r>
          </w:p>
        </w:tc>
        <w:tc>
          <w:tcPr>
            <w:tcW w:w="2608" w:type="dxa"/>
            <w:vAlign w:val="center"/>
          </w:tcPr>
          <w:p w:rsidR="00F152C0" w:rsidRPr="00C77DF5" w:rsidRDefault="00F152C0" w:rsidP="00C86667">
            <w:pPr>
              <w:snapToGrid w:val="0"/>
              <w:spacing w:line="400" w:lineRule="exact"/>
              <w:ind w:rightChars="58" w:right="139"/>
              <w:contextualSpacing/>
              <w:jc w:val="right"/>
              <w:rPr>
                <w:rFonts w:ascii="微軟正黑體" w:eastAsia="微軟正黑體" w:hAnsi="微軟正黑體"/>
                <w:color w:val="000000" w:themeColor="text1"/>
                <w:sz w:val="22"/>
                <w:szCs w:val="22"/>
              </w:rPr>
            </w:pPr>
            <w:r w:rsidRPr="00C77DF5">
              <w:rPr>
                <w:rFonts w:ascii="微軟正黑體" w:eastAsia="微軟正黑體" w:hAnsi="微軟正黑體" w:hint="eastAsia"/>
                <w:color w:val="000000" w:themeColor="text1"/>
                <w:sz w:val="22"/>
                <w:szCs w:val="22"/>
              </w:rPr>
              <w:t>-</w:t>
            </w:r>
          </w:p>
        </w:tc>
        <w:tc>
          <w:tcPr>
            <w:tcW w:w="2402" w:type="dxa"/>
            <w:vAlign w:val="center"/>
          </w:tcPr>
          <w:p w:rsidR="00F152C0" w:rsidRPr="00C77DF5" w:rsidRDefault="00F152C0" w:rsidP="00C86667">
            <w:pPr>
              <w:snapToGrid w:val="0"/>
              <w:spacing w:line="400" w:lineRule="exact"/>
              <w:ind w:rightChars="55" w:right="132"/>
              <w:contextualSpacing/>
              <w:jc w:val="right"/>
              <w:rPr>
                <w:rFonts w:ascii="微軟正黑體" w:eastAsia="微軟正黑體" w:hAnsi="微軟正黑體"/>
                <w:color w:val="000000" w:themeColor="text1"/>
                <w:sz w:val="22"/>
                <w:szCs w:val="22"/>
              </w:rPr>
            </w:pPr>
            <w:r w:rsidRPr="00C77DF5">
              <w:rPr>
                <w:rFonts w:ascii="微軟正黑體" w:eastAsia="微軟正黑體" w:hAnsi="微軟正黑體" w:hint="eastAsia"/>
                <w:color w:val="000000" w:themeColor="text1"/>
                <w:sz w:val="22"/>
                <w:szCs w:val="22"/>
              </w:rPr>
              <w:t>-701 (預估)</w:t>
            </w:r>
          </w:p>
        </w:tc>
      </w:tr>
    </w:tbl>
    <w:p w:rsidR="00F152C0" w:rsidRDefault="00F152C0" w:rsidP="00F152C0">
      <w:pPr>
        <w:spacing w:line="240" w:lineRule="exact"/>
        <w:ind w:leftChars="-1" w:left="998" w:hangingChars="500" w:hanging="1000"/>
        <w:contextualSpacing/>
        <w:rPr>
          <w:rFonts w:ascii="微軟正黑體" w:eastAsia="微軟正黑體" w:hAnsi="微軟正黑體"/>
          <w:color w:val="000000" w:themeColor="text1"/>
          <w:sz w:val="20"/>
          <w:szCs w:val="20"/>
        </w:rPr>
      </w:pPr>
      <w:r w:rsidRPr="00C77DF5">
        <w:rPr>
          <w:rFonts w:ascii="微軟正黑體" w:eastAsia="微軟正黑體" w:hAnsi="微軟正黑體" w:hint="eastAsia"/>
          <w:color w:val="000000" w:themeColor="text1"/>
          <w:sz w:val="20"/>
          <w:szCs w:val="20"/>
        </w:rPr>
        <w:t>資料來源：勞工保險統計年報(2020</w:t>
      </w:r>
      <w:r w:rsidRPr="00C77DF5">
        <w:rPr>
          <w:rFonts w:ascii="微軟正黑體" w:eastAsia="微軟正黑體" w:hAnsi="微軟正黑體"/>
          <w:color w:val="000000" w:themeColor="text1"/>
          <w:sz w:val="20"/>
          <w:szCs w:val="20"/>
        </w:rPr>
        <w:t>)</w:t>
      </w:r>
      <w:r w:rsidRPr="00C77DF5">
        <w:rPr>
          <w:rFonts w:ascii="微軟正黑體" w:eastAsia="微軟正黑體" w:hAnsi="微軟正黑體" w:hint="eastAsia"/>
          <w:color w:val="000000" w:themeColor="text1"/>
          <w:sz w:val="20"/>
          <w:szCs w:val="20"/>
        </w:rPr>
        <w:t>；台灣勞工陣線孫友聯(202</w:t>
      </w:r>
      <w:r>
        <w:rPr>
          <w:rFonts w:ascii="微軟正黑體" w:eastAsia="微軟正黑體" w:hAnsi="微軟正黑體" w:hint="eastAsia"/>
          <w:color w:val="000000" w:themeColor="text1"/>
          <w:sz w:val="20"/>
          <w:szCs w:val="20"/>
        </w:rPr>
        <w:t>0</w:t>
      </w:r>
      <w:r w:rsidRPr="00C77DF5">
        <w:rPr>
          <w:rFonts w:ascii="微軟正黑體" w:eastAsia="微軟正黑體" w:hAnsi="微軟正黑體"/>
          <w:color w:val="000000" w:themeColor="text1"/>
          <w:sz w:val="20"/>
          <w:szCs w:val="20"/>
        </w:rPr>
        <w:t>)</w:t>
      </w:r>
      <w:r w:rsidRPr="00C77DF5">
        <w:rPr>
          <w:rFonts w:ascii="微軟正黑體" w:eastAsia="微軟正黑體" w:hAnsi="微軟正黑體" w:hint="eastAsia"/>
          <w:color w:val="000000" w:themeColor="text1"/>
          <w:sz w:val="20"/>
          <w:szCs w:val="20"/>
        </w:rPr>
        <w:t>；僅代表普通事故保險的保費收支平衡情況。</w:t>
      </w:r>
    </w:p>
    <w:p w:rsidR="0043673D" w:rsidRPr="009213EA" w:rsidRDefault="0043673D" w:rsidP="00F152C0">
      <w:pPr>
        <w:spacing w:line="240" w:lineRule="exact"/>
        <w:ind w:leftChars="-1" w:left="998" w:hangingChars="500" w:hanging="1000"/>
        <w:contextualSpacing/>
        <w:rPr>
          <w:rFonts w:ascii="微軟正黑體" w:eastAsia="微軟正黑體" w:hAnsi="微軟正黑體"/>
          <w:sz w:val="20"/>
          <w:szCs w:val="20"/>
        </w:rPr>
      </w:pPr>
    </w:p>
    <w:p w:rsidR="00F152C0" w:rsidRPr="009213EA" w:rsidRDefault="00F152C0" w:rsidP="0043673D">
      <w:pPr>
        <w:spacing w:beforeLines="30" w:before="108" w:line="400" w:lineRule="exact"/>
        <w:ind w:firstLine="482"/>
        <w:jc w:val="both"/>
        <w:rPr>
          <w:rFonts w:ascii="微軟正黑體" w:eastAsia="微軟正黑體" w:hAnsi="微軟正黑體"/>
        </w:rPr>
      </w:pPr>
      <w:r w:rsidRPr="009213EA">
        <w:rPr>
          <w:rFonts w:ascii="微軟正黑體" w:eastAsia="微軟正黑體" w:hAnsi="微軟正黑體" w:hint="eastAsia"/>
        </w:rPr>
        <w:t>在我國家庭收支狀況歷年調查報告(2010</w:t>
      </w:r>
      <w:r w:rsidRPr="009213EA">
        <w:rPr>
          <w:rFonts w:ascii="微軟正黑體" w:eastAsia="微軟正黑體" w:hAnsi="微軟正黑體"/>
        </w:rPr>
        <w:t>-</w:t>
      </w:r>
      <w:r w:rsidRPr="009213EA">
        <w:rPr>
          <w:rFonts w:ascii="微軟正黑體" w:eastAsia="微軟正黑體" w:hAnsi="微軟正黑體" w:hint="eastAsia"/>
        </w:rPr>
        <w:t>2020年)，我們也發現在每戶五等分位最低20%所得組中，在2001年經濟戶長為65歲以上老年人所占的比率為40</w:t>
      </w:r>
      <w:r w:rsidRPr="009213EA">
        <w:rPr>
          <w:rFonts w:ascii="微軟正黑體" w:eastAsia="微軟正黑體" w:hAnsi="微軟正黑體"/>
        </w:rPr>
        <w:t>.</w:t>
      </w:r>
      <w:r w:rsidRPr="009213EA">
        <w:rPr>
          <w:rFonts w:ascii="微軟正黑體" w:eastAsia="微軟正黑體" w:hAnsi="微軟正黑體" w:hint="eastAsia"/>
        </w:rPr>
        <w:t>31</w:t>
      </w:r>
      <w:r w:rsidRPr="009213EA">
        <w:rPr>
          <w:rFonts w:ascii="微軟正黑體" w:eastAsia="微軟正黑體" w:hAnsi="微軟正黑體"/>
        </w:rPr>
        <w:t>%</w:t>
      </w:r>
      <w:r w:rsidRPr="009213EA">
        <w:rPr>
          <w:rFonts w:ascii="微軟正黑體" w:eastAsia="微軟正黑體" w:hAnsi="微軟正黑體" w:hint="eastAsia"/>
        </w:rPr>
        <w:t>，但到了2020年已提高到59</w:t>
      </w:r>
      <w:r w:rsidRPr="009213EA">
        <w:rPr>
          <w:rFonts w:ascii="微軟正黑體" w:eastAsia="微軟正黑體" w:hAnsi="微軟正黑體"/>
        </w:rPr>
        <w:t>.</w:t>
      </w:r>
      <w:r w:rsidRPr="009213EA">
        <w:rPr>
          <w:rFonts w:ascii="微軟正黑體" w:eastAsia="微軟正黑體" w:hAnsi="微軟正黑體" w:hint="eastAsia"/>
        </w:rPr>
        <w:t>31</w:t>
      </w:r>
      <w:r w:rsidRPr="009213EA">
        <w:rPr>
          <w:rFonts w:ascii="微軟正黑體" w:eastAsia="微軟正黑體" w:hAnsi="微軟正黑體"/>
        </w:rPr>
        <w:t>%</w:t>
      </w:r>
      <w:r w:rsidRPr="009213EA">
        <w:rPr>
          <w:rFonts w:ascii="微軟正黑體" w:eastAsia="微軟正黑體" w:hAnsi="微軟正黑體" w:hint="eastAsia"/>
        </w:rPr>
        <w:t>，超過最低所得組人數的一半以上，65歲以上老年人處於最低所得組的比率也在二十年中已上升將近二十個百分點(可參見表1)。而且在2020年最低所得組，我們可發現皆已出現入不敷出情況，有將近105萬65歲以上家戶戶長，所得已出現入不敷出的情況，可支配所得為33萬8</w:t>
      </w:r>
      <w:r w:rsidRPr="009213EA">
        <w:rPr>
          <w:rFonts w:ascii="微軟正黑體" w:eastAsia="微軟正黑體" w:hAnsi="微軟正黑體"/>
        </w:rPr>
        <w:t>,</w:t>
      </w:r>
      <w:r w:rsidRPr="009213EA">
        <w:rPr>
          <w:rFonts w:ascii="微軟正黑體" w:eastAsia="微軟正黑體" w:hAnsi="微軟正黑體" w:hint="eastAsia"/>
        </w:rPr>
        <w:t>989元；消費支出為36萬1</w:t>
      </w:r>
      <w:r w:rsidRPr="009213EA">
        <w:rPr>
          <w:rFonts w:ascii="微軟正黑體" w:eastAsia="微軟正黑體" w:hAnsi="微軟正黑體"/>
        </w:rPr>
        <w:t>,</w:t>
      </w:r>
      <w:r w:rsidRPr="009213EA">
        <w:rPr>
          <w:rFonts w:ascii="微軟正黑體" w:eastAsia="微軟正黑體" w:hAnsi="微軟正黑體" w:hint="eastAsia"/>
        </w:rPr>
        <w:t>129元，兩者的差距為2萬2</w:t>
      </w:r>
      <w:r w:rsidRPr="009213EA">
        <w:rPr>
          <w:rFonts w:ascii="微軟正黑體" w:eastAsia="微軟正黑體" w:hAnsi="微軟正黑體"/>
        </w:rPr>
        <w:t>,</w:t>
      </w:r>
      <w:r w:rsidRPr="009213EA">
        <w:rPr>
          <w:rFonts w:ascii="微軟正黑體" w:eastAsia="微軟正黑體" w:hAnsi="微軟正黑體" w:hint="eastAsia"/>
        </w:rPr>
        <w:t>140元。</w:t>
      </w:r>
    </w:p>
    <w:p w:rsidR="00F152C0" w:rsidRPr="00C77DF5" w:rsidRDefault="00F152C0" w:rsidP="00F152C0">
      <w:pPr>
        <w:spacing w:line="400" w:lineRule="exact"/>
        <w:ind w:firstLine="482"/>
        <w:jc w:val="both"/>
        <w:rPr>
          <w:rFonts w:ascii="微軟正黑體" w:eastAsia="微軟正黑體" w:hAnsi="微軟正黑體"/>
          <w:color w:val="000000" w:themeColor="text1"/>
        </w:rPr>
      </w:pPr>
    </w:p>
    <w:p w:rsidR="00F152C0" w:rsidRDefault="00F152C0" w:rsidP="00F152C0">
      <w:pPr>
        <w:pStyle w:val="af8"/>
        <w:spacing w:afterLines="30" w:after="108" w:line="400" w:lineRule="exact"/>
        <w:contextualSpacing/>
        <w:jc w:val="center"/>
        <w:rPr>
          <w:rFonts w:ascii="微軟正黑體" w:eastAsia="微軟正黑體" w:hAnsi="微軟正黑體"/>
          <w:spacing w:val="-10"/>
          <w:sz w:val="24"/>
          <w:szCs w:val="24"/>
        </w:rPr>
      </w:pPr>
      <w:r w:rsidRPr="00550E70">
        <w:rPr>
          <w:rFonts w:ascii="微軟正黑體" w:eastAsia="微軟正黑體" w:hAnsi="微軟正黑體"/>
          <w:spacing w:val="-10"/>
          <w:sz w:val="24"/>
          <w:szCs w:val="24"/>
        </w:rPr>
        <w:t xml:space="preserve">表9  </w:t>
      </w:r>
      <w:r w:rsidRPr="006F76C5">
        <w:rPr>
          <w:rFonts w:ascii="微軟正黑體" w:eastAsia="微軟正黑體" w:hAnsi="微軟正黑體" w:hint="eastAsia"/>
          <w:color w:val="000000" w:themeColor="text1"/>
          <w:spacing w:val="-10"/>
          <w:sz w:val="24"/>
          <w:szCs w:val="24"/>
        </w:rPr>
        <w:t>2020年</w:t>
      </w:r>
      <w:r w:rsidRPr="006F76C5">
        <w:rPr>
          <w:rFonts w:ascii="微軟正黑體" w:eastAsia="微軟正黑體" w:hAnsi="微軟正黑體"/>
          <w:spacing w:val="-10"/>
          <w:sz w:val="24"/>
          <w:szCs w:val="24"/>
        </w:rPr>
        <w:t>台灣老人經濟安全圖像：</w:t>
      </w:r>
      <w:r w:rsidRPr="006F76C5">
        <w:rPr>
          <w:rFonts w:ascii="微軟正黑體" w:eastAsia="微軟正黑體" w:hAnsi="微軟正黑體" w:hint="eastAsia"/>
          <w:color w:val="000000" w:themeColor="text1"/>
          <w:spacing w:val="-10"/>
          <w:sz w:val="24"/>
          <w:szCs w:val="24"/>
        </w:rPr>
        <w:t>每戶五等分位</w:t>
      </w:r>
      <w:r w:rsidRPr="006F76C5">
        <w:rPr>
          <w:rFonts w:ascii="微軟正黑體" w:eastAsia="微軟正黑體" w:hAnsi="微軟正黑體" w:hint="eastAsia"/>
          <w:spacing w:val="-10"/>
          <w:sz w:val="24"/>
          <w:szCs w:val="24"/>
        </w:rPr>
        <w:t>最低</w:t>
      </w:r>
      <w:r w:rsidRPr="006F76C5">
        <w:rPr>
          <w:rFonts w:ascii="微軟正黑體" w:eastAsia="微軟正黑體" w:hAnsi="微軟正黑體"/>
          <w:spacing w:val="-10"/>
          <w:sz w:val="24"/>
          <w:szCs w:val="24"/>
        </w:rPr>
        <w:t>所得組入不敷出且有性別差異</w:t>
      </w:r>
    </w:p>
    <w:tbl>
      <w:tblPr>
        <w:tblStyle w:val="a5"/>
        <w:tblW w:w="0" w:type="auto"/>
        <w:tblInd w:w="108" w:type="dxa"/>
        <w:tblLook w:val="04A0" w:firstRow="1" w:lastRow="0" w:firstColumn="1" w:lastColumn="0" w:noHBand="0" w:noVBand="1"/>
      </w:tblPr>
      <w:tblGrid>
        <w:gridCol w:w="1843"/>
        <w:gridCol w:w="1559"/>
        <w:gridCol w:w="1134"/>
        <w:gridCol w:w="1560"/>
        <w:gridCol w:w="1559"/>
        <w:gridCol w:w="1363"/>
      </w:tblGrid>
      <w:tr w:rsidR="00F152C0" w:rsidRPr="00131D41" w:rsidTr="0043673D">
        <w:trPr>
          <w:tblHeader/>
        </w:trPr>
        <w:tc>
          <w:tcPr>
            <w:tcW w:w="1843" w:type="dxa"/>
            <w:tcBorders>
              <w:bottom w:val="double" w:sz="4" w:space="0" w:color="auto"/>
            </w:tcBorders>
            <w:shd w:val="clear" w:color="auto" w:fill="8064A2" w:themeFill="accent4"/>
            <w:vAlign w:val="center"/>
          </w:tcPr>
          <w:p w:rsidR="00F152C0" w:rsidRPr="00131D41" w:rsidRDefault="00F152C0" w:rsidP="00C86667">
            <w:pPr>
              <w:spacing w:line="320" w:lineRule="exact"/>
              <w:jc w:val="center"/>
              <w:rPr>
                <w:rFonts w:eastAsia="微軟正黑體"/>
                <w:b/>
                <w:color w:val="FFFFFF" w:themeColor="background1"/>
                <w:sz w:val="22"/>
                <w:szCs w:val="22"/>
              </w:rPr>
            </w:pPr>
            <w:r w:rsidRPr="00131D41">
              <w:rPr>
                <w:rFonts w:eastAsia="微軟正黑體"/>
                <w:b/>
                <w:color w:val="FFFFFF" w:themeColor="background1"/>
                <w:sz w:val="22"/>
                <w:szCs w:val="22"/>
              </w:rPr>
              <w:t>類型</w:t>
            </w:r>
          </w:p>
        </w:tc>
        <w:tc>
          <w:tcPr>
            <w:tcW w:w="1559" w:type="dxa"/>
            <w:tcBorders>
              <w:bottom w:val="double" w:sz="4" w:space="0" w:color="auto"/>
            </w:tcBorders>
            <w:shd w:val="clear" w:color="auto" w:fill="8064A2" w:themeFill="accent4"/>
            <w:vAlign w:val="center"/>
          </w:tcPr>
          <w:p w:rsidR="00F152C0" w:rsidRPr="00131D41" w:rsidRDefault="00F152C0" w:rsidP="00C86667">
            <w:pPr>
              <w:spacing w:line="320" w:lineRule="exact"/>
              <w:jc w:val="center"/>
              <w:rPr>
                <w:rFonts w:eastAsia="微軟正黑體"/>
                <w:b/>
                <w:color w:val="FFFFFF" w:themeColor="background1"/>
                <w:sz w:val="22"/>
                <w:szCs w:val="22"/>
              </w:rPr>
            </w:pPr>
            <w:r w:rsidRPr="00131D41">
              <w:rPr>
                <w:rFonts w:eastAsia="微軟正黑體"/>
                <w:b/>
                <w:color w:val="FFFFFF" w:themeColor="background1"/>
                <w:sz w:val="22"/>
                <w:szCs w:val="22"/>
              </w:rPr>
              <w:t>戶數</w:t>
            </w:r>
            <w:r w:rsidRPr="00131D41">
              <w:rPr>
                <w:rFonts w:eastAsia="微軟正黑體"/>
                <w:b/>
                <w:color w:val="FFFFFF" w:themeColor="background1"/>
                <w:sz w:val="22"/>
                <w:szCs w:val="22"/>
              </w:rPr>
              <w:t>(</w:t>
            </w:r>
            <w:r w:rsidRPr="00131D41">
              <w:rPr>
                <w:rFonts w:eastAsia="微軟正黑體"/>
                <w:b/>
                <w:color w:val="FFFFFF" w:themeColor="background1"/>
                <w:sz w:val="22"/>
                <w:szCs w:val="22"/>
              </w:rPr>
              <w:t>戶</w:t>
            </w:r>
            <w:r w:rsidRPr="00131D41">
              <w:rPr>
                <w:rFonts w:eastAsia="微軟正黑體"/>
                <w:b/>
                <w:color w:val="FFFFFF" w:themeColor="background1"/>
                <w:sz w:val="22"/>
                <w:szCs w:val="22"/>
              </w:rPr>
              <w:t>)</w:t>
            </w:r>
          </w:p>
        </w:tc>
        <w:tc>
          <w:tcPr>
            <w:tcW w:w="1134" w:type="dxa"/>
            <w:tcBorders>
              <w:bottom w:val="double" w:sz="4" w:space="0" w:color="auto"/>
            </w:tcBorders>
            <w:shd w:val="clear" w:color="auto" w:fill="8064A2" w:themeFill="accent4"/>
            <w:vAlign w:val="center"/>
          </w:tcPr>
          <w:p w:rsidR="00F152C0" w:rsidRPr="00131D41" w:rsidRDefault="00F152C0" w:rsidP="00C86667">
            <w:pPr>
              <w:spacing w:line="320" w:lineRule="exact"/>
              <w:jc w:val="center"/>
              <w:rPr>
                <w:rFonts w:eastAsia="微軟正黑體"/>
                <w:b/>
                <w:color w:val="FFFFFF" w:themeColor="background1"/>
                <w:sz w:val="22"/>
                <w:szCs w:val="22"/>
              </w:rPr>
            </w:pPr>
            <w:r w:rsidRPr="00131D41">
              <w:rPr>
                <w:rFonts w:eastAsia="微軟正黑體"/>
                <w:b/>
                <w:color w:val="FFFFFF" w:themeColor="background1"/>
                <w:sz w:val="22"/>
                <w:szCs w:val="22"/>
              </w:rPr>
              <w:t>平均每戶人數</w:t>
            </w:r>
            <w:r w:rsidRPr="00131D41">
              <w:rPr>
                <w:rFonts w:eastAsia="微軟正黑體"/>
                <w:b/>
                <w:color w:val="FFFFFF" w:themeColor="background1"/>
                <w:sz w:val="22"/>
                <w:szCs w:val="22"/>
              </w:rPr>
              <w:t>(</w:t>
            </w:r>
            <w:r w:rsidRPr="00131D41">
              <w:rPr>
                <w:rFonts w:eastAsia="微軟正黑體"/>
                <w:b/>
                <w:color w:val="FFFFFF" w:themeColor="background1"/>
                <w:sz w:val="22"/>
                <w:szCs w:val="22"/>
              </w:rPr>
              <w:t>人</w:t>
            </w:r>
            <w:r w:rsidRPr="00131D41">
              <w:rPr>
                <w:rFonts w:eastAsia="微軟正黑體"/>
                <w:b/>
                <w:color w:val="FFFFFF" w:themeColor="background1"/>
                <w:sz w:val="22"/>
                <w:szCs w:val="22"/>
              </w:rPr>
              <w:t>)</w:t>
            </w:r>
          </w:p>
        </w:tc>
        <w:tc>
          <w:tcPr>
            <w:tcW w:w="1560" w:type="dxa"/>
            <w:tcBorders>
              <w:bottom w:val="double" w:sz="4" w:space="0" w:color="auto"/>
            </w:tcBorders>
            <w:shd w:val="clear" w:color="auto" w:fill="8064A2" w:themeFill="accent4"/>
            <w:vAlign w:val="center"/>
          </w:tcPr>
          <w:p w:rsidR="00F152C0" w:rsidRPr="00131D41" w:rsidRDefault="00F152C0" w:rsidP="00C86667">
            <w:pPr>
              <w:spacing w:line="320" w:lineRule="exact"/>
              <w:jc w:val="center"/>
              <w:rPr>
                <w:rFonts w:eastAsia="微軟正黑體"/>
                <w:b/>
                <w:color w:val="FFFFFF" w:themeColor="background1"/>
                <w:sz w:val="22"/>
                <w:szCs w:val="22"/>
              </w:rPr>
            </w:pPr>
            <w:r w:rsidRPr="00131D41">
              <w:rPr>
                <w:rFonts w:eastAsia="微軟正黑體"/>
                <w:b/>
                <w:color w:val="FFFFFF" w:themeColor="background1"/>
                <w:sz w:val="22"/>
                <w:szCs w:val="22"/>
              </w:rPr>
              <w:t>可支配所得</w:t>
            </w:r>
            <w:r w:rsidRPr="00131D41">
              <w:rPr>
                <w:rFonts w:eastAsia="微軟正黑體"/>
                <w:b/>
                <w:color w:val="FFFFFF" w:themeColor="background1"/>
                <w:sz w:val="22"/>
                <w:szCs w:val="22"/>
              </w:rPr>
              <w:t>(</w:t>
            </w:r>
            <w:r w:rsidRPr="00131D41">
              <w:rPr>
                <w:rFonts w:eastAsia="微軟正黑體"/>
                <w:b/>
                <w:color w:val="FFFFFF" w:themeColor="background1"/>
                <w:sz w:val="22"/>
                <w:szCs w:val="22"/>
              </w:rPr>
              <w:t>元</w:t>
            </w:r>
            <w:r w:rsidRPr="00131D41">
              <w:rPr>
                <w:rFonts w:eastAsia="微軟正黑體"/>
                <w:b/>
                <w:color w:val="FFFFFF" w:themeColor="background1"/>
                <w:sz w:val="22"/>
                <w:szCs w:val="22"/>
              </w:rPr>
              <w:t>)</w:t>
            </w:r>
          </w:p>
        </w:tc>
        <w:tc>
          <w:tcPr>
            <w:tcW w:w="1559" w:type="dxa"/>
            <w:tcBorders>
              <w:bottom w:val="double" w:sz="4" w:space="0" w:color="auto"/>
            </w:tcBorders>
            <w:shd w:val="clear" w:color="auto" w:fill="8064A2" w:themeFill="accent4"/>
            <w:vAlign w:val="center"/>
          </w:tcPr>
          <w:p w:rsidR="00F152C0" w:rsidRPr="00131D41" w:rsidRDefault="00F152C0" w:rsidP="00C86667">
            <w:pPr>
              <w:spacing w:line="320" w:lineRule="exact"/>
              <w:jc w:val="center"/>
              <w:rPr>
                <w:rFonts w:eastAsia="微軟正黑體"/>
                <w:b/>
                <w:color w:val="FFFFFF" w:themeColor="background1"/>
                <w:sz w:val="22"/>
                <w:szCs w:val="22"/>
              </w:rPr>
            </w:pPr>
            <w:r w:rsidRPr="00131D41">
              <w:rPr>
                <w:rFonts w:eastAsia="微軟正黑體"/>
                <w:b/>
                <w:color w:val="FFFFFF" w:themeColor="background1"/>
                <w:sz w:val="22"/>
                <w:szCs w:val="22"/>
              </w:rPr>
              <w:t>消費支出</w:t>
            </w:r>
          </w:p>
          <w:p w:rsidR="00F152C0" w:rsidRPr="00131D41" w:rsidRDefault="00F152C0" w:rsidP="00C86667">
            <w:pPr>
              <w:spacing w:line="320" w:lineRule="exact"/>
              <w:jc w:val="center"/>
              <w:rPr>
                <w:rFonts w:eastAsia="微軟正黑體"/>
                <w:b/>
                <w:color w:val="FFFFFF" w:themeColor="background1"/>
                <w:sz w:val="22"/>
                <w:szCs w:val="22"/>
              </w:rPr>
            </w:pPr>
            <w:r w:rsidRPr="00131D41">
              <w:rPr>
                <w:rFonts w:eastAsia="微軟正黑體"/>
                <w:b/>
                <w:color w:val="FFFFFF" w:themeColor="background1"/>
                <w:sz w:val="22"/>
                <w:szCs w:val="22"/>
              </w:rPr>
              <w:t>(</w:t>
            </w:r>
            <w:r w:rsidRPr="00131D41">
              <w:rPr>
                <w:rFonts w:eastAsia="微軟正黑體"/>
                <w:b/>
                <w:color w:val="FFFFFF" w:themeColor="background1"/>
                <w:sz w:val="22"/>
                <w:szCs w:val="22"/>
              </w:rPr>
              <w:t>元</w:t>
            </w:r>
            <w:r w:rsidRPr="00131D41">
              <w:rPr>
                <w:rFonts w:eastAsia="微軟正黑體"/>
                <w:b/>
                <w:color w:val="FFFFFF" w:themeColor="background1"/>
                <w:sz w:val="22"/>
                <w:szCs w:val="22"/>
              </w:rPr>
              <w:t>)</w:t>
            </w:r>
          </w:p>
        </w:tc>
        <w:tc>
          <w:tcPr>
            <w:tcW w:w="1363" w:type="dxa"/>
            <w:tcBorders>
              <w:bottom w:val="double" w:sz="4" w:space="0" w:color="auto"/>
            </w:tcBorders>
            <w:shd w:val="clear" w:color="auto" w:fill="8064A2" w:themeFill="accent4"/>
            <w:vAlign w:val="center"/>
          </w:tcPr>
          <w:p w:rsidR="00F152C0" w:rsidRPr="00131D41" w:rsidRDefault="00F152C0" w:rsidP="00C86667">
            <w:pPr>
              <w:spacing w:line="320" w:lineRule="exact"/>
              <w:jc w:val="center"/>
              <w:rPr>
                <w:rFonts w:eastAsia="微軟正黑體"/>
                <w:b/>
                <w:color w:val="FFFFFF" w:themeColor="background1"/>
                <w:sz w:val="22"/>
                <w:szCs w:val="22"/>
              </w:rPr>
            </w:pPr>
            <w:r w:rsidRPr="00131D41">
              <w:rPr>
                <w:rFonts w:eastAsia="微軟正黑體"/>
                <w:b/>
                <w:color w:val="FFFFFF" w:themeColor="background1"/>
                <w:sz w:val="22"/>
                <w:szCs w:val="22"/>
              </w:rPr>
              <w:t>收支平衡</w:t>
            </w:r>
            <w:r w:rsidRPr="00131D41">
              <w:rPr>
                <w:rFonts w:eastAsia="微軟正黑體"/>
                <w:b/>
                <w:color w:val="FFFFFF" w:themeColor="background1"/>
                <w:sz w:val="22"/>
                <w:szCs w:val="22"/>
              </w:rPr>
              <w:t xml:space="preserve"> </w:t>
            </w:r>
            <w:r w:rsidRPr="00131D41">
              <w:rPr>
                <w:rFonts w:eastAsia="微軟正黑體"/>
                <w:b/>
                <w:color w:val="FFFFFF" w:themeColor="background1"/>
                <w:sz w:val="22"/>
                <w:szCs w:val="22"/>
              </w:rPr>
              <w:t>狀況</w:t>
            </w:r>
            <w:r w:rsidRPr="00131D41">
              <w:rPr>
                <w:rFonts w:eastAsia="微軟正黑體"/>
                <w:b/>
                <w:color w:val="FFFFFF" w:themeColor="background1"/>
                <w:sz w:val="22"/>
                <w:szCs w:val="22"/>
              </w:rPr>
              <w:t>(</w:t>
            </w:r>
            <w:r w:rsidRPr="00131D41">
              <w:rPr>
                <w:rFonts w:eastAsia="微軟正黑體"/>
                <w:b/>
                <w:color w:val="FFFFFF" w:themeColor="background1"/>
                <w:sz w:val="22"/>
                <w:szCs w:val="22"/>
              </w:rPr>
              <w:t>元</w:t>
            </w:r>
            <w:r w:rsidRPr="00131D41">
              <w:rPr>
                <w:rFonts w:eastAsia="微軟正黑體"/>
                <w:b/>
                <w:color w:val="FFFFFF" w:themeColor="background1"/>
                <w:sz w:val="22"/>
                <w:szCs w:val="22"/>
              </w:rPr>
              <w:t>)</w:t>
            </w:r>
          </w:p>
        </w:tc>
      </w:tr>
      <w:tr w:rsidR="00F152C0" w:rsidRPr="006F76C5" w:rsidTr="00C86667">
        <w:tc>
          <w:tcPr>
            <w:tcW w:w="1843"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全體家庭</w:t>
            </w:r>
          </w:p>
        </w:tc>
        <w:tc>
          <w:tcPr>
            <w:tcW w:w="1559"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8,829,466</w:t>
            </w:r>
          </w:p>
        </w:tc>
        <w:tc>
          <w:tcPr>
            <w:tcW w:w="1134"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2.92</w:t>
            </w:r>
          </w:p>
        </w:tc>
        <w:tc>
          <w:tcPr>
            <w:tcW w:w="1560"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1,079,648</w:t>
            </w:r>
          </w:p>
        </w:tc>
        <w:tc>
          <w:tcPr>
            <w:tcW w:w="1559"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815,100</w:t>
            </w:r>
          </w:p>
        </w:tc>
        <w:tc>
          <w:tcPr>
            <w:tcW w:w="1363"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p>
        </w:tc>
      </w:tr>
      <w:tr w:rsidR="00F152C0" w:rsidRPr="006F76C5" w:rsidTr="00C86667">
        <w:tc>
          <w:tcPr>
            <w:tcW w:w="184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男性</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6,094,054</w:t>
            </w:r>
          </w:p>
        </w:tc>
        <w:tc>
          <w:tcPr>
            <w:tcW w:w="1134"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3.15</w:t>
            </w:r>
          </w:p>
        </w:tc>
        <w:tc>
          <w:tcPr>
            <w:tcW w:w="1560"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1,162,153</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865,701</w:t>
            </w:r>
          </w:p>
        </w:tc>
        <w:tc>
          <w:tcPr>
            <w:tcW w:w="136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p>
        </w:tc>
      </w:tr>
      <w:tr w:rsidR="00F152C0" w:rsidRPr="006F76C5" w:rsidTr="00C86667">
        <w:tc>
          <w:tcPr>
            <w:tcW w:w="184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女性</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2,735,412</w:t>
            </w:r>
          </w:p>
        </w:tc>
        <w:tc>
          <w:tcPr>
            <w:tcW w:w="1134"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2.42</w:t>
            </w:r>
          </w:p>
        </w:tc>
        <w:tc>
          <w:tcPr>
            <w:tcW w:w="1560"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895,842</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702,368</w:t>
            </w:r>
          </w:p>
        </w:tc>
        <w:tc>
          <w:tcPr>
            <w:tcW w:w="136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p>
        </w:tc>
      </w:tr>
      <w:tr w:rsidR="00F152C0" w:rsidRPr="006F76C5" w:rsidTr="00C86667">
        <w:tc>
          <w:tcPr>
            <w:tcW w:w="1843" w:type="dxa"/>
            <w:tcBorders>
              <w:bottom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65歲及以上</w:t>
            </w:r>
          </w:p>
        </w:tc>
        <w:tc>
          <w:tcPr>
            <w:tcW w:w="1559" w:type="dxa"/>
            <w:tcBorders>
              <w:bottom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2,080,608</w:t>
            </w:r>
          </w:p>
        </w:tc>
        <w:tc>
          <w:tcPr>
            <w:tcW w:w="1134" w:type="dxa"/>
            <w:tcBorders>
              <w:bottom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1.93</w:t>
            </w:r>
          </w:p>
        </w:tc>
        <w:tc>
          <w:tcPr>
            <w:tcW w:w="1560" w:type="dxa"/>
            <w:tcBorders>
              <w:bottom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671,672</w:t>
            </w:r>
          </w:p>
        </w:tc>
        <w:tc>
          <w:tcPr>
            <w:tcW w:w="1559" w:type="dxa"/>
            <w:tcBorders>
              <w:bottom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560,003</w:t>
            </w:r>
          </w:p>
        </w:tc>
        <w:tc>
          <w:tcPr>
            <w:tcW w:w="1363" w:type="dxa"/>
            <w:tcBorders>
              <w:bottom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p>
        </w:tc>
      </w:tr>
      <w:tr w:rsidR="00F152C0" w:rsidRPr="006F76C5" w:rsidTr="00C86667">
        <w:tc>
          <w:tcPr>
            <w:tcW w:w="1843" w:type="dxa"/>
            <w:tcBorders>
              <w:top w:val="double" w:sz="4" w:space="0" w:color="auto"/>
            </w:tcBorders>
            <w:shd w:val="clear" w:color="auto" w:fill="E5DFEC" w:themeFill="accent4" w:themeFillTint="33"/>
            <w:vAlign w:val="center"/>
          </w:tcPr>
          <w:p w:rsidR="00F152C0" w:rsidRPr="006F76C5" w:rsidRDefault="00F152C0" w:rsidP="00C86667">
            <w:pPr>
              <w:snapToGrid w:val="0"/>
              <w:spacing w:line="400" w:lineRule="exact"/>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最低20%所</w:t>
            </w:r>
            <w:r>
              <w:rPr>
                <w:rFonts w:ascii="微軟正黑體" w:eastAsia="微軟正黑體" w:hAnsi="微軟正黑體" w:hint="eastAsia"/>
                <w:sz w:val="22"/>
                <w:szCs w:val="22"/>
              </w:rPr>
              <w:t>得</w:t>
            </w:r>
            <w:r w:rsidRPr="006F76C5">
              <w:rPr>
                <w:rFonts w:ascii="微軟正黑體" w:eastAsia="微軟正黑體" w:hAnsi="微軟正黑體"/>
                <w:sz w:val="22"/>
                <w:szCs w:val="22"/>
              </w:rPr>
              <w:t>組</w:t>
            </w:r>
          </w:p>
        </w:tc>
        <w:tc>
          <w:tcPr>
            <w:tcW w:w="1559" w:type="dxa"/>
            <w:tcBorders>
              <w:top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1,765,893</w:t>
            </w:r>
          </w:p>
        </w:tc>
        <w:tc>
          <w:tcPr>
            <w:tcW w:w="1134" w:type="dxa"/>
            <w:tcBorders>
              <w:top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1.60</w:t>
            </w:r>
          </w:p>
        </w:tc>
        <w:tc>
          <w:tcPr>
            <w:tcW w:w="1560" w:type="dxa"/>
            <w:tcBorders>
              <w:top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354,959</w:t>
            </w:r>
          </w:p>
        </w:tc>
        <w:tc>
          <w:tcPr>
            <w:tcW w:w="1559" w:type="dxa"/>
            <w:tcBorders>
              <w:top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372,529</w:t>
            </w:r>
          </w:p>
        </w:tc>
        <w:tc>
          <w:tcPr>
            <w:tcW w:w="1363" w:type="dxa"/>
            <w:tcBorders>
              <w:top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-17,570</w:t>
            </w:r>
          </w:p>
        </w:tc>
      </w:tr>
      <w:tr w:rsidR="00F152C0" w:rsidRPr="006F76C5" w:rsidTr="00C86667">
        <w:tc>
          <w:tcPr>
            <w:tcW w:w="1843"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男性</w:t>
            </w:r>
          </w:p>
        </w:tc>
        <w:tc>
          <w:tcPr>
            <w:tcW w:w="1559"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953,740</w:t>
            </w:r>
          </w:p>
        </w:tc>
        <w:tc>
          <w:tcPr>
            <w:tcW w:w="1134"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1.75</w:t>
            </w:r>
          </w:p>
        </w:tc>
        <w:tc>
          <w:tcPr>
            <w:tcW w:w="1560"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360,905</w:t>
            </w:r>
          </w:p>
        </w:tc>
        <w:tc>
          <w:tcPr>
            <w:tcW w:w="1559"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393,167</w:t>
            </w:r>
          </w:p>
        </w:tc>
        <w:tc>
          <w:tcPr>
            <w:tcW w:w="1363"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-32,626</w:t>
            </w:r>
          </w:p>
        </w:tc>
      </w:tr>
      <w:tr w:rsidR="00F152C0" w:rsidRPr="006F76C5" w:rsidTr="00C86667">
        <w:tc>
          <w:tcPr>
            <w:tcW w:w="1843"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女性</w:t>
            </w:r>
          </w:p>
        </w:tc>
        <w:tc>
          <w:tcPr>
            <w:tcW w:w="1559"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812,153</w:t>
            </w:r>
          </w:p>
        </w:tc>
        <w:tc>
          <w:tcPr>
            <w:tcW w:w="1134"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1.42</w:t>
            </w:r>
          </w:p>
        </w:tc>
        <w:tc>
          <w:tcPr>
            <w:tcW w:w="1560"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347,977</w:t>
            </w:r>
          </w:p>
        </w:tc>
        <w:tc>
          <w:tcPr>
            <w:tcW w:w="1559"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348,293</w:t>
            </w:r>
          </w:p>
        </w:tc>
        <w:tc>
          <w:tcPr>
            <w:tcW w:w="1363" w:type="dxa"/>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-1,506</w:t>
            </w:r>
          </w:p>
        </w:tc>
      </w:tr>
      <w:tr w:rsidR="00F152C0" w:rsidRPr="006F76C5" w:rsidTr="00C86667">
        <w:tc>
          <w:tcPr>
            <w:tcW w:w="1843" w:type="dxa"/>
            <w:tcBorders>
              <w:bottom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65歲及以上</w:t>
            </w:r>
          </w:p>
        </w:tc>
        <w:tc>
          <w:tcPr>
            <w:tcW w:w="1559" w:type="dxa"/>
            <w:tcBorders>
              <w:bottom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1,047,322</w:t>
            </w:r>
          </w:p>
        </w:tc>
        <w:tc>
          <w:tcPr>
            <w:tcW w:w="1134" w:type="dxa"/>
            <w:tcBorders>
              <w:bottom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1.57</w:t>
            </w:r>
          </w:p>
        </w:tc>
        <w:tc>
          <w:tcPr>
            <w:tcW w:w="1560" w:type="dxa"/>
            <w:tcBorders>
              <w:bottom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338,989</w:t>
            </w:r>
          </w:p>
        </w:tc>
        <w:tc>
          <w:tcPr>
            <w:tcW w:w="1559" w:type="dxa"/>
            <w:tcBorders>
              <w:bottom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361,129</w:t>
            </w:r>
          </w:p>
        </w:tc>
        <w:tc>
          <w:tcPr>
            <w:tcW w:w="1363" w:type="dxa"/>
            <w:tcBorders>
              <w:bottom w:val="double" w:sz="4" w:space="0" w:color="auto"/>
            </w:tcBorders>
            <w:shd w:val="clear" w:color="auto" w:fill="E5DFEC" w:themeFill="accent4" w:themeFillTint="33"/>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-22,140</w:t>
            </w:r>
          </w:p>
        </w:tc>
      </w:tr>
      <w:tr w:rsidR="00F152C0" w:rsidRPr="00131D41" w:rsidTr="00C86667">
        <w:tc>
          <w:tcPr>
            <w:tcW w:w="1843" w:type="dxa"/>
            <w:tcBorders>
              <w:top w:val="double" w:sz="4" w:space="0" w:color="auto"/>
            </w:tcBorders>
            <w:vAlign w:val="center"/>
          </w:tcPr>
          <w:p w:rsidR="00F152C0" w:rsidRPr="006F76C5" w:rsidRDefault="00F152C0" w:rsidP="00C86667">
            <w:pPr>
              <w:snapToGrid w:val="0"/>
              <w:spacing w:line="400" w:lineRule="exact"/>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lastRenderedPageBreak/>
              <w:t>最高20%所得組</w:t>
            </w:r>
          </w:p>
        </w:tc>
        <w:tc>
          <w:tcPr>
            <w:tcW w:w="1559"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1,765,894</w:t>
            </w:r>
          </w:p>
        </w:tc>
        <w:tc>
          <w:tcPr>
            <w:tcW w:w="1134"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4.09</w:t>
            </w:r>
          </w:p>
        </w:tc>
        <w:tc>
          <w:tcPr>
            <w:tcW w:w="1560"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2,176,394</w:t>
            </w:r>
          </w:p>
        </w:tc>
        <w:tc>
          <w:tcPr>
            <w:tcW w:w="1559" w:type="dxa"/>
            <w:tcBorders>
              <w:top w:val="double" w:sz="4" w:space="0" w:color="auto"/>
            </w:tcBorders>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1,346,345</w:t>
            </w:r>
          </w:p>
        </w:tc>
        <w:tc>
          <w:tcPr>
            <w:tcW w:w="1363" w:type="dxa"/>
            <w:tcBorders>
              <w:top w:val="double" w:sz="4" w:space="0" w:color="auto"/>
            </w:tcBorders>
            <w:vAlign w:val="center"/>
          </w:tcPr>
          <w:p w:rsidR="00F152C0" w:rsidRPr="006F76C5" w:rsidRDefault="00F152C0" w:rsidP="00C86667">
            <w:pPr>
              <w:snapToGrid w:val="0"/>
              <w:spacing w:line="400" w:lineRule="exact"/>
              <w:contextualSpacing/>
              <w:jc w:val="right"/>
              <w:rPr>
                <w:rFonts w:ascii="微軟正黑體" w:eastAsia="微軟正黑體" w:hAnsi="微軟正黑體"/>
                <w:sz w:val="22"/>
                <w:szCs w:val="22"/>
              </w:rPr>
            </w:pPr>
          </w:p>
        </w:tc>
      </w:tr>
      <w:tr w:rsidR="00F152C0" w:rsidRPr="006F76C5" w:rsidTr="00C86667">
        <w:tc>
          <w:tcPr>
            <w:tcW w:w="184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男性</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1,411,369</w:t>
            </w:r>
          </w:p>
        </w:tc>
        <w:tc>
          <w:tcPr>
            <w:tcW w:w="1134"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4.18</w:t>
            </w:r>
          </w:p>
        </w:tc>
        <w:tc>
          <w:tcPr>
            <w:tcW w:w="1560"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2,197,869</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1,358,036</w:t>
            </w:r>
          </w:p>
        </w:tc>
        <w:tc>
          <w:tcPr>
            <w:tcW w:w="136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p>
        </w:tc>
      </w:tr>
      <w:tr w:rsidR="00F152C0" w:rsidRPr="006F76C5" w:rsidTr="00C86667">
        <w:tc>
          <w:tcPr>
            <w:tcW w:w="184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女性</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354,525</w:t>
            </w:r>
          </w:p>
        </w:tc>
        <w:tc>
          <w:tcPr>
            <w:tcW w:w="1134"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3.70</w:t>
            </w:r>
          </w:p>
        </w:tc>
        <w:tc>
          <w:tcPr>
            <w:tcW w:w="1560"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2,090,905</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1,299,804</w:t>
            </w:r>
          </w:p>
        </w:tc>
        <w:tc>
          <w:tcPr>
            <w:tcW w:w="136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p>
        </w:tc>
      </w:tr>
      <w:tr w:rsidR="00F152C0" w:rsidRPr="006F76C5" w:rsidTr="00C86667">
        <w:tc>
          <w:tcPr>
            <w:tcW w:w="184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65歲及以上</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114,649</w:t>
            </w:r>
          </w:p>
        </w:tc>
        <w:tc>
          <w:tcPr>
            <w:tcW w:w="1134"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3.34</w:t>
            </w:r>
          </w:p>
        </w:tc>
        <w:tc>
          <w:tcPr>
            <w:tcW w:w="1560"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2,540,466</w:t>
            </w:r>
          </w:p>
        </w:tc>
        <w:tc>
          <w:tcPr>
            <w:tcW w:w="1559"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r w:rsidRPr="006F76C5">
              <w:rPr>
                <w:rFonts w:ascii="微軟正黑體" w:eastAsia="微軟正黑體" w:hAnsi="微軟正黑體"/>
                <w:sz w:val="22"/>
                <w:szCs w:val="22"/>
              </w:rPr>
              <w:t>1,346,901</w:t>
            </w:r>
          </w:p>
        </w:tc>
        <w:tc>
          <w:tcPr>
            <w:tcW w:w="1363" w:type="dxa"/>
            <w:vAlign w:val="center"/>
          </w:tcPr>
          <w:p w:rsidR="00F152C0" w:rsidRPr="006F76C5" w:rsidRDefault="00F152C0" w:rsidP="00C86667">
            <w:pPr>
              <w:snapToGrid w:val="0"/>
              <w:spacing w:line="400" w:lineRule="exact"/>
              <w:ind w:rightChars="38" w:right="91" w:firstLineChars="100" w:firstLine="220"/>
              <w:contextualSpacing/>
              <w:jc w:val="right"/>
              <w:rPr>
                <w:rFonts w:ascii="微軟正黑體" w:eastAsia="微軟正黑體" w:hAnsi="微軟正黑體"/>
                <w:sz w:val="22"/>
                <w:szCs w:val="22"/>
              </w:rPr>
            </w:pPr>
          </w:p>
        </w:tc>
      </w:tr>
    </w:tbl>
    <w:p w:rsidR="00F152C0" w:rsidRDefault="00F152C0" w:rsidP="00F152C0">
      <w:pPr>
        <w:snapToGrid w:val="0"/>
        <w:spacing w:line="400" w:lineRule="exact"/>
        <w:ind w:rightChars="38" w:right="91"/>
        <w:contextualSpacing/>
        <w:rPr>
          <w:rFonts w:ascii="微軟正黑體" w:eastAsia="微軟正黑體" w:hAnsi="微軟正黑體"/>
          <w:sz w:val="22"/>
          <w:szCs w:val="22"/>
        </w:rPr>
      </w:pPr>
      <w:r w:rsidRPr="006F76C5">
        <w:rPr>
          <w:rFonts w:ascii="微軟正黑體" w:eastAsia="微軟正黑體" w:hAnsi="微軟正黑體"/>
          <w:sz w:val="22"/>
          <w:szCs w:val="22"/>
        </w:rPr>
        <w:t>資料來源：行政院主計總處2020年家庭收支調查，本研究另行整理製</w:t>
      </w:r>
      <w:r>
        <w:rPr>
          <w:rFonts w:ascii="微軟正黑體" w:eastAsia="微軟正黑體" w:hAnsi="微軟正黑體" w:hint="eastAsia"/>
          <w:sz w:val="22"/>
          <w:szCs w:val="22"/>
        </w:rPr>
        <w:t>表</w:t>
      </w:r>
      <w:r w:rsidRPr="006F76C5">
        <w:rPr>
          <w:rFonts w:ascii="微軟正黑體" w:eastAsia="微軟正黑體" w:hAnsi="微軟正黑體"/>
          <w:sz w:val="22"/>
          <w:szCs w:val="22"/>
        </w:rPr>
        <w:t>。</w:t>
      </w:r>
    </w:p>
    <w:p w:rsidR="00F152C0" w:rsidRPr="003C43F0" w:rsidRDefault="00F152C0" w:rsidP="00F152C0">
      <w:pPr>
        <w:spacing w:line="320" w:lineRule="exact"/>
        <w:ind w:firstLine="482"/>
        <w:jc w:val="both"/>
        <w:rPr>
          <w:rFonts w:ascii="微軟正黑體" w:eastAsia="微軟正黑體" w:hAnsi="微軟正黑體"/>
        </w:rPr>
      </w:pPr>
    </w:p>
    <w:p w:rsidR="00F152C0" w:rsidRDefault="00F152C0" w:rsidP="00F152C0">
      <w:pPr>
        <w:spacing w:line="400" w:lineRule="exact"/>
        <w:ind w:firstLine="482"/>
        <w:jc w:val="both"/>
        <w:rPr>
          <w:rFonts w:ascii="微軟正黑體" w:eastAsia="微軟正黑體" w:hAnsi="微軟正黑體"/>
        </w:rPr>
      </w:pPr>
      <w:r w:rsidRPr="001B1387">
        <w:rPr>
          <w:rFonts w:ascii="微軟正黑體" w:eastAsia="微軟正黑體" w:hAnsi="微軟正黑體" w:hint="eastAsia"/>
        </w:rPr>
        <w:t>而根據國發會所統整的低收入戶與中低收入戶的資料，我們可發現此為一般所謂的落入國家社會救助法的「貧窮線」之絕對貧窮人口比率，在2020年我國計有2</w:t>
      </w:r>
      <w:r w:rsidRPr="001B1387">
        <w:rPr>
          <w:rFonts w:ascii="微軟正黑體" w:eastAsia="微軟正黑體" w:hAnsi="微軟正黑體"/>
        </w:rPr>
        <w:t>.</w:t>
      </w:r>
      <w:r w:rsidRPr="001B1387">
        <w:rPr>
          <w:rFonts w:ascii="微軟正黑體" w:eastAsia="微軟正黑體" w:hAnsi="微軟正黑體" w:hint="eastAsia"/>
        </w:rPr>
        <w:t>65</w:t>
      </w:r>
      <w:r w:rsidRPr="001B1387">
        <w:rPr>
          <w:rFonts w:ascii="微軟正黑體" w:eastAsia="微軟正黑體" w:hAnsi="微軟正黑體"/>
        </w:rPr>
        <w:t>%</w:t>
      </w:r>
      <w:r w:rsidRPr="001B1387">
        <w:rPr>
          <w:rFonts w:ascii="微軟正黑體" w:eastAsia="微軟正黑體" w:hAnsi="微軟正黑體" w:hint="eastAsia"/>
        </w:rPr>
        <w:t>的人口落入絕對貧窮線。從2007年到2020年，低收入人口數從22萬人增加到30萬</w:t>
      </w:r>
      <w:r w:rsidRPr="00C77DF5">
        <w:rPr>
          <w:rFonts w:ascii="微軟正黑體" w:eastAsia="微軟正黑體" w:hAnsi="微軟正黑體" w:hint="eastAsia"/>
          <w:color w:val="000000" w:themeColor="text1"/>
        </w:rPr>
        <w:t>人</w:t>
      </w:r>
      <w:r w:rsidRPr="001B1387">
        <w:rPr>
          <w:rFonts w:ascii="微軟正黑體" w:eastAsia="微軟正黑體" w:hAnsi="微軟正黑體" w:hint="eastAsia"/>
        </w:rPr>
        <w:t>；同一時期，中低收入人數從2011年社會救助法新增此項目之後，一開始為12萬人，在2020年已大幅上升為32萬5</w:t>
      </w:r>
      <w:r w:rsidRPr="001B1387">
        <w:rPr>
          <w:rFonts w:ascii="微軟正黑體" w:eastAsia="微軟正黑體" w:hAnsi="微軟正黑體"/>
        </w:rPr>
        <w:t>,</w:t>
      </w:r>
      <w:r w:rsidRPr="001B1387">
        <w:rPr>
          <w:rFonts w:ascii="微軟正黑體" w:eastAsia="微軟正黑體" w:hAnsi="微軟正黑體" w:hint="eastAsia"/>
        </w:rPr>
        <w:t>681人。</w:t>
      </w:r>
    </w:p>
    <w:p w:rsidR="00F152C0" w:rsidRDefault="00F152C0" w:rsidP="00F152C0">
      <w:pPr>
        <w:spacing w:line="400" w:lineRule="exact"/>
        <w:ind w:firstLine="482"/>
        <w:jc w:val="both"/>
        <w:rPr>
          <w:rFonts w:ascii="微軟正黑體" w:eastAsia="微軟正黑體" w:hAnsi="微軟正黑體"/>
        </w:rPr>
      </w:pPr>
    </w:p>
    <w:p w:rsidR="00F152C0" w:rsidRPr="001B1387" w:rsidRDefault="00F152C0" w:rsidP="00F152C0">
      <w:pPr>
        <w:pStyle w:val="af8"/>
        <w:spacing w:afterLines="30" w:after="108" w:line="400" w:lineRule="exact"/>
        <w:contextualSpacing/>
        <w:jc w:val="center"/>
        <w:rPr>
          <w:rFonts w:ascii="微軟正黑體" w:eastAsia="微軟正黑體" w:hAnsi="微軟正黑體"/>
          <w:sz w:val="24"/>
          <w:szCs w:val="24"/>
        </w:rPr>
      </w:pPr>
      <w:r w:rsidRPr="001B1387">
        <w:rPr>
          <w:rFonts w:ascii="微軟正黑體" w:eastAsia="微軟正黑體" w:hAnsi="微軟正黑體" w:hint="eastAsia"/>
          <w:sz w:val="24"/>
          <w:szCs w:val="24"/>
        </w:rPr>
        <w:t>表10</w:t>
      </w:r>
      <w:r w:rsidRPr="001B1387">
        <w:rPr>
          <w:rFonts w:ascii="微軟正黑體" w:eastAsia="微軟正黑體" w:hAnsi="微軟正黑體"/>
          <w:sz w:val="24"/>
          <w:szCs w:val="24"/>
        </w:rPr>
        <w:t xml:space="preserve"> </w:t>
      </w:r>
      <w:r w:rsidRPr="001B1387">
        <w:rPr>
          <w:rFonts w:ascii="微軟正黑體" w:eastAsia="微軟正黑體" w:hAnsi="微軟正黑體" w:hint="eastAsia"/>
          <w:sz w:val="24"/>
          <w:szCs w:val="24"/>
        </w:rPr>
        <w:t>我國2007</w:t>
      </w:r>
      <w:r w:rsidRPr="001B1387">
        <w:rPr>
          <w:rFonts w:ascii="微軟正黑體" w:eastAsia="微軟正黑體" w:hAnsi="微軟正黑體"/>
          <w:sz w:val="24"/>
          <w:szCs w:val="24"/>
        </w:rPr>
        <w:t>-</w:t>
      </w:r>
      <w:r w:rsidRPr="001B1387">
        <w:rPr>
          <w:rFonts w:ascii="微軟正黑體" w:eastAsia="微軟正黑體" w:hAnsi="微軟正黑體" w:hint="eastAsia"/>
          <w:sz w:val="24"/>
          <w:szCs w:val="24"/>
        </w:rPr>
        <w:t>2020我國低收入戶與中低收入戶人數之成長趨勢</w:t>
      </w:r>
    </w:p>
    <w:tbl>
      <w:tblPr>
        <w:tblStyle w:val="TableNormal"/>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1022"/>
        <w:gridCol w:w="1023"/>
        <w:gridCol w:w="1023"/>
        <w:gridCol w:w="1023"/>
        <w:gridCol w:w="1023"/>
        <w:gridCol w:w="1023"/>
        <w:gridCol w:w="1023"/>
        <w:gridCol w:w="1023"/>
      </w:tblGrid>
      <w:tr w:rsidR="00F152C0" w:rsidRPr="00131D41" w:rsidTr="00C86667">
        <w:trPr>
          <w:trHeight w:val="434"/>
        </w:trPr>
        <w:tc>
          <w:tcPr>
            <w:tcW w:w="894" w:type="dxa"/>
            <w:vMerge w:val="restart"/>
            <w:shd w:val="clear" w:color="auto" w:fill="8064A2" w:themeFill="accent4"/>
            <w:vAlign w:val="center"/>
          </w:tcPr>
          <w:p w:rsidR="00F152C0" w:rsidRPr="00131D41" w:rsidRDefault="00F152C0" w:rsidP="00F152C0">
            <w:pPr>
              <w:pStyle w:val="af8"/>
              <w:spacing w:beforeLines="50" w:before="180" w:line="360" w:lineRule="exact"/>
              <w:contextualSpacing/>
              <w:jc w:val="center"/>
              <w:rPr>
                <w:rFonts w:ascii="微軟正黑體" w:eastAsia="微軟正黑體" w:hAnsi="微軟正黑體"/>
                <w:b/>
                <w:color w:val="FFFFFF" w:themeColor="background1"/>
                <w:sz w:val="22"/>
                <w:szCs w:val="22"/>
              </w:rPr>
            </w:pPr>
            <w:r w:rsidRPr="00131D41">
              <w:rPr>
                <w:rFonts w:ascii="微軟正黑體" w:eastAsia="微軟正黑體" w:hAnsi="微軟正黑體" w:hint="eastAsia"/>
                <w:b/>
                <w:color w:val="FFFFFF" w:themeColor="background1"/>
                <w:sz w:val="22"/>
                <w:szCs w:val="22"/>
                <w:lang w:eastAsia="zh-TW"/>
              </w:rPr>
              <w:t>年底</w:t>
            </w:r>
          </w:p>
        </w:tc>
        <w:tc>
          <w:tcPr>
            <w:tcW w:w="4091" w:type="dxa"/>
            <w:gridSpan w:val="4"/>
            <w:shd w:val="clear" w:color="auto" w:fill="8064A2" w:themeFill="accent4"/>
            <w:vAlign w:val="center"/>
          </w:tcPr>
          <w:p w:rsidR="00F152C0" w:rsidRPr="00131D41" w:rsidRDefault="00F152C0" w:rsidP="00C86667">
            <w:pPr>
              <w:pStyle w:val="TableParagraph"/>
              <w:spacing w:after="100" w:afterAutospacing="1" w:line="360" w:lineRule="exact"/>
              <w:jc w:val="center"/>
              <w:rPr>
                <w:rFonts w:ascii="微軟正黑體" w:eastAsia="微軟正黑體" w:hAnsi="微軟正黑體"/>
                <w:b/>
                <w:color w:val="FFFFFF" w:themeColor="background1"/>
              </w:rPr>
            </w:pPr>
            <w:r w:rsidRPr="00131D41">
              <w:rPr>
                <w:rFonts w:ascii="微軟正黑體" w:eastAsia="微軟正黑體" w:hAnsi="微軟正黑體" w:hint="eastAsia"/>
                <w:b/>
                <w:color w:val="FFFFFF" w:themeColor="background1"/>
              </w:rPr>
              <w:t>低收入戶</w:t>
            </w:r>
          </w:p>
        </w:tc>
        <w:tc>
          <w:tcPr>
            <w:tcW w:w="4092" w:type="dxa"/>
            <w:gridSpan w:val="4"/>
            <w:shd w:val="clear" w:color="auto" w:fill="8064A2" w:themeFill="accent4"/>
            <w:vAlign w:val="center"/>
          </w:tcPr>
          <w:p w:rsidR="00F152C0" w:rsidRPr="00131D41" w:rsidRDefault="00F152C0" w:rsidP="00C86667">
            <w:pPr>
              <w:pStyle w:val="TableParagraph"/>
              <w:spacing w:after="100" w:afterAutospacing="1" w:line="360" w:lineRule="exact"/>
              <w:jc w:val="center"/>
              <w:rPr>
                <w:rFonts w:ascii="微軟正黑體" w:eastAsia="微軟正黑體" w:hAnsi="微軟正黑體"/>
                <w:b/>
                <w:color w:val="FFFFFF" w:themeColor="background1"/>
              </w:rPr>
            </w:pPr>
            <w:r w:rsidRPr="00131D41">
              <w:rPr>
                <w:rFonts w:ascii="微軟正黑體" w:eastAsia="微軟正黑體" w:hAnsi="微軟正黑體" w:hint="eastAsia"/>
                <w:b/>
                <w:color w:val="FFFFFF" w:themeColor="background1"/>
              </w:rPr>
              <w:t>中低收入戶</w:t>
            </w:r>
          </w:p>
        </w:tc>
      </w:tr>
      <w:tr w:rsidR="00F152C0" w:rsidRPr="005F657B" w:rsidTr="00C86667">
        <w:trPr>
          <w:trHeight w:val="922"/>
        </w:trPr>
        <w:tc>
          <w:tcPr>
            <w:tcW w:w="894" w:type="dxa"/>
            <w:vMerge/>
            <w:vAlign w:val="center"/>
          </w:tcPr>
          <w:p w:rsidR="00F152C0" w:rsidRPr="005F657B" w:rsidRDefault="00F152C0" w:rsidP="00C86667">
            <w:pPr>
              <w:spacing w:after="100" w:afterAutospacing="1" w:line="360" w:lineRule="exact"/>
              <w:jc w:val="center"/>
              <w:rPr>
                <w:rFonts w:ascii="微軟正黑體" w:eastAsia="微軟正黑體" w:hAnsi="微軟正黑體"/>
                <w:szCs w:val="22"/>
              </w:rPr>
            </w:pPr>
          </w:p>
        </w:tc>
        <w:tc>
          <w:tcPr>
            <w:tcW w:w="1022" w:type="dxa"/>
            <w:shd w:val="clear" w:color="auto" w:fill="E5DFEC" w:themeFill="accent4" w:themeFillTint="33"/>
            <w:vAlign w:val="center"/>
          </w:tcPr>
          <w:p w:rsidR="00F152C0" w:rsidRPr="005F657B" w:rsidRDefault="00F152C0" w:rsidP="00C86667">
            <w:pPr>
              <w:pStyle w:val="TableParagraph"/>
              <w:spacing w:after="100" w:afterAutospacing="1" w:line="360" w:lineRule="exact"/>
              <w:jc w:val="center"/>
              <w:rPr>
                <w:rFonts w:ascii="微軟正黑體" w:eastAsia="微軟正黑體" w:hAnsi="微軟正黑體"/>
              </w:rPr>
            </w:pPr>
            <w:r w:rsidRPr="005F657B">
              <w:rPr>
                <w:rFonts w:ascii="微軟正黑體" w:eastAsia="微軟正黑體" w:hAnsi="微軟正黑體" w:hint="eastAsia"/>
              </w:rPr>
              <w:t>戶數(戶)</w:t>
            </w:r>
          </w:p>
        </w:tc>
        <w:tc>
          <w:tcPr>
            <w:tcW w:w="1023" w:type="dxa"/>
            <w:shd w:val="clear" w:color="auto" w:fill="E5DFEC" w:themeFill="accent4" w:themeFillTint="33"/>
            <w:vAlign w:val="center"/>
          </w:tcPr>
          <w:p w:rsidR="00F152C0" w:rsidRPr="005F657B" w:rsidRDefault="00F152C0" w:rsidP="00C86667">
            <w:pPr>
              <w:pStyle w:val="TableParagraph"/>
              <w:spacing w:after="100" w:afterAutospacing="1" w:line="360" w:lineRule="exact"/>
              <w:jc w:val="center"/>
              <w:rPr>
                <w:rFonts w:ascii="微軟正黑體" w:eastAsia="微軟正黑體" w:hAnsi="微軟正黑體"/>
              </w:rPr>
            </w:pPr>
            <w:r w:rsidRPr="005F657B">
              <w:rPr>
                <w:rFonts w:ascii="微軟正黑體" w:eastAsia="微軟正黑體" w:hAnsi="微軟正黑體" w:hint="eastAsia"/>
                <w:spacing w:val="-1"/>
              </w:rPr>
              <w:t>占總戶數比率(％)</w:t>
            </w:r>
          </w:p>
        </w:tc>
        <w:tc>
          <w:tcPr>
            <w:tcW w:w="1023" w:type="dxa"/>
            <w:shd w:val="clear" w:color="auto" w:fill="E5DFEC" w:themeFill="accent4" w:themeFillTint="33"/>
            <w:vAlign w:val="center"/>
          </w:tcPr>
          <w:p w:rsidR="00F152C0" w:rsidRPr="005F657B" w:rsidRDefault="00F152C0" w:rsidP="00C86667">
            <w:pPr>
              <w:pStyle w:val="TableParagraph"/>
              <w:spacing w:after="100" w:afterAutospacing="1" w:line="360" w:lineRule="exact"/>
              <w:jc w:val="center"/>
              <w:rPr>
                <w:rFonts w:ascii="微軟正黑體" w:eastAsia="微軟正黑體" w:hAnsi="微軟正黑體"/>
              </w:rPr>
            </w:pPr>
            <w:r w:rsidRPr="005F657B">
              <w:rPr>
                <w:rFonts w:ascii="微軟正黑體" w:eastAsia="微軟正黑體" w:hAnsi="微軟正黑體" w:hint="eastAsia"/>
              </w:rPr>
              <w:t>人數(人)</w:t>
            </w:r>
          </w:p>
        </w:tc>
        <w:tc>
          <w:tcPr>
            <w:tcW w:w="1023" w:type="dxa"/>
            <w:shd w:val="clear" w:color="auto" w:fill="E5DFEC" w:themeFill="accent4" w:themeFillTint="33"/>
            <w:vAlign w:val="center"/>
          </w:tcPr>
          <w:p w:rsidR="00F152C0" w:rsidRPr="005F657B" w:rsidRDefault="00F152C0" w:rsidP="00C86667">
            <w:pPr>
              <w:pStyle w:val="TableParagraph"/>
              <w:spacing w:after="100" w:afterAutospacing="1" w:line="360" w:lineRule="exact"/>
              <w:jc w:val="center"/>
              <w:rPr>
                <w:rFonts w:ascii="微軟正黑體" w:eastAsia="微軟正黑體" w:hAnsi="微軟正黑體"/>
              </w:rPr>
            </w:pPr>
            <w:r w:rsidRPr="005F657B">
              <w:rPr>
                <w:rFonts w:ascii="微軟正黑體" w:eastAsia="微軟正黑體" w:hAnsi="微軟正黑體" w:hint="eastAsia"/>
                <w:spacing w:val="-1"/>
              </w:rPr>
              <w:t>占總人口比率(％)</w:t>
            </w:r>
          </w:p>
        </w:tc>
        <w:tc>
          <w:tcPr>
            <w:tcW w:w="1023" w:type="dxa"/>
            <w:shd w:val="clear" w:color="auto" w:fill="E5DFEC" w:themeFill="accent4" w:themeFillTint="33"/>
            <w:vAlign w:val="center"/>
          </w:tcPr>
          <w:p w:rsidR="00F152C0" w:rsidRPr="005F657B" w:rsidRDefault="00F152C0" w:rsidP="00C86667">
            <w:pPr>
              <w:pStyle w:val="TableParagraph"/>
              <w:spacing w:after="100" w:afterAutospacing="1" w:line="360" w:lineRule="exact"/>
              <w:jc w:val="center"/>
              <w:rPr>
                <w:rFonts w:ascii="微軟正黑體" w:eastAsia="微軟正黑體" w:hAnsi="微軟正黑體"/>
              </w:rPr>
            </w:pPr>
            <w:r w:rsidRPr="005F657B">
              <w:rPr>
                <w:rFonts w:ascii="微軟正黑體" w:eastAsia="微軟正黑體" w:hAnsi="微軟正黑體" w:hint="eastAsia"/>
              </w:rPr>
              <w:t>戶數(戶)</w:t>
            </w:r>
          </w:p>
        </w:tc>
        <w:tc>
          <w:tcPr>
            <w:tcW w:w="1023" w:type="dxa"/>
            <w:shd w:val="clear" w:color="auto" w:fill="E5DFEC" w:themeFill="accent4" w:themeFillTint="33"/>
            <w:vAlign w:val="center"/>
          </w:tcPr>
          <w:p w:rsidR="00F152C0" w:rsidRPr="005F657B" w:rsidRDefault="00F152C0" w:rsidP="00C86667">
            <w:pPr>
              <w:pStyle w:val="TableParagraph"/>
              <w:spacing w:after="100" w:afterAutospacing="1" w:line="360" w:lineRule="exact"/>
              <w:jc w:val="center"/>
              <w:rPr>
                <w:rFonts w:ascii="微軟正黑體" w:eastAsia="微軟正黑體" w:hAnsi="微軟正黑體"/>
              </w:rPr>
            </w:pPr>
            <w:r w:rsidRPr="005F657B">
              <w:rPr>
                <w:rFonts w:ascii="微軟正黑體" w:eastAsia="微軟正黑體" w:hAnsi="微軟正黑體" w:hint="eastAsia"/>
                <w:spacing w:val="-1"/>
              </w:rPr>
              <w:t>占總戶數比率(％)</w:t>
            </w:r>
          </w:p>
        </w:tc>
        <w:tc>
          <w:tcPr>
            <w:tcW w:w="1023" w:type="dxa"/>
            <w:shd w:val="clear" w:color="auto" w:fill="E5DFEC" w:themeFill="accent4" w:themeFillTint="33"/>
            <w:vAlign w:val="center"/>
          </w:tcPr>
          <w:p w:rsidR="00F152C0" w:rsidRPr="005F657B" w:rsidRDefault="00F152C0" w:rsidP="0043673D">
            <w:pPr>
              <w:pStyle w:val="TableParagraph"/>
              <w:spacing w:after="100" w:afterAutospacing="1" w:line="360" w:lineRule="exact"/>
              <w:jc w:val="center"/>
              <w:rPr>
                <w:rFonts w:ascii="微軟正黑體" w:eastAsia="微軟正黑體" w:hAnsi="微軟正黑體"/>
                <w:lang w:eastAsia="zh-TW"/>
              </w:rPr>
            </w:pPr>
            <w:r w:rsidRPr="005F657B">
              <w:rPr>
                <w:rFonts w:ascii="微軟正黑體" w:eastAsia="微軟正黑體" w:hAnsi="微軟正黑體" w:hint="eastAsia"/>
              </w:rPr>
              <w:t>人數</w:t>
            </w:r>
            <w:r w:rsidR="0043673D">
              <w:rPr>
                <w:rFonts w:ascii="微軟正黑體" w:eastAsia="微軟正黑體" w:hAnsi="微軟正黑體" w:hint="eastAsia"/>
                <w:lang w:eastAsia="zh-TW"/>
              </w:rPr>
              <w:t>(</w:t>
            </w:r>
            <w:r w:rsidR="0043673D">
              <w:rPr>
                <w:rFonts w:ascii="微軟正黑體" w:eastAsia="微軟正黑體" w:hAnsi="微軟正黑體" w:hint="eastAsia"/>
              </w:rPr>
              <w:t>人</w:t>
            </w:r>
            <w:r w:rsidR="0043673D">
              <w:rPr>
                <w:rFonts w:ascii="微軟正黑體" w:eastAsia="微軟正黑體" w:hAnsi="微軟正黑體" w:hint="eastAsia"/>
                <w:lang w:eastAsia="zh-TW"/>
              </w:rPr>
              <w:t>)</w:t>
            </w:r>
          </w:p>
        </w:tc>
        <w:tc>
          <w:tcPr>
            <w:tcW w:w="1023" w:type="dxa"/>
            <w:shd w:val="clear" w:color="auto" w:fill="E5DFEC" w:themeFill="accent4" w:themeFillTint="33"/>
            <w:vAlign w:val="center"/>
          </w:tcPr>
          <w:p w:rsidR="00F152C0" w:rsidRPr="005F657B" w:rsidRDefault="00F152C0" w:rsidP="00C86667">
            <w:pPr>
              <w:pStyle w:val="TableParagraph"/>
              <w:spacing w:after="100" w:afterAutospacing="1" w:line="360" w:lineRule="exact"/>
              <w:jc w:val="center"/>
              <w:rPr>
                <w:rFonts w:ascii="微軟正黑體" w:eastAsia="微軟正黑體" w:hAnsi="微軟正黑體"/>
              </w:rPr>
            </w:pPr>
            <w:r w:rsidRPr="005F657B">
              <w:rPr>
                <w:rFonts w:ascii="微軟正黑體" w:eastAsia="微軟正黑體" w:hAnsi="微軟正黑體" w:hint="eastAsia"/>
              </w:rPr>
              <w:t>占總人口比率(％)</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2007</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Pr>
                <w:rFonts w:ascii="微軟正黑體" w:eastAsia="微軟正黑體" w:hAnsi="微軟正黑體"/>
              </w:rPr>
              <w:t xml:space="preserve"> </w:t>
            </w:r>
            <w:r w:rsidRPr="005F657B">
              <w:rPr>
                <w:rFonts w:ascii="微軟正黑體" w:eastAsia="微軟正黑體" w:hAnsi="微軟正黑體"/>
              </w:rPr>
              <w:t>90,862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1.21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220,990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0.96</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2008</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Pr>
                <w:rFonts w:ascii="微軟正黑體" w:eastAsia="微軟正黑體" w:hAnsi="微軟正黑體"/>
              </w:rPr>
              <w:t xml:space="preserve"> </w:t>
            </w:r>
            <w:r w:rsidRPr="005F657B">
              <w:rPr>
                <w:rFonts w:ascii="微軟正黑體" w:eastAsia="微軟正黑體" w:hAnsi="微軟正黑體"/>
              </w:rPr>
              <w:t>93,032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1.22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223,697</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0.97</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2009</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105,265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256,342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2010</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112,200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273,361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1.18</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2011</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128,237</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1.59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314,282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Pr>
                <w:rFonts w:ascii="微軟正黑體" w:eastAsia="微軟正黑體" w:hAnsi="微軟正黑體"/>
              </w:rPr>
              <w:t xml:space="preserve"> </w:t>
            </w:r>
            <w:r w:rsidRPr="005F657B">
              <w:rPr>
                <w:rFonts w:ascii="微軟正黑體" w:eastAsia="微軟正黑體" w:hAnsi="微軟正黑體"/>
              </w:rPr>
              <w:t>35,420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0.44</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120,042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0.52</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2012</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145,613</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1.78</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357,446</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1.53</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Pr>
                <w:rFonts w:ascii="微軟正黑體" w:eastAsia="微軟正黑體" w:hAnsi="微軟正黑體"/>
              </w:rPr>
              <w:t xml:space="preserve"> </w:t>
            </w:r>
            <w:r w:rsidRPr="005F657B">
              <w:rPr>
                <w:rFonts w:ascii="微軟正黑體" w:eastAsia="微軟正黑體" w:hAnsi="微軟正黑體"/>
              </w:rPr>
              <w:t>88,988</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1.09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282,019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1.21</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2013</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148,590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1.79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361,765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1.55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108,589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334,391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1.43</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2014</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149,958</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1.79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357,722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1.53</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114,522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1.37</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349,130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1.49</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2015</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146,379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1.73</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342,490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1.46</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117,686</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1.36</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356,185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1.52</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2016</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145,176</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1.70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331,776</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119,081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358,161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1.52</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2017</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142,814</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1.65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317,257</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117,776</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1.36</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350,425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1.49</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2018</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143,941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1.65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311,405</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115,570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338,468</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1.43</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2019</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144,863</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1.64</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304,470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1.29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115,937</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334,237</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1.42</w:t>
            </w:r>
          </w:p>
        </w:tc>
      </w:tr>
      <w:tr w:rsidR="00F152C0" w:rsidRPr="005F657B" w:rsidTr="0043673D">
        <w:trPr>
          <w:trHeight w:val="454"/>
        </w:trPr>
        <w:tc>
          <w:tcPr>
            <w:tcW w:w="894"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2020</w:t>
            </w:r>
          </w:p>
        </w:tc>
        <w:tc>
          <w:tcPr>
            <w:tcW w:w="1022"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146,342</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1.64</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300,241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1.27</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114,840</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1.29</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325,681</w:t>
            </w:r>
          </w:p>
        </w:tc>
        <w:tc>
          <w:tcPr>
            <w:tcW w:w="1023" w:type="dxa"/>
            <w:vAlign w:val="center"/>
          </w:tcPr>
          <w:p w:rsidR="00F152C0" w:rsidRPr="005F657B" w:rsidRDefault="00F152C0" w:rsidP="00C86667">
            <w:pPr>
              <w:pStyle w:val="TableParagraph"/>
              <w:spacing w:after="100" w:afterAutospacing="1" w:line="400" w:lineRule="exact"/>
              <w:jc w:val="center"/>
              <w:rPr>
                <w:rFonts w:ascii="微軟正黑體" w:eastAsia="微軟正黑體" w:hAnsi="微軟正黑體"/>
              </w:rPr>
            </w:pPr>
            <w:r w:rsidRPr="005F657B">
              <w:rPr>
                <w:rFonts w:ascii="微軟正黑體" w:eastAsia="微軟正黑體" w:hAnsi="微軟正黑體"/>
              </w:rPr>
              <w:t>1.38</w:t>
            </w:r>
          </w:p>
        </w:tc>
      </w:tr>
    </w:tbl>
    <w:p w:rsidR="00F152C0" w:rsidRDefault="00F152C0" w:rsidP="0043673D">
      <w:pPr>
        <w:spacing w:beforeLines="10" w:before="36" w:line="280" w:lineRule="exact"/>
        <w:contextualSpacing/>
        <w:rPr>
          <w:rFonts w:ascii="微軟正黑體" w:eastAsia="微軟正黑體" w:hAnsi="微軟正黑體"/>
          <w:sz w:val="20"/>
          <w:szCs w:val="20"/>
        </w:rPr>
      </w:pPr>
      <w:r w:rsidRPr="001B1387">
        <w:rPr>
          <w:rFonts w:ascii="微軟正黑體" w:eastAsia="微軟正黑體" w:hAnsi="微軟正黑體" w:hint="eastAsia"/>
          <w:sz w:val="20"/>
          <w:szCs w:val="20"/>
        </w:rPr>
        <w:t>資料來源：國發會</w:t>
      </w:r>
      <w:r w:rsidRPr="001B1387">
        <w:rPr>
          <w:rFonts w:ascii="微軟正黑體" w:eastAsia="微軟正黑體" w:hAnsi="微軟正黑體"/>
          <w:sz w:val="20"/>
          <w:szCs w:val="20"/>
        </w:rPr>
        <w:t>(</w:t>
      </w:r>
      <w:r w:rsidRPr="001B1387">
        <w:rPr>
          <w:rFonts w:ascii="微軟正黑體" w:eastAsia="微軟正黑體" w:hAnsi="微軟正黑體" w:hint="eastAsia"/>
          <w:sz w:val="20"/>
          <w:szCs w:val="20"/>
        </w:rPr>
        <w:t>2021</w:t>
      </w:r>
      <w:r w:rsidRPr="001B1387">
        <w:rPr>
          <w:rFonts w:ascii="微軟正黑體" w:eastAsia="微軟正黑體" w:hAnsi="微軟正黑體"/>
          <w:sz w:val="20"/>
          <w:szCs w:val="20"/>
        </w:rPr>
        <w:t>)</w:t>
      </w:r>
      <w:r w:rsidRPr="001B1387">
        <w:rPr>
          <w:rFonts w:ascii="微軟正黑體" w:eastAsia="微軟正黑體" w:hAnsi="微軟正黑體" w:hint="eastAsia"/>
          <w:sz w:val="20"/>
          <w:szCs w:val="20"/>
        </w:rPr>
        <w:t xml:space="preserve"> 8月份重要統計資料手冊。</w:t>
      </w:r>
    </w:p>
    <w:p w:rsidR="00F152C0" w:rsidRPr="001B1387" w:rsidRDefault="00F152C0" w:rsidP="00F152C0">
      <w:pPr>
        <w:spacing w:line="240" w:lineRule="exact"/>
        <w:contextualSpacing/>
        <w:rPr>
          <w:rFonts w:ascii="微軟正黑體" w:eastAsia="微軟正黑體" w:hAnsi="微軟正黑體"/>
          <w:sz w:val="20"/>
          <w:szCs w:val="20"/>
        </w:rPr>
      </w:pPr>
    </w:p>
    <w:p w:rsidR="00F152C0" w:rsidRDefault="00F152C0" w:rsidP="00F152C0">
      <w:pPr>
        <w:tabs>
          <w:tab w:val="left" w:pos="709"/>
        </w:tabs>
        <w:spacing w:line="400" w:lineRule="exact"/>
        <w:ind w:firstLine="482"/>
        <w:jc w:val="both"/>
        <w:rPr>
          <w:rFonts w:ascii="微軟正黑體" w:eastAsia="微軟正黑體" w:hAnsi="微軟正黑體"/>
        </w:rPr>
      </w:pPr>
      <w:r w:rsidRPr="001B1387">
        <w:rPr>
          <w:rFonts w:ascii="微軟正黑體" w:eastAsia="微軟正黑體" w:hAnsi="微軟正黑體" w:hint="eastAsia"/>
        </w:rPr>
        <w:lastRenderedPageBreak/>
        <w:t>台灣自2008年10月開辦國民年金保險，對於25</w:t>
      </w:r>
      <w:r w:rsidRPr="001B1387">
        <w:rPr>
          <w:rFonts w:ascii="微軟正黑體" w:eastAsia="微軟正黑體" w:hAnsi="微軟正黑體"/>
        </w:rPr>
        <w:t>-</w:t>
      </w:r>
      <w:r w:rsidRPr="001B1387">
        <w:rPr>
          <w:rFonts w:ascii="微軟正黑體" w:eastAsia="微軟正黑體" w:hAnsi="微軟正黑體" w:hint="eastAsia"/>
        </w:rPr>
        <w:t>64歲未就業者採取柔性強制納保(指可補繳10年</w:t>
      </w:r>
      <w:r w:rsidRPr="00C77DF5">
        <w:rPr>
          <w:rFonts w:ascii="微軟正黑體" w:eastAsia="微軟正黑體" w:hAnsi="微軟正黑體" w:hint="eastAsia"/>
          <w:color w:val="000000" w:themeColor="text1"/>
        </w:rPr>
        <w:t>內</w:t>
      </w:r>
      <w:r w:rsidRPr="001B1387">
        <w:rPr>
          <w:rFonts w:ascii="微軟正黑體" w:eastAsia="微軟正黑體" w:hAnsi="微軟正黑體" w:hint="eastAsia"/>
        </w:rPr>
        <w:t>保費)，基本上我國的社會保險採取不同職業別與身份別分立的制度，</w:t>
      </w:r>
      <w:bookmarkStart w:id="55" w:name="_Hlk86396761"/>
      <w:r w:rsidRPr="00BD78F7">
        <w:rPr>
          <w:rFonts w:ascii="微軟正黑體" w:eastAsia="微軟正黑體" w:hAnsi="微軟正黑體" w:hint="eastAsia"/>
        </w:rPr>
        <w:t>在2</w:t>
      </w:r>
      <w:r w:rsidRPr="00BD78F7">
        <w:rPr>
          <w:rFonts w:ascii="微軟正黑體" w:eastAsia="微軟正黑體" w:hAnsi="微軟正黑體"/>
        </w:rPr>
        <w:t>020</w:t>
      </w:r>
      <w:r w:rsidRPr="00BD78F7">
        <w:rPr>
          <w:rFonts w:ascii="微軟正黑體" w:eastAsia="微軟正黑體" w:hAnsi="微軟正黑體" w:hint="eastAsia"/>
        </w:rPr>
        <w:t>年年底各項社會保險人數總計達到1</w:t>
      </w:r>
      <w:r w:rsidRPr="00BD78F7">
        <w:rPr>
          <w:rFonts w:ascii="微軟正黑體" w:eastAsia="微軟正黑體" w:hAnsi="微軟正黑體"/>
        </w:rPr>
        <w:t>,530</w:t>
      </w:r>
      <w:r w:rsidRPr="00BD78F7">
        <w:rPr>
          <w:rFonts w:ascii="微軟正黑體" w:eastAsia="微軟正黑體" w:hAnsi="微軟正黑體" w:hint="eastAsia"/>
        </w:rPr>
        <w:t>萬1千人，所有納保人口中，勞保被保險人有</w:t>
      </w:r>
      <w:r w:rsidRPr="00112E48">
        <w:rPr>
          <w:rFonts w:ascii="微軟正黑體" w:eastAsia="微軟正黑體" w:hAnsi="微軟正黑體" w:hint="eastAsia"/>
        </w:rPr>
        <w:t>1</w:t>
      </w:r>
      <w:r w:rsidRPr="00112E48">
        <w:rPr>
          <w:rFonts w:ascii="微軟正黑體" w:eastAsia="微軟正黑體" w:hAnsi="微軟正黑體"/>
        </w:rPr>
        <w:t>,</w:t>
      </w:r>
      <w:r w:rsidRPr="00112E48">
        <w:rPr>
          <w:rFonts w:ascii="微軟正黑體" w:eastAsia="微軟正黑體" w:hAnsi="微軟正黑體" w:hint="eastAsia"/>
        </w:rPr>
        <w:t>055</w:t>
      </w:r>
      <w:r w:rsidRPr="00112E48">
        <w:rPr>
          <w:rFonts w:ascii="微軟正黑體" w:eastAsia="微軟正黑體" w:hAnsi="微軟正黑體"/>
        </w:rPr>
        <w:t xml:space="preserve"> </w:t>
      </w:r>
      <w:r w:rsidRPr="00275188">
        <w:rPr>
          <w:rFonts w:ascii="微軟正黑體" w:eastAsia="微軟正黑體" w:hAnsi="微軟正黑體" w:hint="eastAsia"/>
        </w:rPr>
        <w:t>萬5千</w:t>
      </w:r>
      <w:r w:rsidRPr="00BD78F7">
        <w:rPr>
          <w:rFonts w:ascii="微軟正黑體" w:eastAsia="微軟正黑體" w:hAnsi="微軟正黑體" w:hint="eastAsia"/>
        </w:rPr>
        <w:t>人。其次，為國民年金被保險人31</w:t>
      </w:r>
      <w:r w:rsidRPr="00BD78F7">
        <w:rPr>
          <w:rFonts w:ascii="微軟正黑體" w:eastAsia="微軟正黑體" w:hAnsi="微軟正黑體"/>
        </w:rPr>
        <w:t>0</w:t>
      </w:r>
      <w:r w:rsidRPr="00BD78F7">
        <w:rPr>
          <w:rFonts w:ascii="微軟正黑體" w:eastAsia="微軟正黑體" w:hAnsi="微軟正黑體" w:hint="eastAsia"/>
        </w:rPr>
        <w:t>萬6千人(總統府國家年金改革委員會 2020)。</w:t>
      </w:r>
      <w:bookmarkEnd w:id="55"/>
      <w:r w:rsidRPr="00BD78F7">
        <w:rPr>
          <w:rFonts w:ascii="微軟正黑體" w:eastAsia="微軟正黑體" w:hAnsi="微軟正黑體" w:hint="eastAsia"/>
        </w:rPr>
        <w:t>由</w:t>
      </w:r>
      <w:r w:rsidRPr="007A5796">
        <w:rPr>
          <w:rFonts w:ascii="微軟正黑體" w:eastAsia="微軟正黑體" w:hAnsi="微軟正黑體" w:hint="eastAsia"/>
        </w:rPr>
        <w:t>於國民年金保險繳納在過去曾有將近一半以上因為失業或家庭經濟等因素無法繳納保費，所幸在此處政府已於2020年6月3日修正國民年金法第12條及第40條，明定新增中低收入戶補助對象，比照所得未達標準1.5倍者，補助保費70%，以及遺屬年金工作收入由月投保金額修正為基本工資。</w:t>
      </w:r>
    </w:p>
    <w:p w:rsidR="00F152C0" w:rsidRDefault="00F152C0" w:rsidP="00F152C0">
      <w:pPr>
        <w:tabs>
          <w:tab w:val="left" w:pos="709"/>
        </w:tabs>
        <w:spacing w:line="400" w:lineRule="exact"/>
        <w:ind w:firstLine="482"/>
        <w:jc w:val="both"/>
        <w:rPr>
          <w:rFonts w:ascii="微軟正黑體" w:eastAsia="微軟正黑體" w:hAnsi="微軟正黑體"/>
        </w:rPr>
      </w:pPr>
    </w:p>
    <w:p w:rsidR="00F152C0" w:rsidRPr="007C3DB8" w:rsidRDefault="00F152C0" w:rsidP="00F152C0">
      <w:pPr>
        <w:spacing w:beforeLines="150" w:before="540" w:line="400" w:lineRule="exact"/>
        <w:jc w:val="center"/>
        <w:rPr>
          <w:rFonts w:ascii="微軟正黑體" w:eastAsia="微軟正黑體" w:hAnsi="微軟正黑體"/>
          <w:b/>
          <w:sz w:val="32"/>
          <w:szCs w:val="32"/>
        </w:rPr>
      </w:pPr>
      <w:r>
        <w:rPr>
          <w:rFonts w:ascii="微軟正黑體" w:eastAsia="微軟正黑體" w:hAnsi="微軟正黑體" w:hint="eastAsia"/>
          <w:b/>
          <w:sz w:val="32"/>
          <w:szCs w:val="32"/>
        </w:rPr>
        <w:t>伍</w:t>
      </w:r>
      <w:r w:rsidRPr="007E7F84">
        <w:rPr>
          <w:rFonts w:ascii="微軟正黑體" w:eastAsia="微軟正黑體" w:hAnsi="微軟正黑體" w:hint="eastAsia"/>
          <w:b/>
          <w:sz w:val="32"/>
          <w:szCs w:val="32"/>
        </w:rPr>
        <w:t>、</w:t>
      </w:r>
      <w:r>
        <w:rPr>
          <w:rFonts w:ascii="微軟正黑體" w:eastAsia="微軟正黑體" w:hAnsi="微軟正黑體" w:hint="eastAsia"/>
          <w:b/>
          <w:sz w:val="32"/>
          <w:szCs w:val="32"/>
        </w:rPr>
        <w:t>落實中高齡者與高齡者就業促進法與                        催生社會團結經濟與融合性就業政</w:t>
      </w:r>
      <w:r w:rsidRPr="007E7F84">
        <w:rPr>
          <w:rFonts w:ascii="微軟正黑體" w:eastAsia="微軟正黑體" w:hAnsi="微軟正黑體" w:hint="eastAsia"/>
          <w:b/>
          <w:sz w:val="32"/>
          <w:szCs w:val="32"/>
        </w:rPr>
        <w:t>策</w:t>
      </w:r>
    </w:p>
    <w:p w:rsidR="00F152C0" w:rsidRPr="00377170" w:rsidRDefault="00F152C0" w:rsidP="00F152C0">
      <w:pPr>
        <w:spacing w:beforeLines="100" w:before="360" w:line="400" w:lineRule="exact"/>
        <w:ind w:firstLineChars="200" w:firstLine="480"/>
        <w:jc w:val="both"/>
        <w:rPr>
          <w:rFonts w:ascii="微軟正黑體" w:eastAsia="微軟正黑體" w:hAnsi="微軟正黑體"/>
        </w:rPr>
      </w:pPr>
      <w:r w:rsidRPr="00377170">
        <w:rPr>
          <w:rFonts w:ascii="微軟正黑體" w:eastAsia="微軟正黑體" w:hAnsi="微軟正黑體"/>
        </w:rPr>
        <w:t>目前</w:t>
      </w:r>
      <w:r w:rsidRPr="00377170">
        <w:rPr>
          <w:rFonts w:ascii="微軟正黑體" w:eastAsia="微軟正黑體" w:hAnsi="微軟正黑體" w:hint="eastAsia"/>
        </w:rPr>
        <w:t>台灣</w:t>
      </w:r>
      <w:r>
        <w:rPr>
          <w:rFonts w:ascii="微軟正黑體" w:eastAsia="微軟正黑體" w:hAnsi="微軟正黑體"/>
        </w:rPr>
        <w:t>45</w:t>
      </w:r>
      <w:r w:rsidRPr="00377170">
        <w:rPr>
          <w:rFonts w:ascii="微軟正黑體" w:eastAsia="微軟正黑體" w:hAnsi="微軟正黑體"/>
        </w:rPr>
        <w:t>歲以上人口占</w:t>
      </w:r>
      <w:r>
        <w:rPr>
          <w:rFonts w:ascii="微軟正黑體" w:eastAsia="微軟正黑體" w:hAnsi="微軟正黑體"/>
        </w:rPr>
        <w:t>15</w:t>
      </w:r>
      <w:r w:rsidRPr="00377170">
        <w:rPr>
          <w:rFonts w:ascii="微軟正黑體" w:eastAsia="微軟正黑體" w:hAnsi="微軟正黑體"/>
        </w:rPr>
        <w:t>歲以上總人口的比率已超過50%；如果以</w:t>
      </w:r>
      <w:r>
        <w:rPr>
          <w:rFonts w:ascii="微軟正黑體" w:eastAsia="微軟正黑體" w:hAnsi="微軟正黑體"/>
        </w:rPr>
        <w:t>15-64</w:t>
      </w:r>
      <w:r w:rsidRPr="00377170">
        <w:rPr>
          <w:rFonts w:ascii="微軟正黑體" w:eastAsia="微軟正黑體" w:hAnsi="微軟正黑體"/>
        </w:rPr>
        <w:t>歲傳統工作年齡人口計算，可發現</w:t>
      </w:r>
      <w:r>
        <w:rPr>
          <w:rFonts w:ascii="微軟正黑體" w:eastAsia="微軟正黑體" w:hAnsi="微軟正黑體"/>
        </w:rPr>
        <w:t>45-64</w:t>
      </w:r>
      <w:r w:rsidRPr="00377170">
        <w:rPr>
          <w:rFonts w:ascii="微軟正黑體" w:eastAsia="微軟正黑體" w:hAnsi="微軟正黑體"/>
        </w:rPr>
        <w:t>歲的比率已達到41.2%，而</w:t>
      </w:r>
      <w:r>
        <w:rPr>
          <w:rFonts w:ascii="微軟正黑體" w:eastAsia="微軟正黑體" w:hAnsi="微軟正黑體"/>
        </w:rPr>
        <w:t>15-29</w:t>
      </w:r>
      <w:r w:rsidRPr="00377170">
        <w:rPr>
          <w:rFonts w:ascii="微軟正黑體" w:eastAsia="微軟正黑體" w:hAnsi="微軟正黑體"/>
        </w:rPr>
        <w:t>歲的青年所占的比率為26.1%；</w:t>
      </w:r>
      <w:r>
        <w:rPr>
          <w:rFonts w:ascii="微軟正黑體" w:eastAsia="微軟正黑體" w:hAnsi="微軟正黑體"/>
        </w:rPr>
        <w:t>30-44</w:t>
      </w:r>
      <w:r w:rsidRPr="00377170">
        <w:rPr>
          <w:rFonts w:ascii="微軟正黑體" w:eastAsia="微軟正黑體" w:hAnsi="微軟正黑體"/>
        </w:rPr>
        <w:t>歲壯年的比率為32.6%</w:t>
      </w:r>
      <w:r w:rsidRPr="00377170">
        <w:rPr>
          <w:rFonts w:ascii="微軟正黑體" w:eastAsia="微軟正黑體" w:hAnsi="微軟正黑體" w:hint="eastAsia"/>
        </w:rPr>
        <w:t>。</w:t>
      </w:r>
      <w:r w:rsidRPr="00377170">
        <w:rPr>
          <w:rFonts w:ascii="微軟正黑體" w:eastAsia="微軟正黑體" w:hAnsi="微軟正黑體"/>
        </w:rPr>
        <w:t>國發會也預估到2030年我國</w:t>
      </w:r>
      <w:r>
        <w:rPr>
          <w:rFonts w:ascii="微軟正黑體" w:eastAsia="微軟正黑體" w:hAnsi="微軟正黑體"/>
        </w:rPr>
        <w:t>55</w:t>
      </w:r>
      <w:r w:rsidRPr="00377170">
        <w:rPr>
          <w:rFonts w:ascii="微軟正黑體" w:eastAsia="微軟正黑體" w:hAnsi="微軟正黑體"/>
        </w:rPr>
        <w:t>歲及以上</w:t>
      </w:r>
      <w:r>
        <w:rPr>
          <w:rFonts w:ascii="微軟正黑體" w:eastAsia="微軟正黑體" w:hAnsi="微軟正黑體" w:hint="eastAsia"/>
        </w:rPr>
        <w:t>占</w:t>
      </w:r>
      <w:r w:rsidRPr="00377170">
        <w:rPr>
          <w:rFonts w:ascii="微軟正黑體" w:eastAsia="微軟正黑體" w:hAnsi="微軟正黑體"/>
        </w:rPr>
        <w:t>勞動力人口之比率將從</w:t>
      </w:r>
      <w:r>
        <w:rPr>
          <w:rFonts w:ascii="微軟正黑體" w:eastAsia="微軟正黑體" w:hAnsi="微軟正黑體"/>
        </w:rPr>
        <w:t>2020</w:t>
      </w:r>
      <w:r w:rsidRPr="00377170">
        <w:rPr>
          <w:rFonts w:ascii="微軟正黑體" w:eastAsia="微軟正黑體" w:hAnsi="微軟正黑體"/>
        </w:rPr>
        <w:t>年的16.6%上升到</w:t>
      </w:r>
      <w:r>
        <w:rPr>
          <w:rFonts w:ascii="微軟正黑體" w:eastAsia="微軟正黑體" w:hAnsi="微軟正黑體"/>
        </w:rPr>
        <w:t>2030</w:t>
      </w:r>
      <w:r w:rsidRPr="00377170">
        <w:rPr>
          <w:rFonts w:ascii="微軟正黑體" w:eastAsia="微軟正黑體" w:hAnsi="微軟正黑體"/>
        </w:rPr>
        <w:t>年的23.8%</w:t>
      </w:r>
      <w:r>
        <w:rPr>
          <w:rFonts w:ascii="微軟正黑體" w:eastAsia="微軟正黑體" w:hAnsi="微軟正黑體" w:hint="eastAsia"/>
        </w:rPr>
        <w:t>(</w:t>
      </w:r>
      <w:r w:rsidRPr="00377170">
        <w:rPr>
          <w:rFonts w:ascii="微軟正黑體" w:eastAsia="微軟正黑體" w:hAnsi="微軟正黑體" w:hint="eastAsia"/>
        </w:rPr>
        <w:t>國發會 2021</w:t>
      </w:r>
      <w:r>
        <w:rPr>
          <w:rFonts w:ascii="微軟正黑體" w:eastAsia="微軟正黑體" w:hAnsi="微軟正黑體" w:hint="eastAsia"/>
        </w:rPr>
        <w:t>)</w:t>
      </w:r>
      <w:r w:rsidRPr="00377170">
        <w:rPr>
          <w:rFonts w:ascii="微軟正黑體" w:eastAsia="微軟正黑體" w:hAnsi="微軟正黑體" w:hint="eastAsia"/>
        </w:rPr>
        <w:t>；</w:t>
      </w:r>
      <w:r w:rsidRPr="00377170">
        <w:rPr>
          <w:rFonts w:ascii="微軟正黑體" w:eastAsia="微軟正黑體" w:hAnsi="微軟正黑體"/>
        </w:rPr>
        <w:t>並預估到</w:t>
      </w:r>
      <w:r>
        <w:rPr>
          <w:rFonts w:ascii="微軟正黑體" w:eastAsia="微軟正黑體" w:hAnsi="微軟正黑體"/>
        </w:rPr>
        <w:t>2040</w:t>
      </w:r>
      <w:r w:rsidRPr="00377170">
        <w:rPr>
          <w:rFonts w:ascii="微軟正黑體" w:eastAsia="微軟正黑體" w:hAnsi="微軟正黑體"/>
        </w:rPr>
        <w:t>年45-64歲中高齡</w:t>
      </w:r>
      <w:r>
        <w:rPr>
          <w:rFonts w:ascii="微軟正黑體" w:eastAsia="微軟正黑體" w:hAnsi="微軟正黑體" w:hint="eastAsia"/>
        </w:rPr>
        <w:t>占</w:t>
      </w:r>
      <w:r w:rsidRPr="00377170">
        <w:rPr>
          <w:rFonts w:ascii="微軟正黑體" w:eastAsia="微軟正黑體" w:hAnsi="微軟正黑體"/>
        </w:rPr>
        <w:t>15-64歲人口的比率將占51.4%</w:t>
      </w:r>
      <w:r>
        <w:rPr>
          <w:rFonts w:ascii="微軟正黑體" w:eastAsia="微軟正黑體" w:hAnsi="微軟正黑體" w:hint="eastAsia"/>
        </w:rPr>
        <w:t>(</w:t>
      </w:r>
      <w:r w:rsidRPr="00377170">
        <w:rPr>
          <w:rFonts w:ascii="微軟正黑體" w:eastAsia="微軟正黑體" w:hAnsi="微軟正黑體"/>
        </w:rPr>
        <w:t>國發會，2020</w:t>
      </w:r>
      <w:r>
        <w:rPr>
          <w:rFonts w:ascii="微軟正黑體" w:eastAsia="微軟正黑體" w:hAnsi="微軟正黑體" w:hint="eastAsia"/>
        </w:rPr>
        <w:t>)</w:t>
      </w:r>
      <w:r w:rsidRPr="00377170">
        <w:rPr>
          <w:rFonts w:ascii="微軟正黑體" w:eastAsia="微軟正黑體" w:hAnsi="微軟正黑體"/>
        </w:rPr>
        <w:t>。15-64歲與65歲</w:t>
      </w:r>
      <w:r w:rsidRPr="00C77DF5">
        <w:rPr>
          <w:rFonts w:ascii="微軟正黑體" w:eastAsia="微軟正黑體" w:hAnsi="微軟正黑體" w:hint="eastAsia"/>
          <w:color w:val="000000" w:themeColor="text1"/>
        </w:rPr>
        <w:t>以上</w:t>
      </w:r>
      <w:r w:rsidRPr="00377170">
        <w:rPr>
          <w:rFonts w:ascii="微軟正黑體" w:eastAsia="微軟正黑體" w:hAnsi="微軟正黑體"/>
        </w:rPr>
        <w:t>人口相對值所計算出的扶老比也來到22.5%，並開始持續</w:t>
      </w:r>
      <w:r w:rsidRPr="00377170">
        <w:rPr>
          <w:rFonts w:ascii="微軟正黑體" w:eastAsia="微軟正黑體" w:hAnsi="微軟正黑體" w:hint="eastAsia"/>
        </w:rPr>
        <w:t>上升</w:t>
      </w:r>
      <w:r w:rsidRPr="00377170">
        <w:rPr>
          <w:rFonts w:ascii="微軟正黑體" w:eastAsia="微軟正黑體" w:hAnsi="微軟正黑體"/>
        </w:rPr>
        <w:t>，顯示「勞動力銀灰化」與</w:t>
      </w:r>
      <w:r>
        <w:rPr>
          <w:rFonts w:ascii="微軟正黑體" w:eastAsia="微軟正黑體" w:hAnsi="微軟正黑體"/>
        </w:rPr>
        <w:t>「世代負擔不均等」的趨勢，已成為我們要共同面對且無可逃避的挑戰</w:t>
      </w:r>
      <w:r>
        <w:rPr>
          <w:rFonts w:ascii="微軟正黑體" w:eastAsia="微軟正黑體" w:hAnsi="微軟正黑體" w:hint="eastAsia"/>
        </w:rPr>
        <w:t>(</w:t>
      </w:r>
      <w:r w:rsidRPr="00377170">
        <w:rPr>
          <w:rFonts w:ascii="微軟正黑體" w:eastAsia="微軟正黑體" w:hAnsi="微軟正黑體"/>
        </w:rPr>
        <w:t>周玟琪 2019</w:t>
      </w:r>
      <w:r>
        <w:rPr>
          <w:rFonts w:ascii="微軟正黑體" w:eastAsia="微軟正黑體" w:hAnsi="微軟正黑體" w:hint="eastAsia"/>
        </w:rPr>
        <w:t>)</w:t>
      </w:r>
      <w:r w:rsidRPr="00377170">
        <w:rPr>
          <w:rFonts w:ascii="微軟正黑體" w:eastAsia="微軟正黑體" w:hAnsi="微軟正黑體"/>
        </w:rPr>
        <w:t>。</w:t>
      </w:r>
    </w:p>
    <w:p w:rsidR="00F152C0" w:rsidRPr="00C77DF5" w:rsidRDefault="00F152C0" w:rsidP="00F152C0">
      <w:pPr>
        <w:spacing w:beforeLines="30" w:before="108" w:line="400" w:lineRule="exact"/>
        <w:ind w:firstLine="482"/>
        <w:jc w:val="both"/>
        <w:rPr>
          <w:rFonts w:ascii="微軟正黑體" w:eastAsia="微軟正黑體" w:hAnsi="微軟正黑體"/>
          <w:color w:val="000000" w:themeColor="text1"/>
        </w:rPr>
      </w:pPr>
      <w:r w:rsidRPr="00377170">
        <w:rPr>
          <w:rFonts w:ascii="微軟正黑體" w:eastAsia="微軟正黑體" w:hAnsi="微軟正黑體"/>
        </w:rPr>
        <w:t>傳統上將</w:t>
      </w:r>
      <w:r>
        <w:rPr>
          <w:rFonts w:ascii="微軟正黑體" w:eastAsia="微軟正黑體" w:hAnsi="微軟正黑體"/>
        </w:rPr>
        <w:t>15-64</w:t>
      </w:r>
      <w:r w:rsidRPr="00377170">
        <w:rPr>
          <w:rFonts w:ascii="微軟正黑體" w:eastAsia="微軟正黑體" w:hAnsi="微軟正黑體"/>
        </w:rPr>
        <w:t>歲定義為工作年齡人口，可能需要被翻轉，因為台灣目前初入職場的平均年齡大約已來到</w:t>
      </w:r>
      <w:r>
        <w:rPr>
          <w:rFonts w:ascii="微軟正黑體" w:eastAsia="微軟正黑體" w:hAnsi="微軟正黑體"/>
        </w:rPr>
        <w:t>21.6</w:t>
      </w:r>
      <w:r w:rsidRPr="00377170">
        <w:rPr>
          <w:rFonts w:ascii="微軟正黑體" w:eastAsia="微軟正黑體" w:hAnsi="微軟正黑體"/>
        </w:rPr>
        <w:t>歲，而</w:t>
      </w:r>
      <w:r>
        <w:rPr>
          <w:rFonts w:ascii="微軟正黑體" w:eastAsia="微軟正黑體" w:hAnsi="微軟正黑體"/>
        </w:rPr>
        <w:t>65</w:t>
      </w:r>
      <w:r w:rsidRPr="00377170">
        <w:rPr>
          <w:rFonts w:ascii="微軟正黑體" w:eastAsia="微軟正黑體" w:hAnsi="微軟正黑體"/>
        </w:rPr>
        <w:t>歲以上的人口也不盡然全是依賴人口。</w:t>
      </w:r>
      <w:r w:rsidRPr="00377170">
        <w:rPr>
          <w:rFonts w:ascii="微軟正黑體" w:eastAsia="微軟正黑體" w:hAnsi="微軟正黑體" w:hint="eastAsia"/>
        </w:rPr>
        <w:t>一般在估算扶老比多以每一百位15</w:t>
      </w:r>
      <w:r w:rsidRPr="00377170">
        <w:rPr>
          <w:rFonts w:ascii="微軟正黑體" w:eastAsia="微軟正黑體" w:hAnsi="微軟正黑體"/>
        </w:rPr>
        <w:t>-</w:t>
      </w:r>
      <w:r w:rsidRPr="00377170">
        <w:rPr>
          <w:rFonts w:ascii="微軟正黑體" w:eastAsia="微軟正黑體" w:hAnsi="微軟正黑體" w:hint="eastAsia"/>
        </w:rPr>
        <w:t>64歲傳統工作年齡人口所需扶養 65歲以上人口來計算，因此在2020年的扶老比為22</w:t>
      </w:r>
      <w:r w:rsidRPr="00377170">
        <w:rPr>
          <w:rFonts w:ascii="微軟正黑體" w:eastAsia="微軟正黑體" w:hAnsi="微軟正黑體"/>
        </w:rPr>
        <w:t>.</w:t>
      </w:r>
      <w:r w:rsidRPr="00377170">
        <w:rPr>
          <w:rFonts w:ascii="微軟正黑體" w:eastAsia="微軟正黑體" w:hAnsi="微軟正黑體" w:hint="eastAsia"/>
        </w:rPr>
        <w:t>5</w:t>
      </w:r>
      <w:r w:rsidRPr="00377170">
        <w:rPr>
          <w:rFonts w:ascii="微軟正黑體" w:eastAsia="微軟正黑體" w:hAnsi="微軟正黑體"/>
        </w:rPr>
        <w:t>%</w:t>
      </w:r>
      <w:r w:rsidRPr="00377170">
        <w:rPr>
          <w:rFonts w:ascii="微軟正黑體" w:eastAsia="微軟正黑體" w:hAnsi="微軟正黑體" w:hint="eastAsia"/>
        </w:rPr>
        <w:t>。但是我們已可發現台灣年輕勞動力初入職場年齡落在20歲之後，因此，如果以20</w:t>
      </w:r>
      <w:r w:rsidRPr="00377170">
        <w:rPr>
          <w:rFonts w:ascii="微軟正黑體" w:eastAsia="微軟正黑體" w:hAnsi="微軟正黑體"/>
        </w:rPr>
        <w:t>-</w:t>
      </w:r>
      <w:r w:rsidRPr="00377170">
        <w:rPr>
          <w:rFonts w:ascii="微軟正黑體" w:eastAsia="微軟正黑體" w:hAnsi="微軟正黑體" w:hint="eastAsia"/>
        </w:rPr>
        <w:t>64歲工作人口數計算扶老比，我們可發現扶老比上升為24</w:t>
      </w:r>
      <w:r w:rsidRPr="00377170">
        <w:rPr>
          <w:rFonts w:ascii="微軟正黑體" w:eastAsia="微軟正黑體" w:hAnsi="微軟正黑體"/>
        </w:rPr>
        <w:t>.</w:t>
      </w:r>
      <w:r w:rsidRPr="00377170">
        <w:rPr>
          <w:rFonts w:ascii="微軟正黑體" w:eastAsia="微軟正黑體" w:hAnsi="微軟正黑體" w:hint="eastAsia"/>
        </w:rPr>
        <w:t>1</w:t>
      </w:r>
      <w:r w:rsidRPr="00377170">
        <w:rPr>
          <w:rFonts w:ascii="微軟正黑體" w:eastAsia="微軟正黑體" w:hAnsi="微軟正黑體"/>
        </w:rPr>
        <w:t>%</w:t>
      </w:r>
      <w:r w:rsidRPr="00377170">
        <w:rPr>
          <w:rFonts w:ascii="微軟正黑體" w:eastAsia="微軟正黑體" w:hAnsi="微軟正黑體" w:hint="eastAsia"/>
        </w:rPr>
        <w:t>。但是隨著我國老人健康餘命持續延長，目前已達到72</w:t>
      </w:r>
      <w:r w:rsidRPr="00377170">
        <w:rPr>
          <w:rFonts w:ascii="微軟正黑體" w:eastAsia="微軟正黑體" w:hAnsi="微軟正黑體"/>
        </w:rPr>
        <w:t>.</w:t>
      </w:r>
      <w:r w:rsidRPr="00377170">
        <w:rPr>
          <w:rFonts w:ascii="微軟正黑體" w:eastAsia="微軟正黑體" w:hAnsi="微軟正黑體" w:hint="eastAsia"/>
        </w:rPr>
        <w:t>3歲，因此，如果將65</w:t>
      </w:r>
      <w:r w:rsidRPr="00377170">
        <w:rPr>
          <w:rFonts w:ascii="微軟正黑體" w:eastAsia="微軟正黑體" w:hAnsi="微軟正黑體"/>
        </w:rPr>
        <w:t>-</w:t>
      </w:r>
      <w:r>
        <w:rPr>
          <w:rFonts w:ascii="微軟正黑體" w:eastAsia="微軟正黑體" w:hAnsi="微軟正黑體" w:hint="eastAsia"/>
        </w:rPr>
        <w:t>69</w:t>
      </w:r>
      <w:r w:rsidRPr="00377170">
        <w:rPr>
          <w:rFonts w:ascii="微軟正黑體" w:eastAsia="微軟正黑體" w:hAnsi="微軟正黑體" w:hint="eastAsia"/>
        </w:rPr>
        <w:t>歲納入工作年齡人口，我們可發現扶老比則下降為</w:t>
      </w:r>
      <w:r w:rsidRPr="00EC7228">
        <w:rPr>
          <w:rFonts w:ascii="微軟正黑體" w:eastAsia="微軟正黑體" w:hAnsi="微軟正黑體" w:hint="eastAsia"/>
          <w:color w:val="000000" w:themeColor="text1"/>
        </w:rPr>
        <w:t>13.6%</w:t>
      </w:r>
      <w:r w:rsidRPr="00EC7228">
        <w:rPr>
          <w:rFonts w:ascii="微軟正黑體" w:eastAsia="微軟正黑體" w:hAnsi="微軟正黑體" w:hint="eastAsia"/>
        </w:rPr>
        <w:t>。</w:t>
      </w:r>
      <w:r w:rsidRPr="00377170">
        <w:rPr>
          <w:rFonts w:ascii="微軟正黑體" w:eastAsia="微軟正黑體" w:hAnsi="微軟正黑體" w:hint="eastAsia"/>
        </w:rPr>
        <w:t>也就是以2020年的台灣，我們可以說大約4</w:t>
      </w:r>
      <w:r w:rsidRPr="00377170">
        <w:rPr>
          <w:rFonts w:ascii="微軟正黑體" w:eastAsia="微軟正黑體" w:hAnsi="微軟正黑體"/>
        </w:rPr>
        <w:t>.</w:t>
      </w:r>
      <w:r w:rsidRPr="00377170">
        <w:rPr>
          <w:rFonts w:ascii="微軟正黑體" w:eastAsia="微軟正黑體" w:hAnsi="微軟正黑體" w:hint="eastAsia"/>
        </w:rPr>
        <w:t>1位20</w:t>
      </w:r>
      <w:r w:rsidRPr="00377170">
        <w:rPr>
          <w:rFonts w:ascii="微軟正黑體" w:eastAsia="微軟正黑體" w:hAnsi="微軟正黑體"/>
        </w:rPr>
        <w:t>-</w:t>
      </w:r>
      <w:r w:rsidRPr="00377170">
        <w:rPr>
          <w:rFonts w:ascii="微軟正黑體" w:eastAsia="微軟正黑體" w:hAnsi="微軟正黑體" w:hint="eastAsia"/>
        </w:rPr>
        <w:t>64歲扶養</w:t>
      </w:r>
      <w:r w:rsidRPr="00C77DF5">
        <w:rPr>
          <w:rFonts w:ascii="微軟正黑體" w:eastAsia="微軟正黑體" w:hAnsi="微軟正黑體" w:hint="eastAsia"/>
          <w:color w:val="000000" w:themeColor="text1"/>
        </w:rPr>
        <w:t>1位65歲以上長者；但是一旦我們將65</w:t>
      </w:r>
      <w:r w:rsidRPr="00C77DF5">
        <w:rPr>
          <w:rFonts w:ascii="微軟正黑體" w:eastAsia="微軟正黑體" w:hAnsi="微軟正黑體"/>
          <w:color w:val="000000" w:themeColor="text1"/>
        </w:rPr>
        <w:t>-</w:t>
      </w:r>
      <w:r w:rsidRPr="00C77DF5">
        <w:rPr>
          <w:rFonts w:ascii="微軟正黑體" w:eastAsia="微軟正黑體" w:hAnsi="微軟正黑體" w:hint="eastAsia"/>
          <w:color w:val="000000" w:themeColor="text1"/>
        </w:rPr>
        <w:t>69歲納入工作年齡人口，則扶老比降為7</w:t>
      </w:r>
      <w:r w:rsidRPr="00C77DF5">
        <w:rPr>
          <w:rFonts w:ascii="微軟正黑體" w:eastAsia="微軟正黑體" w:hAnsi="微軟正黑體"/>
          <w:color w:val="000000" w:themeColor="text1"/>
        </w:rPr>
        <w:t>.</w:t>
      </w:r>
      <w:r w:rsidRPr="00C77DF5">
        <w:rPr>
          <w:rFonts w:ascii="微軟正黑體" w:eastAsia="微軟正黑體" w:hAnsi="微軟正黑體" w:hint="eastAsia"/>
          <w:color w:val="000000" w:themeColor="text1"/>
        </w:rPr>
        <w:t>4位20</w:t>
      </w:r>
      <w:r w:rsidRPr="00C77DF5">
        <w:rPr>
          <w:rFonts w:ascii="微軟正黑體" w:eastAsia="微軟正黑體" w:hAnsi="微軟正黑體"/>
          <w:color w:val="000000" w:themeColor="text1"/>
        </w:rPr>
        <w:t>-</w:t>
      </w:r>
      <w:r w:rsidRPr="00C77DF5">
        <w:rPr>
          <w:rFonts w:ascii="微軟正黑體" w:eastAsia="微軟正黑體" w:hAnsi="微軟正黑體" w:hint="eastAsia"/>
          <w:color w:val="000000" w:themeColor="text1"/>
        </w:rPr>
        <w:t>69歲扶養1位70歲以上</w:t>
      </w:r>
      <w:r w:rsidRPr="005C0829">
        <w:rPr>
          <w:rFonts w:ascii="微軟正黑體" w:eastAsia="微軟正黑體" w:hAnsi="微軟正黑體" w:hint="eastAsia"/>
          <w:color w:val="000000" w:themeColor="text1"/>
        </w:rPr>
        <w:t>長者</w:t>
      </w:r>
      <w:r w:rsidRPr="00C77DF5">
        <w:rPr>
          <w:rFonts w:ascii="微軟正黑體" w:eastAsia="微軟正黑體" w:hAnsi="微軟正黑體" w:hint="eastAsia"/>
          <w:color w:val="000000" w:themeColor="text1"/>
        </w:rPr>
        <w:t>。因此，支持55歲以上就業的成長，將有助於緩解年輕與壯年世代的扶老壓力，有明顯的世代互助與世代團結效果。</w:t>
      </w:r>
    </w:p>
    <w:p w:rsidR="00F152C0" w:rsidRDefault="00F152C0" w:rsidP="00F152C0">
      <w:pPr>
        <w:spacing w:line="400" w:lineRule="exact"/>
        <w:ind w:firstLine="482"/>
        <w:jc w:val="both"/>
        <w:rPr>
          <w:rFonts w:ascii="微軟正黑體" w:eastAsia="微軟正黑體" w:hAnsi="微軟正黑體"/>
        </w:rPr>
      </w:pPr>
    </w:p>
    <w:p w:rsidR="00F152C0" w:rsidRDefault="00F152C0" w:rsidP="00F152C0">
      <w:pPr>
        <w:spacing w:line="400" w:lineRule="exact"/>
        <w:ind w:firstLine="482"/>
        <w:jc w:val="both"/>
        <w:rPr>
          <w:rFonts w:ascii="微軟正黑體" w:eastAsia="微軟正黑體" w:hAnsi="微軟正黑體"/>
        </w:rPr>
      </w:pPr>
    </w:p>
    <w:p w:rsidR="00F152C0" w:rsidRDefault="00F152C0" w:rsidP="00F152C0">
      <w:pPr>
        <w:spacing w:line="400" w:lineRule="exact"/>
        <w:ind w:firstLine="482"/>
        <w:jc w:val="both"/>
        <w:rPr>
          <w:rFonts w:ascii="微軟正黑體" w:eastAsia="微軟正黑體" w:hAnsi="微軟正黑體"/>
        </w:rPr>
      </w:pPr>
    </w:p>
    <w:p w:rsidR="00F152C0" w:rsidRPr="00377170" w:rsidRDefault="00F152C0" w:rsidP="00F152C0">
      <w:pPr>
        <w:pStyle w:val="af8"/>
        <w:spacing w:afterLines="30" w:after="108" w:line="400" w:lineRule="exact"/>
        <w:contextualSpacing/>
        <w:jc w:val="center"/>
        <w:rPr>
          <w:rFonts w:ascii="微軟正黑體" w:eastAsia="微軟正黑體" w:hAnsi="微軟正黑體"/>
          <w:sz w:val="24"/>
          <w:szCs w:val="24"/>
        </w:rPr>
      </w:pPr>
      <w:r w:rsidRPr="00377170">
        <w:rPr>
          <w:rFonts w:ascii="微軟正黑體" w:eastAsia="微軟正黑體" w:hAnsi="微軟正黑體" w:hint="eastAsia"/>
          <w:sz w:val="24"/>
          <w:szCs w:val="24"/>
        </w:rPr>
        <w:lastRenderedPageBreak/>
        <w:t xml:space="preserve">表11 </w:t>
      </w:r>
      <w:r w:rsidRPr="00377170">
        <w:rPr>
          <w:rFonts w:ascii="微軟正黑體" w:eastAsia="微軟正黑體" w:hAnsi="微軟正黑體"/>
          <w:sz w:val="24"/>
          <w:szCs w:val="24"/>
        </w:rPr>
        <w:t xml:space="preserve"> </w:t>
      </w:r>
      <w:r w:rsidRPr="00377170">
        <w:rPr>
          <w:rFonts w:ascii="微軟正黑體" w:eastAsia="微軟正黑體" w:hAnsi="微軟正黑體" w:hint="eastAsia"/>
          <w:sz w:val="24"/>
          <w:szCs w:val="24"/>
        </w:rPr>
        <w:t>促進55歲以上就業對改善青壯年世代負擔及強化世代團結效果</w:t>
      </w:r>
    </w:p>
    <w:tbl>
      <w:tblPr>
        <w:tblStyle w:val="a5"/>
        <w:tblW w:w="8729" w:type="dxa"/>
        <w:jc w:val="center"/>
        <w:tblLook w:val="04A0" w:firstRow="1" w:lastRow="0" w:firstColumn="1" w:lastColumn="0" w:noHBand="0" w:noVBand="1"/>
      </w:tblPr>
      <w:tblGrid>
        <w:gridCol w:w="1247"/>
        <w:gridCol w:w="1247"/>
        <w:gridCol w:w="1247"/>
        <w:gridCol w:w="1247"/>
        <w:gridCol w:w="1221"/>
        <w:gridCol w:w="1276"/>
        <w:gridCol w:w="1244"/>
      </w:tblGrid>
      <w:tr w:rsidR="00F152C0" w:rsidRPr="00307C81" w:rsidTr="00C86667">
        <w:trPr>
          <w:trHeight w:val="761"/>
          <w:jc w:val="center"/>
        </w:trPr>
        <w:tc>
          <w:tcPr>
            <w:tcW w:w="1247" w:type="dxa"/>
            <w:shd w:val="clear" w:color="auto" w:fill="8064A2" w:themeFill="accent4"/>
            <w:vAlign w:val="center"/>
          </w:tcPr>
          <w:p w:rsidR="00F152C0" w:rsidRPr="00307C81" w:rsidRDefault="00F152C0" w:rsidP="00C86667">
            <w:pPr>
              <w:widowControl/>
              <w:spacing w:line="400" w:lineRule="exact"/>
              <w:jc w:val="center"/>
              <w:rPr>
                <w:rFonts w:ascii="微軟正黑體" w:eastAsia="微軟正黑體" w:hAnsi="微軟正黑體"/>
                <w:b/>
                <w:color w:val="FFFFFF" w:themeColor="background1"/>
                <w:sz w:val="22"/>
                <w:szCs w:val="22"/>
                <w:u w:val="single"/>
              </w:rPr>
            </w:pPr>
            <w:r w:rsidRPr="00C77DF5">
              <w:rPr>
                <w:rFonts w:ascii="微軟正黑體" w:eastAsia="微軟正黑體" w:hAnsi="微軟正黑體" w:hint="eastAsia"/>
                <w:b/>
                <w:color w:val="FFFFFF" w:themeColor="background1"/>
                <w:sz w:val="22"/>
                <w:szCs w:val="22"/>
              </w:rPr>
              <w:t>年分</w:t>
            </w:r>
          </w:p>
        </w:tc>
        <w:tc>
          <w:tcPr>
            <w:tcW w:w="1247" w:type="dxa"/>
            <w:shd w:val="clear" w:color="auto" w:fill="8064A2" w:themeFill="accent4"/>
            <w:vAlign w:val="center"/>
          </w:tcPr>
          <w:p w:rsidR="00F152C0" w:rsidRPr="00307C81" w:rsidRDefault="00F152C0" w:rsidP="00C86667">
            <w:pPr>
              <w:widowControl/>
              <w:spacing w:line="320" w:lineRule="exact"/>
              <w:jc w:val="center"/>
              <w:rPr>
                <w:rFonts w:ascii="微軟正黑體" w:eastAsia="微軟正黑體" w:hAnsi="微軟正黑體"/>
                <w:b/>
                <w:color w:val="FFFFFF" w:themeColor="background1"/>
                <w:sz w:val="22"/>
                <w:szCs w:val="22"/>
              </w:rPr>
            </w:pPr>
            <w:r w:rsidRPr="00307C81">
              <w:rPr>
                <w:rFonts w:ascii="微軟正黑體" w:eastAsia="微軟正黑體" w:hAnsi="微軟正黑體" w:hint="eastAsia"/>
                <w:b/>
                <w:color w:val="FFFFFF" w:themeColor="background1"/>
                <w:sz w:val="22"/>
                <w:szCs w:val="22"/>
              </w:rPr>
              <w:t>15</w:t>
            </w:r>
            <w:r w:rsidRPr="00307C81">
              <w:rPr>
                <w:rFonts w:ascii="微軟正黑體" w:eastAsia="微軟正黑體" w:hAnsi="微軟正黑體"/>
                <w:b/>
                <w:color w:val="FFFFFF" w:themeColor="background1"/>
                <w:sz w:val="22"/>
                <w:szCs w:val="22"/>
              </w:rPr>
              <w:t>-</w:t>
            </w:r>
            <w:r w:rsidRPr="00307C81">
              <w:rPr>
                <w:rFonts w:ascii="微軟正黑體" w:eastAsia="微軟正黑體" w:hAnsi="微軟正黑體" w:hint="eastAsia"/>
                <w:b/>
                <w:color w:val="FFFFFF" w:themeColor="background1"/>
                <w:sz w:val="22"/>
                <w:szCs w:val="22"/>
              </w:rPr>
              <w:t>64歲扶老比</w:t>
            </w:r>
          </w:p>
        </w:tc>
        <w:tc>
          <w:tcPr>
            <w:tcW w:w="1247" w:type="dxa"/>
            <w:shd w:val="clear" w:color="auto" w:fill="8064A2" w:themeFill="accent4"/>
            <w:vAlign w:val="center"/>
          </w:tcPr>
          <w:p w:rsidR="00F152C0" w:rsidRPr="00307C81" w:rsidRDefault="00F152C0" w:rsidP="00C86667">
            <w:pPr>
              <w:widowControl/>
              <w:spacing w:line="320" w:lineRule="exact"/>
              <w:jc w:val="center"/>
              <w:rPr>
                <w:rFonts w:ascii="微軟正黑體" w:eastAsia="微軟正黑體" w:hAnsi="微軟正黑體"/>
                <w:b/>
                <w:color w:val="FFFFFF" w:themeColor="background1"/>
                <w:sz w:val="22"/>
                <w:szCs w:val="22"/>
              </w:rPr>
            </w:pPr>
            <w:r w:rsidRPr="00307C81">
              <w:rPr>
                <w:rFonts w:ascii="微軟正黑體" w:eastAsia="微軟正黑體" w:hAnsi="微軟正黑體" w:hint="eastAsia"/>
                <w:b/>
                <w:color w:val="FFFFFF" w:themeColor="background1"/>
                <w:sz w:val="22"/>
                <w:szCs w:val="22"/>
              </w:rPr>
              <w:t>20</w:t>
            </w:r>
            <w:r w:rsidRPr="00307C81">
              <w:rPr>
                <w:rFonts w:ascii="微軟正黑體" w:eastAsia="微軟正黑體" w:hAnsi="微軟正黑體"/>
                <w:b/>
                <w:color w:val="FFFFFF" w:themeColor="background1"/>
                <w:sz w:val="22"/>
                <w:szCs w:val="22"/>
              </w:rPr>
              <w:t>-</w:t>
            </w:r>
            <w:r w:rsidRPr="00307C81">
              <w:rPr>
                <w:rFonts w:ascii="微軟正黑體" w:eastAsia="微軟正黑體" w:hAnsi="微軟正黑體" w:hint="eastAsia"/>
                <w:b/>
                <w:color w:val="FFFFFF" w:themeColor="background1"/>
                <w:sz w:val="22"/>
                <w:szCs w:val="22"/>
              </w:rPr>
              <w:t>64歲扶老比</w:t>
            </w:r>
          </w:p>
        </w:tc>
        <w:tc>
          <w:tcPr>
            <w:tcW w:w="1247" w:type="dxa"/>
            <w:shd w:val="clear" w:color="auto" w:fill="8064A2" w:themeFill="accent4"/>
            <w:vAlign w:val="center"/>
          </w:tcPr>
          <w:p w:rsidR="00F152C0" w:rsidRPr="00307C81" w:rsidRDefault="00F152C0" w:rsidP="00C86667">
            <w:pPr>
              <w:widowControl/>
              <w:spacing w:line="320" w:lineRule="exact"/>
              <w:jc w:val="center"/>
              <w:rPr>
                <w:rFonts w:ascii="微軟正黑體" w:eastAsia="微軟正黑體" w:hAnsi="微軟正黑體"/>
                <w:b/>
                <w:color w:val="FFFFFF" w:themeColor="background1"/>
                <w:sz w:val="22"/>
                <w:szCs w:val="22"/>
              </w:rPr>
            </w:pPr>
            <w:r w:rsidRPr="00307C81">
              <w:rPr>
                <w:rFonts w:ascii="微軟正黑體" w:eastAsia="微軟正黑體" w:hAnsi="微軟正黑體" w:hint="eastAsia"/>
                <w:b/>
                <w:color w:val="FFFFFF" w:themeColor="background1"/>
                <w:sz w:val="22"/>
                <w:szCs w:val="22"/>
              </w:rPr>
              <w:t>20</w:t>
            </w:r>
            <w:r w:rsidRPr="00307C81">
              <w:rPr>
                <w:rFonts w:ascii="微軟正黑體" w:eastAsia="微軟正黑體" w:hAnsi="微軟正黑體"/>
                <w:b/>
                <w:color w:val="FFFFFF" w:themeColor="background1"/>
                <w:sz w:val="22"/>
                <w:szCs w:val="22"/>
              </w:rPr>
              <w:t>-</w:t>
            </w:r>
            <w:r w:rsidRPr="00307C81">
              <w:rPr>
                <w:rFonts w:ascii="微軟正黑體" w:eastAsia="微軟正黑體" w:hAnsi="微軟正黑體" w:hint="eastAsia"/>
                <w:b/>
                <w:color w:val="FFFFFF" w:themeColor="background1"/>
                <w:sz w:val="22"/>
                <w:szCs w:val="22"/>
              </w:rPr>
              <w:t>69歲扶老比</w:t>
            </w:r>
          </w:p>
        </w:tc>
        <w:tc>
          <w:tcPr>
            <w:tcW w:w="1221" w:type="dxa"/>
            <w:shd w:val="clear" w:color="auto" w:fill="8064A2" w:themeFill="accent4"/>
            <w:vAlign w:val="center"/>
          </w:tcPr>
          <w:p w:rsidR="00F152C0" w:rsidRPr="00307C81" w:rsidRDefault="00F152C0" w:rsidP="00C86667">
            <w:pPr>
              <w:widowControl/>
              <w:spacing w:line="320" w:lineRule="exact"/>
              <w:jc w:val="center"/>
              <w:rPr>
                <w:rFonts w:ascii="微軟正黑體" w:eastAsia="微軟正黑體" w:hAnsi="微軟正黑體"/>
                <w:b/>
                <w:color w:val="FFFFFF" w:themeColor="background1"/>
                <w:sz w:val="22"/>
                <w:szCs w:val="22"/>
              </w:rPr>
            </w:pPr>
            <w:r w:rsidRPr="00307C81">
              <w:rPr>
                <w:rFonts w:ascii="微軟正黑體" w:eastAsia="微軟正黑體" w:hAnsi="微軟正黑體" w:hint="eastAsia"/>
                <w:b/>
                <w:color w:val="FFFFFF" w:themeColor="background1"/>
                <w:sz w:val="22"/>
                <w:szCs w:val="22"/>
              </w:rPr>
              <w:t>15</w:t>
            </w:r>
            <w:r w:rsidRPr="00307C81">
              <w:rPr>
                <w:rFonts w:ascii="微軟正黑體" w:eastAsia="微軟正黑體" w:hAnsi="微軟正黑體"/>
                <w:b/>
                <w:color w:val="FFFFFF" w:themeColor="background1"/>
                <w:sz w:val="22"/>
                <w:szCs w:val="22"/>
              </w:rPr>
              <w:t>-</w:t>
            </w:r>
            <w:r w:rsidRPr="00307C81">
              <w:rPr>
                <w:rFonts w:ascii="微軟正黑體" w:eastAsia="微軟正黑體" w:hAnsi="微軟正黑體" w:hint="eastAsia"/>
                <w:b/>
                <w:color w:val="FFFFFF" w:themeColor="background1"/>
                <w:sz w:val="22"/>
                <w:szCs w:val="22"/>
              </w:rPr>
              <w:t>64歲： 65歲以上</w:t>
            </w:r>
          </w:p>
        </w:tc>
        <w:tc>
          <w:tcPr>
            <w:tcW w:w="1276" w:type="dxa"/>
            <w:shd w:val="clear" w:color="auto" w:fill="8064A2" w:themeFill="accent4"/>
            <w:vAlign w:val="center"/>
          </w:tcPr>
          <w:p w:rsidR="00F152C0" w:rsidRPr="00307C81" w:rsidRDefault="00F152C0" w:rsidP="00C86667">
            <w:pPr>
              <w:widowControl/>
              <w:spacing w:line="320" w:lineRule="exact"/>
              <w:jc w:val="center"/>
              <w:rPr>
                <w:rFonts w:ascii="微軟正黑體" w:eastAsia="微軟正黑體" w:hAnsi="微軟正黑體"/>
                <w:b/>
                <w:color w:val="FFFFFF" w:themeColor="background1"/>
                <w:sz w:val="22"/>
                <w:szCs w:val="22"/>
              </w:rPr>
            </w:pPr>
            <w:r w:rsidRPr="00307C81">
              <w:rPr>
                <w:rFonts w:ascii="微軟正黑體" w:eastAsia="微軟正黑體" w:hAnsi="微軟正黑體" w:hint="eastAsia"/>
                <w:b/>
                <w:color w:val="FFFFFF" w:themeColor="background1"/>
                <w:sz w:val="22"/>
                <w:szCs w:val="22"/>
              </w:rPr>
              <w:t>20</w:t>
            </w:r>
            <w:r w:rsidRPr="00307C81">
              <w:rPr>
                <w:rFonts w:ascii="微軟正黑體" w:eastAsia="微軟正黑體" w:hAnsi="微軟正黑體"/>
                <w:b/>
                <w:color w:val="FFFFFF" w:themeColor="background1"/>
                <w:sz w:val="22"/>
                <w:szCs w:val="22"/>
              </w:rPr>
              <w:t>-</w:t>
            </w:r>
            <w:r w:rsidRPr="00307C81">
              <w:rPr>
                <w:rFonts w:ascii="微軟正黑體" w:eastAsia="微軟正黑體" w:hAnsi="微軟正黑體" w:hint="eastAsia"/>
                <w:b/>
                <w:color w:val="FFFFFF" w:themeColor="background1"/>
                <w:sz w:val="22"/>
                <w:szCs w:val="22"/>
              </w:rPr>
              <w:t>6</w:t>
            </w:r>
            <w:r>
              <w:rPr>
                <w:rFonts w:ascii="微軟正黑體" w:eastAsia="微軟正黑體" w:hAnsi="微軟正黑體" w:hint="eastAsia"/>
                <w:b/>
                <w:color w:val="FFFFFF" w:themeColor="background1"/>
                <w:sz w:val="22"/>
                <w:szCs w:val="22"/>
              </w:rPr>
              <w:t>4</w:t>
            </w:r>
            <w:r w:rsidRPr="00307C81">
              <w:rPr>
                <w:rFonts w:ascii="微軟正黑體" w:eastAsia="微軟正黑體" w:hAnsi="微軟正黑體" w:hint="eastAsia"/>
                <w:b/>
                <w:color w:val="FFFFFF" w:themeColor="background1"/>
                <w:sz w:val="22"/>
                <w:szCs w:val="22"/>
              </w:rPr>
              <w:t>歲： 65歲以上</w:t>
            </w:r>
          </w:p>
        </w:tc>
        <w:tc>
          <w:tcPr>
            <w:tcW w:w="1244" w:type="dxa"/>
            <w:shd w:val="clear" w:color="auto" w:fill="8064A2" w:themeFill="accent4"/>
            <w:vAlign w:val="center"/>
          </w:tcPr>
          <w:p w:rsidR="00F152C0" w:rsidRPr="00307C81" w:rsidRDefault="00F152C0" w:rsidP="00C86667">
            <w:pPr>
              <w:widowControl/>
              <w:spacing w:line="320" w:lineRule="exact"/>
              <w:jc w:val="center"/>
              <w:rPr>
                <w:rFonts w:ascii="微軟正黑體" w:eastAsia="微軟正黑體" w:hAnsi="微軟正黑體"/>
                <w:b/>
                <w:color w:val="FFFFFF" w:themeColor="background1"/>
                <w:sz w:val="22"/>
                <w:szCs w:val="22"/>
              </w:rPr>
            </w:pPr>
            <w:r w:rsidRPr="00307C81">
              <w:rPr>
                <w:rFonts w:ascii="微軟正黑體" w:eastAsia="微軟正黑體" w:hAnsi="微軟正黑體" w:hint="eastAsia"/>
                <w:b/>
                <w:color w:val="FFFFFF" w:themeColor="background1"/>
                <w:sz w:val="22"/>
                <w:szCs w:val="22"/>
              </w:rPr>
              <w:t>20</w:t>
            </w:r>
            <w:r w:rsidRPr="00307C81">
              <w:rPr>
                <w:rFonts w:ascii="微軟正黑體" w:eastAsia="微軟正黑體" w:hAnsi="微軟正黑體"/>
                <w:b/>
                <w:color w:val="FFFFFF" w:themeColor="background1"/>
                <w:sz w:val="22"/>
                <w:szCs w:val="22"/>
              </w:rPr>
              <w:t>-</w:t>
            </w:r>
            <w:r w:rsidRPr="00307C81">
              <w:rPr>
                <w:rFonts w:ascii="微軟正黑體" w:eastAsia="微軟正黑體" w:hAnsi="微軟正黑體" w:hint="eastAsia"/>
                <w:b/>
                <w:color w:val="FFFFFF" w:themeColor="background1"/>
                <w:sz w:val="22"/>
                <w:szCs w:val="22"/>
              </w:rPr>
              <w:t>69歲： 70歲以上</w:t>
            </w:r>
          </w:p>
        </w:tc>
      </w:tr>
      <w:tr w:rsidR="00F152C0" w:rsidRPr="00377170" w:rsidTr="00C86667">
        <w:trPr>
          <w:jc w:val="center"/>
        </w:trPr>
        <w:tc>
          <w:tcPr>
            <w:tcW w:w="1247" w:type="dxa"/>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2012</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15</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0</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16</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6</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3</w:t>
            </w:r>
          </w:p>
        </w:tc>
        <w:tc>
          <w:tcPr>
            <w:tcW w:w="1221"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6</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7</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76"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6</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0</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44"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8</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9</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r>
      <w:tr w:rsidR="00F152C0" w:rsidRPr="00377170" w:rsidTr="00C86667">
        <w:trPr>
          <w:jc w:val="center"/>
        </w:trPr>
        <w:tc>
          <w:tcPr>
            <w:tcW w:w="1247" w:type="dxa"/>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2018</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20</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1</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7</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12</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4</w:t>
            </w:r>
          </w:p>
        </w:tc>
        <w:tc>
          <w:tcPr>
            <w:tcW w:w="1221"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5</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0</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76"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4</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6</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44"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8</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1</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r>
      <w:tr w:rsidR="00F152C0" w:rsidRPr="00377170" w:rsidTr="00C86667">
        <w:trPr>
          <w:jc w:val="center"/>
        </w:trPr>
        <w:tc>
          <w:tcPr>
            <w:tcW w:w="1247" w:type="dxa"/>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2020</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22</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5</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24</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1</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13</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6</w:t>
            </w:r>
          </w:p>
        </w:tc>
        <w:tc>
          <w:tcPr>
            <w:tcW w:w="1221"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4</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5</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76"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4</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1</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44"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7</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4</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r>
      <w:tr w:rsidR="00F152C0" w:rsidRPr="00377170" w:rsidTr="00C86667">
        <w:trPr>
          <w:jc w:val="center"/>
        </w:trPr>
        <w:tc>
          <w:tcPr>
            <w:tcW w:w="1247" w:type="dxa"/>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2030</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36</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8</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39</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6</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24</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5</w:t>
            </w:r>
          </w:p>
        </w:tc>
        <w:tc>
          <w:tcPr>
            <w:tcW w:w="1221"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7</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76"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5</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44"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4</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1</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r>
      <w:tr w:rsidR="00F152C0" w:rsidRPr="00377170" w:rsidTr="00C86667">
        <w:trPr>
          <w:jc w:val="center"/>
        </w:trPr>
        <w:tc>
          <w:tcPr>
            <w:tcW w:w="1247" w:type="dxa"/>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2040</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50</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5</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53</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7</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36</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3</w:t>
            </w:r>
          </w:p>
        </w:tc>
        <w:tc>
          <w:tcPr>
            <w:tcW w:w="1221"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0</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76"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9</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44"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8</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r>
      <w:tr w:rsidR="00F152C0" w:rsidRPr="00377170" w:rsidTr="00C86667">
        <w:trPr>
          <w:jc w:val="center"/>
        </w:trPr>
        <w:tc>
          <w:tcPr>
            <w:tcW w:w="1247" w:type="dxa"/>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2050</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67</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7</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72</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5</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47</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9</w:t>
            </w:r>
          </w:p>
        </w:tc>
        <w:tc>
          <w:tcPr>
            <w:tcW w:w="1221"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5</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76"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4</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44"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1</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r>
      <w:tr w:rsidR="00F152C0" w:rsidRPr="00377170" w:rsidTr="00C86667">
        <w:trPr>
          <w:jc w:val="center"/>
        </w:trPr>
        <w:tc>
          <w:tcPr>
            <w:tcW w:w="1247" w:type="dxa"/>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2060</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78</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5</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84</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2</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57</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4</w:t>
            </w:r>
          </w:p>
        </w:tc>
        <w:tc>
          <w:tcPr>
            <w:tcW w:w="1221"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3</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76"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2</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44"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7</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r>
      <w:tr w:rsidR="00F152C0" w:rsidRPr="00377170" w:rsidTr="00C86667">
        <w:trPr>
          <w:jc w:val="center"/>
        </w:trPr>
        <w:tc>
          <w:tcPr>
            <w:tcW w:w="1247" w:type="dxa"/>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2070</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84</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0</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90</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3</w:t>
            </w:r>
          </w:p>
        </w:tc>
        <w:tc>
          <w:tcPr>
            <w:tcW w:w="1247"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65</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7</w:t>
            </w:r>
          </w:p>
        </w:tc>
        <w:tc>
          <w:tcPr>
            <w:tcW w:w="1221"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2</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76"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1</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c>
          <w:tcPr>
            <w:tcW w:w="1244" w:type="dxa"/>
            <w:vAlign w:val="center"/>
          </w:tcPr>
          <w:p w:rsidR="00F152C0" w:rsidRPr="00377170" w:rsidRDefault="00F152C0" w:rsidP="00C86667">
            <w:pPr>
              <w:widowControl/>
              <w:spacing w:line="400" w:lineRule="exact"/>
              <w:jc w:val="center"/>
              <w:rPr>
                <w:rFonts w:ascii="微軟正黑體" w:eastAsia="微軟正黑體" w:hAnsi="微軟正黑體"/>
                <w:sz w:val="22"/>
                <w:szCs w:val="22"/>
              </w:rPr>
            </w:pPr>
            <w:r w:rsidRPr="00377170">
              <w:rPr>
                <w:rFonts w:ascii="微軟正黑體" w:eastAsia="微軟正黑體" w:hAnsi="微軟正黑體" w:hint="eastAsia"/>
                <w:sz w:val="22"/>
                <w:szCs w:val="22"/>
              </w:rPr>
              <w:t>1</w:t>
            </w:r>
            <w:r w:rsidRPr="00377170">
              <w:rPr>
                <w:rFonts w:ascii="微軟正黑體" w:eastAsia="微軟正黑體" w:hAnsi="微軟正黑體"/>
                <w:sz w:val="22"/>
                <w:szCs w:val="22"/>
              </w:rPr>
              <w:t>.</w:t>
            </w:r>
            <w:r w:rsidRPr="00377170">
              <w:rPr>
                <w:rFonts w:ascii="微軟正黑體" w:eastAsia="微軟正黑體" w:hAnsi="微軟正黑體" w:hint="eastAsia"/>
                <w:sz w:val="22"/>
                <w:szCs w:val="22"/>
              </w:rPr>
              <w:t>5</w:t>
            </w:r>
            <w:r>
              <w:rPr>
                <w:rFonts w:ascii="微軟正黑體" w:eastAsia="微軟正黑體" w:hAnsi="微軟正黑體" w:hint="eastAsia"/>
                <w:sz w:val="22"/>
                <w:szCs w:val="22"/>
              </w:rPr>
              <w:t>：</w:t>
            </w:r>
            <w:r w:rsidRPr="00377170">
              <w:rPr>
                <w:rFonts w:ascii="微軟正黑體" w:eastAsia="微軟正黑體" w:hAnsi="微軟正黑體" w:hint="eastAsia"/>
                <w:sz w:val="22"/>
                <w:szCs w:val="22"/>
              </w:rPr>
              <w:t>1</w:t>
            </w:r>
          </w:p>
        </w:tc>
      </w:tr>
    </w:tbl>
    <w:p w:rsidR="00F152C0" w:rsidRDefault="00F152C0" w:rsidP="00F152C0">
      <w:pPr>
        <w:spacing w:line="320" w:lineRule="exact"/>
        <w:contextualSpacing/>
        <w:rPr>
          <w:rFonts w:ascii="微軟正黑體" w:eastAsia="微軟正黑體" w:hAnsi="微軟正黑體"/>
          <w:sz w:val="20"/>
          <w:szCs w:val="20"/>
        </w:rPr>
      </w:pPr>
      <w:r>
        <w:rPr>
          <w:rFonts w:ascii="微軟正黑體" w:eastAsia="微軟正黑體" w:hAnsi="微軟正黑體" w:hint="eastAsia"/>
          <w:sz w:val="20"/>
          <w:szCs w:val="20"/>
        </w:rPr>
        <w:t xml:space="preserve">  </w:t>
      </w:r>
      <w:r w:rsidRPr="00377170">
        <w:rPr>
          <w:rFonts w:ascii="微軟正黑體" w:eastAsia="微軟正黑體" w:hAnsi="微軟正黑體" w:hint="eastAsia"/>
          <w:sz w:val="20"/>
          <w:szCs w:val="20"/>
        </w:rPr>
        <w:t>資料來源：國發會(2020</w:t>
      </w:r>
      <w:r w:rsidRPr="00377170">
        <w:rPr>
          <w:rFonts w:ascii="微軟正黑體" w:eastAsia="微軟正黑體" w:hAnsi="微軟正黑體"/>
          <w:sz w:val="20"/>
          <w:szCs w:val="20"/>
        </w:rPr>
        <w:t xml:space="preserve">) </w:t>
      </w:r>
      <w:r w:rsidRPr="00377170">
        <w:rPr>
          <w:rFonts w:ascii="微軟正黑體" w:eastAsia="微軟正黑體" w:hAnsi="微軟正黑體" w:hint="eastAsia"/>
          <w:sz w:val="20"/>
          <w:szCs w:val="20"/>
        </w:rPr>
        <w:t>2020</w:t>
      </w:r>
      <w:r w:rsidRPr="00377170">
        <w:rPr>
          <w:rFonts w:ascii="微軟正黑體" w:eastAsia="微軟正黑體" w:hAnsi="微軟正黑體"/>
          <w:sz w:val="20"/>
          <w:szCs w:val="20"/>
        </w:rPr>
        <w:t>-</w:t>
      </w:r>
      <w:r w:rsidRPr="00377170">
        <w:rPr>
          <w:rFonts w:ascii="微軟正黑體" w:eastAsia="微軟正黑體" w:hAnsi="微軟正黑體" w:hint="eastAsia"/>
          <w:sz w:val="20"/>
          <w:szCs w:val="20"/>
        </w:rPr>
        <w:t>2070年人口推估報告，本研究另行整理繪製。</w:t>
      </w:r>
    </w:p>
    <w:p w:rsidR="00F152C0" w:rsidRPr="00377170" w:rsidRDefault="00F152C0" w:rsidP="00F152C0">
      <w:pPr>
        <w:spacing w:line="320" w:lineRule="exact"/>
        <w:contextualSpacing/>
        <w:rPr>
          <w:rFonts w:ascii="微軟正黑體" w:eastAsia="微軟正黑體" w:hAnsi="微軟正黑體"/>
          <w:sz w:val="20"/>
          <w:szCs w:val="20"/>
        </w:rPr>
      </w:pPr>
    </w:p>
    <w:p w:rsidR="00F152C0" w:rsidRPr="00377170" w:rsidRDefault="00F152C0" w:rsidP="00F152C0">
      <w:pPr>
        <w:spacing w:line="400" w:lineRule="exact"/>
        <w:ind w:firstLine="482"/>
        <w:jc w:val="both"/>
        <w:rPr>
          <w:rFonts w:ascii="微軟正黑體" w:eastAsia="微軟正黑體" w:hAnsi="微軟正黑體"/>
        </w:rPr>
      </w:pPr>
      <w:r w:rsidRPr="00377170">
        <w:rPr>
          <w:rFonts w:ascii="微軟正黑體" w:eastAsia="微軟正黑體" w:hAnsi="微軟正黑體"/>
        </w:rPr>
        <w:t>2019年11月15日立法院三讀通過「中高齡者與高齡者就業促進法」。在第一條立法宗旨，即開宗明義提到「為落實尊嚴勞動，提升中高齡者勞動參與，促進高齡者再就業，保障經濟安全，鼓勵世代合作與經驗傳承，維護中高齡者及高齡者就業權益，建構友善就業環境，並促進其人力資源之運用」。未來如何幫助在職者穩定就業、退休者再就業、失業者能再就業、促進青銀世代經驗技術傳承、建置退休人才資料庫、建置普及化的「地方銀髮人才服務據點」，以開發臨時性、季節性、短期性、部分工時與社區服務等就業機會與媒合，都將有助於我國高齡長者在地老化與在地就業的理想實踐與立法宗旨的落實，也將直接有助於工作壽命的延長與工作價值的擴展；並透過漸進</w:t>
      </w:r>
      <w:r w:rsidRPr="00C77DF5">
        <w:rPr>
          <w:rFonts w:ascii="微軟正黑體" w:eastAsia="微軟正黑體" w:hAnsi="微軟正黑體" w:hint="eastAsia"/>
          <w:color w:val="000000" w:themeColor="text1"/>
        </w:rPr>
        <w:t>式</w:t>
      </w:r>
      <w:r w:rsidRPr="00377170">
        <w:rPr>
          <w:rFonts w:ascii="微軟正黑體" w:eastAsia="微軟正黑體" w:hAnsi="微軟正黑體"/>
        </w:rPr>
        <w:t>退休與世代互助團結，促進台灣社會內部融合，進而落實永續發展願景。</w:t>
      </w:r>
    </w:p>
    <w:p w:rsidR="00F152C0" w:rsidRPr="00377170" w:rsidRDefault="00F152C0" w:rsidP="00F152C0">
      <w:pPr>
        <w:spacing w:beforeLines="30" w:before="108" w:line="400" w:lineRule="exact"/>
        <w:ind w:firstLine="482"/>
        <w:jc w:val="both"/>
        <w:rPr>
          <w:rFonts w:ascii="微軟正黑體" w:eastAsia="微軟正黑體" w:hAnsi="微軟正黑體"/>
        </w:rPr>
      </w:pPr>
      <w:r w:rsidRPr="00377170">
        <w:rPr>
          <w:rFonts w:ascii="微軟正黑體" w:eastAsia="微軟正黑體" w:hAnsi="微軟正黑體" w:hint="eastAsia"/>
        </w:rPr>
        <w:t>基本上勞動市場的結構性調整與因應，宜儘早規劃以利漸進調整。目前我國產業結構與各類雇主，可能因為行職業屬性的差異，面臨國內勞動力銀灰化與老化的衝擊程度不等，但長工時、低薪、低生育且長壽是共同面臨的處境。台灣在生產與社會福利體系的發展，相對較為強調經濟發展與經濟效率，在勞資的不對等權力關係與集體勞資關係</w:t>
      </w:r>
      <w:r w:rsidRPr="006368DD">
        <w:rPr>
          <w:rFonts w:ascii="微軟正黑體" w:eastAsia="微軟正黑體" w:hAnsi="微軟正黑體" w:hint="eastAsia"/>
        </w:rPr>
        <w:t>(</w:t>
      </w:r>
      <w:r w:rsidRPr="00377170">
        <w:rPr>
          <w:rFonts w:ascii="微軟正黑體" w:eastAsia="微軟正黑體" w:hAnsi="微軟正黑體" w:hint="eastAsia"/>
        </w:rPr>
        <w:t>包含</w:t>
      </w:r>
      <w:r>
        <w:rPr>
          <w:rFonts w:ascii="微軟正黑體" w:eastAsia="微軟正黑體" w:hAnsi="微軟正黑體" w:hint="eastAsia"/>
        </w:rPr>
        <w:t>工會協商能力)不容易推動，國家治理的正當性來源，除了促成資本積累(</w:t>
      </w:r>
      <w:r w:rsidRPr="00377170">
        <w:rPr>
          <w:rFonts w:ascii="微軟正黑體" w:eastAsia="微軟正黑體" w:hAnsi="微軟正黑體" w:hint="eastAsia"/>
        </w:rPr>
        <w:t>capital accumulation</w:t>
      </w:r>
      <w:r>
        <w:rPr>
          <w:rFonts w:ascii="微軟正黑體" w:eastAsia="微軟正黑體" w:hAnsi="微軟正黑體" w:hint="eastAsia"/>
        </w:rPr>
        <w:t>)，也包括落實其促進大多數民眾福祉的正當性(</w:t>
      </w:r>
      <w:r w:rsidRPr="00377170">
        <w:rPr>
          <w:rFonts w:ascii="微軟正黑體" w:eastAsia="微軟正黑體" w:hAnsi="微軟正黑體" w:hint="eastAsia"/>
        </w:rPr>
        <w:t>political</w:t>
      </w:r>
      <w:r w:rsidRPr="00377170">
        <w:rPr>
          <w:rFonts w:ascii="微軟正黑體" w:eastAsia="微軟正黑體" w:hAnsi="微軟正黑體"/>
        </w:rPr>
        <w:t xml:space="preserve"> </w:t>
      </w:r>
      <w:r w:rsidRPr="00377170">
        <w:rPr>
          <w:rFonts w:ascii="微軟正黑體" w:eastAsia="微軟正黑體" w:hAnsi="微軟正黑體" w:hint="eastAsia"/>
        </w:rPr>
        <w:t>legitimacy</w:t>
      </w:r>
      <w:r>
        <w:rPr>
          <w:rFonts w:ascii="微軟正黑體" w:eastAsia="微軟正黑體" w:hAnsi="微軟正黑體" w:hint="eastAsia"/>
        </w:rPr>
        <w:t>)與社會團結與融合(</w:t>
      </w:r>
      <w:r w:rsidRPr="00377170">
        <w:rPr>
          <w:rFonts w:ascii="微軟正黑體" w:eastAsia="微軟正黑體" w:hAnsi="微軟正黑體" w:hint="eastAsia"/>
        </w:rPr>
        <w:t>social solidarity and inclusion</w:t>
      </w:r>
      <w:r>
        <w:rPr>
          <w:rFonts w:ascii="微軟正黑體" w:eastAsia="微軟正黑體" w:hAnsi="微軟正黑體" w:hint="eastAsia"/>
        </w:rPr>
        <w:t>)</w:t>
      </w:r>
      <w:r w:rsidRPr="00377170">
        <w:rPr>
          <w:rFonts w:ascii="微軟正黑體" w:eastAsia="微軟正黑體" w:hAnsi="微軟正黑體" w:hint="eastAsia"/>
        </w:rPr>
        <w:t>。因此，支持與扶植有理念與有能力之公民社會的發展，是國家在平衡勞資失衡與人口老化因應，可以做的也是應該做的，否則年輕人在高房價</w:t>
      </w:r>
      <w:r w:rsidRPr="00C77DF5">
        <w:rPr>
          <w:rFonts w:ascii="微軟正黑體" w:eastAsia="微軟正黑體" w:hAnsi="微軟正黑體" w:hint="eastAsia"/>
        </w:rPr>
        <w:t>與低</w:t>
      </w:r>
      <w:r w:rsidRPr="00C77DF5">
        <w:rPr>
          <w:rFonts w:ascii="微軟正黑體" w:eastAsia="微軟正黑體" w:hAnsi="微軟正黑體" w:hint="eastAsia"/>
          <w:color w:val="000000" w:themeColor="text1"/>
        </w:rPr>
        <w:t>薪、再加上子女照顧甚至是父母親照顧之公共支持體</w:t>
      </w:r>
      <w:r w:rsidRPr="00C77DF5">
        <w:rPr>
          <w:rFonts w:ascii="微軟正黑體" w:eastAsia="微軟正黑體" w:hAnsi="微軟正黑體" w:hint="eastAsia"/>
        </w:rPr>
        <w:t>系不足情形而且部分工時工作機會也不足，又遇到勞工保險與健康保險保費增加給付降低雇</w:t>
      </w:r>
      <w:r w:rsidRPr="00377170">
        <w:rPr>
          <w:rFonts w:ascii="微軟正黑體" w:eastAsia="微軟正黑體" w:hAnsi="微軟正黑體" w:hint="eastAsia"/>
        </w:rPr>
        <w:t>主僱用意願，世代不均的問題有待面對。政府透過「社會團結經濟」與「融合性就業政策」，結合「社會投資」與「社會創新」理念，可發展以內需產業為主的「</w:t>
      </w:r>
      <w:r>
        <w:rPr>
          <w:rFonts w:ascii="微軟正黑體" w:eastAsia="微軟正黑體" w:hAnsi="微軟正黑體" w:hint="eastAsia"/>
        </w:rPr>
        <w:t>文化與</w:t>
      </w:r>
      <w:r w:rsidRPr="00377170">
        <w:rPr>
          <w:rFonts w:ascii="微軟正黑體" w:eastAsia="微軟正黑體" w:hAnsi="微軟正黑體" w:hint="eastAsia"/>
        </w:rPr>
        <w:t>生活創意產業」與「照顧服務產業」，除了一方面減緩全球化經濟對本國就業與所得分配的影響；另一方面可創造公共就業機會，有助於改善女性、中高齡與高齡者的就業可能性，甚至</w:t>
      </w:r>
      <w:r w:rsidRPr="00377170">
        <w:rPr>
          <w:rFonts w:ascii="微軟正黑體" w:eastAsia="微軟正黑體" w:hAnsi="微軟正黑體" w:hint="eastAsia"/>
        </w:rPr>
        <w:lastRenderedPageBreak/>
        <w:t>由於國家的適當介入，有助於確保工作者的勞動條件，近年的照顧服務員的薪資，隨著成立合作社改善勞動所得，同時也促進私部門提高照顧服務員薪資以降低流動，就是其中一個例子。</w:t>
      </w:r>
    </w:p>
    <w:p w:rsidR="00F152C0" w:rsidRPr="00377170" w:rsidRDefault="00F152C0" w:rsidP="00F152C0">
      <w:pPr>
        <w:spacing w:beforeLines="30" w:before="108" w:line="400" w:lineRule="exact"/>
        <w:ind w:firstLine="482"/>
        <w:jc w:val="both"/>
        <w:rPr>
          <w:rFonts w:ascii="微軟正黑體" w:eastAsia="微軟正黑體" w:hAnsi="微軟正黑體"/>
        </w:rPr>
      </w:pPr>
      <w:r w:rsidRPr="00377170">
        <w:rPr>
          <w:rFonts w:ascii="微軟正黑體" w:eastAsia="微軟正黑體" w:hAnsi="微軟正黑體" w:hint="eastAsia"/>
        </w:rPr>
        <w:t>因此，在因應人口快速老化，老年人口快速增加，減少的工作年齡人口與老年人的消費不足，都有可能影響經濟。而我們如果沒有有效的策略與制度</w:t>
      </w:r>
      <w:r>
        <w:rPr>
          <w:rFonts w:ascii="微軟正黑體" w:eastAsia="微軟正黑體" w:hAnsi="微軟正黑體" w:hint="eastAsia"/>
        </w:rPr>
        <w:t>建構</w:t>
      </w:r>
      <w:r w:rsidRPr="00377170">
        <w:rPr>
          <w:rFonts w:ascii="微軟正黑體" w:eastAsia="微軟正黑體" w:hAnsi="微軟正黑體" w:hint="eastAsia"/>
        </w:rPr>
        <w:t>，來支持年長者平等的就業機會，與創造友善的工作環境，不論是組織文化、職務再設計與對家庭照顧責任的理解與支持，結果在英美式自由經濟的競爭邏輯脈絡下，我們就可以發現台灣目前仍在私人組織受雇的年長勞工比率逐年下降，不論是公立與私立工作者即可能</w:t>
      </w:r>
      <w:r>
        <w:rPr>
          <w:rFonts w:ascii="微軟正黑體" w:eastAsia="微軟正黑體" w:hAnsi="微軟正黑體" w:hint="eastAsia"/>
        </w:rPr>
        <w:t>達法定資格即自己申請</w:t>
      </w:r>
      <w:r w:rsidRPr="00377170">
        <w:rPr>
          <w:rFonts w:ascii="微軟正黑體" w:eastAsia="微軟正黑體" w:hAnsi="微軟正黑體" w:hint="eastAsia"/>
        </w:rPr>
        <w:t>退休</w:t>
      </w:r>
      <w:r>
        <w:rPr>
          <w:rFonts w:ascii="微軟正黑體" w:eastAsia="微軟正黑體" w:hAnsi="微軟正黑體" w:hint="eastAsia"/>
        </w:rPr>
        <w:t>，或是被僱用組織非自願提早退休</w:t>
      </w:r>
      <w:r w:rsidRPr="00377170">
        <w:rPr>
          <w:rFonts w:ascii="微軟正黑體" w:eastAsia="微軟正黑體" w:hAnsi="微軟正黑體" w:hint="eastAsia"/>
        </w:rPr>
        <w:t>的結果。但在歐洲相對較為強調國家應有確保所有國民享有發展機會的自由，而不是只顧及富人或雇主的需求，或僅是提供殘補式</w:t>
      </w:r>
      <w:r>
        <w:rPr>
          <w:rFonts w:ascii="微軟正黑體" w:eastAsia="微軟正黑體" w:hAnsi="微軟正黑體" w:hint="eastAsia"/>
        </w:rPr>
        <w:t>或補救性的社會福利，相反的是透過提供多元及平等的就業機會與賦權(</w:t>
      </w:r>
      <w:r w:rsidRPr="00377170">
        <w:rPr>
          <w:rFonts w:ascii="微軟正黑體" w:eastAsia="微軟正黑體" w:hAnsi="微軟正黑體" w:hint="eastAsia"/>
        </w:rPr>
        <w:t xml:space="preserve">enabling or </w:t>
      </w:r>
      <w:r w:rsidRPr="00377170">
        <w:rPr>
          <w:rFonts w:ascii="微軟正黑體" w:eastAsia="微軟正黑體" w:hAnsi="微軟正黑體"/>
        </w:rPr>
        <w:t>empowering</w:t>
      </w:r>
      <w:r>
        <w:rPr>
          <w:rFonts w:ascii="微軟正黑體" w:eastAsia="微軟正黑體" w:hAnsi="微軟正黑體" w:hint="eastAsia"/>
        </w:rPr>
        <w:t>)</w:t>
      </w:r>
      <w:r w:rsidRPr="00377170">
        <w:rPr>
          <w:rFonts w:ascii="微軟正黑體" w:eastAsia="微軟正黑體" w:hAnsi="微軟正黑體" w:hint="eastAsia"/>
        </w:rPr>
        <w:t>，讓每個從事工作的人肯定自己的工作價值進而接納自己，同時又因為對社會此共同體或社區生活有所貢獻與互助來提高個人的幸福感與群體的認同感，因而更樂於工作與提高生產力。</w:t>
      </w:r>
    </w:p>
    <w:p w:rsidR="00F152C0" w:rsidRDefault="00F152C0" w:rsidP="00F152C0">
      <w:pPr>
        <w:spacing w:beforeLines="30" w:before="108" w:afterLines="50" w:after="180" w:line="400" w:lineRule="exact"/>
        <w:rPr>
          <w:rFonts w:ascii="微軟正黑體" w:eastAsia="微軟正黑體" w:hAnsi="微軟正黑體"/>
        </w:rPr>
      </w:pPr>
      <w:r>
        <w:rPr>
          <w:rFonts w:ascii="微軟正黑體" w:eastAsia="微軟正黑體" w:hAnsi="微軟正黑體" w:hint="eastAsia"/>
        </w:rPr>
        <w:t xml:space="preserve">    </w:t>
      </w:r>
      <w:r w:rsidRPr="00377170">
        <w:rPr>
          <w:rFonts w:ascii="微軟正黑體" w:eastAsia="微軟正黑體" w:hAnsi="微軟正黑體"/>
        </w:rPr>
        <w:t>老年經濟安全的基礎條件，除了穩健的年金體系(體系的財務永續性與個體給付</w:t>
      </w:r>
      <w:r w:rsidRPr="00C77DF5">
        <w:rPr>
          <w:rFonts w:ascii="微軟正黑體" w:eastAsia="微軟正黑體" w:hAnsi="微軟正黑體"/>
          <w:color w:val="000000" w:themeColor="text1"/>
        </w:rPr>
        <w:t>適足性之間</w:t>
      </w:r>
      <w:r w:rsidRPr="00C77DF5">
        <w:rPr>
          <w:rFonts w:ascii="微軟正黑體" w:eastAsia="微軟正黑體" w:hAnsi="微軟正黑體" w:hint="eastAsia"/>
          <w:color w:val="000000" w:themeColor="text1"/>
        </w:rPr>
        <w:t>的</w:t>
      </w:r>
      <w:r w:rsidRPr="00C77DF5">
        <w:rPr>
          <w:rFonts w:ascii="微軟正黑體" w:eastAsia="微軟正黑體" w:hAnsi="微軟正黑體"/>
          <w:color w:val="000000" w:themeColor="text1"/>
        </w:rPr>
        <w:t>平衡)，亦需要建立友善的工作環境，提供有意願與能力的高齡就業者都有</w:t>
      </w:r>
      <w:r w:rsidRPr="00377170">
        <w:rPr>
          <w:rFonts w:ascii="微軟正黑體" w:eastAsia="微軟正黑體" w:hAnsi="微軟正黑體"/>
        </w:rPr>
        <w:t>適合的就業機會，透過就業參與之自立與自主，達成經濟安全</w:t>
      </w:r>
      <w:r w:rsidRPr="00377170">
        <w:rPr>
          <w:rFonts w:ascii="微軟正黑體" w:eastAsia="微軟正黑體" w:hAnsi="微軟正黑體" w:hint="eastAsia"/>
        </w:rPr>
        <w:t>、</w:t>
      </w:r>
      <w:r w:rsidRPr="00377170">
        <w:rPr>
          <w:rFonts w:ascii="微軟正黑體" w:eastAsia="微軟正黑體" w:hAnsi="微軟正黑體"/>
        </w:rPr>
        <w:t>健康促進、社會連結、世代合作與永續發展的</w:t>
      </w:r>
      <w:r w:rsidRPr="00377170">
        <w:rPr>
          <w:rFonts w:ascii="微軟正黑體" w:eastAsia="微軟正黑體" w:hAnsi="微軟正黑體" w:hint="eastAsia"/>
        </w:rPr>
        <w:t>五</w:t>
      </w:r>
      <w:r>
        <w:rPr>
          <w:rFonts w:ascii="微軟正黑體" w:eastAsia="微軟正黑體" w:hAnsi="微軟正黑體" w:hint="eastAsia"/>
        </w:rPr>
        <w:t>大工作與就業價值；並透過有助於就業融合的社會團結經濟策略及重建「</w:t>
      </w:r>
      <w:r w:rsidRPr="00377170">
        <w:rPr>
          <w:rFonts w:ascii="微軟正黑體" w:eastAsia="微軟正黑體" w:hAnsi="微軟正黑體" w:hint="eastAsia"/>
        </w:rPr>
        <w:t>為人民</w:t>
      </w:r>
      <w:r>
        <w:rPr>
          <w:rFonts w:ascii="微軟正黑體" w:eastAsia="微軟正黑體" w:hAnsi="微軟正黑體" w:hint="eastAsia"/>
        </w:rPr>
        <w:t>而生」</w:t>
      </w:r>
      <w:r w:rsidRPr="00377170">
        <w:rPr>
          <w:rFonts w:ascii="微軟正黑體" w:eastAsia="微軟正黑體" w:hAnsi="微軟正黑體" w:hint="eastAsia"/>
        </w:rPr>
        <w:t>的財稅與貨幣政策及加上政府的效能提升與改善公私協力關係</w:t>
      </w:r>
      <w:r>
        <w:rPr>
          <w:rFonts w:ascii="微軟正黑體" w:eastAsia="微軟正黑體" w:hAnsi="微軟正黑體" w:hint="eastAsia"/>
        </w:rPr>
        <w:t>，如此我們才有可能一同預見一個有未來、有希望，而不是失衡發展的台</w:t>
      </w:r>
      <w:r w:rsidRPr="00377170">
        <w:rPr>
          <w:rFonts w:ascii="微軟正黑體" w:eastAsia="微軟正黑體" w:hAnsi="微軟正黑體" w:hint="eastAsia"/>
        </w:rPr>
        <w:t>灣</w:t>
      </w:r>
      <w:r>
        <w:rPr>
          <w:rFonts w:ascii="微軟正黑體" w:eastAsia="微軟正黑體" w:hAnsi="微軟正黑體" w:hint="eastAsia"/>
        </w:rPr>
        <w:t>！</w:t>
      </w:r>
    </w:p>
    <w:p w:rsidR="00F152C0" w:rsidRDefault="00F152C0" w:rsidP="00F152C0">
      <w:pPr>
        <w:spacing w:beforeLines="30" w:before="108" w:afterLines="50" w:after="180" w:line="400" w:lineRule="exact"/>
        <w:rPr>
          <w:rFonts w:ascii="微軟正黑體" w:eastAsia="微軟正黑體" w:hAnsi="微軟正黑體"/>
        </w:rPr>
      </w:pPr>
    </w:p>
    <w:p w:rsidR="00F152C0" w:rsidRDefault="00F152C0" w:rsidP="00F152C0">
      <w:pPr>
        <w:spacing w:beforeLines="30" w:before="108" w:afterLines="50" w:after="180" w:line="400" w:lineRule="exact"/>
        <w:rPr>
          <w:rFonts w:ascii="微軟正黑體" w:eastAsia="微軟正黑體" w:hAnsi="微軟正黑體"/>
        </w:rPr>
      </w:pPr>
    </w:p>
    <w:p w:rsidR="00F152C0" w:rsidRDefault="00F152C0" w:rsidP="00F152C0">
      <w:pPr>
        <w:spacing w:beforeLines="30" w:before="108" w:afterLines="50" w:after="180" w:line="400" w:lineRule="exact"/>
        <w:rPr>
          <w:rFonts w:ascii="微軟正黑體" w:eastAsia="微軟正黑體" w:hAnsi="微軟正黑體"/>
        </w:rPr>
      </w:pPr>
    </w:p>
    <w:p w:rsidR="00F152C0" w:rsidRDefault="00F152C0" w:rsidP="00F152C0">
      <w:pPr>
        <w:spacing w:beforeLines="30" w:before="108" w:afterLines="50" w:after="180" w:line="400" w:lineRule="exact"/>
        <w:rPr>
          <w:rFonts w:ascii="微軟正黑體" w:eastAsia="微軟正黑體" w:hAnsi="微軟正黑體"/>
        </w:rPr>
        <w:sectPr w:rsidR="00F152C0" w:rsidSect="001D5C1C">
          <w:headerReference w:type="default" r:id="rId165"/>
          <w:pgSz w:w="11906" w:h="16838"/>
          <w:pgMar w:top="1134" w:right="1418" w:bottom="1134" w:left="1418" w:header="340" w:footer="340" w:gutter="0"/>
          <w:cols w:space="425"/>
          <w:docGrid w:type="lines" w:linePitch="360"/>
        </w:sectPr>
      </w:pPr>
    </w:p>
    <w:p w:rsidR="00F152C0" w:rsidRPr="007E7F84" w:rsidRDefault="00F152C0" w:rsidP="00F152C0">
      <w:pPr>
        <w:spacing w:line="400" w:lineRule="exact"/>
        <w:ind w:left="640" w:hangingChars="200" w:hanging="640"/>
        <w:jc w:val="center"/>
        <w:rPr>
          <w:rFonts w:ascii="微軟正黑體" w:eastAsia="微軟正黑體" w:hAnsi="微軟正黑體"/>
          <w:b/>
          <w:sz w:val="32"/>
          <w:szCs w:val="32"/>
        </w:rPr>
      </w:pPr>
      <w:r w:rsidRPr="007E7F84">
        <w:rPr>
          <w:rFonts w:ascii="微軟正黑體" w:eastAsia="微軟正黑體" w:hAnsi="微軟正黑體"/>
          <w:b/>
          <w:sz w:val="32"/>
          <w:szCs w:val="32"/>
          <w:lang w:eastAsia="ja-JP"/>
        </w:rPr>
        <w:lastRenderedPageBreak/>
        <w:t>參考文獻</w:t>
      </w:r>
    </w:p>
    <w:p w:rsidR="00F152C0" w:rsidRPr="00224180" w:rsidRDefault="00F152C0" w:rsidP="00F152C0">
      <w:pPr>
        <w:spacing w:beforeLines="50" w:before="180" w:afterLines="50" w:after="180" w:line="400" w:lineRule="exact"/>
        <w:rPr>
          <w:rFonts w:ascii="微軟正黑體" w:eastAsia="微軟正黑體" w:hAnsi="微軟正黑體"/>
          <w:b/>
          <w:color w:val="000000"/>
          <w:sz w:val="28"/>
          <w:szCs w:val="28"/>
        </w:rPr>
      </w:pPr>
      <w:r w:rsidRPr="00224180">
        <w:rPr>
          <w:rFonts w:ascii="微軟正黑體" w:eastAsia="微軟正黑體" w:hAnsi="微軟正黑體" w:hint="eastAsia"/>
          <w:b/>
          <w:color w:val="000000"/>
          <w:sz w:val="28"/>
          <w:szCs w:val="28"/>
        </w:rPr>
        <w:t>一、</w:t>
      </w:r>
      <w:r w:rsidRPr="00224180">
        <w:rPr>
          <w:rFonts w:ascii="微軟正黑體" w:eastAsia="微軟正黑體" w:hAnsi="微軟正黑體"/>
          <w:b/>
          <w:color w:val="000000"/>
          <w:sz w:val="28"/>
          <w:szCs w:val="28"/>
        </w:rPr>
        <w:t>中文部分</w:t>
      </w:r>
    </w:p>
    <w:p w:rsidR="00F152C0" w:rsidRPr="00E93E70" w:rsidRDefault="00F152C0" w:rsidP="00BD50E5">
      <w:pPr>
        <w:pStyle w:val="af0"/>
        <w:numPr>
          <w:ilvl w:val="0"/>
          <w:numId w:val="54"/>
        </w:numPr>
        <w:spacing w:line="400" w:lineRule="exact"/>
        <w:ind w:leftChars="0" w:left="595" w:hanging="357"/>
        <w:jc w:val="both"/>
        <w:rPr>
          <w:rFonts w:ascii="微軟正黑體" w:eastAsia="微軟正黑體" w:hAnsi="微軟正黑體"/>
        </w:rPr>
      </w:pPr>
      <w:r w:rsidRPr="00FB10DA">
        <w:rPr>
          <w:rFonts w:ascii="微軟正黑體" w:eastAsia="微軟正黑體" w:hAnsi="微軟正黑體" w:hint="eastAsia"/>
          <w:lang w:eastAsia="ja-JP"/>
        </w:rPr>
        <w:t>內政部，2021。「僅老年人口居住宅數」，不動產資訊平台公布。</w:t>
      </w:r>
    </w:p>
    <w:p w:rsidR="00F152C0" w:rsidRPr="00AC1334" w:rsidRDefault="00F152C0" w:rsidP="00BD50E5">
      <w:pPr>
        <w:pStyle w:val="af0"/>
        <w:numPr>
          <w:ilvl w:val="0"/>
          <w:numId w:val="54"/>
        </w:numPr>
        <w:spacing w:line="400" w:lineRule="exact"/>
        <w:ind w:leftChars="0" w:left="595" w:hanging="357"/>
        <w:jc w:val="both"/>
        <w:rPr>
          <w:rFonts w:ascii="微軟正黑體" w:eastAsia="微軟正黑體" w:hAnsi="微軟正黑體"/>
          <w:lang w:eastAsia="ja-JP"/>
        </w:rPr>
      </w:pPr>
      <w:r w:rsidRPr="00AC1334">
        <w:rPr>
          <w:rFonts w:ascii="微軟正黑體" w:eastAsia="微軟正黑體" w:hAnsi="微軟正黑體" w:hint="eastAsia"/>
          <w:lang w:eastAsia="ja-JP"/>
        </w:rPr>
        <w:t>行政院主計</w:t>
      </w:r>
      <w:r w:rsidRPr="00FB10DA">
        <w:rPr>
          <w:rFonts w:ascii="微軟正黑體" w:eastAsia="微軟正黑體" w:hAnsi="微軟正黑體" w:hint="eastAsia"/>
          <w:lang w:eastAsia="ja-JP"/>
        </w:rPr>
        <w:t>總</w:t>
      </w:r>
      <w:r w:rsidRPr="00AC1334">
        <w:rPr>
          <w:rFonts w:ascii="微軟正黑體" w:eastAsia="微軟正黑體" w:hAnsi="微軟正黑體" w:hint="eastAsia"/>
          <w:lang w:eastAsia="ja-JP"/>
        </w:rPr>
        <w:t>處，2000-2020</w:t>
      </w:r>
      <w:r>
        <w:rPr>
          <w:rFonts w:ascii="微軟正黑體" w:eastAsia="微軟正黑體" w:hAnsi="微軟正黑體" w:hint="eastAsia"/>
        </w:rPr>
        <w:t>。</w:t>
      </w:r>
      <w:r w:rsidRPr="00AC1334">
        <w:rPr>
          <w:rFonts w:ascii="微軟正黑體" w:eastAsia="微軟正黑體" w:hAnsi="微軟正黑體" w:hint="eastAsia"/>
          <w:lang w:eastAsia="ja-JP"/>
        </w:rPr>
        <w:t>歷年家庭收支狀況調查報告。</w:t>
      </w:r>
    </w:p>
    <w:p w:rsidR="00F152C0" w:rsidRPr="00AC1334" w:rsidRDefault="00F152C0" w:rsidP="00BD50E5">
      <w:pPr>
        <w:pStyle w:val="af0"/>
        <w:numPr>
          <w:ilvl w:val="0"/>
          <w:numId w:val="54"/>
        </w:numPr>
        <w:spacing w:line="400" w:lineRule="exact"/>
        <w:ind w:leftChars="0" w:left="595" w:hanging="357"/>
        <w:jc w:val="both"/>
        <w:rPr>
          <w:rFonts w:ascii="微軟正黑體" w:eastAsia="微軟正黑體" w:hAnsi="微軟正黑體"/>
          <w:lang w:eastAsia="ja-JP"/>
        </w:rPr>
      </w:pPr>
      <w:r w:rsidRPr="00AC1334">
        <w:rPr>
          <w:rFonts w:ascii="微軟正黑體" w:eastAsia="微軟正黑體" w:hAnsi="微軟正黑體" w:hint="eastAsia"/>
          <w:lang w:eastAsia="ja-JP"/>
        </w:rPr>
        <w:t>行政院主計</w:t>
      </w:r>
      <w:r w:rsidRPr="00FB10DA">
        <w:rPr>
          <w:rFonts w:ascii="微軟正黑體" w:eastAsia="微軟正黑體" w:hAnsi="微軟正黑體" w:hint="eastAsia"/>
          <w:lang w:eastAsia="ja-JP"/>
        </w:rPr>
        <w:t>總</w:t>
      </w:r>
      <w:r w:rsidRPr="00AC1334">
        <w:rPr>
          <w:rFonts w:ascii="微軟正黑體" w:eastAsia="微軟正黑體" w:hAnsi="微軟正黑體" w:hint="eastAsia"/>
          <w:lang w:eastAsia="ja-JP"/>
        </w:rPr>
        <w:t>處，2016。婦女婚育與就業狀況調查。</w:t>
      </w:r>
    </w:p>
    <w:p w:rsidR="00F152C0" w:rsidRDefault="00F152C0" w:rsidP="00BD50E5">
      <w:pPr>
        <w:pStyle w:val="af0"/>
        <w:numPr>
          <w:ilvl w:val="0"/>
          <w:numId w:val="54"/>
        </w:numPr>
        <w:spacing w:line="400" w:lineRule="exact"/>
        <w:ind w:leftChars="0" w:left="595" w:hanging="357"/>
        <w:jc w:val="both"/>
        <w:rPr>
          <w:rFonts w:ascii="微軟正黑體" w:eastAsia="微軟正黑體" w:hAnsi="微軟正黑體"/>
          <w:lang w:eastAsia="ja-JP"/>
        </w:rPr>
      </w:pPr>
      <w:r w:rsidRPr="00FB10DA">
        <w:rPr>
          <w:rFonts w:ascii="微軟正黑體" w:eastAsia="微軟正黑體" w:hAnsi="微軟正黑體" w:hint="eastAsia"/>
          <w:lang w:eastAsia="ja-JP"/>
        </w:rPr>
        <w:t>行政院主計總處，2020。108年工業及服務業受僱員工全年總中位數及分布統計結果。</w:t>
      </w:r>
    </w:p>
    <w:p w:rsidR="00F152C0" w:rsidRDefault="00F152C0" w:rsidP="00BD50E5">
      <w:pPr>
        <w:pStyle w:val="af0"/>
        <w:numPr>
          <w:ilvl w:val="0"/>
          <w:numId w:val="54"/>
        </w:numPr>
        <w:spacing w:line="400" w:lineRule="exact"/>
        <w:ind w:leftChars="0" w:left="595" w:hanging="357"/>
        <w:jc w:val="both"/>
        <w:rPr>
          <w:rFonts w:ascii="微軟正黑體" w:eastAsia="微軟正黑體" w:hAnsi="微軟正黑體"/>
          <w:lang w:eastAsia="ja-JP"/>
        </w:rPr>
      </w:pPr>
      <w:r w:rsidRPr="00AC1334">
        <w:rPr>
          <w:rFonts w:ascii="微軟正黑體" w:eastAsia="微軟正黑體" w:hAnsi="微軟正黑體" w:hint="eastAsia"/>
          <w:lang w:eastAsia="ja-JP"/>
        </w:rPr>
        <w:t>行政院主計</w:t>
      </w:r>
      <w:r w:rsidRPr="00FB10DA">
        <w:rPr>
          <w:rFonts w:ascii="微軟正黑體" w:eastAsia="微軟正黑體" w:hAnsi="微軟正黑體" w:hint="eastAsia"/>
          <w:lang w:eastAsia="ja-JP"/>
        </w:rPr>
        <w:t>總</w:t>
      </w:r>
      <w:r w:rsidRPr="00AC1334">
        <w:rPr>
          <w:rFonts w:ascii="微軟正黑體" w:eastAsia="微軟正黑體" w:hAnsi="微軟正黑體" w:hint="eastAsia"/>
          <w:lang w:eastAsia="ja-JP"/>
        </w:rPr>
        <w:t>處，2021。國民所得統計摘要(民國40-109年)。國發會，2021，8月份重要統計資料手冊。</w:t>
      </w:r>
    </w:p>
    <w:p w:rsidR="00F152C0" w:rsidRPr="00E93E70" w:rsidRDefault="00F152C0" w:rsidP="00BD50E5">
      <w:pPr>
        <w:pStyle w:val="af0"/>
        <w:numPr>
          <w:ilvl w:val="0"/>
          <w:numId w:val="54"/>
        </w:numPr>
        <w:spacing w:line="400" w:lineRule="exact"/>
        <w:ind w:leftChars="0"/>
        <w:rPr>
          <w:rFonts w:ascii="微軟正黑體" w:eastAsia="微軟正黑體" w:hAnsi="微軟正黑體"/>
        </w:rPr>
      </w:pPr>
      <w:r w:rsidRPr="00E93E70">
        <w:rPr>
          <w:rFonts w:ascii="微軟正黑體" w:eastAsia="微軟正黑體" w:hAnsi="微軟正黑體" w:hint="eastAsia"/>
        </w:rPr>
        <w:t>台灣石油工會，2018。跨太平洋夥伴全面進步協定(CPTPP)第十九章勞工篇。</w:t>
      </w:r>
    </w:p>
    <w:p w:rsidR="00F152C0" w:rsidRPr="00FB10DA" w:rsidRDefault="00F152C0" w:rsidP="00BD50E5">
      <w:pPr>
        <w:pStyle w:val="af0"/>
        <w:numPr>
          <w:ilvl w:val="0"/>
          <w:numId w:val="54"/>
        </w:numPr>
        <w:spacing w:line="400" w:lineRule="exact"/>
        <w:ind w:leftChars="0" w:left="595" w:hanging="357"/>
        <w:jc w:val="both"/>
        <w:rPr>
          <w:rFonts w:ascii="微軟正黑體" w:eastAsia="微軟正黑體" w:hAnsi="微軟正黑體"/>
          <w:lang w:eastAsia="ja-JP"/>
        </w:rPr>
      </w:pPr>
      <w:r w:rsidRPr="00FB10DA">
        <w:rPr>
          <w:rFonts w:ascii="微軟正黑體" w:eastAsia="微軟正黑體" w:hAnsi="微軟正黑體" w:hint="eastAsia"/>
          <w:lang w:eastAsia="ja-JP"/>
        </w:rPr>
        <w:t>呂建德等</w:t>
      </w:r>
      <w:r>
        <w:rPr>
          <w:rFonts w:ascii="微軟正黑體" w:eastAsia="微軟正黑體" w:hAnsi="微軟正黑體" w:hint="eastAsia"/>
        </w:rPr>
        <w:t>，</w:t>
      </w:r>
      <w:r>
        <w:rPr>
          <w:rFonts w:ascii="微軟正黑體" w:eastAsia="微軟正黑體" w:hAnsi="微軟正黑體" w:hint="eastAsia"/>
          <w:lang w:eastAsia="ja-JP"/>
        </w:rPr>
        <w:t>2014</w:t>
      </w:r>
      <w:r w:rsidRPr="00FB10DA">
        <w:rPr>
          <w:rFonts w:ascii="微軟正黑體" w:eastAsia="微軟正黑體" w:hAnsi="微軟正黑體" w:hint="eastAsia"/>
          <w:lang w:eastAsia="ja-JP"/>
        </w:rPr>
        <w:t xml:space="preserve">。我國社會福利服務模式提供之研究。國發會委託研究報告。 </w:t>
      </w:r>
    </w:p>
    <w:p w:rsidR="00F152C0" w:rsidRPr="00531D50" w:rsidRDefault="00F152C0" w:rsidP="00BD50E5">
      <w:pPr>
        <w:pStyle w:val="af0"/>
        <w:numPr>
          <w:ilvl w:val="0"/>
          <w:numId w:val="54"/>
        </w:numPr>
        <w:spacing w:line="400" w:lineRule="exact"/>
        <w:ind w:leftChars="0" w:left="595" w:hanging="357"/>
        <w:jc w:val="both"/>
        <w:rPr>
          <w:rFonts w:ascii="微軟正黑體" w:eastAsia="微軟正黑體" w:hAnsi="微軟正黑體"/>
          <w:lang w:eastAsia="ja-JP"/>
        </w:rPr>
      </w:pPr>
      <w:r w:rsidRPr="00FB10DA">
        <w:rPr>
          <w:rFonts w:ascii="微軟正黑體" w:eastAsia="微軟正黑體" w:hAnsi="微軟正黑體" w:hint="eastAsia"/>
          <w:lang w:eastAsia="ja-JP"/>
        </w:rPr>
        <w:t>呂建德、葉崇陽，2019。台灣所得分配惡化的政治經濟基礎：一個政治的解釋。第十一章，收錄於許宗力主編，追尋社會國：社會正義之理論與制度實踐。</w:t>
      </w:r>
    </w:p>
    <w:p w:rsidR="00F152C0" w:rsidRPr="00FB10DA" w:rsidRDefault="00F152C0" w:rsidP="00BD50E5">
      <w:pPr>
        <w:pStyle w:val="af0"/>
        <w:numPr>
          <w:ilvl w:val="0"/>
          <w:numId w:val="54"/>
        </w:numPr>
        <w:spacing w:line="400" w:lineRule="exact"/>
        <w:ind w:leftChars="0" w:left="595" w:hanging="357"/>
        <w:jc w:val="both"/>
        <w:rPr>
          <w:rFonts w:ascii="微軟正黑體" w:eastAsia="微軟正黑體" w:hAnsi="微軟正黑體"/>
          <w:lang w:eastAsia="ja-JP"/>
        </w:rPr>
      </w:pPr>
      <w:r w:rsidRPr="00FB10DA">
        <w:rPr>
          <w:rFonts w:ascii="微軟正黑體" w:eastAsia="微軟正黑體" w:hAnsi="微軟正黑體" w:hint="eastAsia"/>
          <w:lang w:eastAsia="ja-JP"/>
        </w:rPr>
        <w:t>林向愷，2015。「台灣接單，海外生產」模式與台灣經濟長期表現。社區發展季刊，第151期。</w:t>
      </w:r>
    </w:p>
    <w:p w:rsidR="00F152C0" w:rsidRPr="00FB10DA" w:rsidRDefault="00F152C0" w:rsidP="00BD50E5">
      <w:pPr>
        <w:pStyle w:val="af0"/>
        <w:numPr>
          <w:ilvl w:val="0"/>
          <w:numId w:val="54"/>
        </w:numPr>
        <w:spacing w:line="400" w:lineRule="exact"/>
        <w:ind w:leftChars="0" w:left="595" w:hanging="357"/>
        <w:jc w:val="both"/>
        <w:rPr>
          <w:rFonts w:ascii="微軟正黑體" w:eastAsia="微軟正黑體" w:hAnsi="微軟正黑體"/>
          <w:lang w:eastAsia="ja-JP"/>
        </w:rPr>
      </w:pPr>
      <w:r w:rsidRPr="00FB10DA">
        <w:rPr>
          <w:rFonts w:ascii="微軟正黑體" w:eastAsia="微軟正黑體" w:hAnsi="微軟正黑體" w:hint="eastAsia"/>
          <w:lang w:eastAsia="ja-JP"/>
        </w:rPr>
        <w:t>周玟琪，2002。全球化與積極性社會福利政策：歐洲國家的創新做法與台灣的政策選擇。台灣智庫通訊，第四期。</w:t>
      </w:r>
    </w:p>
    <w:p w:rsidR="00F152C0" w:rsidRPr="00FB10DA"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FB10DA">
        <w:rPr>
          <w:rFonts w:ascii="微軟正黑體" w:eastAsia="微軟正黑體" w:hAnsi="微軟正黑體" w:hint="eastAsia"/>
          <w:lang w:eastAsia="ja-JP"/>
        </w:rPr>
        <w:t>周玟琪、劉進興，2002。台灣對全球化經濟的回應--積極及促進社會團結的社會政策。自由時報。</w:t>
      </w:r>
    </w:p>
    <w:p w:rsidR="00F152C0" w:rsidRPr="00FB10DA"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FB10DA">
        <w:rPr>
          <w:rFonts w:ascii="微軟正黑體" w:eastAsia="微軟正黑體" w:hAnsi="微軟正黑體" w:hint="eastAsia"/>
          <w:lang w:eastAsia="ja-JP"/>
        </w:rPr>
        <w:t>周玟琪，2007。因應高齡社會勞動政策白皮書委託研究報告。行政院勞工委員會委託研究報告。</w:t>
      </w:r>
    </w:p>
    <w:p w:rsidR="00F152C0" w:rsidRPr="00FB10DA"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FB10DA">
        <w:rPr>
          <w:rFonts w:ascii="微軟正黑體" w:eastAsia="微軟正黑體" w:hAnsi="微軟正黑體" w:hint="eastAsia"/>
          <w:lang w:eastAsia="ja-JP"/>
        </w:rPr>
        <w:t>周玟琪，2019。迎向人盡其才與年齡融合的超高齡社會：因應台灣勞動力已銀灰化的未來。國土及治理季刊。第七卷第一期，P 45-57。</w:t>
      </w:r>
    </w:p>
    <w:p w:rsidR="00F152C0" w:rsidRPr="00FB10DA"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FB10DA">
        <w:rPr>
          <w:rFonts w:ascii="微軟正黑體" w:eastAsia="微軟正黑體" w:hAnsi="微軟正黑體" w:hint="eastAsia"/>
          <w:lang w:eastAsia="ja-JP"/>
        </w:rPr>
        <w:t>周玟琪</w:t>
      </w:r>
      <w:r>
        <w:rPr>
          <w:rFonts w:ascii="微軟正黑體" w:eastAsia="微軟正黑體" w:hAnsi="微軟正黑體" w:hint="eastAsia"/>
        </w:rPr>
        <w:t>，</w:t>
      </w:r>
      <w:r w:rsidRPr="00FB10DA">
        <w:rPr>
          <w:rFonts w:ascii="微軟正黑體" w:eastAsia="微軟正黑體" w:hAnsi="微軟正黑體" w:hint="eastAsia"/>
          <w:lang w:eastAsia="ja-JP"/>
        </w:rPr>
        <w:t>20</w:t>
      </w:r>
      <w:r>
        <w:rPr>
          <w:rFonts w:ascii="微軟正黑體" w:eastAsia="微軟正黑體" w:hAnsi="微軟正黑體" w:hint="eastAsia"/>
          <w:lang w:eastAsia="ja-JP"/>
        </w:rPr>
        <w:t>20</w:t>
      </w:r>
      <w:r>
        <w:rPr>
          <w:rFonts w:ascii="微軟正黑體" w:eastAsia="微軟正黑體" w:hAnsi="微軟正黑體" w:hint="eastAsia"/>
        </w:rPr>
        <w:t>。</w:t>
      </w:r>
      <w:r w:rsidRPr="00FB10DA">
        <w:rPr>
          <w:rFonts w:ascii="微軟正黑體" w:eastAsia="微軟正黑體" w:hAnsi="微軟正黑體" w:hint="eastAsia"/>
          <w:lang w:eastAsia="ja-JP"/>
        </w:rPr>
        <w:t>高齡社會就業、勞動短缺與AI科技時代已經來臨：挑戰與因應。就業安全，6</w:t>
      </w:r>
      <w:r>
        <w:rPr>
          <w:rFonts w:ascii="微軟正黑體" w:eastAsia="微軟正黑體" w:hAnsi="微軟正黑體" w:hint="eastAsia"/>
          <w:lang w:eastAsia="ja-JP"/>
        </w:rPr>
        <w:t>月號</w:t>
      </w:r>
      <w:r>
        <w:rPr>
          <w:rFonts w:ascii="微軟正黑體" w:eastAsia="微軟正黑體" w:hAnsi="微軟正黑體" w:hint="eastAsia"/>
        </w:rPr>
        <w:t>，</w:t>
      </w:r>
      <w:r w:rsidRPr="00FB10DA">
        <w:rPr>
          <w:rFonts w:ascii="微軟正黑體" w:eastAsia="微軟正黑體" w:hAnsi="微軟正黑體" w:hint="eastAsia"/>
          <w:lang w:eastAsia="ja-JP"/>
        </w:rPr>
        <w:t>P71-82。</w:t>
      </w:r>
    </w:p>
    <w:p w:rsidR="00F152C0" w:rsidRPr="00E93E70"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E93E70">
        <w:rPr>
          <w:rFonts w:ascii="微軟正黑體" w:eastAsia="微軟正黑體" w:hAnsi="微軟正黑體" w:hint="eastAsia"/>
          <w:lang w:eastAsia="ja-JP"/>
        </w:rPr>
        <w:t>陳靜雯，2017。台灣老年貧窮風險與年金制度。國發會，P1-22。</w:t>
      </w:r>
    </w:p>
    <w:p w:rsidR="00F152C0" w:rsidRPr="00E93E70"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E93E70">
        <w:rPr>
          <w:rFonts w:ascii="微軟正黑體" w:eastAsia="微軟正黑體" w:hAnsi="微軟正黑體" w:hint="eastAsia"/>
          <w:lang w:eastAsia="ja-JP"/>
        </w:rPr>
        <w:t>陳明芳，2013。活力老化與老年經濟安全體系：歐陸與台灣的對話。人文及社會科學集刊，25:2，P175-219。</w:t>
      </w:r>
    </w:p>
    <w:p w:rsidR="00F152C0" w:rsidRPr="00FB10DA"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FB10DA">
        <w:rPr>
          <w:rFonts w:ascii="微軟正黑體" w:eastAsia="微軟正黑體" w:hAnsi="微軟正黑體" w:hint="eastAsia"/>
          <w:lang w:eastAsia="ja-JP"/>
        </w:rPr>
        <w:t>孫友聯，2020。2020年勞保年金的危機與轉機。內部簡報資料。</w:t>
      </w:r>
    </w:p>
    <w:p w:rsidR="00F152C0"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E93E70">
        <w:rPr>
          <w:rFonts w:ascii="微軟正黑體" w:eastAsia="微軟正黑體" w:hAnsi="微軟正黑體" w:hint="eastAsia"/>
          <w:lang w:eastAsia="ja-JP"/>
        </w:rPr>
        <w:t>國發會，2020</w:t>
      </w:r>
      <w:r>
        <w:rPr>
          <w:rFonts w:ascii="微軟正黑體" w:eastAsia="微軟正黑體" w:hAnsi="微軟正黑體" w:hint="eastAsia"/>
        </w:rPr>
        <w:t>。</w:t>
      </w:r>
      <w:r w:rsidRPr="00E93E70">
        <w:rPr>
          <w:rFonts w:ascii="微軟正黑體" w:eastAsia="微軟正黑體" w:hAnsi="微軟正黑體" w:hint="eastAsia"/>
          <w:lang w:eastAsia="ja-JP"/>
        </w:rPr>
        <w:t>2020-2070</w:t>
      </w:r>
      <w:r>
        <w:rPr>
          <w:rFonts w:ascii="微軟正黑體" w:eastAsia="微軟正黑體" w:hAnsi="微軟正黑體" w:hint="eastAsia"/>
        </w:rPr>
        <w:t>年</w:t>
      </w:r>
      <w:r w:rsidRPr="00E93E70">
        <w:rPr>
          <w:rFonts w:ascii="微軟正黑體" w:eastAsia="微軟正黑體" w:hAnsi="微軟正黑體" w:hint="eastAsia"/>
          <w:lang w:eastAsia="ja-JP"/>
        </w:rPr>
        <w:t>人口推估報告。</w:t>
      </w:r>
    </w:p>
    <w:p w:rsidR="00F152C0"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AC1334">
        <w:rPr>
          <w:rFonts w:ascii="微軟正黑體" w:eastAsia="微軟正黑體" w:hAnsi="微軟正黑體" w:hint="eastAsia"/>
          <w:lang w:eastAsia="ja-JP"/>
        </w:rPr>
        <w:t>國發會，2021</w:t>
      </w:r>
      <w:r>
        <w:rPr>
          <w:rFonts w:ascii="微軟正黑體" w:eastAsia="微軟正黑體" w:hAnsi="微軟正黑體" w:hint="eastAsia"/>
        </w:rPr>
        <w:t>。</w:t>
      </w:r>
      <w:r w:rsidRPr="00AC1334">
        <w:rPr>
          <w:rFonts w:ascii="微軟正黑體" w:eastAsia="微軟正黑體" w:hAnsi="微軟正黑體" w:hint="eastAsia"/>
          <w:lang w:eastAsia="ja-JP"/>
        </w:rPr>
        <w:t>2030年整體人力需求推估。</w:t>
      </w:r>
    </w:p>
    <w:p w:rsidR="00F152C0" w:rsidRPr="00A30473"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BA4B99">
        <w:rPr>
          <w:rFonts w:ascii="微軟正黑體" w:eastAsia="微軟正黑體" w:hAnsi="微軟正黑體" w:hint="eastAsia"/>
          <w:lang w:eastAsia="ja-JP"/>
        </w:rPr>
        <w:t>國發會，2021</w:t>
      </w:r>
      <w:r>
        <w:rPr>
          <w:rFonts w:ascii="微軟正黑體" w:eastAsia="微軟正黑體" w:hAnsi="微軟正黑體" w:hint="eastAsia"/>
        </w:rPr>
        <w:t>。</w:t>
      </w:r>
      <w:r w:rsidRPr="00BA4B99">
        <w:rPr>
          <w:rFonts w:ascii="微軟正黑體" w:eastAsia="微軟正黑體" w:hAnsi="微軟正黑體" w:hint="eastAsia"/>
          <w:lang w:eastAsia="ja-JP"/>
        </w:rPr>
        <w:t>8月份重要統計資料手冊。</w:t>
      </w:r>
    </w:p>
    <w:p w:rsidR="00F152C0" w:rsidRPr="00E93E70" w:rsidRDefault="00F152C0" w:rsidP="00BD50E5">
      <w:pPr>
        <w:pStyle w:val="af0"/>
        <w:numPr>
          <w:ilvl w:val="0"/>
          <w:numId w:val="54"/>
        </w:numPr>
        <w:spacing w:line="400" w:lineRule="exact"/>
        <w:ind w:leftChars="0" w:left="595" w:hanging="357"/>
        <w:jc w:val="both"/>
        <w:rPr>
          <w:rFonts w:ascii="微軟正黑體" w:eastAsia="微軟正黑體" w:hAnsi="微軟正黑體"/>
        </w:rPr>
      </w:pPr>
      <w:r w:rsidRPr="00A30473">
        <w:rPr>
          <w:rFonts w:ascii="微軟正黑體" w:eastAsia="微軟正黑體" w:hAnsi="微軟正黑體" w:hint="eastAsia"/>
        </w:rPr>
        <w:t>勞動部，2019。108年國際勞動統計。</w:t>
      </w:r>
    </w:p>
    <w:p w:rsidR="00F152C0" w:rsidRPr="00AC1334" w:rsidRDefault="00F152C0" w:rsidP="00BD50E5">
      <w:pPr>
        <w:pStyle w:val="af0"/>
        <w:numPr>
          <w:ilvl w:val="0"/>
          <w:numId w:val="54"/>
        </w:numPr>
        <w:spacing w:line="400" w:lineRule="exact"/>
        <w:ind w:leftChars="0" w:left="595" w:hanging="357"/>
        <w:jc w:val="both"/>
        <w:rPr>
          <w:rFonts w:ascii="微軟正黑體" w:eastAsia="微軟正黑體" w:hAnsi="微軟正黑體"/>
          <w:lang w:eastAsia="ja-JP"/>
        </w:rPr>
      </w:pPr>
      <w:r>
        <w:rPr>
          <w:rFonts w:ascii="微軟正黑體" w:eastAsia="微軟正黑體" w:hAnsi="微軟正黑體" w:hint="eastAsia"/>
        </w:rPr>
        <w:t>勞</w:t>
      </w:r>
      <w:r w:rsidRPr="00AC1334">
        <w:rPr>
          <w:rFonts w:ascii="微軟正黑體" w:eastAsia="微軟正黑體" w:hAnsi="微軟正黑體" w:hint="eastAsia"/>
          <w:lang w:eastAsia="ja-JP"/>
        </w:rPr>
        <w:t>動部，20</w:t>
      </w:r>
      <w:r>
        <w:rPr>
          <w:rFonts w:ascii="微軟正黑體" w:eastAsia="微軟正黑體" w:hAnsi="微軟正黑體" w:hint="eastAsia"/>
        </w:rPr>
        <w:t>20。109年</w:t>
      </w:r>
      <w:r w:rsidRPr="00AC1334">
        <w:rPr>
          <w:rFonts w:ascii="微軟正黑體" w:eastAsia="微軟正黑體" w:hAnsi="微軟正黑體" w:hint="eastAsia"/>
          <w:lang w:eastAsia="ja-JP"/>
        </w:rPr>
        <w:t>國際勞動統計。</w:t>
      </w:r>
    </w:p>
    <w:p w:rsidR="00F152C0" w:rsidRPr="00E93E70"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E93E70">
        <w:rPr>
          <w:rFonts w:ascii="微軟正黑體" w:eastAsia="微軟正黑體" w:hAnsi="微軟正黑體" w:hint="eastAsia"/>
          <w:lang w:eastAsia="ja-JP"/>
        </w:rPr>
        <w:t>衛福部，2017</w:t>
      </w:r>
      <w:r>
        <w:rPr>
          <w:rFonts w:ascii="微軟正黑體" w:eastAsia="微軟正黑體" w:hAnsi="微軟正黑體" w:hint="eastAsia"/>
        </w:rPr>
        <w:t>。</w:t>
      </w:r>
      <w:r w:rsidRPr="00E93E70">
        <w:rPr>
          <w:rFonts w:ascii="微軟正黑體" w:eastAsia="微軟正黑體" w:hAnsi="微軟正黑體" w:hint="eastAsia"/>
          <w:lang w:eastAsia="ja-JP"/>
        </w:rPr>
        <w:t>老人生活狀況調查。</w:t>
      </w:r>
    </w:p>
    <w:p w:rsidR="00F152C0" w:rsidRPr="00E93E70"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E93E70">
        <w:rPr>
          <w:rFonts w:ascii="微軟正黑體" w:eastAsia="微軟正黑體" w:hAnsi="微軟正黑體" w:hint="eastAsia"/>
          <w:lang w:eastAsia="ja-JP"/>
        </w:rPr>
        <w:lastRenderedPageBreak/>
        <w:t>衛福部，2020</w:t>
      </w:r>
      <w:r>
        <w:rPr>
          <w:rFonts w:ascii="微軟正黑體" w:eastAsia="微軟正黑體" w:hAnsi="微軟正黑體" w:hint="eastAsia"/>
        </w:rPr>
        <w:t>。</w:t>
      </w:r>
      <w:r w:rsidRPr="00E93E70">
        <w:rPr>
          <w:rFonts w:ascii="微軟正黑體" w:eastAsia="微軟正黑體" w:hAnsi="微軟正黑體" w:hint="eastAsia"/>
          <w:lang w:eastAsia="ja-JP"/>
        </w:rPr>
        <w:t>89-108年社會保障支出分析。</w:t>
      </w:r>
    </w:p>
    <w:p w:rsidR="00F152C0" w:rsidRPr="00E93E70"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E93E70">
        <w:rPr>
          <w:rFonts w:ascii="微軟正黑體" w:eastAsia="微軟正黑體" w:hAnsi="微軟正黑體" w:hint="eastAsia"/>
          <w:lang w:eastAsia="ja-JP"/>
        </w:rPr>
        <w:t>衛福部，2021</w:t>
      </w:r>
      <w:r>
        <w:rPr>
          <w:rFonts w:ascii="微軟正黑體" w:eastAsia="微軟正黑體" w:hAnsi="微軟正黑體" w:hint="eastAsia"/>
        </w:rPr>
        <w:t>。</w:t>
      </w:r>
      <w:r w:rsidRPr="00E93E70">
        <w:rPr>
          <w:rFonts w:ascii="微軟正黑體" w:eastAsia="微軟正黑體" w:hAnsi="微軟正黑體" w:hint="eastAsia"/>
          <w:lang w:eastAsia="ja-JP"/>
        </w:rPr>
        <w:t>高齡社會白皮書。</w:t>
      </w:r>
    </w:p>
    <w:p w:rsidR="00F152C0" w:rsidRPr="00C13B51"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FB10DA">
        <w:rPr>
          <w:rFonts w:ascii="微軟正黑體" w:eastAsia="微軟正黑體" w:hAnsi="微軟正黑體" w:hint="eastAsia"/>
          <w:lang w:eastAsia="ja-JP"/>
        </w:rPr>
        <w:t>鄭清霞，2014。老年貧窮與適足保障之研究。國發會委託研究報告。</w:t>
      </w:r>
    </w:p>
    <w:p w:rsidR="00F152C0" w:rsidRPr="00C13B51" w:rsidRDefault="00F152C0" w:rsidP="00BD50E5">
      <w:pPr>
        <w:pStyle w:val="af0"/>
        <w:numPr>
          <w:ilvl w:val="0"/>
          <w:numId w:val="54"/>
        </w:numPr>
        <w:spacing w:line="400" w:lineRule="exact"/>
        <w:ind w:leftChars="0"/>
        <w:jc w:val="both"/>
        <w:rPr>
          <w:rFonts w:ascii="微軟正黑體" w:eastAsia="微軟正黑體" w:hAnsi="微軟正黑體"/>
          <w:lang w:eastAsia="ja-JP"/>
        </w:rPr>
      </w:pPr>
      <w:r w:rsidRPr="00F648C8">
        <w:rPr>
          <w:rFonts w:ascii="微軟正黑體" w:eastAsia="微軟正黑體" w:hAnsi="微軟正黑體" w:hint="eastAsia"/>
          <w:lang w:eastAsia="ja-JP"/>
        </w:rPr>
        <w:t>總統府</w:t>
      </w:r>
      <w:r w:rsidR="00292A6F">
        <w:rPr>
          <w:rFonts w:ascii="微軟正黑體" w:eastAsia="微軟正黑體" w:hAnsi="微軟正黑體" w:hint="eastAsia"/>
        </w:rPr>
        <w:t>國家</w:t>
      </w:r>
      <w:r w:rsidRPr="00F648C8">
        <w:rPr>
          <w:rFonts w:ascii="微軟正黑體" w:eastAsia="微軟正黑體" w:hAnsi="微軟正黑體" w:hint="eastAsia"/>
          <w:lang w:eastAsia="ja-JP"/>
        </w:rPr>
        <w:t>年金改革委員會，2020，年金制度統計資料互動式查詢。</w:t>
      </w:r>
    </w:p>
    <w:p w:rsidR="00F152C0" w:rsidRPr="00FB10DA" w:rsidRDefault="00F152C0" w:rsidP="00F152C0">
      <w:pPr>
        <w:pStyle w:val="af0"/>
        <w:spacing w:line="400" w:lineRule="exact"/>
        <w:ind w:leftChars="0" w:left="600"/>
        <w:jc w:val="both"/>
        <w:rPr>
          <w:rFonts w:ascii="微軟正黑體" w:eastAsia="微軟正黑體" w:hAnsi="微軟正黑體"/>
          <w:lang w:eastAsia="ja-JP"/>
        </w:rPr>
      </w:pPr>
    </w:p>
    <w:p w:rsidR="00F152C0" w:rsidRPr="009A4E1D" w:rsidRDefault="009A4E1D" w:rsidP="009A4E1D">
      <w:pPr>
        <w:spacing w:beforeLines="50" w:before="180" w:afterLines="50" w:after="180" w:line="400" w:lineRule="exact"/>
        <w:rPr>
          <w:rFonts w:ascii="微軟正黑體" w:eastAsia="微軟正黑體" w:hAnsi="微軟正黑體"/>
          <w:b/>
          <w:color w:val="000000"/>
          <w:sz w:val="28"/>
          <w:szCs w:val="28"/>
        </w:rPr>
      </w:pPr>
      <w:r>
        <w:rPr>
          <w:rFonts w:ascii="微軟正黑體" w:eastAsia="微軟正黑體" w:hAnsi="微軟正黑體" w:hint="eastAsia"/>
          <w:b/>
          <w:color w:val="000000"/>
          <w:sz w:val="28"/>
          <w:szCs w:val="28"/>
        </w:rPr>
        <w:t>二、</w:t>
      </w:r>
      <w:r w:rsidR="00F152C0" w:rsidRPr="009A4E1D">
        <w:rPr>
          <w:rFonts w:ascii="微軟正黑體" w:eastAsia="微軟正黑體" w:hAnsi="微軟正黑體"/>
          <w:b/>
          <w:color w:val="000000"/>
          <w:sz w:val="28"/>
          <w:szCs w:val="28"/>
        </w:rPr>
        <w:t>外文部分</w:t>
      </w:r>
    </w:p>
    <w:p w:rsidR="00F152C0" w:rsidRPr="00F152C0" w:rsidRDefault="00F152C0" w:rsidP="00F152C0">
      <w:pPr>
        <w:pStyle w:val="af0"/>
        <w:numPr>
          <w:ilvl w:val="3"/>
          <w:numId w:val="9"/>
        </w:numPr>
        <w:spacing w:line="400" w:lineRule="exact"/>
        <w:ind w:leftChars="0" w:left="567" w:hanging="283"/>
        <w:jc w:val="both"/>
        <w:rPr>
          <w:rFonts w:ascii="微軟正黑體" w:eastAsia="微軟正黑體" w:hAnsi="微軟正黑體"/>
          <w:color w:val="000000"/>
        </w:rPr>
      </w:pPr>
      <w:r w:rsidRPr="00F152C0">
        <w:rPr>
          <w:rFonts w:ascii="微軟正黑體" w:eastAsia="微軟正黑體" w:hAnsi="微軟正黑體" w:hint="eastAsia"/>
          <w:color w:val="000000"/>
        </w:rPr>
        <w:t>Gonzales, V. (2007)。Globalization, Welfare Reform and the Social Economy: Developing an Alternative Approach to Analyzing Social Welfare Systems in the Post-Industrial Era。The Journal of Sociology and Social Welfare, 34(2): 187-211。</w:t>
      </w:r>
    </w:p>
    <w:p w:rsidR="00F152C0" w:rsidRPr="00FB10DA" w:rsidRDefault="00F152C0" w:rsidP="00F152C0">
      <w:pPr>
        <w:pStyle w:val="af0"/>
        <w:numPr>
          <w:ilvl w:val="3"/>
          <w:numId w:val="9"/>
        </w:numPr>
        <w:spacing w:line="400" w:lineRule="exact"/>
        <w:ind w:leftChars="0" w:left="567" w:hanging="283"/>
        <w:jc w:val="both"/>
        <w:rPr>
          <w:rFonts w:ascii="微軟正黑體" w:eastAsia="微軟正黑體" w:hAnsi="微軟正黑體"/>
          <w:color w:val="000000"/>
        </w:rPr>
      </w:pPr>
      <w:r w:rsidRPr="00FB10DA">
        <w:rPr>
          <w:rFonts w:ascii="微軟正黑體" w:eastAsia="微軟正黑體" w:hAnsi="微軟正黑體" w:hint="eastAsia"/>
          <w:color w:val="000000"/>
        </w:rPr>
        <w:t>ILO，2008。Declaration of Fundamental Principles and Rights at Work。</w:t>
      </w:r>
    </w:p>
    <w:p w:rsidR="00F152C0" w:rsidRPr="00FB10DA" w:rsidRDefault="00F152C0" w:rsidP="00F152C0">
      <w:pPr>
        <w:pStyle w:val="af0"/>
        <w:numPr>
          <w:ilvl w:val="3"/>
          <w:numId w:val="9"/>
        </w:numPr>
        <w:spacing w:line="400" w:lineRule="exact"/>
        <w:ind w:leftChars="0" w:left="567" w:hanging="283"/>
        <w:jc w:val="both"/>
        <w:rPr>
          <w:rFonts w:ascii="微軟正黑體" w:eastAsia="微軟正黑體" w:hAnsi="微軟正黑體"/>
          <w:color w:val="000000"/>
        </w:rPr>
      </w:pPr>
      <w:r w:rsidRPr="00FB10DA">
        <w:rPr>
          <w:rFonts w:ascii="微軟正黑體" w:eastAsia="微軟正黑體" w:hAnsi="微軟正黑體" w:hint="eastAsia"/>
          <w:color w:val="000000"/>
        </w:rPr>
        <w:t>ILO，2008。ILO Declaration of Social Justice for a Fair Globalization。</w:t>
      </w:r>
    </w:p>
    <w:p w:rsidR="00F152C0" w:rsidRPr="00FB10DA" w:rsidRDefault="00F152C0" w:rsidP="00F152C0">
      <w:pPr>
        <w:pStyle w:val="af0"/>
        <w:numPr>
          <w:ilvl w:val="3"/>
          <w:numId w:val="9"/>
        </w:numPr>
        <w:spacing w:line="400" w:lineRule="exact"/>
        <w:ind w:leftChars="0" w:left="567" w:hanging="283"/>
        <w:jc w:val="both"/>
        <w:rPr>
          <w:rFonts w:ascii="微軟正黑體" w:eastAsia="微軟正黑體" w:hAnsi="微軟正黑體"/>
          <w:color w:val="000000"/>
        </w:rPr>
      </w:pPr>
      <w:r w:rsidRPr="00FB10DA">
        <w:rPr>
          <w:rFonts w:ascii="微軟正黑體" w:eastAsia="微軟正黑體" w:hAnsi="微軟正黑體" w:hint="eastAsia"/>
          <w:color w:val="000000"/>
        </w:rPr>
        <w:t>ILO，2015。Decent Work Agenda: Four Pillars。</w:t>
      </w:r>
    </w:p>
    <w:p w:rsidR="00F152C0" w:rsidRPr="00FB10DA" w:rsidRDefault="00F152C0" w:rsidP="00F152C0">
      <w:pPr>
        <w:pStyle w:val="af0"/>
        <w:numPr>
          <w:ilvl w:val="3"/>
          <w:numId w:val="9"/>
        </w:numPr>
        <w:spacing w:line="400" w:lineRule="exact"/>
        <w:ind w:leftChars="0" w:left="567" w:hanging="283"/>
        <w:jc w:val="both"/>
        <w:rPr>
          <w:rFonts w:ascii="微軟正黑體" w:eastAsia="微軟正黑體" w:hAnsi="微軟正黑體"/>
          <w:color w:val="000000"/>
        </w:rPr>
      </w:pPr>
      <w:r w:rsidRPr="00FB10DA">
        <w:rPr>
          <w:rFonts w:ascii="微軟正黑體" w:eastAsia="微軟正黑體" w:hAnsi="微軟正黑體" w:hint="eastAsia"/>
          <w:color w:val="000000"/>
        </w:rPr>
        <w:t>ILO，2015。Decent Work is Not Just A Goal – It Is a Driver Of Sustainable Development。</w:t>
      </w:r>
    </w:p>
    <w:p w:rsidR="00F152C0" w:rsidRPr="00FB10DA" w:rsidRDefault="00F152C0" w:rsidP="00F152C0">
      <w:pPr>
        <w:pStyle w:val="af0"/>
        <w:numPr>
          <w:ilvl w:val="3"/>
          <w:numId w:val="9"/>
        </w:numPr>
        <w:spacing w:line="400" w:lineRule="exact"/>
        <w:ind w:leftChars="0" w:left="567" w:hanging="283"/>
        <w:jc w:val="both"/>
        <w:rPr>
          <w:rFonts w:ascii="微軟正黑體" w:eastAsia="微軟正黑體" w:hAnsi="微軟正黑體"/>
          <w:color w:val="000000"/>
        </w:rPr>
      </w:pPr>
      <w:r w:rsidRPr="00FB10DA">
        <w:rPr>
          <w:rFonts w:ascii="微軟正黑體" w:eastAsia="微軟正黑體" w:hAnsi="微軟正黑體" w:hint="eastAsia"/>
          <w:color w:val="000000"/>
        </w:rPr>
        <w:t>ILO，2017。Social and Solidarity Economy and the Future of Work。</w:t>
      </w:r>
    </w:p>
    <w:p w:rsidR="00F152C0" w:rsidRPr="00FB10DA" w:rsidRDefault="00F152C0" w:rsidP="00F152C0">
      <w:pPr>
        <w:pStyle w:val="af0"/>
        <w:numPr>
          <w:ilvl w:val="3"/>
          <w:numId w:val="9"/>
        </w:numPr>
        <w:spacing w:line="400" w:lineRule="exact"/>
        <w:ind w:leftChars="0" w:left="567" w:hanging="283"/>
        <w:jc w:val="both"/>
        <w:rPr>
          <w:rFonts w:ascii="微軟正黑體" w:eastAsia="微軟正黑體" w:hAnsi="微軟正黑體"/>
          <w:color w:val="000000"/>
        </w:rPr>
      </w:pPr>
      <w:r w:rsidRPr="00FB10DA">
        <w:rPr>
          <w:rFonts w:ascii="微軟正黑體" w:eastAsia="微軟正黑體" w:hAnsi="微軟正黑體" w:hint="eastAsia"/>
          <w:color w:val="000000"/>
        </w:rPr>
        <w:t>ILO，2019。ILO Centenary Declaration for the Future of Work。</w:t>
      </w:r>
    </w:p>
    <w:p w:rsidR="00F152C0" w:rsidRPr="00FB10DA" w:rsidRDefault="00F152C0" w:rsidP="00F152C0">
      <w:pPr>
        <w:pStyle w:val="af0"/>
        <w:numPr>
          <w:ilvl w:val="3"/>
          <w:numId w:val="9"/>
        </w:numPr>
        <w:spacing w:line="400" w:lineRule="exact"/>
        <w:ind w:leftChars="0" w:left="567" w:hanging="283"/>
        <w:jc w:val="both"/>
        <w:rPr>
          <w:rFonts w:ascii="微軟正黑體" w:eastAsia="微軟正黑體" w:hAnsi="微軟正黑體"/>
          <w:color w:val="000000"/>
        </w:rPr>
      </w:pPr>
      <w:r w:rsidRPr="00FB10DA">
        <w:rPr>
          <w:rFonts w:ascii="微軟正黑體" w:eastAsia="微軟正黑體" w:hAnsi="微軟正黑體" w:hint="eastAsia"/>
          <w:color w:val="000000"/>
        </w:rPr>
        <w:t>OECD，2014。All on Board Making Inclusive Growth Happen。</w:t>
      </w:r>
    </w:p>
    <w:p w:rsidR="00F152C0" w:rsidRPr="00FB10DA" w:rsidRDefault="00F152C0" w:rsidP="00F152C0">
      <w:pPr>
        <w:pStyle w:val="af0"/>
        <w:numPr>
          <w:ilvl w:val="3"/>
          <w:numId w:val="9"/>
        </w:numPr>
        <w:spacing w:line="400" w:lineRule="exact"/>
        <w:ind w:leftChars="0" w:left="567" w:hanging="283"/>
        <w:jc w:val="both"/>
        <w:rPr>
          <w:rFonts w:ascii="微軟正黑體" w:eastAsia="微軟正黑體" w:hAnsi="微軟正黑體"/>
          <w:color w:val="000000"/>
        </w:rPr>
      </w:pPr>
      <w:r w:rsidRPr="00FB10DA">
        <w:rPr>
          <w:rFonts w:ascii="微軟正黑體" w:eastAsia="微軟正黑體" w:hAnsi="微軟正黑體" w:hint="eastAsia"/>
          <w:color w:val="000000"/>
        </w:rPr>
        <w:t>OECD，2018。The Framework for Policy Action on Inclusive Growth。Meeting of OECD Council at the Ministerial Level。</w:t>
      </w:r>
    </w:p>
    <w:p w:rsidR="00F152C0" w:rsidRPr="00FB10DA" w:rsidRDefault="00F152C0" w:rsidP="00F152C0">
      <w:pPr>
        <w:pStyle w:val="af0"/>
        <w:numPr>
          <w:ilvl w:val="3"/>
          <w:numId w:val="9"/>
        </w:numPr>
        <w:spacing w:line="400" w:lineRule="exact"/>
        <w:ind w:leftChars="0" w:left="709" w:hanging="425"/>
        <w:jc w:val="both"/>
        <w:rPr>
          <w:rFonts w:ascii="微軟正黑體" w:eastAsia="微軟正黑體" w:hAnsi="微軟正黑體"/>
          <w:color w:val="000000"/>
        </w:rPr>
      </w:pPr>
      <w:r w:rsidRPr="00FB10DA">
        <w:rPr>
          <w:rFonts w:ascii="微軟正黑體" w:eastAsia="微軟正黑體" w:hAnsi="微軟正黑體" w:hint="eastAsia"/>
          <w:color w:val="000000"/>
        </w:rPr>
        <w:t>OECD，2019。Pensions at a Glance 2019，OECD and G20 Indications。</w:t>
      </w:r>
    </w:p>
    <w:p w:rsidR="00F152C0" w:rsidRPr="00FB10DA" w:rsidRDefault="00F152C0" w:rsidP="00F152C0">
      <w:pPr>
        <w:pStyle w:val="af0"/>
        <w:numPr>
          <w:ilvl w:val="3"/>
          <w:numId w:val="9"/>
        </w:numPr>
        <w:spacing w:line="400" w:lineRule="exact"/>
        <w:ind w:leftChars="0" w:left="709" w:hanging="425"/>
        <w:jc w:val="both"/>
        <w:rPr>
          <w:rFonts w:ascii="微軟正黑體" w:eastAsia="微軟正黑體" w:hAnsi="微軟正黑體"/>
          <w:color w:val="000000"/>
        </w:rPr>
      </w:pPr>
      <w:r w:rsidRPr="00FB10DA">
        <w:rPr>
          <w:rFonts w:ascii="微軟正黑體" w:eastAsia="微軟正黑體" w:hAnsi="微軟正黑體" w:hint="eastAsia"/>
          <w:color w:val="000000"/>
        </w:rPr>
        <w:t>OECD，2020。Promotion an Age-Inclusive Workforce: Living, Learning and Earning Longer, OECD Publications。http;//doi/10.1787/59752153-en.</w:t>
      </w:r>
    </w:p>
    <w:p w:rsidR="00F152C0" w:rsidRDefault="00F152C0" w:rsidP="00F152C0">
      <w:pPr>
        <w:pStyle w:val="af0"/>
        <w:numPr>
          <w:ilvl w:val="3"/>
          <w:numId w:val="9"/>
        </w:numPr>
        <w:spacing w:line="400" w:lineRule="exact"/>
        <w:ind w:leftChars="0" w:left="709" w:hanging="425"/>
        <w:jc w:val="both"/>
        <w:rPr>
          <w:rFonts w:ascii="微軟正黑體" w:eastAsia="微軟正黑體" w:hAnsi="微軟正黑體"/>
          <w:color w:val="000000"/>
        </w:rPr>
      </w:pPr>
      <w:r w:rsidRPr="00FB10DA">
        <w:rPr>
          <w:rFonts w:ascii="微軟正黑體" w:eastAsia="微軟正黑體" w:hAnsi="微軟正黑體" w:hint="eastAsia"/>
          <w:color w:val="000000"/>
        </w:rPr>
        <w:t>OECD，2021。Employment Rate by Age Group (indicator). doi: 0.1787/084f32c7-en (Accessed on 06 October 2021)。</w:t>
      </w:r>
    </w:p>
    <w:p w:rsidR="00F152C0" w:rsidRDefault="00F152C0" w:rsidP="00F152C0">
      <w:pPr>
        <w:pStyle w:val="af0"/>
        <w:numPr>
          <w:ilvl w:val="3"/>
          <w:numId w:val="9"/>
        </w:numPr>
        <w:spacing w:line="400" w:lineRule="exact"/>
        <w:ind w:leftChars="0" w:left="709" w:hanging="425"/>
        <w:jc w:val="both"/>
        <w:rPr>
          <w:rFonts w:ascii="微軟正黑體" w:eastAsia="微軟正黑體" w:hAnsi="微軟正黑體"/>
          <w:color w:val="000000"/>
        </w:rPr>
      </w:pPr>
      <w:r w:rsidRPr="00F152C0">
        <w:rPr>
          <w:rFonts w:ascii="微軟正黑體" w:eastAsia="微軟正黑體" w:hAnsi="微軟正黑體" w:hint="eastAsia"/>
          <w:color w:val="000000"/>
        </w:rPr>
        <w:t>OECD，2021。Part-Time Employment Rate (indicator). doi: 10.1787/ f2ad596c-en (Accessed on 06 October 2021)</w:t>
      </w:r>
      <w:r>
        <w:rPr>
          <w:rFonts w:ascii="微軟正黑體" w:eastAsia="微軟正黑體" w:hAnsi="微軟正黑體" w:hint="eastAsia"/>
          <w:color w:val="000000"/>
        </w:rPr>
        <w:t>。</w:t>
      </w:r>
    </w:p>
    <w:p w:rsidR="00F152C0" w:rsidRPr="00F152C0" w:rsidRDefault="00F152C0" w:rsidP="00F152C0">
      <w:pPr>
        <w:spacing w:line="400" w:lineRule="exact"/>
        <w:ind w:left="142"/>
        <w:jc w:val="both"/>
        <w:rPr>
          <w:rFonts w:ascii="微軟正黑體" w:eastAsia="微軟正黑體" w:hAnsi="微軟正黑體"/>
          <w:color w:val="000000"/>
        </w:rPr>
      </w:pPr>
    </w:p>
    <w:p w:rsidR="00EF74FA" w:rsidRDefault="00EF74FA" w:rsidP="00842817">
      <w:pPr>
        <w:spacing w:line="400" w:lineRule="exact"/>
        <w:ind w:left="480" w:hangingChars="200" w:hanging="480"/>
        <w:jc w:val="both"/>
        <w:rPr>
          <w:rFonts w:ascii="微軟正黑體" w:eastAsia="微軟正黑體" w:hAnsi="微軟正黑體"/>
        </w:rPr>
        <w:sectPr w:rsidR="00EF74FA" w:rsidSect="001D5C1C">
          <w:pgSz w:w="11906" w:h="16838"/>
          <w:pgMar w:top="1134" w:right="1418" w:bottom="1134" w:left="1418" w:header="340" w:footer="340" w:gutter="0"/>
          <w:cols w:space="425"/>
          <w:docGrid w:type="lines" w:linePitch="360"/>
        </w:sectPr>
      </w:pPr>
    </w:p>
    <w:p w:rsidR="00842817" w:rsidRDefault="00842817" w:rsidP="00842817">
      <w:pPr>
        <w:spacing w:line="400" w:lineRule="exact"/>
        <w:ind w:left="480" w:hangingChars="200" w:hanging="480"/>
        <w:jc w:val="both"/>
        <w:rPr>
          <w:rFonts w:ascii="微軟正黑體" w:eastAsia="微軟正黑體" w:hAnsi="微軟正黑體"/>
        </w:rPr>
      </w:pPr>
    </w:p>
    <w:p w:rsidR="00C60E23" w:rsidRDefault="001F157F">
      <w:pPr>
        <w:widowControl/>
        <w:rPr>
          <w:rFonts w:ascii="微軟正黑體" w:eastAsia="微軟正黑體" w:hAnsi="微軟正黑體"/>
        </w:rPr>
        <w:sectPr w:rsidR="00C60E23" w:rsidSect="001D5C1C">
          <w:pgSz w:w="11906" w:h="16838"/>
          <w:pgMar w:top="1134" w:right="1418" w:bottom="1134" w:left="1418" w:header="340" w:footer="340" w:gutter="0"/>
          <w:cols w:space="425"/>
          <w:docGrid w:type="lines" w:linePitch="360"/>
        </w:sectPr>
      </w:pPr>
      <w:r>
        <w:rPr>
          <w:rFonts w:ascii="微軟正黑體" w:eastAsia="微軟正黑體" w:hAnsi="微軟正黑體"/>
          <w:b/>
          <w:noProof/>
          <w:sz w:val="36"/>
          <w:szCs w:val="36"/>
        </w:rPr>
        <mc:AlternateContent>
          <mc:Choice Requires="wps">
            <w:drawing>
              <wp:anchor distT="0" distB="0" distL="114300" distR="114300" simplePos="0" relativeHeight="252660736" behindDoc="0" locked="0" layoutInCell="1" allowOverlap="1" wp14:anchorId="4A6D6434" wp14:editId="61AA0D42">
                <wp:simplePos x="0" y="0"/>
                <wp:positionH relativeFrom="column">
                  <wp:posOffset>-52705</wp:posOffset>
                </wp:positionH>
                <wp:positionV relativeFrom="paragraph">
                  <wp:posOffset>9293860</wp:posOffset>
                </wp:positionV>
                <wp:extent cx="352425" cy="219075"/>
                <wp:effectExtent l="0" t="0" r="9525" b="9525"/>
                <wp:wrapNone/>
                <wp:docPr id="18" name="矩形 18"/>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8" o:spid="_x0000_s1026" style="position:absolute;margin-left:-4.15pt;margin-top:731.8pt;width:27.75pt;height:17.25pt;z-index:25266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" fillcolor="white [3212]" stroked="f" strokeweight="2pt"/>
            </w:pict>
          </mc:Fallback>
        </mc:AlternateContent>
      </w:r>
      <w:r w:rsidR="00842817">
        <w:rPr>
          <w:rFonts w:ascii="微軟正黑體" w:eastAsia="微軟正黑體" w:hAnsi="微軟正黑體"/>
        </w:rPr>
        <w:br w:type="page"/>
      </w:r>
    </w:p>
    <w:p w:rsidR="00AD4DC9" w:rsidRPr="00C60E23" w:rsidRDefault="00AD4DC9" w:rsidP="00AD4DC9">
      <w:pPr>
        <w:snapToGrid w:val="0"/>
        <w:spacing w:line="400" w:lineRule="exact"/>
        <w:jc w:val="center"/>
        <w:rPr>
          <w:rFonts w:ascii="微軟正黑體" w:eastAsia="微軟正黑體" w:hAnsi="微軟正黑體"/>
          <w:b/>
          <w:sz w:val="2"/>
          <w:szCs w:val="2"/>
        </w:rPr>
      </w:pPr>
      <w:r w:rsidRPr="00C60E23">
        <w:rPr>
          <w:rFonts w:ascii="微軟正黑體" w:eastAsia="微軟正黑體" w:hAnsi="微軟正黑體"/>
          <w:b/>
          <w:noProof/>
          <w:sz w:val="2"/>
          <w:szCs w:val="2"/>
        </w:rPr>
        <w:lastRenderedPageBreak/>
        <mc:AlternateContent>
          <mc:Choice Requires="wps">
            <w:drawing>
              <wp:anchor distT="0" distB="0" distL="114300" distR="114300" simplePos="0" relativeHeight="252453888" behindDoc="0" locked="0" layoutInCell="1" allowOverlap="1" wp14:anchorId="5204CCBA" wp14:editId="1D2EE931">
                <wp:simplePos x="0" y="0"/>
                <wp:positionH relativeFrom="column">
                  <wp:posOffset>730250</wp:posOffset>
                </wp:positionH>
                <wp:positionV relativeFrom="paragraph">
                  <wp:posOffset>-662940</wp:posOffset>
                </wp:positionV>
                <wp:extent cx="45719" cy="11112500"/>
                <wp:effectExtent l="0" t="0" r="0" b="0"/>
                <wp:wrapNone/>
                <wp:docPr id="2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11112500"/>
                        </a:xfrm>
                        <a:prstGeom prst="rect">
                          <a:avLst/>
                        </a:prstGeom>
                        <a:solidFill>
                          <a:schemeClr val="accent3">
                            <a:lumMod val="60000"/>
                            <a:lumOff val="40000"/>
                          </a:schemeClr>
                        </a:solidFill>
                        <a:ln w="9525">
                          <a:noFill/>
                          <a:miter lim="800000"/>
                          <a:headEnd/>
                          <a:tailEnd/>
                        </a:ln>
                      </wps:spPr>
                      <wps:txbx>
                        <w:txbxContent>
                          <w:p w:rsidR="00745375" w:rsidRPr="008835C8" w:rsidRDefault="00745375" w:rsidP="00AD4DC9">
                            <w:pPr>
                              <w:jc w:val="center"/>
                              <w:rPr>
                                <w:rFonts w:ascii="微軟正黑體" w:eastAsia="微軟正黑體" w:hAnsi="微軟正黑體"/>
                                <w:sz w:val="60"/>
                                <w:szCs w:val="60"/>
                              </w:rPr>
                            </w:pPr>
                            <w:r>
                              <w:rPr>
                                <w:rFonts w:ascii="微軟正黑體" w:eastAsia="微軟正黑體" w:hAnsi="微軟正黑體" w:hint="eastAsia"/>
                                <w:sz w:val="60"/>
                                <w:szCs w:val="6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7.5pt;margin-top:-52.2pt;width:3.6pt;height:87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" fillcolor="#c2d69b [1942]" stroked="f">
                <v:textbox>
                  <w:txbxContent>
                    <w:p w:rsidR="00745375" w:rsidRPr="008835C8" w:rsidRDefault="00745375" w:rsidP="00AD4DC9">
                      <w:pPr>
                        <w:jc w:val="center"/>
                        <w:rPr>
                          <w:rFonts w:ascii="微軟正黑體" w:eastAsia="微軟正黑體" w:hAnsi="微軟正黑體"/>
                          <w:sz w:val="60"/>
                          <w:szCs w:val="60"/>
                        </w:rPr>
                      </w:pPr>
                      <w:r>
                        <w:rPr>
                          <w:rFonts w:ascii="微軟正黑體" w:eastAsia="微軟正黑體" w:hAnsi="微軟正黑體" w:hint="eastAsia"/>
                          <w:sz w:val="60"/>
                          <w:szCs w:val="60"/>
                        </w:rPr>
                        <w:t xml:space="preserve">        </w:t>
                      </w:r>
                    </w:p>
                  </w:txbxContent>
                </v:textbox>
              </v:shape>
            </w:pict>
          </mc:Fallback>
        </mc:AlternateContent>
      </w:r>
    </w:p>
    <w:p w:rsidR="000D4A9C" w:rsidRDefault="000D4A9C" w:rsidP="00AD4DC9">
      <w:pPr>
        <w:snapToGrid w:val="0"/>
        <w:spacing w:line="700" w:lineRule="exact"/>
        <w:ind w:leftChars="590" w:left="1416" w:rightChars="-118" w:right="-283"/>
        <w:jc w:val="center"/>
        <w:rPr>
          <w:rFonts w:ascii="微軟正黑體" w:eastAsia="微軟正黑體" w:hAnsi="微軟正黑體"/>
          <w:b/>
          <w:sz w:val="40"/>
          <w:szCs w:val="40"/>
        </w:rPr>
      </w:pPr>
    </w:p>
    <w:p w:rsidR="00AD4DC9" w:rsidRPr="002E2A88" w:rsidRDefault="00AD4DC9" w:rsidP="00AD4DC9">
      <w:pPr>
        <w:snapToGrid w:val="0"/>
        <w:spacing w:line="700" w:lineRule="exact"/>
        <w:ind w:leftChars="590" w:left="1416" w:rightChars="-118" w:right="-283"/>
        <w:jc w:val="center"/>
        <w:rPr>
          <w:rFonts w:ascii="微軟正黑體" w:eastAsia="微軟正黑體" w:hAnsi="微軟正黑體"/>
          <w:b/>
          <w:sz w:val="40"/>
          <w:szCs w:val="40"/>
        </w:rPr>
      </w:pPr>
      <w:r w:rsidRPr="002E2A88">
        <w:rPr>
          <w:rFonts w:hint="eastAsia"/>
          <w:b/>
          <w:noProof/>
          <w:sz w:val="40"/>
          <w:szCs w:val="40"/>
        </w:rPr>
        <w:drawing>
          <wp:anchor distT="0" distB="0" distL="114300" distR="114300" simplePos="0" relativeHeight="252061696" behindDoc="0" locked="0" layoutInCell="1" allowOverlap="1" wp14:anchorId="2BB4CCAD" wp14:editId="521CD473">
            <wp:simplePos x="0" y="0"/>
            <wp:positionH relativeFrom="column">
              <wp:posOffset>-843280</wp:posOffset>
            </wp:positionH>
            <wp:positionV relativeFrom="paragraph">
              <wp:posOffset>183828</wp:posOffset>
            </wp:positionV>
            <wp:extent cx="1733550" cy="1466850"/>
            <wp:effectExtent l="0" t="0" r="0" b="0"/>
            <wp:wrapNone/>
            <wp:docPr id="299" name="圖片 299" descr="C:\Users\sakula\AppData\Local\Microsoft\Windows\Temporary Internet Files\Content.IE5\EKEHZL13\1024px-View-refresh.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kula\AppData\Local\Microsoft\Windows\Temporary Internet Files\Content.IE5\EKEHZL13\1024px-View-refresh.svg[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6F8" w:rsidRDefault="00BD66F8" w:rsidP="00BD66F8">
      <w:pPr>
        <w:spacing w:beforeLines="100" w:before="360" w:line="400" w:lineRule="exact"/>
        <w:ind w:firstLineChars="600" w:firstLine="1680"/>
        <w:rPr>
          <w:rFonts w:ascii="微軟正黑體" w:eastAsia="微軟正黑體" w:hAnsi="微軟正黑體"/>
          <w:sz w:val="28"/>
          <w:szCs w:val="28"/>
        </w:rPr>
      </w:pPr>
    </w:p>
    <w:p w:rsidR="00BD66F8" w:rsidRDefault="00BD66F8" w:rsidP="00BD66F8">
      <w:pPr>
        <w:spacing w:beforeLines="100" w:before="360" w:line="400" w:lineRule="exact"/>
        <w:ind w:firstLineChars="600" w:firstLine="1440"/>
        <w:rPr>
          <w:rFonts w:ascii="微軟正黑體" w:eastAsia="微軟正黑體" w:hAnsi="微軟正黑體"/>
          <w:sz w:val="28"/>
          <w:szCs w:val="28"/>
        </w:rPr>
      </w:pPr>
      <w:r>
        <w:rPr>
          <w:noProof/>
        </w:rPr>
        <mc:AlternateContent>
          <mc:Choice Requires="wps">
            <w:drawing>
              <wp:anchor distT="0" distB="0" distL="114300" distR="114300" simplePos="0" relativeHeight="252452864" behindDoc="0" locked="0" layoutInCell="1" allowOverlap="1" wp14:anchorId="370F242F" wp14:editId="5AEBE1D6">
                <wp:simplePos x="0" y="0"/>
                <wp:positionH relativeFrom="column">
                  <wp:posOffset>-819238</wp:posOffset>
                </wp:positionH>
                <wp:positionV relativeFrom="paragraph">
                  <wp:posOffset>48260</wp:posOffset>
                </wp:positionV>
                <wp:extent cx="1727200" cy="6286500"/>
                <wp:effectExtent l="0" t="0" r="0" b="0"/>
                <wp:wrapNone/>
                <wp:docPr id="49" name="文字方塊 49"/>
                <wp:cNvGraphicFramePr/>
                <a:graphic xmlns:a="http://schemas.openxmlformats.org/drawingml/2006/main">
                  <a:graphicData uri="http://schemas.microsoft.com/office/word/2010/wordprocessingShape">
                    <wps:wsp>
                      <wps:cNvSpPr txBox="1"/>
                      <wps:spPr>
                        <a:xfrm>
                          <a:off x="0" y="0"/>
                          <a:ext cx="1727200" cy="6286500"/>
                        </a:xfrm>
                        <a:prstGeom prst="rect">
                          <a:avLst/>
                        </a:prstGeom>
                        <a:noFill/>
                        <a:ln>
                          <a:noFill/>
                        </a:ln>
                        <a:effectLst/>
                      </wps:spPr>
                      <wps:txbx>
                        <w:txbxContent>
                          <w:p w:rsidR="00745375" w:rsidRPr="00DC612B" w:rsidRDefault="00745375" w:rsidP="00BD66F8">
                            <w:pPr>
                              <w:jc w:val="center"/>
                              <w:rPr>
                                <w:rFonts w:ascii="微軟正黑體" w:eastAsia="微軟正黑體" w:hAnsi="微軟正黑體"/>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微軟正黑體" w:eastAsia="微軟正黑體" w:hAnsi="微軟正黑體" w:hint="eastAsia"/>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制 度 動 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9" o:spid="_x0000_s1066" type="#_x0000_t202" style="position:absolute;left:0;text-align:left;margin-left:-64.5pt;margin-top:3.8pt;width:136pt;height:49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" filled="f" stroked="f">
                <v:textbox style="layout-flow:vertical-ideographic">
                  <w:txbxContent>
                    <w:p w:rsidR="00745375" w:rsidRPr="00DC612B" w:rsidRDefault="00745375" w:rsidP="00BD66F8">
                      <w:pPr>
                        <w:jc w:val="center"/>
                        <w:rPr>
                          <w:rFonts w:ascii="微軟正黑體" w:eastAsia="微軟正黑體" w:hAnsi="微軟正黑體"/>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微軟正黑體" w:eastAsia="微軟正黑體" w:hAnsi="微軟正黑體" w:hint="eastAsia"/>
                          <w:b/>
                          <w:caps/>
                          <w:sz w:val="120"/>
                          <w:szCs w:val="1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制 度 動 態</w:t>
                      </w:r>
                    </w:p>
                  </w:txbxContent>
                </v:textbox>
              </v:shape>
            </w:pict>
          </mc:Fallback>
        </mc:AlternateContent>
      </w:r>
    </w:p>
    <w:p w:rsidR="00BD66F8" w:rsidRDefault="00BD66F8" w:rsidP="00BD66F8">
      <w:pPr>
        <w:spacing w:beforeLines="100" w:before="360" w:line="400" w:lineRule="exact"/>
        <w:ind w:firstLineChars="600" w:firstLine="2400"/>
        <w:rPr>
          <w:rFonts w:ascii="微軟正黑體" w:eastAsia="微軟正黑體" w:hAnsi="微軟正黑體"/>
          <w:sz w:val="28"/>
          <w:szCs w:val="28"/>
        </w:rPr>
      </w:pPr>
      <w:r>
        <w:rPr>
          <w:rFonts w:ascii="微軟正黑體" w:eastAsia="微軟正黑體" w:hAnsi="微軟正黑體" w:hint="eastAsia"/>
          <w:b/>
          <w:noProof/>
          <w:sz w:val="40"/>
          <w:szCs w:val="40"/>
        </w:rPr>
        <mc:AlternateContent>
          <mc:Choice Requires="wps">
            <w:drawing>
              <wp:anchor distT="0" distB="0" distL="114300" distR="114300" simplePos="0" relativeHeight="252450816" behindDoc="0" locked="0" layoutInCell="1" allowOverlap="1" wp14:anchorId="2643A284" wp14:editId="0BBE5848">
                <wp:simplePos x="0" y="0"/>
                <wp:positionH relativeFrom="column">
                  <wp:posOffset>741571</wp:posOffset>
                </wp:positionH>
                <wp:positionV relativeFrom="paragraph">
                  <wp:posOffset>391160</wp:posOffset>
                </wp:positionV>
                <wp:extent cx="5932170" cy="2143760"/>
                <wp:effectExtent l="0" t="0" r="0" b="8890"/>
                <wp:wrapNone/>
                <wp:docPr id="21517" name="文字方塊 21517"/>
                <wp:cNvGraphicFramePr/>
                <a:graphic xmlns:a="http://schemas.openxmlformats.org/drawingml/2006/main">
                  <a:graphicData uri="http://schemas.microsoft.com/office/word/2010/wordprocessingShape">
                    <wps:wsp>
                      <wps:cNvSpPr txBox="1"/>
                      <wps:spPr>
                        <a:xfrm>
                          <a:off x="0" y="0"/>
                          <a:ext cx="5932170" cy="2143760"/>
                        </a:xfrm>
                        <a:prstGeom prst="rect">
                          <a:avLst/>
                        </a:prstGeom>
                        <a:solidFill>
                          <a:schemeClr val="bg2">
                            <a:lumMod val="9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5375" w:rsidRPr="00C1359F" w:rsidRDefault="00745375" w:rsidP="00BD66F8">
                            <w:pPr>
                              <w:rPr>
                                <w:rFonts w:ascii="微軟正黑體" w:eastAsia="微軟正黑體" w:hAnsi="微軟正黑體"/>
                                <w:b/>
                                <w:sz w:val="42"/>
                                <w:szCs w:val="42"/>
                              </w:rPr>
                            </w:pPr>
                            <w:r w:rsidRPr="00C1359F">
                              <w:rPr>
                                <w:rFonts w:ascii="微軟正黑體" w:eastAsia="微軟正黑體" w:hAnsi="微軟正黑體" w:hint="eastAsia"/>
                                <w:b/>
                                <w:sz w:val="42"/>
                                <w:szCs w:val="42"/>
                              </w:rPr>
                              <w:t>國內大事紀(10</w:t>
                            </w:r>
                            <w:r>
                              <w:rPr>
                                <w:rFonts w:ascii="微軟正黑體" w:eastAsia="微軟正黑體" w:hAnsi="微軟正黑體" w:hint="eastAsia"/>
                                <w:b/>
                                <w:sz w:val="42"/>
                                <w:szCs w:val="42"/>
                              </w:rPr>
                              <w:t>9</w:t>
                            </w:r>
                            <w:r w:rsidRPr="00C1359F">
                              <w:rPr>
                                <w:rFonts w:ascii="微軟正黑體" w:eastAsia="微軟正黑體" w:hAnsi="微軟正黑體" w:hint="eastAsia"/>
                                <w:b/>
                                <w:sz w:val="42"/>
                                <w:szCs w:val="42"/>
                              </w:rPr>
                              <w:t>年1月至</w:t>
                            </w:r>
                            <w:r>
                              <w:rPr>
                                <w:rFonts w:ascii="微軟正黑體" w:eastAsia="微軟正黑體" w:hAnsi="微軟正黑體" w:hint="eastAsia"/>
                                <w:b/>
                                <w:sz w:val="42"/>
                                <w:szCs w:val="42"/>
                              </w:rPr>
                              <w:t>110</w:t>
                            </w:r>
                            <w:r w:rsidRPr="00C1359F">
                              <w:rPr>
                                <w:rFonts w:ascii="微軟正黑體" w:eastAsia="微軟正黑體" w:hAnsi="微軟正黑體" w:hint="eastAsia"/>
                                <w:b/>
                                <w:sz w:val="42"/>
                                <w:szCs w:val="42"/>
                              </w:rPr>
                              <w:t>年</w:t>
                            </w:r>
                            <w:r>
                              <w:rPr>
                                <w:rFonts w:ascii="微軟正黑體" w:eastAsia="微軟正黑體" w:hAnsi="微軟正黑體" w:hint="eastAsia"/>
                                <w:b/>
                                <w:sz w:val="42"/>
                                <w:szCs w:val="42"/>
                              </w:rPr>
                              <w:t>12</w:t>
                            </w:r>
                            <w:r w:rsidRPr="00C1359F">
                              <w:rPr>
                                <w:rFonts w:ascii="微軟正黑體" w:eastAsia="微軟正黑體" w:hAnsi="微軟正黑體" w:hint="eastAsia"/>
                                <w:b/>
                                <w:sz w:val="42"/>
                                <w:szCs w:val="42"/>
                              </w:rPr>
                              <w:t>月</w:t>
                            </w:r>
                            <w:r>
                              <w:rPr>
                                <w:rFonts w:ascii="微軟正黑體" w:eastAsia="微軟正黑體" w:hAnsi="微軟正黑體" w:hint="eastAsia"/>
                                <w:b/>
                                <w:sz w:val="42"/>
                                <w:szCs w:val="42"/>
                              </w:rPr>
                              <w:t>)</w:t>
                            </w:r>
                          </w:p>
                          <w:p w:rsidR="00745375" w:rsidRPr="00C1359F" w:rsidRDefault="00745375" w:rsidP="00BD66F8">
                            <w:pPr>
                              <w:rPr>
                                <w:rFonts w:ascii="微軟正黑體" w:eastAsia="微軟正黑體" w:hAnsi="微軟正黑體"/>
                                <w:b/>
                                <w:sz w:val="42"/>
                                <w:szCs w:val="42"/>
                              </w:rPr>
                            </w:pPr>
                            <w:r w:rsidRPr="00C1359F">
                              <w:rPr>
                                <w:rFonts w:ascii="微軟正黑體" w:eastAsia="微軟正黑體" w:hAnsi="微軟正黑體" w:hint="eastAsia"/>
                                <w:b/>
                                <w:sz w:val="42"/>
                                <w:szCs w:val="42"/>
                              </w:rPr>
                              <w:t>國內制度簡表</w:t>
                            </w:r>
                          </w:p>
                          <w:p w:rsidR="00745375" w:rsidRPr="00C1359F" w:rsidRDefault="00745375" w:rsidP="00BD66F8">
                            <w:pPr>
                              <w:rPr>
                                <w:rFonts w:ascii="微軟正黑體" w:eastAsia="微軟正黑體" w:hAnsi="微軟正黑體"/>
                                <w:b/>
                                <w:sz w:val="42"/>
                                <w:szCs w:val="42"/>
                              </w:rPr>
                            </w:pPr>
                            <w:r w:rsidRPr="00C1359F">
                              <w:rPr>
                                <w:rFonts w:ascii="微軟正黑體" w:eastAsia="微軟正黑體" w:hAnsi="微軟正黑體" w:hint="eastAsia"/>
                                <w:b/>
                                <w:sz w:val="42"/>
                                <w:szCs w:val="42"/>
                              </w:rPr>
                              <w:t>國際比較資料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1517" o:spid="_x0000_s1067" type="#_x0000_t202" style="position:absolute;left:0;text-align:left;margin-left:58.4pt;margin-top:30.8pt;width:467.1pt;height:168.8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" fillcolor="#ddd8c2 [2894]" stroked="f" strokeweight=".5pt">
                <v:textbox>
                  <w:txbxContent>
                    <w:p w:rsidR="00745375" w:rsidRPr="00C1359F" w:rsidRDefault="00745375" w:rsidP="00BD66F8">
                      <w:pPr>
                        <w:rPr>
                          <w:rFonts w:ascii="微軟正黑體" w:eastAsia="微軟正黑體" w:hAnsi="微軟正黑體"/>
                          <w:b/>
                          <w:sz w:val="42"/>
                          <w:szCs w:val="42"/>
                        </w:rPr>
                      </w:pPr>
                      <w:r w:rsidRPr="00C1359F">
                        <w:rPr>
                          <w:rFonts w:ascii="微軟正黑體" w:eastAsia="微軟正黑體" w:hAnsi="微軟正黑體" w:hint="eastAsia"/>
                          <w:b/>
                          <w:sz w:val="42"/>
                          <w:szCs w:val="42"/>
                        </w:rPr>
                        <w:t>國內大事紀(10</w:t>
                      </w:r>
                      <w:r>
                        <w:rPr>
                          <w:rFonts w:ascii="微軟正黑體" w:eastAsia="微軟正黑體" w:hAnsi="微軟正黑體" w:hint="eastAsia"/>
                          <w:b/>
                          <w:sz w:val="42"/>
                          <w:szCs w:val="42"/>
                        </w:rPr>
                        <w:t>9</w:t>
                      </w:r>
                      <w:r w:rsidRPr="00C1359F">
                        <w:rPr>
                          <w:rFonts w:ascii="微軟正黑體" w:eastAsia="微軟正黑體" w:hAnsi="微軟正黑體" w:hint="eastAsia"/>
                          <w:b/>
                          <w:sz w:val="42"/>
                          <w:szCs w:val="42"/>
                        </w:rPr>
                        <w:t>年1月至</w:t>
                      </w:r>
                      <w:r>
                        <w:rPr>
                          <w:rFonts w:ascii="微軟正黑體" w:eastAsia="微軟正黑體" w:hAnsi="微軟正黑體" w:hint="eastAsia"/>
                          <w:b/>
                          <w:sz w:val="42"/>
                          <w:szCs w:val="42"/>
                        </w:rPr>
                        <w:t>110</w:t>
                      </w:r>
                      <w:r w:rsidRPr="00C1359F">
                        <w:rPr>
                          <w:rFonts w:ascii="微軟正黑體" w:eastAsia="微軟正黑體" w:hAnsi="微軟正黑體" w:hint="eastAsia"/>
                          <w:b/>
                          <w:sz w:val="42"/>
                          <w:szCs w:val="42"/>
                        </w:rPr>
                        <w:t>年</w:t>
                      </w:r>
                      <w:r>
                        <w:rPr>
                          <w:rFonts w:ascii="微軟正黑體" w:eastAsia="微軟正黑體" w:hAnsi="微軟正黑體" w:hint="eastAsia"/>
                          <w:b/>
                          <w:sz w:val="42"/>
                          <w:szCs w:val="42"/>
                        </w:rPr>
                        <w:t>12</w:t>
                      </w:r>
                      <w:r w:rsidRPr="00C1359F">
                        <w:rPr>
                          <w:rFonts w:ascii="微軟正黑體" w:eastAsia="微軟正黑體" w:hAnsi="微軟正黑體" w:hint="eastAsia"/>
                          <w:b/>
                          <w:sz w:val="42"/>
                          <w:szCs w:val="42"/>
                        </w:rPr>
                        <w:t>月</w:t>
                      </w:r>
                      <w:r>
                        <w:rPr>
                          <w:rFonts w:ascii="微軟正黑體" w:eastAsia="微軟正黑體" w:hAnsi="微軟正黑體" w:hint="eastAsia"/>
                          <w:b/>
                          <w:sz w:val="42"/>
                          <w:szCs w:val="42"/>
                        </w:rPr>
                        <w:t>)</w:t>
                      </w:r>
                    </w:p>
                    <w:p w:rsidR="00745375" w:rsidRPr="00C1359F" w:rsidRDefault="00745375" w:rsidP="00BD66F8">
                      <w:pPr>
                        <w:rPr>
                          <w:rFonts w:ascii="微軟正黑體" w:eastAsia="微軟正黑體" w:hAnsi="微軟正黑體"/>
                          <w:b/>
                          <w:sz w:val="42"/>
                          <w:szCs w:val="42"/>
                        </w:rPr>
                      </w:pPr>
                      <w:r w:rsidRPr="00C1359F">
                        <w:rPr>
                          <w:rFonts w:ascii="微軟正黑體" w:eastAsia="微軟正黑體" w:hAnsi="微軟正黑體" w:hint="eastAsia"/>
                          <w:b/>
                          <w:sz w:val="42"/>
                          <w:szCs w:val="42"/>
                        </w:rPr>
                        <w:t>國內制度簡表</w:t>
                      </w:r>
                    </w:p>
                    <w:p w:rsidR="00745375" w:rsidRPr="00C1359F" w:rsidRDefault="00745375" w:rsidP="00BD66F8">
                      <w:pPr>
                        <w:rPr>
                          <w:rFonts w:ascii="微軟正黑體" w:eastAsia="微軟正黑體" w:hAnsi="微軟正黑體"/>
                          <w:b/>
                          <w:sz w:val="42"/>
                          <w:szCs w:val="42"/>
                        </w:rPr>
                      </w:pPr>
                      <w:r w:rsidRPr="00C1359F">
                        <w:rPr>
                          <w:rFonts w:ascii="微軟正黑體" w:eastAsia="微軟正黑體" w:hAnsi="微軟正黑體" w:hint="eastAsia"/>
                          <w:b/>
                          <w:sz w:val="42"/>
                          <w:szCs w:val="42"/>
                        </w:rPr>
                        <w:t>國際比較資料</w:t>
                      </w:r>
                    </w:p>
                  </w:txbxContent>
                </v:textbox>
              </v:shape>
            </w:pict>
          </mc:Fallback>
        </mc:AlternateContent>
      </w:r>
    </w:p>
    <w:p w:rsidR="00BD66F8" w:rsidRDefault="00BD66F8" w:rsidP="00BD66F8">
      <w:pPr>
        <w:spacing w:beforeLines="100" w:before="360" w:line="400" w:lineRule="exact"/>
        <w:ind w:firstLineChars="600" w:firstLine="1680"/>
        <w:rPr>
          <w:rFonts w:ascii="微軟正黑體" w:eastAsia="微軟正黑體" w:hAnsi="微軟正黑體"/>
          <w:sz w:val="28"/>
          <w:szCs w:val="28"/>
        </w:rPr>
      </w:pPr>
    </w:p>
    <w:p w:rsidR="00BD66F8" w:rsidRDefault="00BD66F8" w:rsidP="00BD66F8">
      <w:pPr>
        <w:spacing w:beforeLines="100" w:before="360" w:line="400" w:lineRule="exact"/>
        <w:ind w:firstLineChars="600" w:firstLine="1680"/>
        <w:rPr>
          <w:rFonts w:ascii="微軟正黑體" w:eastAsia="微軟正黑體" w:hAnsi="微軟正黑體"/>
          <w:sz w:val="28"/>
          <w:szCs w:val="28"/>
        </w:rPr>
      </w:pPr>
    </w:p>
    <w:p w:rsidR="00BD66F8" w:rsidRDefault="00BD66F8" w:rsidP="00BD66F8">
      <w:pPr>
        <w:spacing w:beforeLines="100" w:before="360" w:line="400" w:lineRule="exact"/>
        <w:ind w:firstLineChars="600" w:firstLine="1680"/>
        <w:rPr>
          <w:rFonts w:ascii="微軟正黑體" w:eastAsia="微軟正黑體" w:hAnsi="微軟正黑體"/>
          <w:sz w:val="28"/>
          <w:szCs w:val="28"/>
        </w:rPr>
      </w:pPr>
    </w:p>
    <w:p w:rsidR="00BD66F8" w:rsidRDefault="00BD66F8" w:rsidP="00BD66F8">
      <w:pPr>
        <w:spacing w:beforeLines="100" w:before="360" w:line="400" w:lineRule="exact"/>
        <w:ind w:firstLineChars="600" w:firstLine="1680"/>
        <w:rPr>
          <w:rFonts w:ascii="微軟正黑體" w:eastAsia="微軟正黑體" w:hAnsi="微軟正黑體"/>
          <w:sz w:val="28"/>
          <w:szCs w:val="28"/>
        </w:rPr>
      </w:pPr>
    </w:p>
    <w:p w:rsidR="00D73DAA" w:rsidRDefault="00BD66F8">
      <w:pPr>
        <w:widowControl/>
        <w:rPr>
          <w:rFonts w:ascii="微軟正黑體" w:eastAsia="微軟正黑體" w:hAnsi="微軟正黑體"/>
          <w:sz w:val="28"/>
          <w:szCs w:val="28"/>
        </w:rPr>
        <w:sectPr w:rsidR="00D73DAA" w:rsidSect="00A11EF4">
          <w:headerReference w:type="default" r:id="rId166"/>
          <w:pgSz w:w="11906" w:h="16838"/>
          <w:pgMar w:top="1134" w:right="1418" w:bottom="1134" w:left="1418" w:header="340" w:footer="340" w:gutter="0"/>
          <w:cols w:space="425"/>
          <w:titlePg/>
          <w:docGrid w:type="lines" w:linePitch="360"/>
        </w:sectPr>
      </w:pPr>
      <w:r>
        <w:rPr>
          <w:rFonts w:ascii="微軟正黑體" w:eastAsia="微軟正黑體" w:hAnsi="微軟正黑體"/>
          <w:sz w:val="28"/>
          <w:szCs w:val="28"/>
        </w:rPr>
        <w:br w:type="page"/>
      </w:r>
    </w:p>
    <w:p w:rsidR="00042CC9" w:rsidRDefault="00042CC9" w:rsidP="00BD66F8">
      <w:pPr>
        <w:spacing w:beforeLines="100" w:before="360" w:line="400" w:lineRule="exact"/>
        <w:ind w:firstLineChars="600" w:firstLine="1680"/>
        <w:rPr>
          <w:rFonts w:ascii="微軟正黑體" w:eastAsia="微軟正黑體" w:hAnsi="微軟正黑體"/>
          <w:sz w:val="28"/>
          <w:szCs w:val="28"/>
        </w:rPr>
      </w:pPr>
    </w:p>
    <w:p w:rsidR="00D73DAA" w:rsidRDefault="001F157F">
      <w:pPr>
        <w:widowControl/>
        <w:rPr>
          <w:rFonts w:ascii="微軟正黑體" w:eastAsia="微軟正黑體" w:hAnsi="微軟正黑體"/>
          <w:sz w:val="28"/>
          <w:szCs w:val="28"/>
        </w:rPr>
        <w:sectPr w:rsidR="00D73DAA" w:rsidSect="00A11EF4">
          <w:pgSz w:w="11906" w:h="16838"/>
          <w:pgMar w:top="1134" w:right="1418" w:bottom="1134" w:left="1418" w:header="340" w:footer="340" w:gutter="0"/>
          <w:cols w:space="425"/>
          <w:titlePg/>
          <w:docGrid w:type="lines" w:linePitch="360"/>
        </w:sectPr>
      </w:pPr>
      <w:r>
        <w:rPr>
          <w:rFonts w:ascii="微軟正黑體" w:eastAsia="微軟正黑體" w:hAnsi="微軟正黑體"/>
          <w:b/>
          <w:noProof/>
          <w:sz w:val="36"/>
          <w:szCs w:val="36"/>
        </w:rPr>
        <mc:AlternateContent>
          <mc:Choice Requires="wps">
            <w:drawing>
              <wp:anchor distT="0" distB="0" distL="114300" distR="114300" simplePos="0" relativeHeight="252662784" behindDoc="0" locked="0" layoutInCell="1" allowOverlap="1" wp14:anchorId="7C48CF57" wp14:editId="10473CE3">
                <wp:simplePos x="0" y="0"/>
                <wp:positionH relativeFrom="column">
                  <wp:posOffset>5405120</wp:posOffset>
                </wp:positionH>
                <wp:positionV relativeFrom="paragraph">
                  <wp:posOffset>9084310</wp:posOffset>
                </wp:positionV>
                <wp:extent cx="352425" cy="219075"/>
                <wp:effectExtent l="0" t="0" r="9525" b="9525"/>
                <wp:wrapNone/>
                <wp:docPr id="19" name="矩形 19"/>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9" o:spid="_x0000_s1026" style="position:absolute;margin-left:425.6pt;margin-top:715.3pt;width:27.75pt;height:17.25pt;z-index:25266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" fillcolor="white [3212]" stroked="f" strokeweight="2pt"/>
            </w:pict>
          </mc:Fallback>
        </mc:AlternateContent>
      </w:r>
      <w:r w:rsidR="00042CC9">
        <w:rPr>
          <w:rFonts w:ascii="微軟正黑體" w:eastAsia="微軟正黑體" w:hAnsi="微軟正黑體"/>
          <w:sz w:val="28"/>
          <w:szCs w:val="28"/>
        </w:rPr>
        <w:br w:type="page"/>
      </w:r>
    </w:p>
    <w:p w:rsidR="00CD11CF" w:rsidRPr="00CD11CF" w:rsidRDefault="00CD11CF" w:rsidP="00CD11CF">
      <w:pPr>
        <w:jc w:val="center"/>
        <w:rPr>
          <w:rFonts w:ascii="微軟正黑體" w:eastAsia="微軟正黑體" w:hAnsi="微軟正黑體"/>
          <w:b/>
          <w:sz w:val="40"/>
          <w:szCs w:val="40"/>
        </w:rPr>
      </w:pPr>
      <w:bookmarkStart w:id="56" w:name="附錄一"/>
      <w:r w:rsidRPr="00CD11CF">
        <w:rPr>
          <w:rFonts w:ascii="微軟正黑體" w:eastAsia="微軟正黑體" w:hAnsi="微軟正黑體" w:hint="eastAsia"/>
          <w:b/>
          <w:sz w:val="40"/>
          <w:szCs w:val="40"/>
        </w:rPr>
        <w:lastRenderedPageBreak/>
        <w:t>國內大事紀</w:t>
      </w:r>
      <w:bookmarkEnd w:id="56"/>
      <w:r w:rsidRPr="00CD11CF">
        <w:rPr>
          <w:rFonts w:ascii="微軟正黑體" w:eastAsia="微軟正黑體" w:hAnsi="微軟正黑體" w:hint="eastAsia"/>
          <w:b/>
          <w:sz w:val="40"/>
          <w:szCs w:val="40"/>
        </w:rPr>
        <w:t xml:space="preserve"> (109年1月~110年12月)</w:t>
      </w:r>
    </w:p>
    <w:p w:rsidR="00CD11CF" w:rsidRPr="008C648B" w:rsidRDefault="00CD11CF" w:rsidP="00CD11CF">
      <w:pPr>
        <w:spacing w:beforeLines="100" w:before="360" w:line="400" w:lineRule="exact"/>
        <w:rPr>
          <w:rFonts w:ascii="微軟正黑體" w:eastAsia="微軟正黑體" w:hAnsi="微軟正黑體"/>
          <w:sz w:val="28"/>
          <w:szCs w:val="28"/>
        </w:rPr>
      </w:pPr>
      <w:r w:rsidRPr="008C648B">
        <w:rPr>
          <w:rFonts w:ascii="微軟正黑體" w:eastAsia="微軟正黑體" w:hAnsi="微軟正黑體" w:hint="eastAsia"/>
          <w:sz w:val="28"/>
          <w:szCs w:val="28"/>
        </w:rPr>
        <w:t>10</w:t>
      </w:r>
      <w:r>
        <w:rPr>
          <w:rFonts w:ascii="微軟正黑體" w:eastAsia="微軟正黑體" w:hAnsi="微軟正黑體" w:hint="eastAsia"/>
          <w:sz w:val="28"/>
          <w:szCs w:val="28"/>
        </w:rPr>
        <w:t>9</w:t>
      </w:r>
      <w:r w:rsidRPr="008C648B">
        <w:rPr>
          <w:rFonts w:ascii="微軟正黑體" w:eastAsia="微軟正黑體" w:hAnsi="微軟正黑體" w:hint="eastAsia"/>
          <w:sz w:val="28"/>
          <w:szCs w:val="28"/>
        </w:rPr>
        <w:t>年</w:t>
      </w:r>
    </w:p>
    <w:tbl>
      <w:tblPr>
        <w:tblStyle w:val="a5"/>
        <w:tblW w:w="0" w:type="auto"/>
        <w:tblLook w:val="04A0" w:firstRow="1" w:lastRow="0" w:firstColumn="1" w:lastColumn="0" w:noHBand="0" w:noVBand="1"/>
      </w:tblPr>
      <w:tblGrid>
        <w:gridCol w:w="1101"/>
        <w:gridCol w:w="8079"/>
      </w:tblGrid>
      <w:tr w:rsidR="00CD11CF" w:rsidTr="00977EB7">
        <w:trPr>
          <w:trHeight w:val="491"/>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CD11CF" w:rsidRDefault="00CD11CF" w:rsidP="00CD11CF">
            <w:pPr>
              <w:spacing w:line="360" w:lineRule="exact"/>
              <w:jc w:val="center"/>
              <w:rPr>
                <w:rFonts w:ascii="微軟正黑體" w:eastAsia="微軟正黑體" w:hAnsi="微軟正黑體" w:cs="Times New Roman"/>
                <w:sz w:val="22"/>
                <w:szCs w:val="22"/>
              </w:rPr>
            </w:pPr>
            <w:r>
              <w:rPr>
                <w:rFonts w:ascii="微軟正黑體" w:eastAsia="微軟正黑體" w:hAnsi="微軟正黑體" w:cs="Times New Roman" w:hint="eastAsia"/>
                <w:sz w:val="22"/>
                <w:szCs w:val="22"/>
              </w:rPr>
              <w:t>月份</w:t>
            </w:r>
          </w:p>
        </w:tc>
        <w:tc>
          <w:tcPr>
            <w:tcW w:w="8079" w:type="dxa"/>
            <w:tcBorders>
              <w:top w:val="single" w:sz="4" w:space="0" w:color="auto"/>
              <w:left w:val="single" w:sz="4" w:space="0" w:color="auto"/>
              <w:bottom w:val="single" w:sz="4" w:space="0" w:color="auto"/>
              <w:right w:val="single" w:sz="4" w:space="0" w:color="auto"/>
            </w:tcBorders>
            <w:vAlign w:val="center"/>
            <w:hideMark/>
          </w:tcPr>
          <w:p w:rsidR="00CD11CF" w:rsidRDefault="00CD11CF" w:rsidP="00977EB7">
            <w:pPr>
              <w:spacing w:line="360" w:lineRule="exact"/>
              <w:jc w:val="center"/>
              <w:rPr>
                <w:rFonts w:ascii="微軟正黑體" w:eastAsia="微軟正黑體" w:hAnsi="微軟正黑體" w:cs="Times New Roman"/>
                <w:sz w:val="22"/>
                <w:szCs w:val="22"/>
              </w:rPr>
            </w:pPr>
            <w:r>
              <w:rPr>
                <w:rFonts w:ascii="微軟正黑體" w:eastAsia="微軟正黑體" w:hAnsi="微軟正黑體" w:cs="Times New Roman" w:hint="eastAsia"/>
                <w:sz w:val="22"/>
                <w:szCs w:val="22"/>
              </w:rPr>
              <w:t>事    件</w:t>
            </w:r>
          </w:p>
        </w:tc>
      </w:tr>
      <w:tr w:rsidR="00CD11CF" w:rsidRPr="0054374C" w:rsidTr="00CD11CF">
        <w:trPr>
          <w:trHeight w:val="747"/>
        </w:trPr>
        <w:tc>
          <w:tcPr>
            <w:tcW w:w="0" w:type="auto"/>
            <w:vMerge w:val="restart"/>
            <w:tcBorders>
              <w:top w:val="single" w:sz="4" w:space="0" w:color="auto"/>
              <w:left w:val="single" w:sz="4" w:space="0" w:color="auto"/>
              <w:right w:val="single" w:sz="4" w:space="0" w:color="auto"/>
            </w:tcBorders>
            <w:vAlign w:val="center"/>
            <w:hideMark/>
          </w:tcPr>
          <w:p w:rsidR="00CD11CF" w:rsidRPr="0054374C" w:rsidRDefault="00CD11CF" w:rsidP="00CD11CF">
            <w:pPr>
              <w:widowControl/>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1月</w:t>
            </w:r>
          </w:p>
        </w:tc>
        <w:tc>
          <w:tcPr>
            <w:tcW w:w="8079" w:type="dxa"/>
            <w:tcBorders>
              <w:top w:val="single" w:sz="4" w:space="0" w:color="auto"/>
              <w:left w:val="single" w:sz="4" w:space="0" w:color="auto"/>
              <w:bottom w:val="single" w:sz="4" w:space="0" w:color="auto"/>
              <w:right w:val="single" w:sz="4" w:space="0" w:color="auto"/>
            </w:tcBorders>
            <w:vAlign w:val="center"/>
            <w:hideMark/>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新細明體" w:hint="eastAsia"/>
                <w:kern w:val="0"/>
                <w:sz w:val="22"/>
                <w:szCs w:val="22"/>
              </w:rPr>
              <w:t>1月1日起，因應基本工資調整為23,800元，「勞工保險投保薪資分級表」、「勞工退休金月提繳工資分級表」及｢全民健康保險投保金額分級表」配合修正實施。</w:t>
            </w:r>
          </w:p>
        </w:tc>
      </w:tr>
      <w:tr w:rsidR="00CD11CF" w:rsidRPr="0054374C" w:rsidTr="00CD11CF">
        <w:trPr>
          <w:trHeight w:val="417"/>
        </w:trPr>
        <w:tc>
          <w:tcPr>
            <w:tcW w:w="0" w:type="auto"/>
            <w:vMerge/>
            <w:tcBorders>
              <w:left w:val="single" w:sz="4" w:space="0" w:color="auto"/>
              <w:bottom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widowControl/>
              <w:spacing w:line="360" w:lineRule="exact"/>
              <w:rPr>
                <w:rFonts w:ascii="微軟正黑體" w:eastAsia="微軟正黑體" w:hAnsi="微軟正黑體" w:cs="Times New Roman"/>
                <w:bCs/>
                <w:kern w:val="0"/>
                <w:sz w:val="22"/>
                <w:szCs w:val="22"/>
              </w:rPr>
            </w:pPr>
            <w:r w:rsidRPr="0054374C">
              <w:rPr>
                <w:rFonts w:ascii="微軟正黑體" w:eastAsia="微軟正黑體" w:hAnsi="微軟正黑體" w:cs="Times New Roman" w:hint="eastAsia"/>
                <w:bCs/>
                <w:kern w:val="0"/>
                <w:sz w:val="22"/>
                <w:szCs w:val="22"/>
              </w:rPr>
              <w:t>1月1日起，國民年金老年基本保證年金及原住民給付參照消費者物價指數(CPI)成長率調整為每月新臺幣3,772元。</w:t>
            </w:r>
          </w:p>
        </w:tc>
      </w:tr>
      <w:tr w:rsidR="00CD11CF" w:rsidRPr="0054374C" w:rsidTr="00CD11CF">
        <w:trPr>
          <w:trHeight w:val="417"/>
        </w:trPr>
        <w:tc>
          <w:tcPr>
            <w:tcW w:w="0" w:type="auto"/>
            <w:vMerge/>
            <w:tcBorders>
              <w:left w:val="single" w:sz="4" w:space="0" w:color="auto"/>
              <w:bottom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widowControl/>
              <w:spacing w:line="360" w:lineRule="exact"/>
              <w:rPr>
                <w:rFonts w:ascii="微軟正黑體" w:eastAsia="微軟正黑體" w:hAnsi="微軟正黑體" w:cs="Times New Roman"/>
                <w:bCs/>
                <w:kern w:val="0"/>
                <w:sz w:val="22"/>
                <w:szCs w:val="22"/>
              </w:rPr>
            </w:pPr>
            <w:r w:rsidRPr="0054374C">
              <w:rPr>
                <w:rFonts w:ascii="微軟正黑體" w:eastAsia="微軟正黑體" w:hAnsi="微軟正黑體" w:cs="Times New Roman" w:hint="eastAsia"/>
                <w:bCs/>
                <w:kern w:val="0"/>
                <w:sz w:val="22"/>
                <w:szCs w:val="22"/>
              </w:rPr>
              <w:t>1月1日起，老年農民福利津貼參照消費者物價指數(CPI)成長率調整為每月新臺幣7,550元。</w:t>
            </w:r>
          </w:p>
        </w:tc>
      </w:tr>
      <w:tr w:rsidR="00CD11CF" w:rsidRPr="0054374C" w:rsidTr="00CD11CF">
        <w:trPr>
          <w:trHeight w:val="417"/>
        </w:trPr>
        <w:tc>
          <w:tcPr>
            <w:tcW w:w="0" w:type="auto"/>
            <w:vMerge/>
            <w:tcBorders>
              <w:left w:val="single" w:sz="4" w:space="0" w:color="auto"/>
              <w:bottom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widowControl/>
              <w:spacing w:line="360" w:lineRule="exact"/>
              <w:rPr>
                <w:rFonts w:ascii="微軟正黑體" w:eastAsia="微軟正黑體" w:hAnsi="微軟正黑體" w:cs="Times New Roman"/>
                <w:bCs/>
                <w:kern w:val="0"/>
                <w:sz w:val="22"/>
                <w:szCs w:val="22"/>
              </w:rPr>
            </w:pPr>
            <w:r w:rsidRPr="0054374C">
              <w:rPr>
                <w:rFonts w:ascii="微軟正黑體" w:eastAsia="微軟正黑體" w:hAnsi="微軟正黑體" w:cs="Times New Roman" w:hint="eastAsia"/>
                <w:bCs/>
                <w:kern w:val="0"/>
                <w:sz w:val="22"/>
                <w:szCs w:val="22"/>
              </w:rPr>
              <w:t>1月1日起，中低收入戶老人生活津貼參照消費者物價指數(CPI)成長率調整，未達最低生活費2.5倍者，調整為每月新臺幣7,759元，最低生活費1.5倍以下者，調整為每月新臺幣3,879元。</w:t>
            </w:r>
          </w:p>
        </w:tc>
      </w:tr>
      <w:tr w:rsidR="00CD11CF" w:rsidRPr="0054374C" w:rsidTr="00CD11CF">
        <w:trPr>
          <w:trHeight w:val="417"/>
        </w:trPr>
        <w:tc>
          <w:tcPr>
            <w:tcW w:w="0" w:type="auto"/>
            <w:vMerge/>
            <w:tcBorders>
              <w:left w:val="single" w:sz="4" w:space="0" w:color="auto"/>
              <w:bottom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Times New Roman"/>
                <w:bCs/>
                <w:kern w:val="0"/>
                <w:sz w:val="22"/>
                <w:szCs w:val="22"/>
              </w:rPr>
            </w:pPr>
            <w:r w:rsidRPr="0054374C">
              <w:rPr>
                <w:rFonts w:ascii="微軟正黑體" w:eastAsia="微軟正黑體" w:hAnsi="微軟正黑體" w:cs="Times New Roman" w:hint="eastAsia"/>
                <w:bCs/>
                <w:kern w:val="0"/>
                <w:sz w:val="22"/>
                <w:szCs w:val="22"/>
              </w:rPr>
              <w:t>1月1日起，榮民就養給付參照消費者物價指數(CPI)成長率及政府財政情形調整為每月新臺幣14,558元。</w:t>
            </w:r>
          </w:p>
        </w:tc>
      </w:tr>
      <w:tr w:rsidR="00CD11CF" w:rsidRPr="0054374C" w:rsidTr="00CD11CF">
        <w:trPr>
          <w:trHeight w:val="417"/>
        </w:trPr>
        <w:tc>
          <w:tcPr>
            <w:tcW w:w="0" w:type="auto"/>
            <w:vMerge/>
            <w:tcBorders>
              <w:left w:val="single" w:sz="4" w:space="0" w:color="auto"/>
              <w:bottom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Times New Roman" w:hint="eastAsia"/>
                <w:bCs/>
                <w:kern w:val="0"/>
                <w:sz w:val="22"/>
                <w:szCs w:val="22"/>
              </w:rPr>
              <w:t>1月1日起，私校教職員退撫制度陸續啟動「人生週期預設選項」，讓未選擇投資標的之教職員，可藉由人生週期基金動態的資產配置及長期複利效果，提升退職所得；並開放新制施行後退休、資遣教職員可選擇留存或繳回退休金、資遣給與辦理分期請領及自主投資，以完善未來退休生活。</w:t>
            </w:r>
          </w:p>
        </w:tc>
      </w:tr>
      <w:tr w:rsidR="00CD11CF" w:rsidRPr="0054374C" w:rsidTr="00CD11CF">
        <w:trPr>
          <w:trHeight w:val="345"/>
        </w:trPr>
        <w:tc>
          <w:tcPr>
            <w:tcW w:w="0" w:type="auto"/>
            <w:tcBorders>
              <w:top w:val="single" w:sz="4" w:space="0" w:color="auto"/>
              <w:left w:val="single" w:sz="4" w:space="0" w:color="auto"/>
              <w:right w:val="single" w:sz="4" w:space="0" w:color="auto"/>
            </w:tcBorders>
            <w:vAlign w:val="center"/>
          </w:tcPr>
          <w:p w:rsidR="00CD11CF" w:rsidRPr="0054374C" w:rsidRDefault="00CD11CF" w:rsidP="00CD11CF">
            <w:pPr>
              <w:spacing w:line="360" w:lineRule="exact"/>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3月</w:t>
            </w: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spacing w:line="360" w:lineRule="exact"/>
              <w:jc w:val="both"/>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3月16日起，私校教職員退撫制度尚未選擇投資組合之教職員，其每月新增提撥儲金將自動配置於人生週期基金。</w:t>
            </w:r>
          </w:p>
        </w:tc>
      </w:tr>
      <w:tr w:rsidR="00CD11CF" w:rsidRPr="0054374C" w:rsidTr="00CD11CF">
        <w:trPr>
          <w:trHeight w:val="345"/>
        </w:trPr>
        <w:tc>
          <w:tcPr>
            <w:tcW w:w="0" w:type="auto"/>
            <w:vMerge w:val="restart"/>
            <w:tcBorders>
              <w:top w:val="single" w:sz="4" w:space="0" w:color="auto"/>
              <w:left w:val="single" w:sz="4" w:space="0" w:color="auto"/>
              <w:right w:val="single" w:sz="4" w:space="0" w:color="auto"/>
            </w:tcBorders>
            <w:vAlign w:val="center"/>
          </w:tcPr>
          <w:p w:rsidR="00CD11CF" w:rsidRPr="0054374C" w:rsidRDefault="00CD11CF" w:rsidP="00CD11CF">
            <w:pPr>
              <w:spacing w:line="360" w:lineRule="exact"/>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6月</w:t>
            </w: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spacing w:line="360" w:lineRule="exact"/>
              <w:jc w:val="both"/>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6月3日總統修正公布「國民年金法」，增訂符合社會救助法規定之中低收入戶為保險費補助對象，並比照所得未達1.5倍之保險費補助比率；有關第40條遺屬年金給付條件所設每月工作收入限制，參照勞工保險條例第63條規定，將月投保金額修正為基本工資，以符合目前社會現況及各社會保險內涵趨於一致。</w:t>
            </w:r>
          </w:p>
        </w:tc>
      </w:tr>
      <w:tr w:rsidR="00CD11CF" w:rsidRPr="0054374C" w:rsidTr="00CD11CF">
        <w:trPr>
          <w:trHeight w:val="345"/>
        </w:trPr>
        <w:tc>
          <w:tcPr>
            <w:tcW w:w="0" w:type="auto"/>
            <w:vMerge/>
            <w:tcBorders>
              <w:left w:val="single" w:sz="4" w:space="0" w:color="auto"/>
              <w:right w:val="single" w:sz="4" w:space="0" w:color="auto"/>
            </w:tcBorders>
            <w:vAlign w:val="center"/>
            <w:hideMark/>
          </w:tcPr>
          <w:p w:rsidR="00CD11CF" w:rsidRPr="0054374C" w:rsidRDefault="00CD11CF" w:rsidP="00CD11CF">
            <w:pPr>
              <w:spacing w:line="360" w:lineRule="exact"/>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spacing w:line="360" w:lineRule="exact"/>
              <w:jc w:val="both"/>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6月10日總統公布「農民退休儲金條例」，行政院定自110年1月1日施行。農民退休儲金由農民與政府共同提繳農退儲金，作為年滿65歲農民未來退休養老使用，並與老農津貼共同構成老年農民經濟安全保障之制度。未滿65歲且未領取相關社會保險老年給付之農保被保險人，依其意願按月提繳農退儲金，提繳金額為勞動部公告之勞工每月基本工資乘以提繳比率計算，其提繳比率則由農民在1%至10%範圍內自行決定，農民日後如有調整提繳比率的需要，可於每年5月或11月向農會提出申請。</w:t>
            </w:r>
          </w:p>
        </w:tc>
      </w:tr>
      <w:tr w:rsidR="00CD11CF" w:rsidRPr="0054374C" w:rsidTr="00CD11CF">
        <w:trPr>
          <w:trHeight w:val="410"/>
        </w:trPr>
        <w:tc>
          <w:tcPr>
            <w:tcW w:w="0" w:type="auto"/>
            <w:vMerge w:val="restart"/>
            <w:tcBorders>
              <w:top w:val="single" w:sz="4" w:space="0" w:color="auto"/>
              <w:left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7月</w:t>
            </w: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新細明體" w:hint="eastAsia"/>
                <w:kern w:val="0"/>
                <w:sz w:val="22"/>
                <w:szCs w:val="22"/>
              </w:rPr>
              <w:t>7月起，勞退新制開辦屆滿15年，依規定提繳年資滿15年者，得選擇請領月退休金或一次退休金</w:t>
            </w:r>
            <w:r w:rsidRPr="0054374C">
              <w:rPr>
                <w:rFonts w:ascii="微軟正黑體" w:eastAsia="微軟正黑體" w:hAnsi="微軟正黑體" w:cs="Times New Roman" w:hint="eastAsia"/>
                <w:sz w:val="22"/>
                <w:szCs w:val="22"/>
              </w:rPr>
              <w:t>。</w:t>
            </w:r>
          </w:p>
        </w:tc>
      </w:tr>
      <w:tr w:rsidR="00CD11CF" w:rsidRPr="0054374C" w:rsidTr="00CD11CF">
        <w:trPr>
          <w:trHeight w:val="410"/>
        </w:trPr>
        <w:tc>
          <w:tcPr>
            <w:tcW w:w="0" w:type="auto"/>
            <w:vMerge/>
            <w:tcBorders>
              <w:left w:val="single" w:sz="4" w:space="0" w:color="auto"/>
              <w:bottom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新細明體" w:hint="eastAsia"/>
                <w:kern w:val="0"/>
                <w:sz w:val="22"/>
                <w:szCs w:val="22"/>
              </w:rPr>
              <w:t>7月16日起，</w:t>
            </w:r>
            <w:r w:rsidRPr="0054374C">
              <w:rPr>
                <w:rFonts w:ascii="微軟正黑體" w:eastAsia="微軟正黑體" w:hAnsi="微軟正黑體" w:cs="Times New Roman" w:hint="eastAsia"/>
                <w:bCs/>
                <w:kern w:val="0"/>
                <w:sz w:val="22"/>
                <w:szCs w:val="22"/>
              </w:rPr>
              <w:t>私校教職員退撫制度尚未選擇投資組合之教職員，其既有庫存部位(歷年累積提撥儲金)將採2年4次分批自動調整至「人生週期基金」，產生之損益將由教職員自行承擔。</w:t>
            </w:r>
          </w:p>
        </w:tc>
      </w:tr>
      <w:tr w:rsidR="00CD11CF" w:rsidRPr="0054374C" w:rsidTr="00CD11CF">
        <w:trPr>
          <w:trHeight w:val="345"/>
        </w:trPr>
        <w:tc>
          <w:tcPr>
            <w:tcW w:w="0" w:type="auto"/>
            <w:tcBorders>
              <w:top w:val="single" w:sz="4" w:space="0" w:color="auto"/>
              <w:left w:val="single" w:sz="4" w:space="0" w:color="auto"/>
              <w:right w:val="single" w:sz="4" w:space="0" w:color="auto"/>
            </w:tcBorders>
            <w:vAlign w:val="center"/>
          </w:tcPr>
          <w:p w:rsidR="00CD11CF" w:rsidRPr="0054374C" w:rsidRDefault="00CD11CF" w:rsidP="00CD11CF">
            <w:pPr>
              <w:spacing w:line="360" w:lineRule="exact"/>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8月</w:t>
            </w: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spacing w:line="360" w:lineRule="exact"/>
              <w:jc w:val="both"/>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8月28日考試院會同行政院公告，軍公教人員退休撫卹基金提撥費率，由現行</w:t>
            </w:r>
            <w:r w:rsidRPr="0054374C">
              <w:rPr>
                <w:rFonts w:ascii="微軟正黑體" w:eastAsia="微軟正黑體" w:hAnsi="微軟正黑體" w:cs="Times New Roman" w:hint="eastAsia"/>
                <w:sz w:val="22"/>
                <w:szCs w:val="22"/>
              </w:rPr>
              <w:lastRenderedPageBreak/>
              <w:t>12%，自110年1月1日起每年調升1%，至112年為15%。</w:t>
            </w:r>
          </w:p>
        </w:tc>
      </w:tr>
      <w:tr w:rsidR="00CD11CF" w:rsidRPr="0054374C" w:rsidTr="00CD11CF">
        <w:trPr>
          <w:trHeight w:val="345"/>
        </w:trPr>
        <w:tc>
          <w:tcPr>
            <w:tcW w:w="0" w:type="auto"/>
            <w:vMerge w:val="restart"/>
            <w:tcBorders>
              <w:top w:val="single" w:sz="4" w:space="0" w:color="auto"/>
              <w:left w:val="single" w:sz="4" w:space="0" w:color="auto"/>
              <w:right w:val="single" w:sz="4" w:space="0" w:color="auto"/>
            </w:tcBorders>
            <w:vAlign w:val="center"/>
          </w:tcPr>
          <w:p w:rsidR="00CD11CF" w:rsidRPr="0054374C" w:rsidRDefault="00CD11CF" w:rsidP="00CD11CF">
            <w:pPr>
              <w:spacing w:line="360" w:lineRule="exact"/>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lastRenderedPageBreak/>
              <w:t>11月</w:t>
            </w: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spacing w:line="360" w:lineRule="exact"/>
              <w:jc w:val="both"/>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11月12日行政院農業委員會修正發布「從事農業工作農民申請參加農民健康保險認定標準及資格審查辦法」，增訂農民依民法第850條之1規定，以完成農育權設定之農地參加農保之資格條件，以保障其加保權益。</w:t>
            </w:r>
          </w:p>
        </w:tc>
      </w:tr>
      <w:tr w:rsidR="00CD11CF" w:rsidRPr="0054374C" w:rsidTr="00CD11CF">
        <w:trPr>
          <w:trHeight w:val="410"/>
        </w:trPr>
        <w:tc>
          <w:tcPr>
            <w:tcW w:w="0" w:type="auto"/>
            <w:vMerge/>
            <w:tcBorders>
              <w:left w:val="single" w:sz="4" w:space="0" w:color="auto"/>
              <w:right w:val="single" w:sz="4" w:space="0" w:color="auto"/>
            </w:tcBorders>
            <w:vAlign w:val="center"/>
          </w:tcPr>
          <w:p w:rsidR="00CD11CF" w:rsidRPr="0054374C" w:rsidRDefault="00CD11CF" w:rsidP="00CD11CF">
            <w:pPr>
              <w:widowControl/>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D11CF" w:rsidRPr="0054374C" w:rsidRDefault="00CD11CF" w:rsidP="00CD11CF">
            <w:pPr>
              <w:widowControl/>
              <w:spacing w:line="360" w:lineRule="exact"/>
              <w:jc w:val="both"/>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11月20日因應110年基本工資調整為24,000元，修正發布「勞工保險投保薪資分級表」及「勞工退休金月提繳分級表」，並自110年1月1日起施行。</w:t>
            </w:r>
          </w:p>
        </w:tc>
      </w:tr>
      <w:tr w:rsidR="00CD11CF" w:rsidRPr="0054374C" w:rsidTr="00CD11CF">
        <w:trPr>
          <w:trHeight w:val="772"/>
        </w:trPr>
        <w:tc>
          <w:tcPr>
            <w:tcW w:w="1101" w:type="dxa"/>
            <w:tcBorders>
              <w:top w:val="single" w:sz="4" w:space="0" w:color="auto"/>
              <w:left w:val="single" w:sz="4" w:space="0" w:color="auto"/>
              <w:right w:val="single" w:sz="4" w:space="0" w:color="auto"/>
            </w:tcBorders>
            <w:vAlign w:val="center"/>
          </w:tcPr>
          <w:p w:rsidR="00CD11CF" w:rsidRPr="0054374C" w:rsidRDefault="00CD11CF" w:rsidP="00CD11CF">
            <w:pPr>
              <w:spacing w:line="360" w:lineRule="exact"/>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12月</w:t>
            </w:r>
          </w:p>
        </w:tc>
        <w:tc>
          <w:tcPr>
            <w:tcW w:w="8079" w:type="dxa"/>
            <w:tcBorders>
              <w:top w:val="single" w:sz="4" w:space="0" w:color="auto"/>
              <w:left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新細明體" w:hint="eastAsia"/>
                <w:kern w:val="0"/>
                <w:sz w:val="22"/>
                <w:szCs w:val="22"/>
              </w:rPr>
              <w:t>12月10日行政院農業委員會發布「農民退休儲金條例施行細則」，</w:t>
            </w:r>
            <w:r w:rsidRPr="0054374C">
              <w:rPr>
                <w:rFonts w:ascii="微軟正黑體" w:eastAsia="微軟正黑體" w:hAnsi="微軟正黑體" w:cs="Times New Roman" w:hint="eastAsia"/>
                <w:sz w:val="22"/>
                <w:szCs w:val="22"/>
              </w:rPr>
              <w:t>自110年1月1日施行，該施行細則係依據「農民退休儲金條例」第32條規定訂定之。</w:t>
            </w:r>
          </w:p>
        </w:tc>
      </w:tr>
    </w:tbl>
    <w:p w:rsidR="00CD11CF" w:rsidRPr="0054374C" w:rsidRDefault="00CD11CF" w:rsidP="00CD11CF">
      <w:pPr>
        <w:spacing w:beforeLines="100" w:before="360" w:line="400" w:lineRule="exact"/>
        <w:rPr>
          <w:rFonts w:ascii="微軟正黑體" w:eastAsia="微軟正黑體" w:hAnsi="微軟正黑體"/>
          <w:sz w:val="28"/>
          <w:szCs w:val="28"/>
        </w:rPr>
      </w:pPr>
      <w:r w:rsidRPr="0054374C">
        <w:rPr>
          <w:rFonts w:ascii="微軟正黑體" w:eastAsia="微軟正黑體" w:hAnsi="微軟正黑體" w:hint="eastAsia"/>
          <w:sz w:val="28"/>
          <w:szCs w:val="28"/>
        </w:rPr>
        <w:t>110年</w:t>
      </w:r>
    </w:p>
    <w:tbl>
      <w:tblPr>
        <w:tblStyle w:val="a5"/>
        <w:tblW w:w="0" w:type="auto"/>
        <w:tblLook w:val="04A0" w:firstRow="1" w:lastRow="0" w:firstColumn="1" w:lastColumn="0" w:noHBand="0" w:noVBand="1"/>
      </w:tblPr>
      <w:tblGrid>
        <w:gridCol w:w="1101"/>
        <w:gridCol w:w="8079"/>
      </w:tblGrid>
      <w:tr w:rsidR="00CD11CF" w:rsidTr="00CD11CF">
        <w:trPr>
          <w:tblHeader/>
        </w:trPr>
        <w:tc>
          <w:tcPr>
            <w:tcW w:w="1101" w:type="dxa"/>
            <w:tcBorders>
              <w:top w:val="single" w:sz="4" w:space="0" w:color="auto"/>
              <w:left w:val="single" w:sz="4" w:space="0" w:color="auto"/>
              <w:bottom w:val="single" w:sz="4" w:space="0" w:color="auto"/>
              <w:right w:val="single" w:sz="4" w:space="0" w:color="auto"/>
            </w:tcBorders>
            <w:vAlign w:val="center"/>
            <w:hideMark/>
          </w:tcPr>
          <w:p w:rsidR="00CD11CF" w:rsidRDefault="00CD11CF" w:rsidP="00CD11CF">
            <w:pPr>
              <w:spacing w:line="360" w:lineRule="exact"/>
              <w:jc w:val="center"/>
              <w:rPr>
                <w:rFonts w:ascii="微軟正黑體" w:eastAsia="微軟正黑體" w:hAnsi="微軟正黑體" w:cs="Times New Roman"/>
                <w:sz w:val="22"/>
                <w:szCs w:val="22"/>
              </w:rPr>
            </w:pPr>
            <w:r>
              <w:rPr>
                <w:rFonts w:ascii="微軟正黑體" w:eastAsia="微軟正黑體" w:hAnsi="微軟正黑體" w:cs="Times New Roman" w:hint="eastAsia"/>
                <w:sz w:val="22"/>
                <w:szCs w:val="22"/>
              </w:rPr>
              <w:t>月份</w:t>
            </w:r>
          </w:p>
        </w:tc>
        <w:tc>
          <w:tcPr>
            <w:tcW w:w="8079" w:type="dxa"/>
            <w:tcBorders>
              <w:top w:val="single" w:sz="4" w:space="0" w:color="auto"/>
              <w:left w:val="single" w:sz="4" w:space="0" w:color="auto"/>
              <w:bottom w:val="single" w:sz="4" w:space="0" w:color="auto"/>
              <w:right w:val="single" w:sz="4" w:space="0" w:color="auto"/>
            </w:tcBorders>
            <w:hideMark/>
          </w:tcPr>
          <w:p w:rsidR="00CD11CF" w:rsidRDefault="00CD11CF" w:rsidP="00CD11CF">
            <w:pPr>
              <w:spacing w:line="360" w:lineRule="exact"/>
              <w:jc w:val="center"/>
              <w:rPr>
                <w:rFonts w:ascii="微軟正黑體" w:eastAsia="微軟正黑體" w:hAnsi="微軟正黑體" w:cs="Times New Roman"/>
                <w:sz w:val="22"/>
                <w:szCs w:val="22"/>
              </w:rPr>
            </w:pPr>
            <w:r>
              <w:rPr>
                <w:rFonts w:ascii="微軟正黑體" w:eastAsia="微軟正黑體" w:hAnsi="微軟正黑體" w:cs="Times New Roman" w:hint="eastAsia"/>
                <w:sz w:val="22"/>
                <w:szCs w:val="22"/>
              </w:rPr>
              <w:t>事    件</w:t>
            </w:r>
          </w:p>
        </w:tc>
      </w:tr>
      <w:tr w:rsidR="00CD11CF" w:rsidRPr="0054374C" w:rsidTr="00CD11CF">
        <w:trPr>
          <w:trHeight w:val="747"/>
        </w:trPr>
        <w:tc>
          <w:tcPr>
            <w:tcW w:w="0" w:type="auto"/>
            <w:vMerge w:val="restart"/>
            <w:tcBorders>
              <w:top w:val="single" w:sz="4" w:space="0" w:color="auto"/>
              <w:left w:val="single" w:sz="4" w:space="0" w:color="auto"/>
              <w:right w:val="single" w:sz="4" w:space="0" w:color="auto"/>
            </w:tcBorders>
            <w:vAlign w:val="center"/>
          </w:tcPr>
          <w:p w:rsidR="00CD11CF" w:rsidRPr="0054374C" w:rsidRDefault="00CD11CF" w:rsidP="00CD11CF">
            <w:pPr>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1月</w:t>
            </w: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新細明體" w:hint="eastAsia"/>
                <w:kern w:val="0"/>
                <w:sz w:val="22"/>
                <w:szCs w:val="22"/>
              </w:rPr>
              <w:t>1月1日起，勞保普通事故保險費率調高0.5%，按被保險人月投保薪資10.5%計算(不含就業保險費率1%)。</w:t>
            </w:r>
          </w:p>
        </w:tc>
      </w:tr>
      <w:tr w:rsidR="00CD11CF" w:rsidRPr="0054374C" w:rsidTr="00CD11CF">
        <w:trPr>
          <w:trHeight w:val="747"/>
        </w:trPr>
        <w:tc>
          <w:tcPr>
            <w:tcW w:w="0" w:type="auto"/>
            <w:vMerge/>
            <w:tcBorders>
              <w:left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新細明體" w:hint="eastAsia"/>
                <w:kern w:val="0"/>
                <w:sz w:val="22"/>
                <w:szCs w:val="22"/>
              </w:rPr>
              <w:t>1月1日起，因應基本工資調整為24,000元，「勞工保險投保薪資分級表」、「勞工退休金月提繳工資分級表」及｢全民健康保險投保金額分級表」配合修正，自1月1日起實施。</w:t>
            </w:r>
          </w:p>
        </w:tc>
      </w:tr>
      <w:tr w:rsidR="00CD11CF" w:rsidRPr="0054374C" w:rsidTr="00CD11CF">
        <w:trPr>
          <w:trHeight w:val="417"/>
        </w:trPr>
        <w:tc>
          <w:tcPr>
            <w:tcW w:w="0" w:type="auto"/>
            <w:vMerge/>
            <w:tcBorders>
              <w:left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新細明體" w:hint="eastAsia"/>
                <w:kern w:val="0"/>
                <w:sz w:val="22"/>
                <w:szCs w:val="22"/>
              </w:rPr>
              <w:t>1月1日起，公務人員退休撫卹基金提撥費率調整為13%，每年調升1%，至112年調整為15%。</w:t>
            </w:r>
          </w:p>
        </w:tc>
      </w:tr>
      <w:tr w:rsidR="00CD11CF" w:rsidRPr="0054374C" w:rsidTr="00CD11CF">
        <w:trPr>
          <w:trHeight w:val="417"/>
        </w:trPr>
        <w:tc>
          <w:tcPr>
            <w:tcW w:w="0" w:type="auto"/>
            <w:vMerge/>
            <w:tcBorders>
              <w:left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新細明體" w:hint="eastAsia"/>
                <w:kern w:val="0"/>
                <w:sz w:val="22"/>
                <w:szCs w:val="22"/>
              </w:rPr>
              <w:t>1月1日起，國民年金保險費率自9%調整為9.5%。</w:t>
            </w:r>
          </w:p>
        </w:tc>
      </w:tr>
      <w:tr w:rsidR="00CD11CF" w:rsidRPr="0054374C" w:rsidTr="00CD11CF">
        <w:trPr>
          <w:trHeight w:val="417"/>
        </w:trPr>
        <w:tc>
          <w:tcPr>
            <w:tcW w:w="0" w:type="auto"/>
            <w:vMerge/>
            <w:tcBorders>
              <w:left w:val="single" w:sz="4" w:space="0" w:color="auto"/>
              <w:bottom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新細明體" w:hint="eastAsia"/>
                <w:kern w:val="0"/>
                <w:sz w:val="22"/>
                <w:szCs w:val="22"/>
              </w:rPr>
              <w:t>1月1日起，全民健康保險一般保險費費率由4.69%調升至5.17%，補充保險費費率依法連動調整至2.11%。</w:t>
            </w:r>
          </w:p>
        </w:tc>
      </w:tr>
      <w:tr w:rsidR="00CD11CF" w:rsidRPr="0054374C" w:rsidTr="00CD11CF">
        <w:trPr>
          <w:trHeight w:val="417"/>
        </w:trPr>
        <w:tc>
          <w:tcPr>
            <w:tcW w:w="0" w:type="auto"/>
            <w:vMerge/>
            <w:tcBorders>
              <w:left w:val="single" w:sz="4" w:space="0" w:color="auto"/>
              <w:bottom w:val="single" w:sz="4" w:space="0" w:color="auto"/>
              <w:right w:val="single" w:sz="4" w:space="0" w:color="auto"/>
            </w:tcBorders>
            <w:vAlign w:val="center"/>
          </w:tcPr>
          <w:p w:rsidR="00CD11CF" w:rsidRPr="0054374C" w:rsidRDefault="00CD11CF" w:rsidP="00CD11CF">
            <w:pPr>
              <w:widowControl/>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widowControl/>
              <w:spacing w:line="360" w:lineRule="exact"/>
              <w:jc w:val="both"/>
              <w:rPr>
                <w:rFonts w:ascii="微軟正黑體" w:eastAsia="微軟正黑體" w:hAnsi="微軟正黑體" w:cs="新細明體"/>
                <w:kern w:val="0"/>
                <w:sz w:val="22"/>
                <w:szCs w:val="22"/>
              </w:rPr>
            </w:pPr>
            <w:r w:rsidRPr="0054374C">
              <w:rPr>
                <w:rFonts w:ascii="微軟正黑體" w:eastAsia="微軟正黑體" w:hAnsi="微軟正黑體" w:cs="Times New Roman" w:hint="eastAsia"/>
                <w:sz w:val="22"/>
                <w:szCs w:val="22"/>
              </w:rPr>
              <w:t>1月1日起，開辦農民退休儲金，施行「農民退休儲金條例」及</w:t>
            </w:r>
            <w:r w:rsidRPr="0054374C">
              <w:rPr>
                <w:rFonts w:ascii="微軟正黑體" w:eastAsia="微軟正黑體" w:hAnsi="微軟正黑體" w:cs="新細明體" w:hint="eastAsia"/>
                <w:kern w:val="0"/>
                <w:sz w:val="22"/>
                <w:szCs w:val="22"/>
              </w:rPr>
              <w:t>「農民退休儲金條例施行細則」。</w:t>
            </w:r>
          </w:p>
        </w:tc>
      </w:tr>
      <w:tr w:rsidR="00CD11CF" w:rsidRPr="0054374C" w:rsidTr="00CD11CF">
        <w:trPr>
          <w:trHeight w:val="345"/>
        </w:trPr>
        <w:tc>
          <w:tcPr>
            <w:tcW w:w="0" w:type="auto"/>
            <w:vMerge w:val="restart"/>
            <w:tcBorders>
              <w:top w:val="single" w:sz="4" w:space="0" w:color="auto"/>
              <w:left w:val="single" w:sz="4" w:space="0" w:color="auto"/>
              <w:right w:val="single" w:sz="4" w:space="0" w:color="auto"/>
            </w:tcBorders>
            <w:vAlign w:val="center"/>
          </w:tcPr>
          <w:p w:rsidR="00CD11CF" w:rsidRPr="0054374C" w:rsidRDefault="00CD11CF" w:rsidP="00CD11CF">
            <w:pPr>
              <w:spacing w:line="360" w:lineRule="exact"/>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4月</w:t>
            </w: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spacing w:line="360" w:lineRule="exact"/>
              <w:jc w:val="both"/>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4月28日修正公布「勞工保險條例」第29條條文，考量禁止扣押專戶之保障不應只限於年金給付，本條例所定老年給付一次金及其餘勞保給付，亦具有社會照顧性質，參照就業保險法第22條規定，修正本條例所定保險給付均得開立專戶存入，專戶內之存款並不得作為抵銷、扣押、供擔保或強制執行之標的，以保護弱勢勞工或受益人之基本經濟安全。</w:t>
            </w:r>
          </w:p>
        </w:tc>
      </w:tr>
      <w:tr w:rsidR="00CD11CF" w:rsidRPr="0054374C" w:rsidTr="00CD11CF">
        <w:trPr>
          <w:trHeight w:val="345"/>
        </w:trPr>
        <w:tc>
          <w:tcPr>
            <w:tcW w:w="0" w:type="auto"/>
            <w:vMerge/>
            <w:tcBorders>
              <w:left w:val="single" w:sz="4" w:space="0" w:color="auto"/>
              <w:right w:val="single" w:sz="4" w:space="0" w:color="auto"/>
            </w:tcBorders>
            <w:vAlign w:val="center"/>
          </w:tcPr>
          <w:p w:rsidR="00CD11CF" w:rsidRPr="0054374C" w:rsidRDefault="00CD11CF" w:rsidP="00CD11CF">
            <w:pPr>
              <w:spacing w:line="360" w:lineRule="exact"/>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spacing w:line="360" w:lineRule="exact"/>
              <w:jc w:val="both"/>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4月30日總統公布「勞工職業災害保險及保護法」。鑒於勞工保險普通事故保險與職業災害保險之保障目的不同，將現行職業災害保險規定自勞工保險條例抽離，單獨立法，除擴大納保範圍(新增4人以下事業單位、家事移工等強制納保)、提高投保薪資(自下限基本工資至上限72,800元)、提升各項給付保障(如失能年金依失能程度給付，不再依年資給付)外，並整合職業災害勞工保護法之規定。此外，因不同保險事故，同時請領職災保險及其他社會保險年金給付時，職災保險得考量給付金額、種類、其他生活保障因素者，予以減額調整(上限為50%)。施行日期依行政院110年7月19日令，自111年5月1日</w:t>
            </w:r>
            <w:r>
              <w:rPr>
                <w:rFonts w:ascii="微軟正黑體" w:eastAsia="微軟正黑體" w:hAnsi="微軟正黑體" w:cs="Times New Roman" w:hint="eastAsia"/>
                <w:sz w:val="22"/>
                <w:szCs w:val="22"/>
              </w:rPr>
              <w:t>起</w:t>
            </w:r>
            <w:r w:rsidRPr="0054374C">
              <w:rPr>
                <w:rFonts w:ascii="微軟正黑體" w:eastAsia="微軟正黑體" w:hAnsi="微軟正黑體" w:cs="Times New Roman" w:hint="eastAsia"/>
                <w:sz w:val="22"/>
                <w:szCs w:val="22"/>
              </w:rPr>
              <w:t>施行。</w:t>
            </w:r>
          </w:p>
        </w:tc>
      </w:tr>
      <w:tr w:rsidR="00CD11CF" w:rsidRPr="0054374C" w:rsidTr="00CD11CF">
        <w:trPr>
          <w:trHeight w:val="345"/>
        </w:trPr>
        <w:tc>
          <w:tcPr>
            <w:tcW w:w="0" w:type="auto"/>
            <w:tcBorders>
              <w:top w:val="single" w:sz="4" w:space="0" w:color="auto"/>
              <w:left w:val="single" w:sz="4" w:space="0" w:color="auto"/>
              <w:right w:val="single" w:sz="4" w:space="0" w:color="auto"/>
            </w:tcBorders>
            <w:vAlign w:val="center"/>
          </w:tcPr>
          <w:p w:rsidR="00CD11CF" w:rsidRPr="0054374C" w:rsidRDefault="00CD11CF" w:rsidP="00CD11CF">
            <w:pPr>
              <w:spacing w:line="360" w:lineRule="exact"/>
              <w:jc w:val="center"/>
              <w:rPr>
                <w:rFonts w:ascii="微軟正黑體" w:eastAsia="微軟正黑體" w:hAnsi="微軟正黑體" w:cs="Times New Roman"/>
                <w:sz w:val="22"/>
                <w:szCs w:val="22"/>
              </w:rPr>
            </w:pPr>
            <w:r>
              <w:rPr>
                <w:rFonts w:ascii="微軟正黑體" w:eastAsia="微軟正黑體" w:hAnsi="微軟正黑體" w:cs="Times New Roman" w:hint="eastAsia"/>
                <w:sz w:val="22"/>
                <w:szCs w:val="22"/>
              </w:rPr>
              <w:t>10月</w:t>
            </w:r>
          </w:p>
        </w:tc>
        <w:tc>
          <w:tcPr>
            <w:tcW w:w="8079" w:type="dxa"/>
            <w:tcBorders>
              <w:top w:val="single" w:sz="4" w:space="0" w:color="auto"/>
              <w:left w:val="single" w:sz="4" w:space="0" w:color="auto"/>
              <w:bottom w:val="single" w:sz="4" w:space="0" w:color="auto"/>
              <w:right w:val="single" w:sz="4" w:space="0" w:color="auto"/>
            </w:tcBorders>
          </w:tcPr>
          <w:p w:rsidR="00CD11CF" w:rsidRPr="0028308D" w:rsidRDefault="00CD11CF" w:rsidP="00CD11CF">
            <w:pPr>
              <w:spacing w:line="360" w:lineRule="exact"/>
              <w:jc w:val="both"/>
              <w:rPr>
                <w:rFonts w:ascii="微軟正黑體" w:eastAsia="微軟正黑體" w:hAnsi="微軟正黑體" w:cs="Times New Roman"/>
                <w:sz w:val="22"/>
                <w:szCs w:val="22"/>
              </w:rPr>
            </w:pPr>
            <w:r w:rsidRPr="0028308D">
              <w:rPr>
                <w:rFonts w:ascii="微軟正黑體" w:eastAsia="微軟正黑體" w:hAnsi="微軟正黑體" w:cs="Times New Roman" w:hint="eastAsia"/>
                <w:sz w:val="22"/>
                <w:szCs w:val="22"/>
              </w:rPr>
              <w:t>10月28日</w:t>
            </w:r>
            <w:r w:rsidRPr="0028308D">
              <w:rPr>
                <w:rFonts w:ascii="微軟正黑體" w:eastAsia="微軟正黑體" w:hAnsi="微軟正黑體" w:hint="eastAsia"/>
                <w:bCs/>
                <w:sz w:val="22"/>
                <w:szCs w:val="22"/>
              </w:rPr>
              <w:t>考試院會同行政院</w:t>
            </w:r>
            <w:r w:rsidRPr="0028308D">
              <w:rPr>
                <w:rFonts w:ascii="微軟正黑體" w:eastAsia="微軟正黑體" w:hAnsi="微軟正黑體"/>
                <w:bCs/>
                <w:sz w:val="22"/>
                <w:szCs w:val="22"/>
              </w:rPr>
              <w:t>重行釐定，自111年1月1日起，</w:t>
            </w:r>
            <w:r w:rsidRPr="0028308D">
              <w:rPr>
                <w:rFonts w:ascii="微軟正黑體" w:eastAsia="微軟正黑體" w:hAnsi="微軟正黑體" w:hint="eastAsia"/>
                <w:bCs/>
                <w:sz w:val="22"/>
                <w:szCs w:val="22"/>
              </w:rPr>
              <w:t>公教人員保險適用年金制度者之費率</w:t>
            </w:r>
            <w:r w:rsidRPr="0028308D">
              <w:rPr>
                <w:rFonts w:ascii="微軟正黑體" w:eastAsia="微軟正黑體" w:hAnsi="微軟正黑體"/>
                <w:bCs/>
                <w:sz w:val="22"/>
                <w:szCs w:val="22"/>
              </w:rPr>
              <w:t>自12.53%調降為10.16%</w:t>
            </w:r>
            <w:r w:rsidRPr="0028308D">
              <w:rPr>
                <w:rFonts w:ascii="微軟正黑體" w:eastAsia="微軟正黑體" w:hAnsi="微軟正黑體" w:hint="eastAsia"/>
                <w:bCs/>
                <w:sz w:val="22"/>
                <w:szCs w:val="22"/>
              </w:rPr>
              <w:t>；不適用年金制度者之費率自</w:t>
            </w:r>
            <w:r w:rsidRPr="0028308D">
              <w:rPr>
                <w:rFonts w:ascii="微軟正黑體" w:eastAsia="微軟正黑體" w:hAnsi="微軟正黑體"/>
                <w:bCs/>
                <w:sz w:val="22"/>
                <w:szCs w:val="22"/>
              </w:rPr>
              <w:t>8.28%</w:t>
            </w:r>
            <w:r w:rsidRPr="0028308D">
              <w:rPr>
                <w:rFonts w:ascii="微軟正黑體" w:eastAsia="微軟正黑體" w:hAnsi="微軟正黑體"/>
                <w:bCs/>
                <w:sz w:val="22"/>
                <w:szCs w:val="22"/>
              </w:rPr>
              <w:lastRenderedPageBreak/>
              <w:t>調降為7.83%。</w:t>
            </w:r>
          </w:p>
        </w:tc>
      </w:tr>
      <w:tr w:rsidR="00CD11CF" w:rsidRPr="0054374C" w:rsidTr="00CD11CF">
        <w:trPr>
          <w:trHeight w:val="345"/>
        </w:trPr>
        <w:tc>
          <w:tcPr>
            <w:tcW w:w="0" w:type="auto"/>
            <w:tcBorders>
              <w:top w:val="single" w:sz="4" w:space="0" w:color="auto"/>
              <w:left w:val="single" w:sz="4" w:space="0" w:color="auto"/>
              <w:bottom w:val="single" w:sz="4" w:space="0" w:color="auto"/>
              <w:right w:val="single" w:sz="4" w:space="0" w:color="auto"/>
            </w:tcBorders>
            <w:vAlign w:val="center"/>
          </w:tcPr>
          <w:p w:rsidR="00CD11CF" w:rsidRPr="0054374C" w:rsidRDefault="00CD11CF" w:rsidP="00CD11CF">
            <w:pPr>
              <w:spacing w:line="360" w:lineRule="exact"/>
              <w:jc w:val="center"/>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lastRenderedPageBreak/>
              <w:t>11月</w:t>
            </w:r>
          </w:p>
        </w:tc>
        <w:tc>
          <w:tcPr>
            <w:tcW w:w="8079" w:type="dxa"/>
            <w:tcBorders>
              <w:top w:val="single" w:sz="4" w:space="0" w:color="auto"/>
              <w:left w:val="single" w:sz="4" w:space="0" w:color="auto"/>
              <w:bottom w:val="single" w:sz="4" w:space="0" w:color="auto"/>
              <w:right w:val="single" w:sz="4" w:space="0" w:color="auto"/>
            </w:tcBorders>
          </w:tcPr>
          <w:p w:rsidR="00CD11CF" w:rsidRPr="0054374C" w:rsidRDefault="00CD11CF" w:rsidP="00CD11CF">
            <w:pPr>
              <w:spacing w:line="360" w:lineRule="exact"/>
              <w:jc w:val="both"/>
              <w:rPr>
                <w:rFonts w:ascii="微軟正黑體" w:eastAsia="微軟正黑體" w:hAnsi="微軟正黑體" w:cs="Times New Roman"/>
                <w:sz w:val="22"/>
                <w:szCs w:val="22"/>
              </w:rPr>
            </w:pPr>
            <w:r w:rsidRPr="0054374C">
              <w:rPr>
                <w:rFonts w:ascii="微軟正黑體" w:eastAsia="微軟正黑體" w:hAnsi="微軟正黑體" w:cs="Times New Roman" w:hint="eastAsia"/>
                <w:sz w:val="22"/>
                <w:szCs w:val="22"/>
              </w:rPr>
              <w:t>11月</w:t>
            </w:r>
            <w:r w:rsidRPr="002305EE">
              <w:rPr>
                <w:rFonts w:ascii="微軟正黑體" w:eastAsia="微軟正黑體" w:hAnsi="微軟正黑體" w:cs="Times New Roman" w:hint="eastAsia"/>
                <w:sz w:val="22"/>
                <w:szCs w:val="22"/>
              </w:rPr>
              <w:t>24日</w:t>
            </w:r>
            <w:r w:rsidRPr="0054374C">
              <w:rPr>
                <w:rFonts w:ascii="微軟正黑體" w:eastAsia="微軟正黑體" w:hAnsi="微軟正黑體" w:cs="Times New Roman" w:hint="eastAsia"/>
                <w:sz w:val="22"/>
                <w:szCs w:val="22"/>
              </w:rPr>
              <w:t>因應111年基本工資調整為2</w:t>
            </w:r>
            <w:r>
              <w:rPr>
                <w:rFonts w:ascii="微軟正黑體" w:eastAsia="微軟正黑體" w:hAnsi="微軟正黑體" w:cs="Times New Roman" w:hint="eastAsia"/>
                <w:sz w:val="22"/>
                <w:szCs w:val="22"/>
              </w:rPr>
              <w:t>5</w:t>
            </w:r>
            <w:r w:rsidRPr="0054374C">
              <w:rPr>
                <w:rFonts w:ascii="微軟正黑體" w:eastAsia="微軟正黑體" w:hAnsi="微軟正黑體" w:cs="Times New Roman" w:hint="eastAsia"/>
                <w:sz w:val="22"/>
                <w:szCs w:val="22"/>
              </w:rPr>
              <w:t>,</w:t>
            </w:r>
            <w:r>
              <w:rPr>
                <w:rFonts w:ascii="微軟正黑體" w:eastAsia="微軟正黑體" w:hAnsi="微軟正黑體" w:cs="Times New Roman" w:hint="eastAsia"/>
                <w:sz w:val="22"/>
                <w:szCs w:val="22"/>
              </w:rPr>
              <w:t>25</w:t>
            </w:r>
            <w:r w:rsidRPr="0054374C">
              <w:rPr>
                <w:rFonts w:ascii="微軟正黑體" w:eastAsia="微軟正黑體" w:hAnsi="微軟正黑體" w:cs="Times New Roman" w:hint="eastAsia"/>
                <w:sz w:val="22"/>
                <w:szCs w:val="22"/>
              </w:rPr>
              <w:t>0元，修正發布「勞工保險投保薪資分級表」及「勞工退休金月提繳分級表」，並自111年1月1日起施行。</w:t>
            </w:r>
          </w:p>
        </w:tc>
      </w:tr>
      <w:tr w:rsidR="0004578D" w:rsidRPr="00076CB5" w:rsidTr="00CD11CF">
        <w:trPr>
          <w:trHeight w:val="3270"/>
        </w:trPr>
        <w:tc>
          <w:tcPr>
            <w:tcW w:w="0" w:type="auto"/>
            <w:vMerge w:val="restart"/>
            <w:tcBorders>
              <w:top w:val="single" w:sz="4" w:space="0" w:color="auto"/>
              <w:left w:val="single" w:sz="4" w:space="0" w:color="auto"/>
              <w:right w:val="single" w:sz="4" w:space="0" w:color="auto"/>
            </w:tcBorders>
            <w:vAlign w:val="center"/>
          </w:tcPr>
          <w:p w:rsidR="0004578D" w:rsidRPr="00F77168" w:rsidRDefault="0004578D" w:rsidP="00CD11CF">
            <w:pPr>
              <w:spacing w:line="360" w:lineRule="exact"/>
              <w:jc w:val="center"/>
              <w:rPr>
                <w:rFonts w:ascii="微軟正黑體" w:eastAsia="微軟正黑體" w:hAnsi="微軟正黑體" w:cs="Times New Roman"/>
                <w:sz w:val="22"/>
                <w:szCs w:val="22"/>
              </w:rPr>
            </w:pPr>
            <w:r w:rsidRPr="00F77168">
              <w:rPr>
                <w:rFonts w:ascii="微軟正黑體" w:eastAsia="微軟正黑體" w:hAnsi="微軟正黑體" w:cs="Times New Roman" w:hint="eastAsia"/>
                <w:sz w:val="22"/>
                <w:szCs w:val="22"/>
              </w:rPr>
              <w:t>12月</w:t>
            </w:r>
          </w:p>
        </w:tc>
        <w:tc>
          <w:tcPr>
            <w:tcW w:w="8079" w:type="dxa"/>
            <w:tcBorders>
              <w:top w:val="single" w:sz="4" w:space="0" w:color="auto"/>
              <w:left w:val="single" w:sz="4" w:space="0" w:color="auto"/>
              <w:bottom w:val="single" w:sz="4" w:space="0" w:color="auto"/>
              <w:right w:val="single" w:sz="4" w:space="0" w:color="auto"/>
            </w:tcBorders>
          </w:tcPr>
          <w:p w:rsidR="0004578D" w:rsidRPr="00F77168" w:rsidRDefault="0004578D" w:rsidP="00CD11CF">
            <w:pPr>
              <w:spacing w:line="360" w:lineRule="exact"/>
              <w:jc w:val="both"/>
              <w:rPr>
                <w:rFonts w:ascii="微軟正黑體" w:eastAsia="微軟正黑體" w:hAnsi="微軟正黑體" w:cs="Times New Roman"/>
                <w:sz w:val="22"/>
                <w:szCs w:val="22"/>
              </w:rPr>
            </w:pPr>
            <w:r w:rsidRPr="00F77168">
              <w:rPr>
                <w:rFonts w:ascii="微軟正黑體" w:eastAsia="微軟正黑體" w:hAnsi="微軟正黑體" w:cs="Times New Roman"/>
                <w:sz w:val="22"/>
                <w:szCs w:val="22"/>
              </w:rPr>
              <w:t>12月7日</w:t>
            </w:r>
            <w:r w:rsidRPr="00F77168">
              <w:rPr>
                <w:rFonts w:ascii="微軟正黑體" w:eastAsia="微軟正黑體" w:hAnsi="微軟正黑體"/>
                <w:sz w:val="22"/>
                <w:szCs w:val="22"/>
              </w:rPr>
              <w:t>立法院三讀通</w:t>
            </w:r>
            <w:r w:rsidRPr="00623646">
              <w:rPr>
                <w:rFonts w:ascii="微軟正黑體" w:eastAsia="微軟正黑體" w:hAnsi="微軟正黑體"/>
                <w:sz w:val="22"/>
                <w:szCs w:val="22"/>
              </w:rPr>
              <w:t>過修正「農民健康保險條例</w:t>
            </w:r>
            <w:r w:rsidRPr="00623646">
              <w:rPr>
                <w:rFonts w:ascii="微軟正黑體" w:eastAsia="微軟正黑體" w:hAnsi="微軟正黑體" w:hint="eastAsia"/>
                <w:sz w:val="22"/>
                <w:szCs w:val="22"/>
              </w:rPr>
              <w:t>」部分條文，增訂第5條之1放寬50歲以下、且未領取陸海空軍軍官士官服役條例第23條第1項第2款退休俸或退伍金之退伍軍人，於實際從農時得以參加農保，鼓勵該等人員盡早投入農業生產；修正第7條被保險人之自有農地被徵收或徵收前已與需地機構協議價購，致土地面積不符合加保規定，得續保一定期間，但年滿65歲且加保年資累計達15年者，不受續保一定期間之限制，避免老年農民因其農地被徵收或協議價購，影響其參加農保之資格；修正第24條刪除生育給付有關投保天數之限制，被保險人參加農保期間，本人或其配偶有分娩或早產者，得請</w:t>
            </w:r>
            <w:r w:rsidRPr="00F77168">
              <w:rPr>
                <w:rFonts w:ascii="微軟正黑體" w:eastAsia="微軟正黑體" w:hAnsi="微軟正黑體" w:hint="eastAsia"/>
                <w:sz w:val="22"/>
                <w:szCs w:val="22"/>
              </w:rPr>
              <w:t>領生育給付，避免因職域轉換導致影響請領生育給付之權益</w:t>
            </w:r>
            <w:r>
              <w:rPr>
                <w:rFonts w:ascii="微軟正黑體" w:eastAsia="微軟正黑體" w:hAnsi="微軟正黑體" w:hint="eastAsia"/>
                <w:sz w:val="22"/>
                <w:szCs w:val="22"/>
              </w:rPr>
              <w:t>等</w:t>
            </w:r>
            <w:r w:rsidRPr="00F77168">
              <w:rPr>
                <w:rFonts w:ascii="微軟正黑體" w:eastAsia="微軟正黑體" w:hAnsi="微軟正黑體" w:hint="eastAsia"/>
                <w:sz w:val="22"/>
                <w:szCs w:val="22"/>
              </w:rPr>
              <w:t>。</w:t>
            </w:r>
          </w:p>
        </w:tc>
      </w:tr>
      <w:tr w:rsidR="0004578D" w:rsidRPr="00076CB5" w:rsidTr="00CD11CF">
        <w:trPr>
          <w:trHeight w:val="315"/>
        </w:trPr>
        <w:tc>
          <w:tcPr>
            <w:tcW w:w="0" w:type="auto"/>
            <w:vMerge/>
            <w:tcBorders>
              <w:left w:val="single" w:sz="4" w:space="0" w:color="auto"/>
              <w:right w:val="single" w:sz="4" w:space="0" w:color="auto"/>
            </w:tcBorders>
            <w:vAlign w:val="center"/>
          </w:tcPr>
          <w:p w:rsidR="0004578D" w:rsidRPr="00F77168" w:rsidRDefault="0004578D" w:rsidP="00CD11CF">
            <w:pPr>
              <w:spacing w:line="360" w:lineRule="exact"/>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tcPr>
          <w:p w:rsidR="0004578D" w:rsidRPr="00F77168" w:rsidRDefault="0004578D" w:rsidP="00CD11CF">
            <w:pPr>
              <w:spacing w:line="360" w:lineRule="exact"/>
              <w:jc w:val="both"/>
              <w:rPr>
                <w:rFonts w:ascii="微軟正黑體" w:eastAsia="微軟正黑體" w:hAnsi="微軟正黑體" w:cs="Times New Roman"/>
                <w:sz w:val="22"/>
                <w:szCs w:val="22"/>
              </w:rPr>
            </w:pPr>
            <w:r w:rsidRPr="00F77168">
              <w:rPr>
                <w:rFonts w:ascii="微軟正黑體" w:eastAsia="微軟正黑體" w:hAnsi="微軟正黑體" w:cs="Times New Roman"/>
                <w:sz w:val="22"/>
                <w:szCs w:val="22"/>
              </w:rPr>
              <w:t>12月7日</w:t>
            </w:r>
            <w:r w:rsidRPr="00F77168">
              <w:rPr>
                <w:rFonts w:ascii="微軟正黑體" w:eastAsia="微軟正黑體" w:hAnsi="微軟正黑體"/>
                <w:sz w:val="22"/>
                <w:szCs w:val="22"/>
              </w:rPr>
              <w:t>立法院三讀通過修正</w:t>
            </w:r>
            <w:r>
              <w:rPr>
                <w:rFonts w:ascii="微軟正黑體" w:eastAsia="微軟正黑體" w:hAnsi="微軟正黑體" w:hint="eastAsia"/>
                <w:sz w:val="22"/>
                <w:szCs w:val="22"/>
              </w:rPr>
              <w:t>「農民退休儲金條例」</w:t>
            </w:r>
            <w:r w:rsidRPr="00F77168">
              <w:rPr>
                <w:rFonts w:ascii="微軟正黑體" w:eastAsia="微軟正黑體" w:hAnsi="微軟正黑體" w:hint="eastAsia"/>
                <w:sz w:val="22"/>
                <w:szCs w:val="22"/>
              </w:rPr>
              <w:t>，配合</w:t>
            </w:r>
            <w:r w:rsidRPr="00F77168">
              <w:rPr>
                <w:rFonts w:ascii="微軟正黑體" w:eastAsia="微軟正黑體" w:hAnsi="微軟正黑體"/>
                <w:sz w:val="22"/>
                <w:szCs w:val="22"/>
              </w:rPr>
              <w:t>「農民健康保險條例</w:t>
            </w:r>
            <w:r w:rsidRPr="00F77168">
              <w:rPr>
                <w:rFonts w:ascii="微軟正黑體" w:eastAsia="微軟正黑體" w:hAnsi="微軟正黑體" w:hint="eastAsia"/>
                <w:sz w:val="22"/>
                <w:szCs w:val="22"/>
              </w:rPr>
              <w:t>」部分條文修正草案</w:t>
            </w:r>
            <w:r w:rsidRPr="00380D91">
              <w:rPr>
                <w:rFonts w:ascii="微軟正黑體" w:eastAsia="微軟正黑體" w:hAnsi="微軟正黑體" w:hint="eastAsia"/>
                <w:sz w:val="22"/>
                <w:szCs w:val="22"/>
              </w:rPr>
              <w:t>增訂第5條之1</w:t>
            </w:r>
            <w:r w:rsidRPr="00CD715A">
              <w:rPr>
                <w:rFonts w:ascii="微軟正黑體" w:eastAsia="微軟正黑體" w:hAnsi="微軟正黑體" w:hint="eastAsia"/>
                <w:sz w:val="22"/>
                <w:szCs w:val="22"/>
              </w:rPr>
              <w:t>規定</w:t>
            </w:r>
            <w:r w:rsidRPr="00380D91">
              <w:rPr>
                <w:rFonts w:ascii="微軟正黑體" w:eastAsia="微軟正黑體" w:hAnsi="微軟正黑體" w:hint="eastAsia"/>
                <w:sz w:val="22"/>
                <w:szCs w:val="22"/>
              </w:rPr>
              <w:t>，放寬50歲以下符合資格之退伍軍人加保，為保障該等對象之退休生活，於農退條例增訂第3條之1，始符合該規定參加農保者亦得提繳農民退休儲金</w:t>
            </w:r>
            <w:r w:rsidRPr="00F77168">
              <w:rPr>
                <w:rFonts w:ascii="微軟正黑體" w:eastAsia="微軟正黑體" w:hAnsi="微軟正黑體" w:hint="eastAsia"/>
                <w:sz w:val="22"/>
                <w:szCs w:val="22"/>
              </w:rPr>
              <w:t>。</w:t>
            </w:r>
          </w:p>
        </w:tc>
      </w:tr>
      <w:tr w:rsidR="0004578D" w:rsidRPr="00076CB5" w:rsidTr="00CD11CF">
        <w:trPr>
          <w:trHeight w:val="315"/>
        </w:trPr>
        <w:tc>
          <w:tcPr>
            <w:tcW w:w="0" w:type="auto"/>
            <w:vMerge/>
            <w:tcBorders>
              <w:left w:val="single" w:sz="4" w:space="0" w:color="auto"/>
              <w:right w:val="single" w:sz="4" w:space="0" w:color="auto"/>
            </w:tcBorders>
            <w:vAlign w:val="center"/>
          </w:tcPr>
          <w:p w:rsidR="0004578D" w:rsidRPr="00F77168" w:rsidRDefault="0004578D" w:rsidP="00CD11CF">
            <w:pPr>
              <w:spacing w:line="360" w:lineRule="exact"/>
              <w:jc w:val="center"/>
              <w:rPr>
                <w:rFonts w:ascii="微軟正黑體" w:eastAsia="微軟正黑體" w:hAnsi="微軟正黑體" w:cs="Times New Roman"/>
                <w:sz w:val="22"/>
                <w:szCs w:val="22"/>
              </w:rPr>
            </w:pPr>
          </w:p>
        </w:tc>
        <w:tc>
          <w:tcPr>
            <w:tcW w:w="8079" w:type="dxa"/>
            <w:tcBorders>
              <w:top w:val="single" w:sz="4" w:space="0" w:color="auto"/>
              <w:left w:val="single" w:sz="4" w:space="0" w:color="auto"/>
              <w:bottom w:val="single" w:sz="4" w:space="0" w:color="auto"/>
              <w:right w:val="single" w:sz="4" w:space="0" w:color="auto"/>
            </w:tcBorders>
          </w:tcPr>
          <w:p w:rsidR="0004578D" w:rsidRPr="008824CC" w:rsidRDefault="0004578D" w:rsidP="0004578D">
            <w:pPr>
              <w:spacing w:line="360" w:lineRule="exact"/>
              <w:jc w:val="both"/>
              <w:rPr>
                <w:rFonts w:ascii="微軟正黑體" w:eastAsia="微軟正黑體" w:hAnsi="微軟正黑體" w:cs="Times New Roman"/>
                <w:sz w:val="22"/>
                <w:szCs w:val="22"/>
              </w:rPr>
            </w:pPr>
            <w:r w:rsidRPr="008824CC">
              <w:rPr>
                <w:rFonts w:ascii="微軟正黑體" w:eastAsia="微軟正黑體" w:hAnsi="微軟正黑體" w:cs="Times New Roman" w:hint="eastAsia"/>
                <w:sz w:val="22"/>
                <w:szCs w:val="22"/>
              </w:rPr>
              <w:t>12月28日立法院三讀通過「陸海空軍軍官士官服役條例」、「公務人員退休資遣撫卹法」、「公立學校教職員退休資遣撫卹條例」、「政務人員退職撫卹條例」等修正案，修正重點如下</w:t>
            </w:r>
            <w:r>
              <w:rPr>
                <w:rFonts w:ascii="微軟正黑體" w:eastAsia="微軟正黑體" w:hAnsi="微軟正黑體" w:cs="Times New Roman" w:hint="eastAsia"/>
                <w:sz w:val="22"/>
                <w:szCs w:val="22"/>
              </w:rPr>
              <w:t>：</w:t>
            </w:r>
          </w:p>
          <w:p w:rsidR="0004578D" w:rsidRPr="008824CC" w:rsidRDefault="0004578D" w:rsidP="0004578D">
            <w:pPr>
              <w:pStyle w:val="af0"/>
              <w:numPr>
                <w:ilvl w:val="0"/>
                <w:numId w:val="69"/>
              </w:numPr>
              <w:spacing w:line="360" w:lineRule="exact"/>
              <w:ind w:leftChars="0"/>
              <w:jc w:val="both"/>
              <w:rPr>
                <w:rFonts w:ascii="微軟正黑體" w:eastAsia="微軟正黑體" w:hAnsi="微軟正黑體"/>
                <w:sz w:val="22"/>
                <w:szCs w:val="22"/>
              </w:rPr>
            </w:pPr>
            <w:r w:rsidRPr="008824CC">
              <w:rPr>
                <w:rFonts w:ascii="微軟正黑體" w:eastAsia="微軟正黑體" w:hAnsi="微軟正黑體" w:hint="eastAsia"/>
                <w:sz w:val="22"/>
                <w:szCs w:val="22"/>
              </w:rPr>
              <w:t>明定軍公教及政務人員依規定繳付的退撫基金費用，不計入繳付年度薪資收入課稅，新制回溯至110年1月1日施行，即111年度報稅時即可適用。</w:t>
            </w:r>
          </w:p>
          <w:p w:rsidR="0004578D" w:rsidRDefault="0004578D" w:rsidP="0004578D">
            <w:pPr>
              <w:pStyle w:val="af0"/>
              <w:numPr>
                <w:ilvl w:val="0"/>
                <w:numId w:val="69"/>
              </w:numPr>
              <w:spacing w:line="360" w:lineRule="exact"/>
              <w:ind w:leftChars="0"/>
              <w:jc w:val="both"/>
              <w:rPr>
                <w:rFonts w:ascii="微軟正黑體" w:eastAsia="微軟正黑體" w:hAnsi="微軟正黑體" w:hint="eastAsia"/>
                <w:sz w:val="22"/>
                <w:szCs w:val="22"/>
              </w:rPr>
            </w:pPr>
            <w:r w:rsidRPr="008824CC">
              <w:rPr>
                <w:rFonts w:ascii="微軟正黑體" w:eastAsia="微軟正黑體" w:hAnsi="微軟正黑體" w:hint="eastAsia"/>
                <w:sz w:val="22"/>
                <w:szCs w:val="22"/>
              </w:rPr>
              <w:t>明定軍公教退撫給與之調整機制，於消費者物價指數變動累積成長率達正負5％時，應予以調整，且為避免消費者物價指數變動達正負5％以上需時甚久，同時規範「至少每4年啟動調整一次」的機制。</w:t>
            </w:r>
          </w:p>
          <w:p w:rsidR="0004578D" w:rsidRPr="0004578D" w:rsidRDefault="0004578D" w:rsidP="0004578D">
            <w:pPr>
              <w:pStyle w:val="af0"/>
              <w:numPr>
                <w:ilvl w:val="0"/>
                <w:numId w:val="69"/>
              </w:numPr>
              <w:spacing w:line="360" w:lineRule="exact"/>
              <w:ind w:leftChars="0"/>
              <w:jc w:val="both"/>
              <w:rPr>
                <w:rFonts w:ascii="微軟正黑體" w:eastAsia="微軟正黑體" w:hAnsi="微軟正黑體"/>
                <w:sz w:val="22"/>
                <w:szCs w:val="22"/>
              </w:rPr>
            </w:pPr>
            <w:bookmarkStart w:id="57" w:name="_GoBack"/>
            <w:bookmarkEnd w:id="57"/>
            <w:r w:rsidRPr="0004578D">
              <w:rPr>
                <w:rFonts w:ascii="微軟正黑體" w:eastAsia="微軟正黑體" w:hAnsi="微軟正黑體" w:hint="eastAsia"/>
                <w:sz w:val="22"/>
                <w:szCs w:val="22"/>
              </w:rPr>
              <w:t>退休軍公教再任私校專任教師而停領退休俸者，將發給退休俸。</w:t>
            </w:r>
          </w:p>
        </w:tc>
      </w:tr>
    </w:tbl>
    <w:p w:rsidR="00EF74FA" w:rsidRDefault="00EF74FA" w:rsidP="00E94AFA">
      <w:pPr>
        <w:jc w:val="both"/>
        <w:sectPr w:rsidR="00EF74FA" w:rsidSect="00F73412">
          <w:pgSz w:w="11906" w:h="16838"/>
          <w:pgMar w:top="1134" w:right="1418" w:bottom="1134" w:left="1418" w:header="340" w:footer="340" w:gutter="0"/>
          <w:cols w:space="425"/>
          <w:docGrid w:type="lines" w:linePitch="360"/>
        </w:sectPr>
      </w:pPr>
    </w:p>
    <w:p w:rsidR="00E94AFA" w:rsidRDefault="00E94AFA" w:rsidP="00E94AFA">
      <w:pPr>
        <w:jc w:val="both"/>
      </w:pPr>
    </w:p>
    <w:bookmarkEnd w:id="48"/>
    <w:p w:rsidR="00675E41" w:rsidRDefault="001F157F" w:rsidP="00E94AFA">
      <w:pPr>
        <w:snapToGrid w:val="0"/>
        <w:spacing w:line="400" w:lineRule="exact"/>
        <w:ind w:leftChars="590" w:left="1416" w:right="240"/>
        <w:rPr>
          <w:rFonts w:ascii="微軟正黑體" w:eastAsia="微軟正黑體" w:hAnsi="微軟正黑體"/>
        </w:rPr>
        <w:sectPr w:rsidR="00675E41" w:rsidSect="00F73412">
          <w:pgSz w:w="11906" w:h="16838"/>
          <w:pgMar w:top="1134" w:right="1418" w:bottom="1134" w:left="1418" w:header="340" w:footer="340" w:gutter="0"/>
          <w:cols w:space="425"/>
          <w:docGrid w:type="lines" w:linePitch="360"/>
        </w:sectPr>
      </w:pPr>
      <w:r>
        <w:rPr>
          <w:rFonts w:ascii="微軟正黑體" w:eastAsia="微軟正黑體" w:hAnsi="微軟正黑體"/>
          <w:b/>
          <w:noProof/>
          <w:sz w:val="36"/>
          <w:szCs w:val="36"/>
        </w:rPr>
        <mc:AlternateContent>
          <mc:Choice Requires="wps">
            <w:drawing>
              <wp:anchor distT="0" distB="0" distL="114300" distR="114300" simplePos="0" relativeHeight="252664832" behindDoc="0" locked="0" layoutInCell="1" allowOverlap="1" wp14:anchorId="4A6D6434" wp14:editId="61AA0D42">
                <wp:simplePos x="0" y="0"/>
                <wp:positionH relativeFrom="column">
                  <wp:posOffset>-33655</wp:posOffset>
                </wp:positionH>
                <wp:positionV relativeFrom="paragraph">
                  <wp:posOffset>9290685</wp:posOffset>
                </wp:positionV>
                <wp:extent cx="352425" cy="219075"/>
                <wp:effectExtent l="0" t="0" r="9525" b="9525"/>
                <wp:wrapNone/>
                <wp:docPr id="34" name="矩形 34"/>
                <wp:cNvGraphicFramePr/>
                <a:graphic xmlns:a="http://schemas.openxmlformats.org/drawingml/2006/main">
                  <a:graphicData uri="http://schemas.microsoft.com/office/word/2010/wordprocessingShape">
                    <wps:wsp>
                      <wps:cNvSpPr/>
                      <wps:spPr>
                        <a:xfrm>
                          <a:off x="0" y="0"/>
                          <a:ext cx="3524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4" o:spid="_x0000_s1026" style="position:absolute;margin-left:-2.65pt;margin-top:731.55pt;width:27.75pt;height:17.25pt;z-index:25266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" fillcolor="white [3212]" stroked="f" strokeweight="2pt"/>
            </w:pict>
          </mc:Fallback>
        </mc:AlternateContent>
      </w:r>
    </w:p>
    <w:p w:rsidR="00930A4C" w:rsidRPr="000B3DB8" w:rsidRDefault="00930A4C" w:rsidP="00FE6A35">
      <w:pPr>
        <w:spacing w:line="500" w:lineRule="exact"/>
        <w:jc w:val="center"/>
        <w:rPr>
          <w:rFonts w:eastAsia="微軟正黑體"/>
          <w:b/>
          <w:sz w:val="40"/>
          <w:szCs w:val="40"/>
        </w:rPr>
      </w:pPr>
      <w:bookmarkStart w:id="58" w:name="附錄二"/>
      <w:bookmarkStart w:id="59" w:name="附錄三"/>
      <w:r w:rsidRPr="000B3DB8">
        <w:rPr>
          <w:rFonts w:eastAsia="微軟正黑體"/>
          <w:b/>
          <w:sz w:val="40"/>
          <w:szCs w:val="40"/>
        </w:rPr>
        <w:lastRenderedPageBreak/>
        <w:t>國內制度簡表</w:t>
      </w:r>
      <w:bookmarkEnd w:id="58"/>
    </w:p>
    <w:p w:rsidR="00930A4C" w:rsidRPr="00F0717A" w:rsidRDefault="00930A4C" w:rsidP="00D10D9D">
      <w:pPr>
        <w:spacing w:line="360" w:lineRule="exact"/>
        <w:rPr>
          <w:rFonts w:eastAsia="微軟正黑體"/>
          <w:b/>
          <w:sz w:val="28"/>
          <w:szCs w:val="28"/>
        </w:rPr>
      </w:pPr>
      <w:r w:rsidRPr="00F0717A">
        <w:rPr>
          <w:rFonts w:eastAsia="微軟正黑體"/>
          <w:b/>
          <w:sz w:val="28"/>
          <w:szCs w:val="28"/>
        </w:rPr>
        <w:t>一、社會保險暨職業退休金制度</w:t>
      </w:r>
    </w:p>
    <w:tbl>
      <w:tblPr>
        <w:tblW w:w="22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1291"/>
        <w:gridCol w:w="714"/>
        <w:gridCol w:w="2633"/>
        <w:gridCol w:w="2693"/>
        <w:gridCol w:w="3828"/>
        <w:gridCol w:w="2326"/>
        <w:gridCol w:w="2351"/>
        <w:gridCol w:w="3261"/>
        <w:gridCol w:w="1984"/>
        <w:gridCol w:w="992"/>
      </w:tblGrid>
      <w:tr w:rsidR="00D10D9D" w:rsidRPr="000802DA" w:rsidTr="008C24C0">
        <w:trPr>
          <w:tblHeader/>
        </w:trPr>
        <w:tc>
          <w:tcPr>
            <w:tcW w:w="715" w:type="dxa"/>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身份</w:t>
            </w:r>
          </w:p>
        </w:tc>
        <w:tc>
          <w:tcPr>
            <w:tcW w:w="2005" w:type="dxa"/>
            <w:gridSpan w:val="2"/>
          </w:tcPr>
          <w:p w:rsidR="00D10D9D" w:rsidRPr="000802DA" w:rsidRDefault="00D10D9D" w:rsidP="00574CCA">
            <w:pPr>
              <w:widowControl/>
              <w:spacing w:line="240" w:lineRule="exact"/>
              <w:rPr>
                <w:rFonts w:ascii="微軟正黑體" w:eastAsia="微軟正黑體" w:hAnsi="微軟正黑體"/>
                <w:sz w:val="20"/>
                <w:szCs w:val="20"/>
              </w:rPr>
            </w:pPr>
          </w:p>
        </w:tc>
        <w:tc>
          <w:tcPr>
            <w:tcW w:w="5326" w:type="dxa"/>
            <w:gridSpan w:val="2"/>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b/>
                <w:bCs/>
                <w:sz w:val="20"/>
                <w:szCs w:val="20"/>
              </w:rPr>
              <w:t>勞工</w:t>
            </w:r>
          </w:p>
        </w:tc>
        <w:tc>
          <w:tcPr>
            <w:tcW w:w="3828" w:type="dxa"/>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b/>
                <w:bCs/>
                <w:sz w:val="20"/>
                <w:szCs w:val="20"/>
              </w:rPr>
              <w:t>軍職人員</w:t>
            </w:r>
          </w:p>
        </w:tc>
        <w:tc>
          <w:tcPr>
            <w:tcW w:w="4677" w:type="dxa"/>
            <w:gridSpan w:val="2"/>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b/>
                <w:bCs/>
                <w:sz w:val="20"/>
                <w:szCs w:val="20"/>
              </w:rPr>
              <w:t>公教人員</w:t>
            </w:r>
          </w:p>
        </w:tc>
        <w:tc>
          <w:tcPr>
            <w:tcW w:w="3261" w:type="dxa"/>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b/>
                <w:bCs/>
                <w:sz w:val="20"/>
                <w:szCs w:val="20"/>
              </w:rPr>
              <w:t>農民</w:t>
            </w:r>
          </w:p>
        </w:tc>
        <w:tc>
          <w:tcPr>
            <w:tcW w:w="2976" w:type="dxa"/>
            <w:gridSpan w:val="2"/>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hint="eastAsia"/>
                <w:b/>
                <w:bCs/>
                <w:sz w:val="20"/>
                <w:szCs w:val="20"/>
              </w:rPr>
              <w:t>未就業</w:t>
            </w:r>
            <w:r w:rsidRPr="000802DA">
              <w:rPr>
                <w:rFonts w:ascii="微軟正黑體" w:eastAsia="微軟正黑體" w:hAnsi="微軟正黑體"/>
                <w:b/>
                <w:bCs/>
                <w:sz w:val="20"/>
                <w:szCs w:val="20"/>
              </w:rPr>
              <w:t>國民</w:t>
            </w:r>
          </w:p>
        </w:tc>
      </w:tr>
      <w:tr w:rsidR="00D10D9D" w:rsidRPr="000802DA" w:rsidTr="00574CCA">
        <w:tc>
          <w:tcPr>
            <w:tcW w:w="715" w:type="dxa"/>
            <w:vMerge w:val="restart"/>
          </w:tcPr>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spacing w:line="240" w:lineRule="exact"/>
              <w:rPr>
                <w:rFonts w:ascii="微軟正黑體" w:eastAsia="微軟正黑體" w:hAnsi="微軟正黑體"/>
                <w:b/>
                <w:sz w:val="20"/>
                <w:szCs w:val="20"/>
              </w:rPr>
            </w:pPr>
          </w:p>
          <w:p w:rsidR="00D10D9D" w:rsidRPr="000802DA" w:rsidRDefault="00D10D9D" w:rsidP="00574CCA">
            <w:pPr>
              <w:widowControl/>
              <w:rPr>
                <w:rFonts w:ascii="微軟正黑體" w:eastAsia="微軟正黑體" w:hAnsi="微軟正黑體"/>
                <w:b/>
                <w:sz w:val="20"/>
                <w:szCs w:val="20"/>
              </w:rPr>
            </w:pPr>
          </w:p>
          <w:p w:rsidR="00D10D9D" w:rsidRPr="000802DA" w:rsidRDefault="00D10D9D" w:rsidP="00574CCA">
            <w:pPr>
              <w:widowControl/>
              <w:rPr>
                <w:rFonts w:ascii="微軟正黑體" w:eastAsia="微軟正黑體" w:hAnsi="微軟正黑體"/>
                <w:b/>
                <w:sz w:val="20"/>
                <w:szCs w:val="20"/>
              </w:rPr>
            </w:pPr>
          </w:p>
          <w:p w:rsidR="00D10D9D" w:rsidRPr="000802DA" w:rsidRDefault="00D10D9D" w:rsidP="00574CCA">
            <w:pPr>
              <w:widowControl/>
              <w:jc w:val="center"/>
              <w:rPr>
                <w:rFonts w:ascii="微軟正黑體" w:eastAsia="微軟正黑體" w:hAnsi="微軟正黑體"/>
                <w:b/>
                <w:sz w:val="20"/>
                <w:szCs w:val="20"/>
              </w:rPr>
            </w:pPr>
            <w:r w:rsidRPr="000802DA">
              <w:rPr>
                <w:rFonts w:ascii="微軟正黑體" w:eastAsia="微軟正黑體" w:hAnsi="微軟正黑體"/>
                <w:b/>
                <w:sz w:val="20"/>
                <w:szCs w:val="20"/>
              </w:rPr>
              <w:t>第</w:t>
            </w:r>
          </w:p>
          <w:p w:rsidR="00D10D9D" w:rsidRPr="000802DA" w:rsidRDefault="00D10D9D" w:rsidP="00574CCA">
            <w:pPr>
              <w:widowControl/>
              <w:jc w:val="center"/>
              <w:rPr>
                <w:rFonts w:ascii="微軟正黑體" w:eastAsia="微軟正黑體" w:hAnsi="微軟正黑體"/>
                <w:b/>
                <w:sz w:val="20"/>
                <w:szCs w:val="20"/>
              </w:rPr>
            </w:pPr>
            <w:r w:rsidRPr="000802DA">
              <w:rPr>
                <w:rFonts w:ascii="微軟正黑體" w:eastAsia="微軟正黑體" w:hAnsi="微軟正黑體"/>
                <w:b/>
                <w:sz w:val="20"/>
                <w:szCs w:val="20"/>
              </w:rPr>
              <w:t>一</w:t>
            </w:r>
          </w:p>
          <w:p w:rsidR="00D10D9D" w:rsidRPr="000802DA" w:rsidRDefault="00D10D9D" w:rsidP="00574CCA">
            <w:pPr>
              <w:widowControl/>
              <w:jc w:val="center"/>
              <w:rPr>
                <w:rFonts w:ascii="微軟正黑體" w:eastAsia="微軟正黑體" w:hAnsi="微軟正黑體"/>
                <w:b/>
                <w:sz w:val="20"/>
                <w:szCs w:val="20"/>
              </w:rPr>
            </w:pPr>
            <w:r w:rsidRPr="000802DA">
              <w:rPr>
                <w:rFonts w:ascii="微軟正黑體" w:eastAsia="微軟正黑體" w:hAnsi="微軟正黑體"/>
                <w:b/>
                <w:sz w:val="20"/>
                <w:szCs w:val="20"/>
              </w:rPr>
              <w:t>層</w:t>
            </w:r>
          </w:p>
          <w:p w:rsidR="00D10D9D" w:rsidRPr="000802DA" w:rsidRDefault="00D10D9D" w:rsidP="00574CCA">
            <w:pPr>
              <w:widowControl/>
              <w:jc w:val="center"/>
              <w:rPr>
                <w:rFonts w:ascii="微軟正黑體" w:eastAsia="微軟正黑體" w:hAnsi="微軟正黑體"/>
                <w:b/>
                <w:sz w:val="20"/>
                <w:szCs w:val="20"/>
              </w:rPr>
            </w:pPr>
          </w:p>
          <w:p w:rsidR="00D10D9D" w:rsidRPr="000802DA" w:rsidRDefault="00D10D9D" w:rsidP="00574CCA">
            <w:pPr>
              <w:widowControl/>
              <w:jc w:val="center"/>
              <w:rPr>
                <w:rFonts w:ascii="微軟正黑體" w:eastAsia="微軟正黑體" w:hAnsi="微軟正黑體"/>
                <w:b/>
                <w:sz w:val="20"/>
                <w:szCs w:val="20"/>
              </w:rPr>
            </w:pPr>
            <w:r w:rsidRPr="000802DA">
              <w:rPr>
                <w:rFonts w:ascii="微軟正黑體" w:eastAsia="微軟正黑體" w:hAnsi="微軟正黑體"/>
                <w:b/>
                <w:sz w:val="20"/>
                <w:szCs w:val="20"/>
              </w:rPr>
              <w:t>社</w:t>
            </w:r>
          </w:p>
          <w:p w:rsidR="00D10D9D" w:rsidRPr="000802DA" w:rsidRDefault="00D10D9D" w:rsidP="00574CCA">
            <w:pPr>
              <w:widowControl/>
              <w:jc w:val="center"/>
              <w:rPr>
                <w:rFonts w:ascii="微軟正黑體" w:eastAsia="微軟正黑體" w:hAnsi="微軟正黑體"/>
                <w:b/>
                <w:sz w:val="20"/>
                <w:szCs w:val="20"/>
              </w:rPr>
            </w:pPr>
            <w:r w:rsidRPr="000802DA">
              <w:rPr>
                <w:rFonts w:ascii="微軟正黑體" w:eastAsia="微軟正黑體" w:hAnsi="微軟正黑體"/>
                <w:b/>
                <w:sz w:val="20"/>
                <w:szCs w:val="20"/>
              </w:rPr>
              <w:t>會</w:t>
            </w:r>
          </w:p>
          <w:p w:rsidR="00D10D9D" w:rsidRPr="000802DA" w:rsidRDefault="00D10D9D" w:rsidP="00574CCA">
            <w:pPr>
              <w:widowControl/>
              <w:jc w:val="center"/>
              <w:rPr>
                <w:rFonts w:ascii="微軟正黑體" w:eastAsia="微軟正黑體" w:hAnsi="微軟正黑體"/>
                <w:b/>
                <w:sz w:val="20"/>
                <w:szCs w:val="20"/>
              </w:rPr>
            </w:pPr>
            <w:r w:rsidRPr="000802DA">
              <w:rPr>
                <w:rFonts w:ascii="微軟正黑體" w:eastAsia="微軟正黑體" w:hAnsi="微軟正黑體"/>
                <w:b/>
                <w:sz w:val="20"/>
                <w:szCs w:val="20"/>
              </w:rPr>
              <w:t>保</w:t>
            </w:r>
          </w:p>
          <w:p w:rsidR="00D10D9D" w:rsidRPr="000802DA" w:rsidRDefault="00D10D9D" w:rsidP="00574CCA">
            <w:pPr>
              <w:widowControl/>
              <w:jc w:val="center"/>
              <w:rPr>
                <w:rFonts w:ascii="微軟正黑體" w:eastAsia="微軟正黑體" w:hAnsi="微軟正黑體"/>
                <w:b/>
                <w:sz w:val="20"/>
                <w:szCs w:val="20"/>
              </w:rPr>
            </w:pPr>
            <w:r w:rsidRPr="000802DA">
              <w:rPr>
                <w:rFonts w:ascii="微軟正黑體" w:eastAsia="微軟正黑體" w:hAnsi="微軟正黑體"/>
                <w:b/>
                <w:sz w:val="20"/>
                <w:szCs w:val="20"/>
              </w:rPr>
              <w:t>險</w:t>
            </w:r>
          </w:p>
          <w:p w:rsidR="00D10D9D" w:rsidRPr="000802DA" w:rsidRDefault="00D10D9D" w:rsidP="00574CCA">
            <w:pPr>
              <w:widowControl/>
              <w:spacing w:line="240" w:lineRule="exact"/>
              <w:rPr>
                <w:rFonts w:ascii="微軟正黑體" w:eastAsia="微軟正黑體" w:hAnsi="微軟正黑體"/>
                <w:b/>
                <w:sz w:val="20"/>
                <w:szCs w:val="20"/>
              </w:rPr>
            </w:pPr>
          </w:p>
        </w:tc>
        <w:tc>
          <w:tcPr>
            <w:tcW w:w="2005" w:type="dxa"/>
            <w:gridSpan w:val="2"/>
            <w:shd w:val="clear" w:color="auto" w:fill="BFBFBF"/>
            <w:vAlign w:val="center"/>
          </w:tcPr>
          <w:p w:rsidR="00D10D9D" w:rsidRPr="000802DA" w:rsidRDefault="00D10D9D" w:rsidP="00574CCA">
            <w:pPr>
              <w:widowControl/>
              <w:spacing w:line="240" w:lineRule="exact"/>
              <w:jc w:val="center"/>
              <w:rPr>
                <w:rFonts w:ascii="微軟正黑體" w:eastAsia="微軟正黑體" w:hAnsi="微軟正黑體"/>
                <w:b/>
                <w:sz w:val="20"/>
                <w:szCs w:val="20"/>
              </w:rPr>
            </w:pPr>
            <w:r w:rsidRPr="000802DA">
              <w:rPr>
                <w:rFonts w:ascii="微軟正黑體" w:eastAsia="微軟正黑體" w:hAnsi="微軟正黑體"/>
                <w:b/>
                <w:sz w:val="20"/>
                <w:szCs w:val="20"/>
              </w:rPr>
              <w:t>第一層</w:t>
            </w:r>
          </w:p>
          <w:p w:rsidR="00D10D9D" w:rsidRPr="000802DA" w:rsidRDefault="00D10D9D" w:rsidP="00574CCA">
            <w:pPr>
              <w:widowControl/>
              <w:spacing w:line="240" w:lineRule="exact"/>
              <w:jc w:val="center"/>
              <w:rPr>
                <w:rFonts w:ascii="微軟正黑體" w:eastAsia="微軟正黑體" w:hAnsi="微軟正黑體"/>
                <w:b/>
                <w:sz w:val="20"/>
                <w:szCs w:val="20"/>
              </w:rPr>
            </w:pPr>
            <w:r w:rsidRPr="000802DA">
              <w:rPr>
                <w:rFonts w:ascii="微軟正黑體" w:eastAsia="微軟正黑體" w:hAnsi="微軟正黑體" w:hint="eastAsia"/>
                <w:b/>
                <w:sz w:val="20"/>
                <w:szCs w:val="20"/>
              </w:rPr>
              <w:t>(</w:t>
            </w:r>
            <w:r w:rsidRPr="000802DA">
              <w:rPr>
                <w:rFonts w:ascii="微軟正黑體" w:eastAsia="微軟正黑體" w:hAnsi="微軟正黑體"/>
                <w:b/>
                <w:sz w:val="20"/>
                <w:szCs w:val="20"/>
              </w:rPr>
              <w:t>社會保險</w:t>
            </w:r>
            <w:r w:rsidRPr="000802DA">
              <w:rPr>
                <w:rFonts w:ascii="微軟正黑體" w:eastAsia="微軟正黑體" w:hAnsi="微軟正黑體" w:hint="eastAsia"/>
                <w:b/>
                <w:sz w:val="20"/>
                <w:szCs w:val="20"/>
              </w:rPr>
              <w:t>)</w:t>
            </w:r>
          </w:p>
        </w:tc>
        <w:tc>
          <w:tcPr>
            <w:tcW w:w="5326" w:type="dxa"/>
            <w:gridSpan w:val="2"/>
            <w:shd w:val="clear" w:color="auto" w:fill="BFBFBF"/>
            <w:vAlign w:val="center"/>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b/>
                <w:bCs/>
                <w:sz w:val="20"/>
                <w:szCs w:val="20"/>
              </w:rPr>
              <w:t>勞工保險</w:t>
            </w:r>
          </w:p>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hint="eastAsia"/>
                <w:b/>
                <w:bCs/>
                <w:sz w:val="20"/>
                <w:szCs w:val="20"/>
              </w:rPr>
              <w:t>(普通事故保險)</w:t>
            </w:r>
          </w:p>
        </w:tc>
        <w:tc>
          <w:tcPr>
            <w:tcW w:w="3828" w:type="dxa"/>
            <w:shd w:val="clear" w:color="auto" w:fill="BFBFBF"/>
            <w:vAlign w:val="center"/>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b/>
                <w:bCs/>
                <w:sz w:val="20"/>
                <w:szCs w:val="20"/>
              </w:rPr>
              <w:t>軍人保險</w:t>
            </w:r>
          </w:p>
        </w:tc>
        <w:tc>
          <w:tcPr>
            <w:tcW w:w="4677" w:type="dxa"/>
            <w:gridSpan w:val="2"/>
            <w:shd w:val="clear" w:color="auto" w:fill="BFBFBF"/>
            <w:vAlign w:val="center"/>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b/>
                <w:bCs/>
                <w:sz w:val="20"/>
                <w:szCs w:val="20"/>
              </w:rPr>
              <w:t>公教人員保險</w:t>
            </w:r>
          </w:p>
        </w:tc>
        <w:tc>
          <w:tcPr>
            <w:tcW w:w="3261" w:type="dxa"/>
            <w:shd w:val="clear" w:color="auto" w:fill="BFBFBF"/>
            <w:vAlign w:val="center"/>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b/>
                <w:bCs/>
                <w:sz w:val="20"/>
                <w:szCs w:val="20"/>
              </w:rPr>
              <w:t>農民健康保險</w:t>
            </w:r>
          </w:p>
        </w:tc>
        <w:tc>
          <w:tcPr>
            <w:tcW w:w="2976" w:type="dxa"/>
            <w:gridSpan w:val="2"/>
            <w:shd w:val="clear" w:color="auto" w:fill="BFBFBF"/>
            <w:vAlign w:val="center"/>
          </w:tcPr>
          <w:p w:rsidR="00D10D9D" w:rsidRPr="000802DA" w:rsidRDefault="00D10D9D" w:rsidP="00574CCA">
            <w:pPr>
              <w:widowControl/>
              <w:spacing w:line="240" w:lineRule="exact"/>
              <w:jc w:val="center"/>
              <w:rPr>
                <w:rFonts w:ascii="微軟正黑體" w:eastAsia="微軟正黑體" w:hAnsi="微軟正黑體"/>
                <w:b/>
                <w:bCs/>
                <w:sz w:val="20"/>
                <w:szCs w:val="20"/>
              </w:rPr>
            </w:pPr>
            <w:r w:rsidRPr="000802DA">
              <w:rPr>
                <w:rFonts w:ascii="微軟正黑體" w:eastAsia="微軟正黑體" w:hAnsi="微軟正黑體"/>
                <w:b/>
                <w:bCs/>
                <w:sz w:val="20"/>
                <w:szCs w:val="20"/>
              </w:rPr>
              <w:t>國民年金保險</w:t>
            </w:r>
          </w:p>
        </w:tc>
      </w:tr>
      <w:tr w:rsidR="00D10D9D" w:rsidRPr="000802DA" w:rsidTr="00574CCA">
        <w:trPr>
          <w:trHeight w:val="309"/>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實施日期</w:t>
            </w:r>
          </w:p>
        </w:tc>
        <w:tc>
          <w:tcPr>
            <w:tcW w:w="532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39</w:t>
            </w:r>
            <w:r w:rsidRPr="000802DA">
              <w:rPr>
                <w:rFonts w:ascii="微軟正黑體" w:eastAsia="微軟正黑體" w:hAnsi="微軟正黑體" w:hint="eastAsia"/>
                <w:sz w:val="20"/>
                <w:szCs w:val="20"/>
              </w:rPr>
              <w:t>年</w:t>
            </w:r>
            <w:r w:rsidRPr="000802DA">
              <w:rPr>
                <w:rFonts w:ascii="微軟正黑體" w:eastAsia="微軟正黑體" w:hAnsi="微軟正黑體"/>
                <w:sz w:val="20"/>
                <w:szCs w:val="20"/>
              </w:rPr>
              <w:t>3</w:t>
            </w:r>
            <w:r w:rsidRPr="000802DA">
              <w:rPr>
                <w:rFonts w:ascii="微軟正黑體" w:eastAsia="微軟正黑體" w:hAnsi="微軟正黑體" w:hint="eastAsia"/>
                <w:sz w:val="20"/>
                <w:szCs w:val="20"/>
              </w:rPr>
              <w:t>月</w:t>
            </w:r>
          </w:p>
        </w:tc>
        <w:tc>
          <w:tcPr>
            <w:tcW w:w="3828"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39</w:t>
            </w:r>
            <w:r w:rsidRPr="000802DA">
              <w:rPr>
                <w:rFonts w:ascii="微軟正黑體" w:eastAsia="微軟正黑體" w:hAnsi="微軟正黑體" w:hint="eastAsia"/>
                <w:sz w:val="20"/>
                <w:szCs w:val="20"/>
              </w:rPr>
              <w:t>年</w:t>
            </w:r>
            <w:r w:rsidRPr="000802DA">
              <w:rPr>
                <w:rFonts w:ascii="微軟正黑體" w:eastAsia="微軟正黑體" w:hAnsi="微軟正黑體"/>
                <w:sz w:val="20"/>
                <w:szCs w:val="20"/>
              </w:rPr>
              <w:t>6</w:t>
            </w:r>
            <w:r w:rsidRPr="000802DA">
              <w:rPr>
                <w:rFonts w:ascii="微軟正黑體" w:eastAsia="微軟正黑體" w:hAnsi="微軟正黑體" w:hint="eastAsia"/>
                <w:sz w:val="20"/>
                <w:szCs w:val="20"/>
              </w:rPr>
              <w:t>月</w:t>
            </w:r>
          </w:p>
        </w:tc>
        <w:tc>
          <w:tcPr>
            <w:tcW w:w="4677"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公：47</w:t>
            </w:r>
            <w:r w:rsidRPr="000802DA">
              <w:rPr>
                <w:rFonts w:ascii="微軟正黑體" w:eastAsia="微軟正黑體" w:hAnsi="微軟正黑體" w:hint="eastAsia"/>
                <w:sz w:val="20"/>
                <w:szCs w:val="20"/>
              </w:rPr>
              <w:t>年</w:t>
            </w:r>
            <w:r w:rsidRPr="000802DA">
              <w:rPr>
                <w:rFonts w:ascii="微軟正黑體" w:eastAsia="微軟正黑體" w:hAnsi="微軟正黑體"/>
                <w:sz w:val="20"/>
                <w:szCs w:val="20"/>
              </w:rPr>
              <w:t>9</w:t>
            </w:r>
            <w:r w:rsidRPr="000802DA">
              <w:rPr>
                <w:rFonts w:ascii="微軟正黑體" w:eastAsia="微軟正黑體" w:hAnsi="微軟正黑體" w:hint="eastAsia"/>
                <w:sz w:val="20"/>
                <w:szCs w:val="20"/>
              </w:rPr>
              <w:t>月</w:t>
            </w:r>
          </w:p>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私校：69</w:t>
            </w:r>
            <w:r w:rsidRPr="000802DA">
              <w:rPr>
                <w:rFonts w:ascii="微軟正黑體" w:eastAsia="微軟正黑體" w:hAnsi="微軟正黑體" w:hint="eastAsia"/>
                <w:sz w:val="20"/>
                <w:szCs w:val="20"/>
              </w:rPr>
              <w:t>年</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月</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74</w:t>
            </w:r>
            <w:r w:rsidRPr="000802DA">
              <w:rPr>
                <w:rFonts w:ascii="微軟正黑體" w:eastAsia="微軟正黑體" w:hAnsi="微軟正黑體" w:hint="eastAsia"/>
                <w:sz w:val="20"/>
                <w:szCs w:val="20"/>
              </w:rPr>
              <w:t>年</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月</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97</w:t>
            </w:r>
            <w:r w:rsidRPr="000802DA">
              <w:rPr>
                <w:rFonts w:ascii="微軟正黑體" w:eastAsia="微軟正黑體" w:hAnsi="微軟正黑體" w:hint="eastAsia"/>
                <w:sz w:val="20"/>
                <w:szCs w:val="20"/>
              </w:rPr>
              <w:t>年</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月</w:t>
            </w:r>
          </w:p>
        </w:tc>
      </w:tr>
      <w:tr w:rsidR="00D10D9D" w:rsidRPr="000802DA" w:rsidTr="00574CCA">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法令依據</w:t>
            </w:r>
          </w:p>
        </w:tc>
        <w:tc>
          <w:tcPr>
            <w:tcW w:w="532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勞工保險條例</w:t>
            </w:r>
          </w:p>
        </w:tc>
        <w:tc>
          <w:tcPr>
            <w:tcW w:w="3828"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軍人保險條例</w:t>
            </w:r>
          </w:p>
        </w:tc>
        <w:tc>
          <w:tcPr>
            <w:tcW w:w="4677"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公教人員保險法</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農民健康保險條例</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國民年金法</w:t>
            </w:r>
          </w:p>
        </w:tc>
      </w:tr>
      <w:tr w:rsidR="00D10D9D" w:rsidRPr="000802DA" w:rsidTr="00574CCA">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主管機關</w:t>
            </w:r>
          </w:p>
        </w:tc>
        <w:tc>
          <w:tcPr>
            <w:tcW w:w="532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勞動部</w:t>
            </w:r>
          </w:p>
        </w:tc>
        <w:tc>
          <w:tcPr>
            <w:tcW w:w="3828"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國防部</w:t>
            </w:r>
          </w:p>
        </w:tc>
        <w:tc>
          <w:tcPr>
            <w:tcW w:w="4677"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銓敘部</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trike/>
                <w:sz w:val="20"/>
                <w:szCs w:val="20"/>
              </w:rPr>
            </w:pPr>
            <w:r w:rsidRPr="000802DA">
              <w:rPr>
                <w:rFonts w:ascii="微軟正黑體" w:eastAsia="微軟正黑體" w:hAnsi="微軟正黑體" w:hint="eastAsia"/>
                <w:sz w:val="20"/>
                <w:szCs w:val="20"/>
              </w:rPr>
              <w:t>行政院農業委員會</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衛生福利部</w:t>
            </w:r>
          </w:p>
        </w:tc>
      </w:tr>
      <w:tr w:rsidR="00D10D9D" w:rsidRPr="000802DA" w:rsidTr="00574CCA">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承保機關</w:t>
            </w:r>
            <w:r w:rsidRPr="000802DA">
              <w:rPr>
                <w:rFonts w:ascii="微軟正黑體" w:eastAsia="微軟正黑體" w:hAnsi="微軟正黑體" w:hint="eastAsia"/>
                <w:sz w:val="20"/>
                <w:szCs w:val="20"/>
              </w:rPr>
              <w:t>(</w:t>
            </w:r>
            <w:r w:rsidRPr="000802DA">
              <w:rPr>
                <w:rFonts w:ascii="微軟正黑體" w:eastAsia="微軟正黑體" w:hAnsi="微軟正黑體"/>
                <w:sz w:val="20"/>
                <w:szCs w:val="20"/>
              </w:rPr>
              <w:t>保險人</w:t>
            </w:r>
            <w:r w:rsidRPr="000802DA">
              <w:rPr>
                <w:rFonts w:ascii="微軟正黑體" w:eastAsia="微軟正黑體" w:hAnsi="微軟正黑體" w:hint="eastAsia"/>
                <w:sz w:val="20"/>
                <w:szCs w:val="20"/>
              </w:rPr>
              <w:t>)</w:t>
            </w:r>
          </w:p>
        </w:tc>
        <w:tc>
          <w:tcPr>
            <w:tcW w:w="532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勞工保險局</w:t>
            </w:r>
          </w:p>
        </w:tc>
        <w:tc>
          <w:tcPr>
            <w:tcW w:w="3828"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臺</w:t>
            </w:r>
            <w:r w:rsidRPr="000802DA">
              <w:rPr>
                <w:rFonts w:ascii="微軟正黑體" w:eastAsia="微軟正黑體" w:hAnsi="微軟正黑體"/>
                <w:sz w:val="20"/>
                <w:szCs w:val="20"/>
              </w:rPr>
              <w:t>銀人壽保險軍人保險部</w:t>
            </w:r>
          </w:p>
        </w:tc>
        <w:tc>
          <w:tcPr>
            <w:tcW w:w="4677"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臺</w:t>
            </w:r>
            <w:r w:rsidRPr="000802DA">
              <w:rPr>
                <w:rFonts w:ascii="微軟正黑體" w:eastAsia="微軟正黑體" w:hAnsi="微軟正黑體"/>
                <w:sz w:val="20"/>
                <w:szCs w:val="20"/>
              </w:rPr>
              <w:t>灣銀行公教保險部</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勞工保險局</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勞工保險局</w:t>
            </w:r>
          </w:p>
        </w:tc>
      </w:tr>
      <w:tr w:rsidR="00D10D9D" w:rsidRPr="000802DA" w:rsidTr="00574CCA">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監理機關</w:t>
            </w:r>
          </w:p>
        </w:tc>
        <w:tc>
          <w:tcPr>
            <w:tcW w:w="532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勞動部</w:t>
            </w:r>
          </w:p>
        </w:tc>
        <w:tc>
          <w:tcPr>
            <w:tcW w:w="3828"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無</w:t>
            </w:r>
          </w:p>
        </w:tc>
        <w:tc>
          <w:tcPr>
            <w:tcW w:w="4677"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公教人員保險監理委員會</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農民健康保險監理委員會</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國民年金監理會</w:t>
            </w:r>
          </w:p>
        </w:tc>
      </w:tr>
      <w:tr w:rsidR="00D10D9D" w:rsidRPr="000802DA" w:rsidTr="00574CCA">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投保單位</w:t>
            </w:r>
          </w:p>
        </w:tc>
        <w:tc>
          <w:tcPr>
            <w:tcW w:w="532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勞工受僱或所屬單位</w:t>
            </w:r>
          </w:p>
        </w:tc>
        <w:tc>
          <w:tcPr>
            <w:tcW w:w="3828"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服務機關</w:t>
            </w:r>
          </w:p>
        </w:tc>
        <w:tc>
          <w:tcPr>
            <w:tcW w:w="4677"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服務機關</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所屬農會</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個人</w:t>
            </w:r>
          </w:p>
        </w:tc>
      </w:tr>
      <w:tr w:rsidR="00D10D9D" w:rsidRPr="000802DA" w:rsidTr="00574CCA">
        <w:trPr>
          <w:trHeight w:val="63"/>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適用對象</w:t>
            </w:r>
          </w:p>
        </w:tc>
        <w:tc>
          <w:tcPr>
            <w:tcW w:w="532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年滿15歲以上、65歲以下勞工</w:t>
            </w:r>
          </w:p>
        </w:tc>
        <w:tc>
          <w:tcPr>
            <w:tcW w:w="3828"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現役軍官、士官、士兵</w:t>
            </w:r>
          </w:p>
        </w:tc>
        <w:tc>
          <w:tcPr>
            <w:tcW w:w="4677" w:type="dxa"/>
            <w:gridSpan w:val="2"/>
            <w:vAlign w:val="center"/>
          </w:tcPr>
          <w:p w:rsidR="00D10D9D" w:rsidRPr="000802DA" w:rsidRDefault="00D10D9D" w:rsidP="00574CCA">
            <w:pPr>
              <w:widowControl/>
              <w:spacing w:line="240" w:lineRule="exact"/>
              <w:ind w:left="100" w:hangingChars="50" w:hanging="100"/>
              <w:jc w:val="center"/>
              <w:rPr>
                <w:rFonts w:ascii="微軟正黑體" w:eastAsia="微軟正黑體" w:hAnsi="微軟正黑體"/>
                <w:sz w:val="20"/>
                <w:szCs w:val="20"/>
              </w:rPr>
            </w:pPr>
            <w:r w:rsidRPr="000802DA">
              <w:rPr>
                <w:rFonts w:ascii="微軟正黑體" w:eastAsia="微軟正黑體" w:hAnsi="微軟正黑體"/>
                <w:sz w:val="20"/>
                <w:szCs w:val="20"/>
              </w:rPr>
              <w:t>1.法定機關</w:t>
            </w:r>
            <w:r w:rsidRPr="000802DA">
              <w:rPr>
                <w:rFonts w:ascii="微軟正黑體" w:eastAsia="微軟正黑體" w:hAnsi="微軟正黑體" w:hint="eastAsia"/>
                <w:sz w:val="20"/>
                <w:szCs w:val="20"/>
              </w:rPr>
              <w:t>(構)</w:t>
            </w:r>
            <w:r w:rsidRPr="000802DA">
              <w:rPr>
                <w:rFonts w:ascii="微軟正黑體" w:eastAsia="微軟正黑體" w:hAnsi="微軟正黑體"/>
                <w:sz w:val="20"/>
                <w:szCs w:val="20"/>
              </w:rPr>
              <w:t>編制內之有給</w:t>
            </w:r>
            <w:r w:rsidRPr="000802DA">
              <w:rPr>
                <w:rFonts w:ascii="微軟正黑體" w:eastAsia="微軟正黑體" w:hAnsi="微軟正黑體" w:hint="eastAsia"/>
                <w:sz w:val="20"/>
                <w:szCs w:val="20"/>
              </w:rPr>
              <w:t>專任</w:t>
            </w:r>
            <w:r w:rsidRPr="000802DA">
              <w:rPr>
                <w:rFonts w:ascii="微軟正黑體" w:eastAsia="微軟正黑體" w:hAnsi="微軟正黑體"/>
                <w:sz w:val="20"/>
                <w:szCs w:val="20"/>
              </w:rPr>
              <w:t>人員</w:t>
            </w:r>
          </w:p>
          <w:p w:rsidR="00D10D9D" w:rsidRPr="000802DA" w:rsidRDefault="00D10D9D" w:rsidP="00574CCA">
            <w:pPr>
              <w:widowControl/>
              <w:spacing w:line="240" w:lineRule="exact"/>
              <w:ind w:left="100" w:hangingChars="50" w:hanging="100"/>
              <w:jc w:val="center"/>
              <w:rPr>
                <w:rFonts w:ascii="微軟正黑體" w:eastAsia="微軟正黑體" w:hAnsi="微軟正黑體"/>
                <w:sz w:val="20"/>
                <w:szCs w:val="20"/>
              </w:rPr>
            </w:pPr>
            <w:r w:rsidRPr="000802DA">
              <w:rPr>
                <w:rFonts w:ascii="微軟正黑體" w:eastAsia="微軟正黑體" w:hAnsi="微軟正黑體"/>
                <w:sz w:val="20"/>
                <w:szCs w:val="20"/>
              </w:rPr>
              <w:t>2.公私立學校編制內之有給專任教職員</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農會會員、年滿15歲以上</w:t>
            </w:r>
            <w:r w:rsidRPr="000802DA">
              <w:rPr>
                <w:rFonts w:ascii="微軟正黑體" w:eastAsia="微軟正黑體" w:hAnsi="微軟正黑體" w:hint="eastAsia"/>
                <w:sz w:val="20"/>
                <w:szCs w:val="20"/>
              </w:rPr>
              <w:t xml:space="preserve">       </w:t>
            </w:r>
            <w:r w:rsidRPr="000802DA">
              <w:rPr>
                <w:rFonts w:ascii="微軟正黑體" w:eastAsia="微軟正黑體" w:hAnsi="微軟正黑體"/>
                <w:sz w:val="20"/>
                <w:szCs w:val="20"/>
              </w:rPr>
              <w:t>從事農業工作之農民</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年滿25歲、未滿65歲</w:t>
            </w:r>
            <w:r w:rsidRPr="000802DA">
              <w:rPr>
                <w:rFonts w:ascii="微軟正黑體" w:eastAsia="微軟正黑體" w:hAnsi="微軟正黑體" w:hint="eastAsia"/>
                <w:sz w:val="20"/>
                <w:szCs w:val="20"/>
              </w:rPr>
              <w:t xml:space="preserve">       </w:t>
            </w:r>
            <w:r w:rsidRPr="000802DA">
              <w:rPr>
                <w:rFonts w:ascii="微軟正黑體" w:eastAsia="微軟正黑體" w:hAnsi="微軟正黑體"/>
                <w:sz w:val="20"/>
                <w:szCs w:val="20"/>
              </w:rPr>
              <w:t>未能參加相關社會保險者</w:t>
            </w:r>
          </w:p>
        </w:tc>
      </w:tr>
      <w:tr w:rsidR="00D10D9D" w:rsidRPr="000802DA" w:rsidTr="00574CCA">
        <w:trPr>
          <w:trHeight w:val="63"/>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給付項目</w:t>
            </w:r>
          </w:p>
        </w:tc>
        <w:tc>
          <w:tcPr>
            <w:tcW w:w="5326" w:type="dxa"/>
            <w:gridSpan w:val="2"/>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生育、傷病、失能、老年、死亡</w:t>
            </w:r>
          </w:p>
        </w:tc>
        <w:tc>
          <w:tcPr>
            <w:tcW w:w="3828" w:type="dxa"/>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身障</w:t>
            </w:r>
            <w:r w:rsidRPr="000802DA">
              <w:rPr>
                <w:rFonts w:ascii="微軟正黑體" w:eastAsia="微軟正黑體" w:hAnsi="微軟正黑體"/>
                <w:sz w:val="20"/>
                <w:szCs w:val="20"/>
              </w:rPr>
              <w:t>、</w:t>
            </w:r>
            <w:r w:rsidRPr="000802DA">
              <w:rPr>
                <w:rFonts w:ascii="微軟正黑體" w:eastAsia="微軟正黑體" w:hAnsi="微軟正黑體"/>
                <w:bCs/>
                <w:sz w:val="20"/>
                <w:szCs w:val="20"/>
              </w:rPr>
              <w:t>退伍</w:t>
            </w:r>
            <w:r w:rsidRPr="000802DA">
              <w:rPr>
                <w:rFonts w:ascii="微軟正黑體" w:eastAsia="微軟正黑體" w:hAnsi="微軟正黑體"/>
                <w:sz w:val="20"/>
                <w:szCs w:val="20"/>
              </w:rPr>
              <w:t>、死亡、育嬰留職停薪、</w:t>
            </w:r>
            <w:r w:rsidRPr="000802DA">
              <w:rPr>
                <w:rFonts w:ascii="微軟正黑體" w:eastAsia="微軟正黑體" w:hAnsi="微軟正黑體" w:hint="eastAsia"/>
                <w:sz w:val="20"/>
                <w:szCs w:val="20"/>
              </w:rPr>
              <w:t xml:space="preserve">       </w:t>
            </w:r>
            <w:r w:rsidRPr="000802DA">
              <w:rPr>
                <w:rFonts w:ascii="微軟正黑體" w:eastAsia="微軟正黑體" w:hAnsi="微軟正黑體"/>
                <w:sz w:val="20"/>
                <w:szCs w:val="20"/>
              </w:rPr>
              <w:t>眷屬喪葬</w:t>
            </w:r>
          </w:p>
        </w:tc>
        <w:tc>
          <w:tcPr>
            <w:tcW w:w="4677" w:type="dxa"/>
            <w:gridSpan w:val="2"/>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失能</w:t>
            </w:r>
            <w:r w:rsidRPr="000802DA">
              <w:rPr>
                <w:rFonts w:ascii="微軟正黑體" w:eastAsia="微軟正黑體" w:hAnsi="微軟正黑體"/>
                <w:sz w:val="20"/>
                <w:szCs w:val="20"/>
              </w:rPr>
              <w:t>、養老、死亡、眷屬喪葬、育嬰留職停薪、</w:t>
            </w:r>
            <w:r w:rsidRPr="000802DA">
              <w:rPr>
                <w:rFonts w:ascii="微軟正黑體" w:eastAsia="微軟正黑體" w:hAnsi="微軟正黑體" w:hint="eastAsia"/>
                <w:sz w:val="20"/>
                <w:szCs w:val="20"/>
              </w:rPr>
              <w:t xml:space="preserve">      </w:t>
            </w:r>
            <w:r w:rsidRPr="000802DA">
              <w:rPr>
                <w:rFonts w:ascii="微軟正黑體" w:eastAsia="微軟正黑體" w:hAnsi="微軟正黑體"/>
                <w:sz w:val="20"/>
                <w:szCs w:val="20"/>
              </w:rPr>
              <w:t>生育</w:t>
            </w:r>
          </w:p>
        </w:tc>
        <w:tc>
          <w:tcPr>
            <w:tcW w:w="3261" w:type="dxa"/>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生育、身障、喪葬</w:t>
            </w:r>
          </w:p>
        </w:tc>
        <w:tc>
          <w:tcPr>
            <w:tcW w:w="2976" w:type="dxa"/>
            <w:gridSpan w:val="2"/>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身障、老年、喪葬、遺屬、生育</w:t>
            </w:r>
          </w:p>
        </w:tc>
      </w:tr>
      <w:tr w:rsidR="00D10D9D" w:rsidRPr="000802DA" w:rsidTr="00574CCA">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1291" w:type="dxa"/>
            <w:vMerge w:val="restart"/>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保險費率(%)</w:t>
            </w:r>
          </w:p>
        </w:tc>
        <w:tc>
          <w:tcPr>
            <w:tcW w:w="714"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法定</w:t>
            </w:r>
          </w:p>
        </w:tc>
        <w:tc>
          <w:tcPr>
            <w:tcW w:w="532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6.5-12</w:t>
            </w:r>
            <w:r w:rsidRPr="000802DA">
              <w:rPr>
                <w:rFonts w:ascii="微軟正黑體" w:eastAsia="微軟正黑體" w:hAnsi="微軟正黑體" w:hint="eastAsia"/>
                <w:sz w:val="20"/>
                <w:szCs w:val="20"/>
              </w:rPr>
              <w:t xml:space="preserve"> (</w:t>
            </w:r>
            <w:r w:rsidRPr="000802DA">
              <w:rPr>
                <w:rFonts w:ascii="微軟正黑體" w:eastAsia="微軟正黑體" w:hAnsi="微軟正黑體"/>
                <w:sz w:val="20"/>
                <w:szCs w:val="20"/>
              </w:rPr>
              <w:t>不含就業保險費率1%</w:t>
            </w:r>
            <w:r w:rsidRPr="000802DA">
              <w:rPr>
                <w:rFonts w:ascii="微軟正黑體" w:eastAsia="微軟正黑體" w:hAnsi="微軟正黑體" w:hint="eastAsia"/>
                <w:sz w:val="20"/>
                <w:szCs w:val="20"/>
              </w:rPr>
              <w:t>)</w:t>
            </w:r>
          </w:p>
        </w:tc>
        <w:tc>
          <w:tcPr>
            <w:tcW w:w="3828"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8-12</w:t>
            </w:r>
          </w:p>
        </w:tc>
        <w:tc>
          <w:tcPr>
            <w:tcW w:w="4677"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7-15</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6-8</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6.5-12</w:t>
            </w:r>
          </w:p>
        </w:tc>
      </w:tr>
      <w:tr w:rsidR="00D10D9D" w:rsidRPr="000802DA" w:rsidTr="00574CCA">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1291"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714"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現行</w:t>
            </w:r>
          </w:p>
          <w:p w:rsidR="00D10D9D" w:rsidRPr="000802DA" w:rsidRDefault="00D10D9D" w:rsidP="00574CCA">
            <w:pPr>
              <w:widowControl/>
              <w:spacing w:line="240" w:lineRule="exact"/>
              <w:jc w:val="center"/>
              <w:rPr>
                <w:rFonts w:ascii="微軟正黑體" w:eastAsia="微軟正黑體" w:hAnsi="微軟正黑體"/>
                <w:sz w:val="14"/>
                <w:szCs w:val="14"/>
              </w:rPr>
            </w:pPr>
            <w:r w:rsidRPr="000802DA">
              <w:rPr>
                <w:rFonts w:ascii="微軟正黑體" w:eastAsia="微軟正黑體" w:hAnsi="微軟正黑體" w:hint="eastAsia"/>
                <w:sz w:val="14"/>
                <w:szCs w:val="14"/>
              </w:rPr>
              <w:t>(110年)</w:t>
            </w:r>
          </w:p>
        </w:tc>
        <w:tc>
          <w:tcPr>
            <w:tcW w:w="5326" w:type="dxa"/>
            <w:gridSpan w:val="2"/>
            <w:vAlign w:val="center"/>
          </w:tcPr>
          <w:p w:rsidR="00D10D9D" w:rsidRPr="00553DCB" w:rsidRDefault="00D10D9D" w:rsidP="00574CCA">
            <w:pPr>
              <w:widowControl/>
              <w:spacing w:line="240" w:lineRule="exact"/>
              <w:jc w:val="center"/>
              <w:rPr>
                <w:rFonts w:ascii="微軟正黑體" w:eastAsia="微軟正黑體" w:hAnsi="微軟正黑體"/>
                <w:sz w:val="20"/>
                <w:szCs w:val="20"/>
              </w:rPr>
            </w:pPr>
            <w:r w:rsidRPr="00553DCB">
              <w:rPr>
                <w:rFonts w:ascii="微軟正黑體" w:eastAsia="微軟正黑體" w:hAnsi="微軟正黑體" w:hint="eastAsia"/>
                <w:sz w:val="20"/>
                <w:szCs w:val="20"/>
              </w:rPr>
              <w:t>10.5 (</w:t>
            </w:r>
            <w:r w:rsidRPr="00553DCB">
              <w:rPr>
                <w:rFonts w:ascii="微軟正黑體" w:eastAsia="微軟正黑體" w:hAnsi="微軟正黑體"/>
                <w:sz w:val="20"/>
                <w:szCs w:val="20"/>
              </w:rPr>
              <w:t>不含就業保險費率1</w:t>
            </w:r>
            <w:r w:rsidRPr="00553DCB">
              <w:rPr>
                <w:rFonts w:ascii="微軟正黑體" w:eastAsia="微軟正黑體" w:hAnsi="微軟正黑體" w:hint="eastAsia"/>
                <w:sz w:val="20"/>
                <w:szCs w:val="20"/>
              </w:rPr>
              <w:t>%)</w:t>
            </w:r>
          </w:p>
        </w:tc>
        <w:tc>
          <w:tcPr>
            <w:tcW w:w="3828" w:type="dxa"/>
            <w:vAlign w:val="center"/>
          </w:tcPr>
          <w:p w:rsidR="00D10D9D" w:rsidRPr="00553DCB" w:rsidRDefault="00D10D9D" w:rsidP="00574CCA">
            <w:pPr>
              <w:widowControl/>
              <w:spacing w:line="240" w:lineRule="exact"/>
              <w:jc w:val="center"/>
              <w:rPr>
                <w:rFonts w:ascii="微軟正黑體" w:eastAsia="微軟正黑體" w:hAnsi="微軟正黑體"/>
                <w:sz w:val="20"/>
                <w:szCs w:val="20"/>
              </w:rPr>
            </w:pPr>
            <w:r w:rsidRPr="00553DCB">
              <w:rPr>
                <w:rFonts w:ascii="微軟正黑體" w:eastAsia="微軟正黑體" w:hAnsi="微軟正黑體"/>
                <w:sz w:val="20"/>
                <w:szCs w:val="20"/>
              </w:rPr>
              <w:t>9.94</w:t>
            </w:r>
          </w:p>
        </w:tc>
        <w:tc>
          <w:tcPr>
            <w:tcW w:w="4677" w:type="dxa"/>
            <w:gridSpan w:val="2"/>
            <w:vAlign w:val="center"/>
          </w:tcPr>
          <w:p w:rsidR="00D10D9D" w:rsidRPr="00553DCB" w:rsidRDefault="00D10D9D" w:rsidP="00574CCA">
            <w:pPr>
              <w:widowControl/>
              <w:spacing w:line="240" w:lineRule="exact"/>
              <w:jc w:val="center"/>
              <w:rPr>
                <w:rFonts w:ascii="微軟正黑體" w:eastAsia="微軟正黑體" w:hAnsi="微軟正黑體"/>
                <w:sz w:val="20"/>
                <w:szCs w:val="20"/>
              </w:rPr>
            </w:pPr>
            <w:r w:rsidRPr="00553DCB">
              <w:rPr>
                <w:rFonts w:ascii="微軟正黑體" w:eastAsia="微軟正黑體" w:hAnsi="微軟正黑體" w:hint="eastAsia"/>
                <w:sz w:val="20"/>
                <w:szCs w:val="20"/>
              </w:rPr>
              <w:t>12.53</w:t>
            </w:r>
            <w:r w:rsidRPr="00553DCB">
              <w:rPr>
                <w:rFonts w:ascii="微軟正黑體" w:eastAsia="微軟正黑體" w:hAnsi="微軟正黑體"/>
                <w:sz w:val="20"/>
                <w:szCs w:val="20"/>
              </w:rPr>
              <w:t>(適用年金</w:t>
            </w:r>
            <w:r w:rsidRPr="00553DCB">
              <w:rPr>
                <w:rFonts w:ascii="微軟正黑體" w:eastAsia="微軟正黑體" w:hAnsi="微軟正黑體" w:hint="eastAsia"/>
                <w:sz w:val="20"/>
                <w:szCs w:val="20"/>
              </w:rPr>
              <w:t>制度者</w:t>
            </w:r>
            <w:r w:rsidRPr="00553DCB">
              <w:rPr>
                <w:rFonts w:ascii="微軟正黑體" w:eastAsia="微軟正黑體" w:hAnsi="微軟正黑體"/>
                <w:sz w:val="20"/>
                <w:szCs w:val="20"/>
              </w:rPr>
              <w:t>)</w:t>
            </w:r>
            <w:r w:rsidRPr="00553DCB">
              <w:rPr>
                <w:rFonts w:ascii="微軟正黑體" w:eastAsia="微軟正黑體" w:hAnsi="微軟正黑體" w:hint="eastAsia"/>
                <w:sz w:val="20"/>
                <w:szCs w:val="20"/>
              </w:rPr>
              <w:t>、</w:t>
            </w:r>
            <w:r w:rsidRPr="00553DCB">
              <w:rPr>
                <w:rFonts w:ascii="微軟正黑體" w:eastAsia="微軟正黑體" w:hAnsi="微軟正黑體"/>
                <w:sz w:val="20"/>
                <w:szCs w:val="20"/>
              </w:rPr>
              <w:t>8.</w:t>
            </w:r>
            <w:r w:rsidRPr="00553DCB">
              <w:rPr>
                <w:rFonts w:ascii="微軟正黑體" w:eastAsia="微軟正黑體" w:hAnsi="微軟正黑體" w:hint="eastAsia"/>
                <w:sz w:val="20"/>
                <w:szCs w:val="20"/>
              </w:rPr>
              <w:t>2</w:t>
            </w:r>
            <w:r w:rsidRPr="00553DCB">
              <w:rPr>
                <w:rFonts w:ascii="微軟正黑體" w:eastAsia="微軟正黑體" w:hAnsi="微軟正黑體"/>
                <w:sz w:val="20"/>
                <w:szCs w:val="20"/>
              </w:rPr>
              <w:t>8(</w:t>
            </w:r>
            <w:r w:rsidRPr="00553DCB">
              <w:rPr>
                <w:rFonts w:ascii="微軟正黑體" w:eastAsia="微軟正黑體" w:hAnsi="微軟正黑體" w:hint="eastAsia"/>
                <w:sz w:val="20"/>
                <w:szCs w:val="20"/>
              </w:rPr>
              <w:t>不適用年金制度者</w:t>
            </w:r>
            <w:r w:rsidRPr="00553DCB">
              <w:rPr>
                <w:rFonts w:ascii="微軟正黑體" w:eastAsia="微軟正黑體" w:hAnsi="微軟正黑體"/>
                <w:sz w:val="20"/>
                <w:szCs w:val="20"/>
              </w:rPr>
              <w:t>)</w:t>
            </w:r>
          </w:p>
          <w:p w:rsidR="00D10D9D" w:rsidRPr="002C0ADC" w:rsidRDefault="00D10D9D" w:rsidP="00574CCA">
            <w:pPr>
              <w:widowControl/>
              <w:spacing w:line="240" w:lineRule="exact"/>
              <w:jc w:val="center"/>
              <w:rPr>
                <w:rFonts w:ascii="微軟正黑體" w:eastAsia="微軟正黑體" w:hAnsi="微軟正黑體"/>
                <w:sz w:val="18"/>
                <w:szCs w:val="18"/>
              </w:rPr>
            </w:pPr>
            <w:r w:rsidRPr="002C0ADC">
              <w:rPr>
                <w:rFonts w:ascii="微軟正黑體" w:eastAsia="微軟正黑體" w:hAnsi="微軟正黑體" w:hint="eastAsia"/>
                <w:sz w:val="18"/>
                <w:szCs w:val="18"/>
              </w:rPr>
              <w:t>(111年1月1日起分別調降為10.16%、7.83%)</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2.55</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9.5</w:t>
            </w:r>
          </w:p>
        </w:tc>
      </w:tr>
      <w:tr w:rsidR="00D10D9D" w:rsidRPr="000802DA" w:rsidTr="00574CCA">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月投保薪資</w:t>
            </w:r>
          </w:p>
        </w:tc>
        <w:tc>
          <w:tcPr>
            <w:tcW w:w="5326" w:type="dxa"/>
            <w:gridSpan w:val="2"/>
            <w:vAlign w:val="center"/>
          </w:tcPr>
          <w:p w:rsidR="00D10D9D" w:rsidRPr="00553DCB" w:rsidRDefault="00D10D9D" w:rsidP="00574CCA">
            <w:pPr>
              <w:widowControl/>
              <w:spacing w:line="240" w:lineRule="exact"/>
              <w:jc w:val="center"/>
              <w:rPr>
                <w:rFonts w:ascii="微軟正黑體" w:eastAsia="微軟正黑體" w:hAnsi="微軟正黑體"/>
                <w:sz w:val="20"/>
                <w:szCs w:val="20"/>
              </w:rPr>
            </w:pPr>
            <w:r w:rsidRPr="00553DCB">
              <w:rPr>
                <w:rFonts w:ascii="微軟正黑體" w:eastAsia="微軟正黑體" w:hAnsi="微軟正黑體" w:hint="eastAsia"/>
                <w:sz w:val="20"/>
                <w:szCs w:val="20"/>
              </w:rPr>
              <w:t>24,000-45,800元</w:t>
            </w:r>
            <w:r w:rsidRPr="002C0ADC">
              <w:rPr>
                <w:rFonts w:ascii="微軟正黑體" w:eastAsia="微軟正黑體" w:hAnsi="微軟正黑體" w:hint="eastAsia"/>
                <w:sz w:val="18"/>
                <w:szCs w:val="18"/>
              </w:rPr>
              <w:t>(111年1月1日起為25,250-45,800元)</w:t>
            </w:r>
          </w:p>
        </w:tc>
        <w:tc>
          <w:tcPr>
            <w:tcW w:w="3828" w:type="dxa"/>
            <w:vAlign w:val="center"/>
          </w:tcPr>
          <w:p w:rsidR="00D10D9D" w:rsidRPr="00553DCB" w:rsidRDefault="00D10D9D" w:rsidP="00574CCA">
            <w:pPr>
              <w:widowControl/>
              <w:spacing w:line="240" w:lineRule="exact"/>
              <w:jc w:val="center"/>
              <w:rPr>
                <w:rFonts w:ascii="微軟正黑體" w:eastAsia="微軟正黑體" w:hAnsi="微軟正黑體"/>
                <w:sz w:val="20"/>
                <w:szCs w:val="20"/>
              </w:rPr>
            </w:pPr>
            <w:r w:rsidRPr="00553DCB">
              <w:rPr>
                <w:rFonts w:ascii="微軟正黑體" w:eastAsia="微軟正黑體" w:hAnsi="微軟正黑體"/>
                <w:sz w:val="20"/>
                <w:szCs w:val="20"/>
              </w:rPr>
              <w:t>月支</w:t>
            </w:r>
            <w:r w:rsidRPr="00553DCB">
              <w:rPr>
                <w:rFonts w:ascii="微軟正黑體" w:eastAsia="微軟正黑體" w:hAnsi="微軟正黑體" w:hint="eastAsia"/>
                <w:sz w:val="20"/>
                <w:szCs w:val="20"/>
              </w:rPr>
              <w:t>本</w:t>
            </w:r>
            <w:r w:rsidRPr="00553DCB">
              <w:rPr>
                <w:rFonts w:ascii="微軟正黑體" w:eastAsia="微軟正黑體" w:hAnsi="微軟正黑體"/>
                <w:sz w:val="20"/>
                <w:szCs w:val="20"/>
              </w:rPr>
              <w:t>俸</w:t>
            </w:r>
          </w:p>
        </w:tc>
        <w:tc>
          <w:tcPr>
            <w:tcW w:w="4677" w:type="dxa"/>
            <w:gridSpan w:val="2"/>
            <w:vAlign w:val="center"/>
          </w:tcPr>
          <w:p w:rsidR="00D10D9D" w:rsidRPr="00553DCB" w:rsidRDefault="00D10D9D" w:rsidP="00574CCA">
            <w:pPr>
              <w:widowControl/>
              <w:spacing w:line="240" w:lineRule="exact"/>
              <w:jc w:val="center"/>
              <w:rPr>
                <w:rFonts w:ascii="微軟正黑體" w:eastAsia="微軟正黑體" w:hAnsi="微軟正黑體"/>
                <w:sz w:val="20"/>
                <w:szCs w:val="20"/>
              </w:rPr>
            </w:pPr>
            <w:r w:rsidRPr="00553DCB">
              <w:rPr>
                <w:rFonts w:ascii="微軟正黑體" w:eastAsia="微軟正黑體" w:hAnsi="微軟正黑體"/>
                <w:sz w:val="20"/>
                <w:szCs w:val="20"/>
              </w:rPr>
              <w:t>本俸(薪)或年功俸(薪)</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10,200元</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18,282元</w:t>
            </w:r>
          </w:p>
        </w:tc>
      </w:tr>
      <w:tr w:rsidR="00D10D9D" w:rsidRPr="000802DA" w:rsidTr="00574CCA">
        <w:trPr>
          <w:trHeight w:val="285"/>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1291" w:type="dxa"/>
            <w:vMerge w:val="restart"/>
            <w:vAlign w:val="center"/>
          </w:tcPr>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保險費</w:t>
            </w:r>
          </w:p>
          <w:p w:rsidR="00D10D9D" w:rsidRPr="000802DA" w:rsidRDefault="00D10D9D" w:rsidP="00574CCA">
            <w:pPr>
              <w:widowControl/>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負擔比</w:t>
            </w:r>
            <w:r w:rsidRPr="000802DA">
              <w:rPr>
                <w:rFonts w:ascii="微軟正黑體" w:eastAsia="微軟正黑體" w:hAnsi="微軟正黑體" w:hint="eastAsia"/>
                <w:sz w:val="20"/>
                <w:szCs w:val="20"/>
              </w:rPr>
              <w:t>率</w:t>
            </w:r>
          </w:p>
        </w:tc>
        <w:tc>
          <w:tcPr>
            <w:tcW w:w="714" w:type="dxa"/>
            <w:vMerge w:val="restart"/>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被保險人</w:t>
            </w:r>
          </w:p>
        </w:tc>
        <w:tc>
          <w:tcPr>
            <w:tcW w:w="263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有一定雇主</w:t>
            </w:r>
          </w:p>
        </w:tc>
        <w:tc>
          <w:tcPr>
            <w:tcW w:w="269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20</w:t>
            </w:r>
          </w:p>
        </w:tc>
        <w:tc>
          <w:tcPr>
            <w:tcW w:w="3828" w:type="dxa"/>
            <w:vMerge w:val="restart"/>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35</w:t>
            </w:r>
          </w:p>
        </w:tc>
        <w:tc>
          <w:tcPr>
            <w:tcW w:w="4677" w:type="dxa"/>
            <w:gridSpan w:val="2"/>
            <w:vMerge w:val="restart"/>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35</w:t>
            </w:r>
          </w:p>
        </w:tc>
        <w:tc>
          <w:tcPr>
            <w:tcW w:w="3261" w:type="dxa"/>
            <w:vMerge w:val="restart"/>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30</w:t>
            </w:r>
          </w:p>
        </w:tc>
        <w:tc>
          <w:tcPr>
            <w:tcW w:w="1984"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低收、重度以上身障</w:t>
            </w:r>
          </w:p>
        </w:tc>
        <w:tc>
          <w:tcPr>
            <w:tcW w:w="992"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0</w:t>
            </w:r>
          </w:p>
        </w:tc>
      </w:tr>
      <w:tr w:rsidR="00D10D9D" w:rsidRPr="000802DA" w:rsidTr="00574CCA">
        <w:trPr>
          <w:trHeight w:val="227"/>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1291"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714" w:type="dxa"/>
            <w:vMerge/>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p>
        </w:tc>
        <w:tc>
          <w:tcPr>
            <w:tcW w:w="263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職業工會</w:t>
            </w:r>
          </w:p>
        </w:tc>
        <w:tc>
          <w:tcPr>
            <w:tcW w:w="269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60</w:t>
            </w:r>
          </w:p>
        </w:tc>
        <w:tc>
          <w:tcPr>
            <w:tcW w:w="3828" w:type="dxa"/>
            <w:vMerge/>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p>
        </w:tc>
        <w:tc>
          <w:tcPr>
            <w:tcW w:w="4677" w:type="dxa"/>
            <w:gridSpan w:val="2"/>
            <w:vMerge/>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p>
        </w:tc>
        <w:tc>
          <w:tcPr>
            <w:tcW w:w="3261" w:type="dxa"/>
            <w:vMerge/>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p>
        </w:tc>
        <w:tc>
          <w:tcPr>
            <w:tcW w:w="1984" w:type="dxa"/>
            <w:vAlign w:val="center"/>
          </w:tcPr>
          <w:p w:rsidR="00D10D9D" w:rsidRPr="000802DA" w:rsidRDefault="00D10D9D" w:rsidP="00574CCA">
            <w:pPr>
              <w:widowControl/>
              <w:spacing w:line="240" w:lineRule="exact"/>
              <w:jc w:val="center"/>
              <w:rPr>
                <w:rFonts w:ascii="微軟正黑體" w:eastAsia="微軟正黑體" w:hAnsi="微軟正黑體"/>
                <w:spacing w:val="-6"/>
                <w:sz w:val="20"/>
                <w:szCs w:val="20"/>
              </w:rPr>
            </w:pPr>
            <w:r w:rsidRPr="000802DA">
              <w:rPr>
                <w:rFonts w:ascii="微軟正黑體" w:eastAsia="微軟正黑體" w:hAnsi="微軟正黑體" w:hint="eastAsia"/>
                <w:spacing w:val="-6"/>
                <w:sz w:val="20"/>
                <w:szCs w:val="20"/>
              </w:rPr>
              <w:t>中低收、</w:t>
            </w:r>
            <w:r w:rsidRPr="000802DA">
              <w:rPr>
                <w:rFonts w:ascii="微軟正黑體" w:eastAsia="微軟正黑體" w:hAnsi="微軟正黑體"/>
                <w:spacing w:val="-6"/>
                <w:sz w:val="20"/>
                <w:szCs w:val="20"/>
              </w:rPr>
              <w:t>所得未達一定標準、輕</w:t>
            </w:r>
            <w:r w:rsidRPr="000802DA">
              <w:rPr>
                <w:rFonts w:ascii="微軟正黑體" w:eastAsia="微軟正黑體" w:hAnsi="微軟正黑體" w:hint="eastAsia"/>
                <w:spacing w:val="-6"/>
                <w:sz w:val="20"/>
                <w:szCs w:val="20"/>
              </w:rPr>
              <w:t>/</w:t>
            </w:r>
            <w:r w:rsidRPr="000802DA">
              <w:rPr>
                <w:rFonts w:ascii="微軟正黑體" w:eastAsia="微軟正黑體" w:hAnsi="微軟正黑體"/>
                <w:spacing w:val="-6"/>
                <w:sz w:val="20"/>
                <w:szCs w:val="20"/>
              </w:rPr>
              <w:t>中度身障</w:t>
            </w:r>
          </w:p>
        </w:tc>
        <w:tc>
          <w:tcPr>
            <w:tcW w:w="992"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30-45</w:t>
            </w:r>
          </w:p>
        </w:tc>
      </w:tr>
      <w:tr w:rsidR="00D10D9D" w:rsidRPr="000802DA" w:rsidTr="00574CCA">
        <w:trPr>
          <w:trHeight w:val="165"/>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1291"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714" w:type="dxa"/>
            <w:vMerge/>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p>
        </w:tc>
        <w:tc>
          <w:tcPr>
            <w:tcW w:w="263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漁會甲類會員</w:t>
            </w:r>
          </w:p>
        </w:tc>
        <w:tc>
          <w:tcPr>
            <w:tcW w:w="269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20</w:t>
            </w:r>
          </w:p>
        </w:tc>
        <w:tc>
          <w:tcPr>
            <w:tcW w:w="3828" w:type="dxa"/>
            <w:vMerge/>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p>
        </w:tc>
        <w:tc>
          <w:tcPr>
            <w:tcW w:w="4677" w:type="dxa"/>
            <w:gridSpan w:val="2"/>
            <w:vMerge/>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p>
        </w:tc>
        <w:tc>
          <w:tcPr>
            <w:tcW w:w="3261" w:type="dxa"/>
            <w:vMerge/>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p>
        </w:tc>
        <w:tc>
          <w:tcPr>
            <w:tcW w:w="1984"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一般身分</w:t>
            </w:r>
          </w:p>
        </w:tc>
        <w:tc>
          <w:tcPr>
            <w:tcW w:w="992"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60</w:t>
            </w:r>
          </w:p>
        </w:tc>
      </w:tr>
      <w:tr w:rsidR="00D10D9D" w:rsidRPr="000802DA" w:rsidTr="00574CCA">
        <w:trPr>
          <w:trHeight w:val="149"/>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1291"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714"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雇主</w:t>
            </w:r>
          </w:p>
        </w:tc>
        <w:tc>
          <w:tcPr>
            <w:tcW w:w="263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有一定雇主</w:t>
            </w:r>
          </w:p>
        </w:tc>
        <w:tc>
          <w:tcPr>
            <w:tcW w:w="269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70</w:t>
            </w:r>
          </w:p>
        </w:tc>
        <w:tc>
          <w:tcPr>
            <w:tcW w:w="3828"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w:t>
            </w:r>
          </w:p>
        </w:tc>
        <w:tc>
          <w:tcPr>
            <w:tcW w:w="2326"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w:t>
            </w:r>
          </w:p>
        </w:tc>
        <w:tc>
          <w:tcPr>
            <w:tcW w:w="2351" w:type="dxa"/>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32.5</w:t>
            </w:r>
            <w:r w:rsidRPr="000802DA">
              <w:rPr>
                <w:rFonts w:ascii="微軟正黑體" w:eastAsia="微軟正黑體" w:hAnsi="微軟正黑體" w:hint="eastAsia"/>
                <w:sz w:val="20"/>
                <w:szCs w:val="20"/>
              </w:rPr>
              <w:t xml:space="preserve"> (私校)</w:t>
            </w:r>
          </w:p>
        </w:tc>
        <w:tc>
          <w:tcPr>
            <w:tcW w:w="3261"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w:t>
            </w:r>
          </w:p>
        </w:tc>
        <w:tc>
          <w:tcPr>
            <w:tcW w:w="2976" w:type="dxa"/>
            <w:gridSpan w:val="2"/>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w:t>
            </w:r>
          </w:p>
        </w:tc>
      </w:tr>
      <w:tr w:rsidR="00D10D9D" w:rsidRPr="000802DA" w:rsidTr="00574CCA">
        <w:trPr>
          <w:trHeight w:val="221"/>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1291"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714" w:type="dxa"/>
            <w:vMerge w:val="restart"/>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政府</w:t>
            </w:r>
          </w:p>
        </w:tc>
        <w:tc>
          <w:tcPr>
            <w:tcW w:w="263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有一定雇主</w:t>
            </w:r>
          </w:p>
        </w:tc>
        <w:tc>
          <w:tcPr>
            <w:tcW w:w="269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10</w:t>
            </w:r>
          </w:p>
        </w:tc>
        <w:tc>
          <w:tcPr>
            <w:tcW w:w="3828" w:type="dxa"/>
            <w:vMerge w:val="restart"/>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65</w:t>
            </w:r>
          </w:p>
        </w:tc>
        <w:tc>
          <w:tcPr>
            <w:tcW w:w="2326" w:type="dxa"/>
            <w:vMerge w:val="restart"/>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65</w:t>
            </w:r>
            <w:r w:rsidRPr="000802DA">
              <w:rPr>
                <w:rFonts w:ascii="微軟正黑體" w:eastAsia="微軟正黑體" w:hAnsi="微軟正黑體" w:hint="eastAsia"/>
                <w:sz w:val="20"/>
                <w:szCs w:val="20"/>
              </w:rPr>
              <w:t xml:space="preserve"> (公務人員及公校)</w:t>
            </w:r>
          </w:p>
        </w:tc>
        <w:tc>
          <w:tcPr>
            <w:tcW w:w="2351" w:type="dxa"/>
            <w:vMerge w:val="restart"/>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32.5</w:t>
            </w:r>
          </w:p>
        </w:tc>
        <w:tc>
          <w:tcPr>
            <w:tcW w:w="3261" w:type="dxa"/>
            <w:vMerge w:val="restart"/>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70</w:t>
            </w:r>
          </w:p>
        </w:tc>
        <w:tc>
          <w:tcPr>
            <w:tcW w:w="1984"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低收、重度以上身障</w:t>
            </w:r>
          </w:p>
        </w:tc>
        <w:tc>
          <w:tcPr>
            <w:tcW w:w="992"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100</w:t>
            </w:r>
          </w:p>
        </w:tc>
      </w:tr>
      <w:tr w:rsidR="00D10D9D" w:rsidRPr="000802DA" w:rsidTr="00574CCA">
        <w:trPr>
          <w:trHeight w:val="369"/>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1291"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714"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263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職業工會</w:t>
            </w:r>
          </w:p>
        </w:tc>
        <w:tc>
          <w:tcPr>
            <w:tcW w:w="2693" w:type="dxa"/>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40</w:t>
            </w:r>
          </w:p>
        </w:tc>
        <w:tc>
          <w:tcPr>
            <w:tcW w:w="3828"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2326"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2351"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3261" w:type="dxa"/>
            <w:vMerge/>
            <w:vAlign w:val="center"/>
          </w:tcPr>
          <w:p w:rsidR="00D10D9D" w:rsidRPr="000802DA" w:rsidRDefault="00D10D9D" w:rsidP="00574CCA">
            <w:pPr>
              <w:widowControl/>
              <w:spacing w:line="240" w:lineRule="exact"/>
              <w:rPr>
                <w:rFonts w:ascii="微軟正黑體" w:eastAsia="微軟正黑體" w:hAnsi="微軟正黑體"/>
                <w:sz w:val="20"/>
                <w:szCs w:val="20"/>
              </w:rPr>
            </w:pPr>
          </w:p>
        </w:tc>
        <w:tc>
          <w:tcPr>
            <w:tcW w:w="1984" w:type="dxa"/>
            <w:vAlign w:val="center"/>
          </w:tcPr>
          <w:p w:rsidR="00D10D9D" w:rsidRPr="000802DA" w:rsidRDefault="00D10D9D" w:rsidP="00574CCA">
            <w:pPr>
              <w:widowControl/>
              <w:spacing w:line="240" w:lineRule="exact"/>
              <w:jc w:val="center"/>
              <w:rPr>
                <w:rFonts w:ascii="微軟正黑體" w:eastAsia="微軟正黑體" w:hAnsi="微軟正黑體"/>
                <w:spacing w:val="-6"/>
                <w:sz w:val="20"/>
                <w:szCs w:val="20"/>
              </w:rPr>
            </w:pPr>
            <w:r w:rsidRPr="000802DA">
              <w:rPr>
                <w:rFonts w:ascii="微軟正黑體" w:eastAsia="微軟正黑體" w:hAnsi="微軟正黑體" w:hint="eastAsia"/>
                <w:spacing w:val="-6"/>
                <w:sz w:val="20"/>
                <w:szCs w:val="20"/>
              </w:rPr>
              <w:t>中低收、</w:t>
            </w:r>
            <w:r w:rsidRPr="000802DA">
              <w:rPr>
                <w:rFonts w:ascii="微軟正黑體" w:eastAsia="微軟正黑體" w:hAnsi="微軟正黑體"/>
                <w:spacing w:val="-6"/>
                <w:sz w:val="20"/>
                <w:szCs w:val="20"/>
              </w:rPr>
              <w:t>所得未達一定標準、輕</w:t>
            </w:r>
            <w:r w:rsidRPr="000802DA">
              <w:rPr>
                <w:rFonts w:ascii="微軟正黑體" w:eastAsia="微軟正黑體" w:hAnsi="微軟正黑體" w:hint="eastAsia"/>
                <w:spacing w:val="-6"/>
                <w:sz w:val="20"/>
                <w:szCs w:val="20"/>
              </w:rPr>
              <w:t>/</w:t>
            </w:r>
            <w:r w:rsidRPr="000802DA">
              <w:rPr>
                <w:rFonts w:ascii="微軟正黑體" w:eastAsia="微軟正黑體" w:hAnsi="微軟正黑體"/>
                <w:spacing w:val="-6"/>
                <w:sz w:val="20"/>
                <w:szCs w:val="20"/>
              </w:rPr>
              <w:t>中度身障</w:t>
            </w:r>
          </w:p>
        </w:tc>
        <w:tc>
          <w:tcPr>
            <w:tcW w:w="992"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55-70</w:t>
            </w:r>
          </w:p>
        </w:tc>
      </w:tr>
      <w:tr w:rsidR="00D10D9D" w:rsidRPr="000802DA" w:rsidTr="00574CCA">
        <w:trPr>
          <w:trHeight w:val="130"/>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1291" w:type="dxa"/>
            <w:vMerge/>
            <w:vAlign w:val="center"/>
          </w:tcPr>
          <w:p w:rsidR="00D10D9D" w:rsidRPr="000802DA" w:rsidRDefault="00D10D9D" w:rsidP="00574CCA">
            <w:pPr>
              <w:spacing w:line="240" w:lineRule="exact"/>
              <w:rPr>
                <w:rFonts w:ascii="微軟正黑體" w:eastAsia="微軟正黑體" w:hAnsi="微軟正黑體"/>
                <w:sz w:val="20"/>
                <w:szCs w:val="20"/>
              </w:rPr>
            </w:pPr>
          </w:p>
        </w:tc>
        <w:tc>
          <w:tcPr>
            <w:tcW w:w="714" w:type="dxa"/>
            <w:vMerge/>
            <w:vAlign w:val="center"/>
          </w:tcPr>
          <w:p w:rsidR="00D10D9D" w:rsidRPr="000802DA" w:rsidRDefault="00D10D9D" w:rsidP="00574CCA">
            <w:pPr>
              <w:spacing w:line="240" w:lineRule="exact"/>
              <w:rPr>
                <w:rFonts w:ascii="微軟正黑體" w:eastAsia="微軟正黑體" w:hAnsi="微軟正黑體"/>
                <w:sz w:val="20"/>
                <w:szCs w:val="20"/>
              </w:rPr>
            </w:pPr>
          </w:p>
        </w:tc>
        <w:tc>
          <w:tcPr>
            <w:tcW w:w="2633"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漁會甲類會員</w:t>
            </w:r>
          </w:p>
        </w:tc>
        <w:tc>
          <w:tcPr>
            <w:tcW w:w="2693" w:type="dxa"/>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80</w:t>
            </w:r>
          </w:p>
        </w:tc>
        <w:tc>
          <w:tcPr>
            <w:tcW w:w="3828" w:type="dxa"/>
            <w:vMerge/>
            <w:vAlign w:val="center"/>
          </w:tcPr>
          <w:p w:rsidR="00D10D9D" w:rsidRPr="000802DA" w:rsidRDefault="00D10D9D" w:rsidP="00574CCA">
            <w:pPr>
              <w:spacing w:line="240" w:lineRule="exact"/>
              <w:jc w:val="center"/>
              <w:rPr>
                <w:rFonts w:ascii="微軟正黑體" w:eastAsia="微軟正黑體" w:hAnsi="微軟正黑體"/>
                <w:sz w:val="20"/>
                <w:szCs w:val="20"/>
              </w:rPr>
            </w:pPr>
          </w:p>
        </w:tc>
        <w:tc>
          <w:tcPr>
            <w:tcW w:w="2326" w:type="dxa"/>
            <w:vMerge/>
            <w:vAlign w:val="center"/>
          </w:tcPr>
          <w:p w:rsidR="00D10D9D" w:rsidRPr="000802DA" w:rsidRDefault="00D10D9D" w:rsidP="00574CCA">
            <w:pPr>
              <w:spacing w:line="240" w:lineRule="exact"/>
              <w:jc w:val="center"/>
              <w:rPr>
                <w:rFonts w:ascii="微軟正黑體" w:eastAsia="微軟正黑體" w:hAnsi="微軟正黑體"/>
                <w:sz w:val="20"/>
                <w:szCs w:val="20"/>
              </w:rPr>
            </w:pPr>
          </w:p>
        </w:tc>
        <w:tc>
          <w:tcPr>
            <w:tcW w:w="2351" w:type="dxa"/>
            <w:vMerge/>
            <w:vAlign w:val="center"/>
          </w:tcPr>
          <w:p w:rsidR="00D10D9D" w:rsidRPr="000802DA" w:rsidRDefault="00D10D9D" w:rsidP="00574CCA">
            <w:pPr>
              <w:spacing w:line="240" w:lineRule="exact"/>
              <w:jc w:val="center"/>
              <w:rPr>
                <w:rFonts w:ascii="微軟正黑體" w:eastAsia="微軟正黑體" w:hAnsi="微軟正黑體"/>
                <w:sz w:val="20"/>
                <w:szCs w:val="20"/>
              </w:rPr>
            </w:pPr>
          </w:p>
        </w:tc>
        <w:tc>
          <w:tcPr>
            <w:tcW w:w="3261" w:type="dxa"/>
            <w:vMerge/>
            <w:vAlign w:val="center"/>
          </w:tcPr>
          <w:p w:rsidR="00D10D9D" w:rsidRPr="000802DA" w:rsidRDefault="00D10D9D" w:rsidP="00574CCA">
            <w:pPr>
              <w:spacing w:line="240" w:lineRule="exact"/>
              <w:jc w:val="center"/>
              <w:rPr>
                <w:rFonts w:ascii="微軟正黑體" w:eastAsia="微軟正黑體" w:hAnsi="微軟正黑體"/>
                <w:sz w:val="20"/>
                <w:szCs w:val="20"/>
              </w:rPr>
            </w:pPr>
          </w:p>
        </w:tc>
        <w:tc>
          <w:tcPr>
            <w:tcW w:w="1984"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一般身分</w:t>
            </w:r>
          </w:p>
        </w:tc>
        <w:tc>
          <w:tcPr>
            <w:tcW w:w="992" w:type="dxa"/>
            <w:vAlign w:val="center"/>
          </w:tcPr>
          <w:p w:rsidR="00D10D9D" w:rsidRPr="000802DA" w:rsidRDefault="00D10D9D" w:rsidP="00574CCA">
            <w:pPr>
              <w:widowControl/>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40</w:t>
            </w:r>
          </w:p>
        </w:tc>
      </w:tr>
      <w:tr w:rsidR="00D10D9D" w:rsidRPr="000802DA" w:rsidTr="00574CCA">
        <w:trPr>
          <w:trHeight w:val="1117"/>
        </w:trPr>
        <w:tc>
          <w:tcPr>
            <w:tcW w:w="715" w:type="dxa"/>
            <w:vMerge/>
          </w:tcPr>
          <w:p w:rsidR="00D10D9D" w:rsidRPr="000802DA" w:rsidRDefault="00D10D9D" w:rsidP="00574CCA">
            <w:pPr>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費率調整機制及</w:t>
            </w:r>
          </w:p>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政府法定責任</w:t>
            </w:r>
          </w:p>
        </w:tc>
        <w:tc>
          <w:tcPr>
            <w:tcW w:w="5326" w:type="dxa"/>
            <w:gridSpan w:val="2"/>
            <w:vAlign w:val="center"/>
          </w:tcPr>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sz w:val="20"/>
                <w:szCs w:val="20"/>
              </w:rPr>
              <w:t>1.階梯費率6.5%(9</w:t>
            </w:r>
            <w:r w:rsidRPr="000802DA">
              <w:rPr>
                <w:rFonts w:ascii="微軟正黑體" w:eastAsia="微軟正黑體" w:hAnsi="微軟正黑體" w:hint="eastAsia"/>
                <w:sz w:val="20"/>
                <w:szCs w:val="20"/>
              </w:rPr>
              <w:t>8</w:t>
            </w:r>
            <w:r w:rsidRPr="000802DA">
              <w:rPr>
                <w:rFonts w:ascii="微軟正黑體" w:eastAsia="微軟正黑體" w:hAnsi="微軟正黑體"/>
                <w:sz w:val="20"/>
                <w:szCs w:val="20"/>
              </w:rPr>
              <w:t>年)至12%(11</w:t>
            </w:r>
            <w:r w:rsidRPr="000802DA">
              <w:rPr>
                <w:rFonts w:ascii="微軟正黑體" w:eastAsia="微軟正黑體" w:hAnsi="微軟正黑體" w:hint="eastAsia"/>
                <w:sz w:val="20"/>
                <w:szCs w:val="20"/>
              </w:rPr>
              <w:t>6</w:t>
            </w:r>
            <w:r w:rsidRPr="000802DA">
              <w:rPr>
                <w:rFonts w:ascii="微軟正黑體" w:eastAsia="微軟正黑體" w:hAnsi="微軟正黑體"/>
                <w:sz w:val="20"/>
                <w:szCs w:val="20"/>
              </w:rPr>
              <w:t>年)。但保險基金餘額足以支付未來20年保險給付時，不予調高</w:t>
            </w:r>
          </w:p>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sz w:val="20"/>
                <w:szCs w:val="20"/>
              </w:rPr>
              <w:t>2.如有虧損，在中央勞工保險局未成立前，應由中央主管機關審核撥補</w:t>
            </w:r>
            <w:r w:rsidRPr="000802DA">
              <w:rPr>
                <w:rFonts w:ascii="微軟正黑體" w:eastAsia="微軟正黑體" w:hAnsi="微軟正黑體" w:hint="eastAsia"/>
                <w:sz w:val="20"/>
                <w:szCs w:val="20"/>
              </w:rPr>
              <w:t>(</w:t>
            </w:r>
            <w:r w:rsidRPr="000802DA">
              <w:rPr>
                <w:rFonts w:ascii="微軟正黑體" w:eastAsia="微軟正黑體" w:hAnsi="微軟正黑體"/>
                <w:sz w:val="20"/>
                <w:szCs w:val="20"/>
              </w:rPr>
              <w:t>§69</w:t>
            </w:r>
            <w:r w:rsidRPr="000802DA">
              <w:rPr>
                <w:rFonts w:ascii="微軟正黑體" w:eastAsia="微軟正黑體" w:hAnsi="微軟正黑體" w:hint="eastAsia"/>
                <w:sz w:val="20"/>
                <w:szCs w:val="20"/>
              </w:rPr>
              <w:t>)</w:t>
            </w:r>
          </w:p>
        </w:tc>
        <w:tc>
          <w:tcPr>
            <w:tcW w:w="3828" w:type="dxa"/>
            <w:vAlign w:val="center"/>
          </w:tcPr>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hint="eastAsia"/>
                <w:bCs/>
                <w:sz w:val="20"/>
                <w:szCs w:val="20"/>
              </w:rPr>
              <w:t>1.費率由承保機構聘請精算師或委託精算機構定期精算</w:t>
            </w:r>
            <w:r w:rsidRPr="000802DA">
              <w:rPr>
                <w:rFonts w:ascii="微軟正黑體" w:eastAsia="微軟正黑體" w:hAnsi="微軟正黑體"/>
                <w:bCs/>
                <w:sz w:val="20"/>
                <w:szCs w:val="20"/>
              </w:rPr>
              <w:t>,</w:t>
            </w:r>
            <w:r w:rsidRPr="000802DA">
              <w:rPr>
                <w:rFonts w:ascii="微軟正黑體" w:eastAsia="微軟正黑體" w:hAnsi="微軟正黑體" w:hint="eastAsia"/>
                <w:bCs/>
                <w:sz w:val="20"/>
                <w:szCs w:val="20"/>
              </w:rPr>
              <w:t>並由主管機關評估保險實際收支情形及精算結果，報請行政院覈實釐定，並應送立法院備查(</w:t>
            </w:r>
            <w:r w:rsidRPr="000802DA">
              <w:rPr>
                <w:rFonts w:ascii="微軟正黑體" w:eastAsia="微軟正黑體" w:hAnsi="微軟正黑體" w:hint="eastAsia"/>
                <w:sz w:val="20"/>
                <w:szCs w:val="20"/>
              </w:rPr>
              <w:t>§</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w:t>
            </w:r>
          </w:p>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cs="細明體" w:hint="eastAsia"/>
                <w:kern w:val="0"/>
                <w:sz w:val="20"/>
                <w:szCs w:val="20"/>
              </w:rPr>
              <w:t>2.105年1月1日以後之虧損，除戰爭、武裝衝突或其他不可抗力因素應計給之給付金額由中央政府審核撥補外，應調整費率挹注(</w:t>
            </w:r>
            <w:r w:rsidRPr="000802DA">
              <w:rPr>
                <w:rFonts w:ascii="微軟正黑體" w:eastAsia="微軟正黑體" w:hAnsi="微軟正黑體" w:hint="eastAsia"/>
                <w:sz w:val="20"/>
                <w:szCs w:val="20"/>
              </w:rPr>
              <w:t>§5)</w:t>
            </w:r>
          </w:p>
        </w:tc>
        <w:tc>
          <w:tcPr>
            <w:tcW w:w="4677" w:type="dxa"/>
            <w:gridSpan w:val="2"/>
            <w:vAlign w:val="center"/>
          </w:tcPr>
          <w:p w:rsidR="00D10D9D" w:rsidRPr="00F76CB3"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hint="eastAsia"/>
                <w:sz w:val="20"/>
                <w:szCs w:val="20"/>
              </w:rPr>
              <w:t>1.費率由承保機構委託精算</w:t>
            </w:r>
            <w:r w:rsidRPr="00F76CB3">
              <w:rPr>
                <w:rFonts w:ascii="微軟正黑體" w:eastAsia="微軟正黑體" w:hAnsi="微軟正黑體" w:hint="eastAsia"/>
                <w:sz w:val="20"/>
                <w:szCs w:val="20"/>
              </w:rPr>
              <w:t>機構定期精算,並由主管機關評估保險實際收支情形及精算結果，報請考試院會同行政院覈實釐定(§8)</w:t>
            </w:r>
          </w:p>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F76CB3">
              <w:rPr>
                <w:rFonts w:ascii="微軟正黑體" w:eastAsia="微軟正黑體" w:hAnsi="微軟正黑體" w:hint="eastAsia"/>
                <w:sz w:val="20"/>
                <w:szCs w:val="20"/>
              </w:rPr>
              <w:t>2.</w:t>
            </w:r>
            <w:r w:rsidRPr="00F76CB3">
              <w:rPr>
                <w:rFonts w:ascii="微軟正黑體" w:eastAsia="微軟正黑體" w:hAnsi="微軟正黑體"/>
                <w:sz w:val="20"/>
                <w:szCs w:val="20"/>
              </w:rPr>
              <w:t>保險財務如有虧損，其屬於88年5月30日以前之</w:t>
            </w:r>
            <w:r w:rsidRPr="00F76CB3">
              <w:rPr>
                <w:rFonts w:ascii="微軟正黑體" w:eastAsia="微軟正黑體" w:hAnsi="微軟正黑體" w:hint="eastAsia"/>
                <w:sz w:val="20"/>
                <w:szCs w:val="20"/>
              </w:rPr>
              <w:t>保險年資應計給之養老給付金額</w:t>
            </w:r>
            <w:r w:rsidRPr="00F76CB3">
              <w:rPr>
                <w:rFonts w:ascii="微軟正黑體" w:eastAsia="微軟正黑體" w:hAnsi="微軟正黑體"/>
                <w:sz w:val="20"/>
                <w:szCs w:val="20"/>
              </w:rPr>
              <w:t>部分，由財政部審核撥補；其</w:t>
            </w:r>
            <w:r w:rsidRPr="00F76CB3">
              <w:rPr>
                <w:rFonts w:ascii="微軟正黑體" w:eastAsia="微軟正黑體" w:hAnsi="微軟正黑體" w:hint="eastAsia"/>
                <w:sz w:val="20"/>
                <w:szCs w:val="20"/>
              </w:rPr>
              <w:t>餘</w:t>
            </w:r>
            <w:r w:rsidRPr="00F76CB3">
              <w:rPr>
                <w:rFonts w:ascii="微軟正黑體" w:eastAsia="微軟正黑體" w:hAnsi="微軟正黑體"/>
                <w:sz w:val="20"/>
                <w:szCs w:val="20"/>
              </w:rPr>
              <w:t>虧損部分，應調整費</w:t>
            </w:r>
            <w:r w:rsidRPr="000802DA">
              <w:rPr>
                <w:rFonts w:ascii="微軟正黑體" w:eastAsia="微軟正黑體" w:hAnsi="微軟正黑體"/>
                <w:sz w:val="20"/>
                <w:szCs w:val="20"/>
              </w:rPr>
              <w:t>率挹注</w:t>
            </w:r>
            <w:r w:rsidRPr="000802DA">
              <w:rPr>
                <w:rFonts w:ascii="微軟正黑體" w:eastAsia="微軟正黑體" w:hAnsi="微軟正黑體" w:hint="eastAsia"/>
                <w:sz w:val="20"/>
                <w:szCs w:val="20"/>
              </w:rPr>
              <w:t>(</w:t>
            </w:r>
            <w:r w:rsidRPr="000802DA">
              <w:rPr>
                <w:rFonts w:ascii="微軟正黑體" w:eastAsia="微軟正黑體" w:hAnsi="微軟正黑體"/>
                <w:sz w:val="20"/>
                <w:szCs w:val="20"/>
              </w:rPr>
              <w:t>§5</w:t>
            </w:r>
            <w:r w:rsidRPr="000802DA">
              <w:rPr>
                <w:rFonts w:ascii="微軟正黑體" w:eastAsia="微軟正黑體" w:hAnsi="微軟正黑體" w:hint="eastAsia"/>
                <w:sz w:val="20"/>
                <w:szCs w:val="20"/>
              </w:rPr>
              <w:t>)</w:t>
            </w:r>
          </w:p>
        </w:tc>
        <w:tc>
          <w:tcPr>
            <w:tcW w:w="3261" w:type="dxa"/>
            <w:vAlign w:val="center"/>
          </w:tcPr>
          <w:p w:rsidR="00D10D9D" w:rsidRPr="000802DA" w:rsidRDefault="00D10D9D" w:rsidP="00574CCA">
            <w:pPr>
              <w:spacing w:line="240" w:lineRule="exact"/>
              <w:jc w:val="both"/>
              <w:rPr>
                <w:rFonts w:ascii="微軟正黑體" w:eastAsia="微軟正黑體" w:hAnsi="微軟正黑體"/>
                <w:sz w:val="20"/>
                <w:szCs w:val="20"/>
              </w:rPr>
            </w:pPr>
            <w:r w:rsidRPr="000802DA">
              <w:rPr>
                <w:rFonts w:ascii="微軟正黑體" w:eastAsia="微軟正黑體" w:hAnsi="微軟正黑體"/>
                <w:sz w:val="20"/>
                <w:szCs w:val="20"/>
              </w:rPr>
              <w:t>本保險年度結算如有虧損，除由辦理本保險業務機構之主管機關審核撥補，並得申請中央主管機關予以補助外，中央主管機關應即檢討虧損發生原因；如認為應調整保險費率時，應即依規定程序予以調整</w:t>
            </w:r>
            <w:r w:rsidRPr="000802DA">
              <w:rPr>
                <w:rFonts w:ascii="微軟正黑體" w:eastAsia="微軟正黑體" w:hAnsi="微軟正黑體" w:hint="eastAsia"/>
                <w:sz w:val="20"/>
                <w:szCs w:val="20"/>
              </w:rPr>
              <w:t>(</w:t>
            </w:r>
            <w:r w:rsidRPr="000802DA">
              <w:rPr>
                <w:rFonts w:ascii="微軟正黑體" w:eastAsia="微軟正黑體" w:hAnsi="微軟正黑體"/>
                <w:sz w:val="20"/>
                <w:szCs w:val="20"/>
              </w:rPr>
              <w:t>§44</w:t>
            </w:r>
            <w:r w:rsidRPr="000802DA">
              <w:rPr>
                <w:rFonts w:ascii="微軟正黑體" w:eastAsia="微軟正黑體" w:hAnsi="微軟正黑體" w:hint="eastAsia"/>
                <w:sz w:val="20"/>
                <w:szCs w:val="20"/>
              </w:rPr>
              <w:t>)</w:t>
            </w:r>
          </w:p>
        </w:tc>
        <w:tc>
          <w:tcPr>
            <w:tcW w:w="2976" w:type="dxa"/>
            <w:gridSpan w:val="2"/>
            <w:vAlign w:val="center"/>
          </w:tcPr>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sz w:val="20"/>
                <w:szCs w:val="20"/>
              </w:rPr>
              <w:t>1.階梯費率6.5%</w:t>
            </w:r>
            <w:r w:rsidRPr="000802DA">
              <w:rPr>
                <w:rFonts w:ascii="微軟正黑體" w:eastAsia="微軟正黑體" w:hAnsi="微軟正黑體" w:hint="eastAsia"/>
                <w:sz w:val="20"/>
                <w:szCs w:val="20"/>
              </w:rPr>
              <w:t xml:space="preserve"> </w:t>
            </w:r>
            <w:r w:rsidRPr="000802DA">
              <w:rPr>
                <w:rFonts w:ascii="微軟正黑體" w:eastAsia="微軟正黑體" w:hAnsi="微軟正黑體"/>
                <w:sz w:val="20"/>
                <w:szCs w:val="20"/>
              </w:rPr>
              <w:t>(97年)至12%</w:t>
            </w:r>
            <w:r w:rsidRPr="000802DA">
              <w:rPr>
                <w:rFonts w:ascii="微軟正黑體" w:eastAsia="微軟正黑體" w:hAnsi="微軟正黑體" w:hint="eastAsia"/>
                <w:sz w:val="20"/>
                <w:szCs w:val="20"/>
              </w:rPr>
              <w:t xml:space="preserve"> </w:t>
            </w:r>
            <w:r w:rsidRPr="000802DA">
              <w:rPr>
                <w:rFonts w:ascii="微軟正黑體" w:eastAsia="微軟正黑體" w:hAnsi="微軟正黑體"/>
                <w:sz w:val="20"/>
                <w:szCs w:val="20"/>
              </w:rPr>
              <w:t>(120年)，但保險基金餘額足以支付未來20年保險給付時，不予調高</w:t>
            </w:r>
          </w:p>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sz w:val="20"/>
                <w:szCs w:val="20"/>
              </w:rPr>
              <w:t>2.本保險之財務，由政府負最後支付責任</w:t>
            </w:r>
            <w:r w:rsidRPr="000802DA">
              <w:rPr>
                <w:rFonts w:ascii="微軟正黑體" w:eastAsia="微軟正黑體" w:hAnsi="微軟正黑體" w:hint="eastAsia"/>
                <w:sz w:val="20"/>
                <w:szCs w:val="20"/>
              </w:rPr>
              <w:t>(</w:t>
            </w:r>
            <w:r w:rsidRPr="000802DA">
              <w:rPr>
                <w:rFonts w:ascii="微軟正黑體" w:eastAsia="微軟正黑體" w:hAnsi="微軟正黑體"/>
                <w:sz w:val="20"/>
                <w:szCs w:val="20"/>
              </w:rPr>
              <w:t>§49</w:t>
            </w:r>
            <w:r w:rsidRPr="000802DA">
              <w:rPr>
                <w:rFonts w:ascii="微軟正黑體" w:eastAsia="微軟正黑體" w:hAnsi="微軟正黑體" w:hint="eastAsia"/>
                <w:sz w:val="20"/>
                <w:szCs w:val="20"/>
              </w:rPr>
              <w:t>)</w:t>
            </w:r>
          </w:p>
        </w:tc>
      </w:tr>
      <w:tr w:rsidR="00D10D9D" w:rsidRPr="000802DA" w:rsidTr="00574CCA">
        <w:trPr>
          <w:trHeight w:val="204"/>
        </w:trPr>
        <w:tc>
          <w:tcPr>
            <w:tcW w:w="715" w:type="dxa"/>
            <w:vMerge/>
          </w:tcPr>
          <w:p w:rsidR="00D10D9D" w:rsidRPr="000802DA" w:rsidRDefault="00D10D9D" w:rsidP="00574CCA">
            <w:pPr>
              <w:widowControl/>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在保人數(萬人)</w:t>
            </w:r>
          </w:p>
        </w:tc>
        <w:tc>
          <w:tcPr>
            <w:tcW w:w="5326" w:type="dxa"/>
            <w:gridSpan w:val="2"/>
            <w:shd w:val="clear" w:color="auto" w:fill="auto"/>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1,055.5</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9</w:t>
            </w:r>
            <w:r w:rsidRPr="000802DA">
              <w:rPr>
                <w:rFonts w:ascii="微軟正黑體" w:eastAsia="微軟正黑體" w:hAnsi="微軟正黑體"/>
                <w:sz w:val="20"/>
                <w:szCs w:val="20"/>
              </w:rPr>
              <w:t>/</w:t>
            </w:r>
            <w:r w:rsidRPr="000802DA">
              <w:rPr>
                <w:rFonts w:ascii="微軟正黑體" w:eastAsia="微軟正黑體" w:hAnsi="微軟正黑體" w:hint="eastAsia"/>
                <w:sz w:val="20"/>
                <w:szCs w:val="20"/>
              </w:rPr>
              <w:t>12</w:t>
            </w:r>
            <w:r w:rsidRPr="000802DA">
              <w:rPr>
                <w:rFonts w:ascii="微軟正黑體" w:eastAsia="微軟正黑體" w:hAnsi="微軟正黑體"/>
                <w:sz w:val="20"/>
                <w:szCs w:val="20"/>
              </w:rPr>
              <w:t>)</w:t>
            </w:r>
          </w:p>
        </w:tc>
        <w:tc>
          <w:tcPr>
            <w:tcW w:w="3828" w:type="dxa"/>
            <w:shd w:val="clear" w:color="auto" w:fill="auto"/>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21.7</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9</w:t>
            </w:r>
            <w:r w:rsidRPr="000802DA">
              <w:rPr>
                <w:rFonts w:ascii="微軟正黑體" w:eastAsia="微軟正黑體" w:hAnsi="微軟正黑體"/>
                <w:sz w:val="20"/>
                <w:szCs w:val="20"/>
              </w:rPr>
              <w:t>/</w:t>
            </w:r>
            <w:r w:rsidRPr="000802DA">
              <w:rPr>
                <w:rFonts w:ascii="微軟正黑體" w:eastAsia="微軟正黑體" w:hAnsi="微軟正黑體" w:hint="eastAsia"/>
                <w:sz w:val="20"/>
                <w:szCs w:val="20"/>
              </w:rPr>
              <w:t>12</w:t>
            </w:r>
            <w:r w:rsidRPr="000802DA">
              <w:rPr>
                <w:rFonts w:ascii="微軟正黑體" w:eastAsia="微軟正黑體" w:hAnsi="微軟正黑體"/>
                <w:sz w:val="20"/>
                <w:szCs w:val="20"/>
              </w:rPr>
              <w:t>)</w:t>
            </w:r>
          </w:p>
        </w:tc>
        <w:tc>
          <w:tcPr>
            <w:tcW w:w="4677" w:type="dxa"/>
            <w:gridSpan w:val="2"/>
            <w:shd w:val="clear" w:color="auto" w:fill="auto"/>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5</w:t>
            </w:r>
            <w:r w:rsidRPr="000802DA">
              <w:rPr>
                <w:rFonts w:ascii="微軟正黑體" w:eastAsia="微軟正黑體" w:hAnsi="微軟正黑體" w:hint="eastAsia"/>
                <w:sz w:val="20"/>
                <w:szCs w:val="20"/>
              </w:rPr>
              <w:t>9.4</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9</w:t>
            </w:r>
            <w:r w:rsidRPr="000802DA">
              <w:rPr>
                <w:rFonts w:ascii="微軟正黑體" w:eastAsia="微軟正黑體" w:hAnsi="微軟正黑體"/>
                <w:sz w:val="20"/>
                <w:szCs w:val="20"/>
              </w:rPr>
              <w:t>/</w:t>
            </w:r>
            <w:r w:rsidRPr="000802DA">
              <w:rPr>
                <w:rFonts w:ascii="微軟正黑體" w:eastAsia="微軟正黑體" w:hAnsi="微軟正黑體" w:hint="eastAsia"/>
                <w:sz w:val="20"/>
                <w:szCs w:val="20"/>
              </w:rPr>
              <w:t>12</w:t>
            </w:r>
            <w:r w:rsidRPr="000802DA">
              <w:rPr>
                <w:rFonts w:ascii="微軟正黑體" w:eastAsia="微軟正黑體" w:hAnsi="微軟正黑體"/>
                <w:sz w:val="20"/>
                <w:szCs w:val="20"/>
              </w:rPr>
              <w:t>)</w:t>
            </w:r>
          </w:p>
        </w:tc>
        <w:tc>
          <w:tcPr>
            <w:tcW w:w="3261" w:type="dxa"/>
            <w:shd w:val="clear" w:color="auto" w:fill="auto"/>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104.6</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9</w:t>
            </w:r>
            <w:r w:rsidRPr="000802DA">
              <w:rPr>
                <w:rFonts w:ascii="微軟正黑體" w:eastAsia="微軟正黑體" w:hAnsi="微軟正黑體"/>
                <w:sz w:val="20"/>
                <w:szCs w:val="20"/>
              </w:rPr>
              <w:t>/</w:t>
            </w:r>
            <w:r w:rsidRPr="000802DA">
              <w:rPr>
                <w:rFonts w:ascii="微軟正黑體" w:eastAsia="微軟正黑體" w:hAnsi="微軟正黑體" w:hint="eastAsia"/>
                <w:sz w:val="20"/>
                <w:szCs w:val="20"/>
              </w:rPr>
              <w:t>12</w:t>
            </w:r>
            <w:r w:rsidRPr="000802DA">
              <w:rPr>
                <w:rFonts w:ascii="微軟正黑體" w:eastAsia="微軟正黑體" w:hAnsi="微軟正黑體"/>
                <w:sz w:val="20"/>
                <w:szCs w:val="20"/>
              </w:rPr>
              <w:t>)</w:t>
            </w:r>
          </w:p>
        </w:tc>
        <w:tc>
          <w:tcPr>
            <w:tcW w:w="2976" w:type="dxa"/>
            <w:gridSpan w:val="2"/>
            <w:shd w:val="clear" w:color="auto" w:fill="auto"/>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310.6</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9</w:t>
            </w:r>
            <w:r w:rsidRPr="000802DA">
              <w:rPr>
                <w:rFonts w:ascii="微軟正黑體" w:eastAsia="微軟正黑體" w:hAnsi="微軟正黑體"/>
                <w:sz w:val="20"/>
                <w:szCs w:val="20"/>
              </w:rPr>
              <w:t>/</w:t>
            </w:r>
            <w:r w:rsidRPr="000802DA">
              <w:rPr>
                <w:rFonts w:ascii="微軟正黑體" w:eastAsia="微軟正黑體" w:hAnsi="微軟正黑體" w:hint="eastAsia"/>
                <w:sz w:val="20"/>
                <w:szCs w:val="20"/>
              </w:rPr>
              <w:t>12</w:t>
            </w:r>
            <w:r w:rsidRPr="000802DA">
              <w:rPr>
                <w:rFonts w:ascii="微軟正黑體" w:eastAsia="微軟正黑體" w:hAnsi="微軟正黑體"/>
                <w:sz w:val="20"/>
                <w:szCs w:val="20"/>
              </w:rPr>
              <w:t>)</w:t>
            </w:r>
          </w:p>
        </w:tc>
      </w:tr>
      <w:tr w:rsidR="00D10D9D" w:rsidRPr="000802DA" w:rsidTr="00574CCA">
        <w:trPr>
          <w:trHeight w:val="249"/>
        </w:trPr>
        <w:tc>
          <w:tcPr>
            <w:tcW w:w="715" w:type="dxa"/>
            <w:vMerge/>
          </w:tcPr>
          <w:p w:rsidR="00D10D9D" w:rsidRPr="000802DA" w:rsidRDefault="00D10D9D" w:rsidP="00574CCA">
            <w:pPr>
              <w:widowControl/>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基金</w:t>
            </w:r>
            <w:r>
              <w:rPr>
                <w:rFonts w:ascii="微軟正黑體" w:eastAsia="微軟正黑體" w:hAnsi="微軟正黑體"/>
                <w:sz w:val="20"/>
                <w:szCs w:val="20"/>
              </w:rPr>
              <w:t>運用</w:t>
            </w:r>
            <w:r w:rsidRPr="000802DA">
              <w:rPr>
                <w:rFonts w:ascii="微軟正黑體" w:eastAsia="微軟正黑體" w:hAnsi="微軟正黑體" w:hint="eastAsia"/>
                <w:sz w:val="20"/>
                <w:szCs w:val="20"/>
              </w:rPr>
              <w:t>規模</w:t>
            </w:r>
            <w:r w:rsidRPr="000802DA">
              <w:rPr>
                <w:rFonts w:ascii="微軟正黑體" w:eastAsia="微軟正黑體" w:hAnsi="微軟正黑體"/>
                <w:sz w:val="20"/>
                <w:szCs w:val="20"/>
              </w:rPr>
              <w:t>(億元)</w:t>
            </w:r>
          </w:p>
        </w:tc>
        <w:tc>
          <w:tcPr>
            <w:tcW w:w="5326" w:type="dxa"/>
            <w:gridSpan w:val="2"/>
            <w:shd w:val="clear" w:color="auto" w:fill="auto"/>
            <w:vAlign w:val="center"/>
          </w:tcPr>
          <w:p w:rsidR="00D10D9D" w:rsidRPr="000802DA" w:rsidRDefault="00D10D9D" w:rsidP="00574CCA">
            <w:pPr>
              <w:spacing w:line="240" w:lineRule="exact"/>
              <w:jc w:val="center"/>
              <w:rPr>
                <w:rFonts w:ascii="微軟正黑體" w:eastAsia="微軟正黑體" w:hAnsi="微軟正黑體"/>
                <w:b/>
                <w:sz w:val="20"/>
                <w:szCs w:val="20"/>
              </w:rPr>
            </w:pPr>
            <w:r w:rsidRPr="000802DA">
              <w:rPr>
                <w:rFonts w:ascii="微軟正黑體" w:eastAsia="微軟正黑體" w:hAnsi="微軟正黑體" w:hint="eastAsia"/>
                <w:sz w:val="20"/>
                <w:szCs w:val="20"/>
              </w:rPr>
              <w:t>7,625</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9</w:t>
            </w:r>
            <w:r w:rsidRPr="000802DA">
              <w:rPr>
                <w:rFonts w:ascii="微軟正黑體" w:eastAsia="微軟正黑體" w:hAnsi="微軟正黑體"/>
                <w:sz w:val="20"/>
                <w:szCs w:val="20"/>
              </w:rPr>
              <w:t>/</w:t>
            </w:r>
            <w:r w:rsidRPr="000802DA">
              <w:rPr>
                <w:rFonts w:ascii="微軟正黑體" w:eastAsia="微軟正黑體" w:hAnsi="微軟正黑體" w:hint="eastAsia"/>
                <w:sz w:val="20"/>
                <w:szCs w:val="20"/>
              </w:rPr>
              <w:t>12</w:t>
            </w:r>
            <w:r w:rsidRPr="000802DA">
              <w:rPr>
                <w:rFonts w:ascii="微軟正黑體" w:eastAsia="微軟正黑體" w:hAnsi="微軟正黑體"/>
                <w:sz w:val="20"/>
                <w:szCs w:val="20"/>
              </w:rPr>
              <w:t>)</w:t>
            </w:r>
            <w:r w:rsidRPr="00751A26">
              <w:rPr>
                <w:rFonts w:ascii="微軟正黑體" w:eastAsia="微軟正黑體" w:hAnsi="微軟正黑體" w:hint="eastAsia"/>
                <w:sz w:val="20"/>
                <w:szCs w:val="20"/>
                <w:vertAlign w:val="superscript"/>
              </w:rPr>
              <w:t>(註1)</w:t>
            </w:r>
          </w:p>
        </w:tc>
        <w:tc>
          <w:tcPr>
            <w:tcW w:w="3828" w:type="dxa"/>
            <w:shd w:val="clear" w:color="auto" w:fill="auto"/>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E2281F">
              <w:rPr>
                <w:rFonts w:ascii="微軟正黑體" w:eastAsia="微軟正黑體" w:hAnsi="微軟正黑體" w:hint="eastAsia"/>
                <w:sz w:val="20"/>
                <w:szCs w:val="20"/>
              </w:rPr>
              <w:t>175</w:t>
            </w:r>
            <w:r w:rsidRPr="00E2281F">
              <w:rPr>
                <w:rFonts w:ascii="微軟正黑體" w:eastAsia="微軟正黑體" w:hAnsi="微軟正黑體"/>
                <w:sz w:val="20"/>
                <w:szCs w:val="20"/>
              </w:rPr>
              <w:t>(10</w:t>
            </w:r>
            <w:r w:rsidRPr="00E2281F">
              <w:rPr>
                <w:rFonts w:ascii="微軟正黑體" w:eastAsia="微軟正黑體" w:hAnsi="微軟正黑體" w:hint="eastAsia"/>
                <w:sz w:val="20"/>
                <w:szCs w:val="20"/>
              </w:rPr>
              <w:t>9</w:t>
            </w:r>
            <w:r w:rsidRPr="00E2281F">
              <w:rPr>
                <w:rFonts w:ascii="微軟正黑體" w:eastAsia="微軟正黑體" w:hAnsi="微軟正黑體"/>
                <w:sz w:val="20"/>
                <w:szCs w:val="20"/>
              </w:rPr>
              <w:t>/</w:t>
            </w:r>
            <w:r w:rsidRPr="00E2281F">
              <w:rPr>
                <w:rFonts w:ascii="微軟正黑體" w:eastAsia="微軟正黑體" w:hAnsi="微軟正黑體" w:hint="eastAsia"/>
                <w:sz w:val="20"/>
                <w:szCs w:val="20"/>
              </w:rPr>
              <w:t>12</w:t>
            </w:r>
            <w:r w:rsidRPr="00E2281F">
              <w:rPr>
                <w:rFonts w:ascii="微軟正黑體" w:eastAsia="微軟正黑體" w:hAnsi="微軟正黑體"/>
                <w:sz w:val="20"/>
                <w:szCs w:val="20"/>
              </w:rPr>
              <w:t>)</w:t>
            </w:r>
          </w:p>
        </w:tc>
        <w:tc>
          <w:tcPr>
            <w:tcW w:w="4677" w:type="dxa"/>
            <w:gridSpan w:val="2"/>
            <w:shd w:val="clear" w:color="auto" w:fill="auto"/>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3,257</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9</w:t>
            </w:r>
            <w:r w:rsidRPr="000802DA">
              <w:rPr>
                <w:rFonts w:ascii="微軟正黑體" w:eastAsia="微軟正黑體" w:hAnsi="微軟正黑體"/>
                <w:sz w:val="20"/>
                <w:szCs w:val="20"/>
              </w:rPr>
              <w:t>/</w:t>
            </w:r>
            <w:r w:rsidRPr="000802DA">
              <w:rPr>
                <w:rFonts w:ascii="微軟正黑體" w:eastAsia="微軟正黑體" w:hAnsi="微軟正黑體" w:hint="eastAsia"/>
                <w:sz w:val="20"/>
                <w:szCs w:val="20"/>
              </w:rPr>
              <w:t>12</w:t>
            </w:r>
            <w:r w:rsidRPr="000802DA">
              <w:rPr>
                <w:rFonts w:ascii="微軟正黑體" w:eastAsia="微軟正黑體" w:hAnsi="微軟正黑體"/>
                <w:sz w:val="20"/>
                <w:szCs w:val="20"/>
              </w:rPr>
              <w:t>)</w:t>
            </w:r>
          </w:p>
        </w:tc>
        <w:tc>
          <w:tcPr>
            <w:tcW w:w="3261" w:type="dxa"/>
            <w:shd w:val="clear" w:color="auto" w:fill="auto"/>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w:t>
            </w:r>
          </w:p>
        </w:tc>
        <w:tc>
          <w:tcPr>
            <w:tcW w:w="2976" w:type="dxa"/>
            <w:gridSpan w:val="2"/>
            <w:shd w:val="clear" w:color="auto" w:fill="auto"/>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4,178</w:t>
            </w:r>
            <w:r w:rsidRPr="000802DA">
              <w:rPr>
                <w:rFonts w:ascii="微軟正黑體" w:eastAsia="微軟正黑體" w:hAnsi="微軟正黑體"/>
                <w:sz w:val="20"/>
                <w:szCs w:val="20"/>
              </w:rPr>
              <w:t>(10</w:t>
            </w:r>
            <w:r w:rsidRPr="000802DA">
              <w:rPr>
                <w:rFonts w:ascii="微軟正黑體" w:eastAsia="微軟正黑體" w:hAnsi="微軟正黑體" w:hint="eastAsia"/>
                <w:sz w:val="20"/>
                <w:szCs w:val="20"/>
              </w:rPr>
              <w:t>9</w:t>
            </w:r>
            <w:r w:rsidRPr="000802DA">
              <w:rPr>
                <w:rFonts w:ascii="微軟正黑體" w:eastAsia="微軟正黑體" w:hAnsi="微軟正黑體"/>
                <w:sz w:val="20"/>
                <w:szCs w:val="20"/>
              </w:rPr>
              <w:t>/</w:t>
            </w:r>
            <w:r w:rsidRPr="000802DA">
              <w:rPr>
                <w:rFonts w:ascii="微軟正黑體" w:eastAsia="微軟正黑體" w:hAnsi="微軟正黑體" w:hint="eastAsia"/>
                <w:sz w:val="20"/>
                <w:szCs w:val="20"/>
              </w:rPr>
              <w:t>12</w:t>
            </w:r>
            <w:r w:rsidRPr="000802DA">
              <w:rPr>
                <w:rFonts w:ascii="微軟正黑體" w:eastAsia="微軟正黑體" w:hAnsi="微軟正黑體"/>
                <w:sz w:val="20"/>
                <w:szCs w:val="20"/>
              </w:rPr>
              <w:t>)</w:t>
            </w:r>
          </w:p>
        </w:tc>
      </w:tr>
      <w:tr w:rsidR="00D10D9D" w:rsidRPr="000802DA" w:rsidTr="00574CCA">
        <w:trPr>
          <w:trHeight w:val="811"/>
        </w:trPr>
        <w:tc>
          <w:tcPr>
            <w:tcW w:w="715" w:type="dxa"/>
            <w:vMerge/>
          </w:tcPr>
          <w:p w:rsidR="00D10D9D" w:rsidRPr="000802DA" w:rsidRDefault="00D10D9D" w:rsidP="00574CCA">
            <w:pPr>
              <w:widowControl/>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未來基金餘額分析</w:t>
            </w:r>
          </w:p>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hint="eastAsia"/>
                <w:sz w:val="20"/>
                <w:szCs w:val="20"/>
              </w:rPr>
              <w:t>(依最新精算結果)</w:t>
            </w:r>
          </w:p>
        </w:tc>
        <w:tc>
          <w:tcPr>
            <w:tcW w:w="5326" w:type="dxa"/>
            <w:gridSpan w:val="2"/>
            <w:vAlign w:val="center"/>
          </w:tcPr>
          <w:p w:rsidR="00D10D9D" w:rsidRPr="000802DA" w:rsidRDefault="00D10D9D" w:rsidP="00574CCA">
            <w:pPr>
              <w:spacing w:line="240" w:lineRule="exact"/>
              <w:jc w:val="both"/>
              <w:rPr>
                <w:rFonts w:ascii="微軟正黑體" w:eastAsia="微軟正黑體" w:hAnsi="微軟正黑體"/>
                <w:sz w:val="20"/>
                <w:szCs w:val="20"/>
              </w:rPr>
            </w:pPr>
            <w:r w:rsidRPr="000802DA">
              <w:rPr>
                <w:rFonts w:ascii="微軟正黑體" w:eastAsia="微軟正黑體" w:hAnsi="微軟正黑體"/>
                <w:sz w:val="20"/>
                <w:szCs w:val="20"/>
              </w:rPr>
              <w:t>1.</w:t>
            </w:r>
            <w:r w:rsidRPr="000802DA">
              <w:rPr>
                <w:rFonts w:ascii="微軟正黑體" w:eastAsia="微軟正黑體" w:hAnsi="微軟正黑體" w:hint="eastAsia"/>
                <w:sz w:val="20"/>
                <w:szCs w:val="20"/>
              </w:rPr>
              <w:t>最適精算假設下之長期平衡費率</w:t>
            </w:r>
            <w:r w:rsidRPr="000802DA">
              <w:rPr>
                <w:rFonts w:ascii="微軟正黑體" w:eastAsia="微軟正黑體" w:hAnsi="微軟正黑體"/>
                <w:sz w:val="20"/>
                <w:szCs w:val="20"/>
              </w:rPr>
              <w:t>應為27.</w:t>
            </w:r>
            <w:r w:rsidRPr="000802DA">
              <w:rPr>
                <w:rFonts w:ascii="微軟正黑體" w:eastAsia="微軟正黑體" w:hAnsi="微軟正黑體" w:hint="eastAsia"/>
                <w:sz w:val="20"/>
                <w:szCs w:val="20"/>
              </w:rPr>
              <w:t>94</w:t>
            </w:r>
            <w:r w:rsidRPr="000802DA">
              <w:rPr>
                <w:rFonts w:ascii="微軟正黑體" w:eastAsia="微軟正黑體" w:hAnsi="微軟正黑體"/>
                <w:sz w:val="20"/>
                <w:szCs w:val="20"/>
              </w:rPr>
              <w:t>％</w:t>
            </w:r>
          </w:p>
          <w:p w:rsidR="00D10D9D" w:rsidRPr="000802DA" w:rsidRDefault="00D10D9D" w:rsidP="00574CCA">
            <w:pPr>
              <w:spacing w:line="240" w:lineRule="exact"/>
              <w:jc w:val="both"/>
              <w:rPr>
                <w:rFonts w:ascii="微軟正黑體" w:eastAsia="微軟正黑體" w:hAnsi="微軟正黑體"/>
                <w:sz w:val="20"/>
                <w:szCs w:val="20"/>
              </w:rPr>
            </w:pPr>
            <w:r w:rsidRPr="000802DA">
              <w:rPr>
                <w:rFonts w:ascii="微軟正黑體" w:eastAsia="微軟正黑體" w:hAnsi="微軟正黑體"/>
                <w:sz w:val="20"/>
                <w:szCs w:val="20"/>
              </w:rPr>
              <w:t>2.預估11</w:t>
            </w:r>
            <w:r w:rsidRPr="000802DA">
              <w:rPr>
                <w:rFonts w:ascii="微軟正黑體" w:eastAsia="微軟正黑體" w:hAnsi="微軟正黑體" w:hint="eastAsia"/>
                <w:sz w:val="20"/>
                <w:szCs w:val="20"/>
              </w:rPr>
              <w:t>5年</w:t>
            </w:r>
            <w:r w:rsidRPr="000802DA">
              <w:rPr>
                <w:rFonts w:ascii="微軟正黑體" w:eastAsia="微軟正黑體" w:hAnsi="微軟正黑體"/>
                <w:sz w:val="20"/>
                <w:szCs w:val="20"/>
              </w:rPr>
              <w:t>基金累積餘額</w:t>
            </w:r>
            <w:r w:rsidRPr="000802DA">
              <w:rPr>
                <w:rFonts w:ascii="微軟正黑體" w:eastAsia="微軟正黑體" w:hAnsi="微軟正黑體" w:hint="eastAsia"/>
                <w:sz w:val="20"/>
                <w:szCs w:val="20"/>
              </w:rPr>
              <w:t>將轉為負值</w:t>
            </w:r>
          </w:p>
        </w:tc>
        <w:tc>
          <w:tcPr>
            <w:tcW w:w="3828" w:type="dxa"/>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hint="eastAsia"/>
                <w:sz w:val="20"/>
                <w:szCs w:val="20"/>
              </w:rPr>
              <w:t>-</w:t>
            </w:r>
          </w:p>
        </w:tc>
        <w:tc>
          <w:tcPr>
            <w:tcW w:w="4677" w:type="dxa"/>
            <w:gridSpan w:val="2"/>
            <w:shd w:val="clear" w:color="auto" w:fill="auto"/>
            <w:vAlign w:val="center"/>
          </w:tcPr>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hint="eastAsia"/>
                <w:sz w:val="20"/>
                <w:szCs w:val="20"/>
              </w:rPr>
              <w:t>1.</w:t>
            </w:r>
            <w:r w:rsidRPr="000802DA">
              <w:rPr>
                <w:rFonts w:ascii="微軟正黑體" w:eastAsia="微軟正黑體" w:hAnsi="微軟正黑體"/>
                <w:sz w:val="20"/>
                <w:szCs w:val="20"/>
              </w:rPr>
              <w:t>精算未來50年平準費</w:t>
            </w:r>
            <w:r w:rsidRPr="00553DCB">
              <w:rPr>
                <w:rFonts w:ascii="微軟正黑體" w:eastAsia="微軟正黑體" w:hAnsi="微軟正黑體" w:hint="eastAsia"/>
                <w:sz w:val="20"/>
                <w:szCs w:val="20"/>
              </w:rPr>
              <w:t>率：10.16%(適用年金制度者)及7.83%(不適用年金</w:t>
            </w:r>
            <w:r w:rsidRPr="000802DA">
              <w:rPr>
                <w:rFonts w:ascii="微軟正黑體" w:eastAsia="微軟正黑體" w:hAnsi="微軟正黑體" w:hint="eastAsia"/>
                <w:sz w:val="20"/>
                <w:szCs w:val="20"/>
              </w:rPr>
              <w:t>制度者)</w:t>
            </w:r>
          </w:p>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hint="eastAsia"/>
                <w:sz w:val="20"/>
                <w:szCs w:val="20"/>
              </w:rPr>
              <w:t>2.維持上述費率情況下，準備金足以支應未來50年之給付</w:t>
            </w:r>
          </w:p>
        </w:tc>
        <w:tc>
          <w:tcPr>
            <w:tcW w:w="3261" w:type="dxa"/>
            <w:shd w:val="clear" w:color="auto" w:fill="auto"/>
            <w:vAlign w:val="center"/>
          </w:tcPr>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hint="eastAsia"/>
                <w:sz w:val="20"/>
                <w:szCs w:val="20"/>
              </w:rPr>
              <w:t>1.</w:t>
            </w:r>
            <w:r w:rsidRPr="000802DA">
              <w:rPr>
                <w:rFonts w:ascii="微軟正黑體" w:eastAsia="微軟正黑體" w:hAnsi="微軟正黑體"/>
                <w:sz w:val="20"/>
                <w:szCs w:val="20"/>
              </w:rPr>
              <w:t>開辦即發生虧損，短絀由國庫撥補，不足額向勞保基金借貸。至10</w:t>
            </w:r>
            <w:r w:rsidRPr="000802DA">
              <w:rPr>
                <w:rFonts w:ascii="微軟正黑體" w:eastAsia="微軟正黑體" w:hAnsi="微軟正黑體" w:hint="eastAsia"/>
                <w:sz w:val="20"/>
                <w:szCs w:val="20"/>
              </w:rPr>
              <w:t>9</w:t>
            </w:r>
            <w:r w:rsidRPr="000802DA">
              <w:rPr>
                <w:rFonts w:ascii="微軟正黑體" w:eastAsia="微軟正黑體" w:hAnsi="微軟正黑體"/>
                <w:sz w:val="20"/>
                <w:szCs w:val="20"/>
              </w:rPr>
              <w:t>年</w:t>
            </w:r>
            <w:r w:rsidRPr="000802DA">
              <w:rPr>
                <w:rFonts w:ascii="微軟正黑體" w:eastAsia="微軟正黑體" w:hAnsi="微軟正黑體" w:hint="eastAsia"/>
                <w:sz w:val="20"/>
                <w:szCs w:val="20"/>
              </w:rPr>
              <w:t>12</w:t>
            </w:r>
            <w:r w:rsidRPr="000802DA">
              <w:rPr>
                <w:rFonts w:ascii="微軟正黑體" w:eastAsia="微軟正黑體" w:hAnsi="微軟正黑體"/>
                <w:sz w:val="20"/>
                <w:szCs w:val="20"/>
              </w:rPr>
              <w:t>月底，累積虧損1</w:t>
            </w:r>
            <w:r w:rsidRPr="000802DA">
              <w:rPr>
                <w:rFonts w:ascii="微軟正黑體" w:eastAsia="微軟正黑體" w:hAnsi="微軟正黑體" w:hint="eastAsia"/>
                <w:sz w:val="20"/>
                <w:szCs w:val="20"/>
              </w:rPr>
              <w:t>,676</w:t>
            </w:r>
            <w:r w:rsidRPr="000802DA">
              <w:rPr>
                <w:rFonts w:ascii="微軟正黑體" w:eastAsia="微軟正黑體" w:hAnsi="微軟正黑體"/>
                <w:sz w:val="20"/>
                <w:szCs w:val="20"/>
              </w:rPr>
              <w:t>億元</w:t>
            </w:r>
          </w:p>
          <w:p w:rsidR="00D10D9D" w:rsidRPr="000802DA" w:rsidRDefault="00D10D9D" w:rsidP="00574CCA">
            <w:pPr>
              <w:spacing w:line="240" w:lineRule="exact"/>
              <w:ind w:left="186" w:hangingChars="93" w:hanging="186"/>
              <w:jc w:val="both"/>
              <w:rPr>
                <w:rFonts w:ascii="微軟正黑體" w:eastAsia="微軟正黑體" w:hAnsi="微軟正黑體"/>
                <w:sz w:val="20"/>
                <w:szCs w:val="20"/>
              </w:rPr>
            </w:pPr>
            <w:r w:rsidRPr="000802DA">
              <w:rPr>
                <w:rFonts w:ascii="微軟正黑體" w:eastAsia="微軟正黑體" w:hAnsi="微軟正黑體" w:hint="eastAsia"/>
                <w:sz w:val="20"/>
                <w:szCs w:val="20"/>
              </w:rPr>
              <w:t>2.精算長期平衡費率為6.95%</w:t>
            </w:r>
          </w:p>
        </w:tc>
        <w:tc>
          <w:tcPr>
            <w:tcW w:w="2976" w:type="dxa"/>
            <w:gridSpan w:val="2"/>
            <w:vAlign w:val="center"/>
          </w:tcPr>
          <w:p w:rsidR="00D10D9D" w:rsidRPr="000802DA" w:rsidRDefault="00D10D9D" w:rsidP="00574CCA">
            <w:pPr>
              <w:spacing w:line="240" w:lineRule="exact"/>
              <w:jc w:val="both"/>
              <w:rPr>
                <w:rFonts w:ascii="微軟正黑體" w:eastAsia="微軟正黑體" w:hAnsi="微軟正黑體"/>
                <w:sz w:val="20"/>
                <w:szCs w:val="20"/>
              </w:rPr>
            </w:pPr>
            <w:r w:rsidRPr="000802DA">
              <w:rPr>
                <w:rFonts w:ascii="微軟正黑體" w:eastAsia="微軟正黑體" w:hAnsi="微軟正黑體"/>
                <w:sz w:val="20"/>
                <w:szCs w:val="20"/>
              </w:rPr>
              <w:t>1.保險最適提撥率2</w:t>
            </w:r>
            <w:r w:rsidRPr="000802DA">
              <w:rPr>
                <w:rFonts w:ascii="微軟正黑體" w:eastAsia="微軟正黑體" w:hAnsi="微軟正黑體" w:hint="eastAsia"/>
                <w:sz w:val="20"/>
                <w:szCs w:val="20"/>
              </w:rPr>
              <w:t>0</w:t>
            </w:r>
            <w:r w:rsidRPr="000802DA">
              <w:rPr>
                <w:rFonts w:ascii="微軟正黑體" w:eastAsia="微軟正黑體" w:hAnsi="微軟正黑體"/>
                <w:sz w:val="20"/>
                <w:szCs w:val="20"/>
              </w:rPr>
              <w:t>.</w:t>
            </w:r>
            <w:r w:rsidRPr="000802DA">
              <w:rPr>
                <w:rFonts w:ascii="微軟正黑體" w:eastAsia="微軟正黑體" w:hAnsi="微軟正黑體" w:hint="eastAsia"/>
                <w:sz w:val="20"/>
                <w:szCs w:val="20"/>
              </w:rPr>
              <w:t>24</w:t>
            </w:r>
            <w:r w:rsidRPr="000802DA">
              <w:rPr>
                <w:rFonts w:ascii="微軟正黑體" w:eastAsia="微軟正黑體" w:hAnsi="微軟正黑體"/>
                <w:sz w:val="20"/>
                <w:szCs w:val="20"/>
              </w:rPr>
              <w:t>%</w:t>
            </w:r>
          </w:p>
          <w:p w:rsidR="00D10D9D" w:rsidRPr="000802DA" w:rsidRDefault="00D10D9D" w:rsidP="00574CCA">
            <w:pPr>
              <w:spacing w:line="240" w:lineRule="exact"/>
              <w:ind w:left="160" w:hangingChars="80" w:hanging="160"/>
              <w:jc w:val="both"/>
              <w:rPr>
                <w:rFonts w:ascii="微軟正黑體" w:eastAsia="微軟正黑體" w:hAnsi="微軟正黑體"/>
                <w:sz w:val="20"/>
                <w:szCs w:val="20"/>
              </w:rPr>
            </w:pPr>
            <w:r w:rsidRPr="000802DA">
              <w:rPr>
                <w:rFonts w:ascii="微軟正黑體" w:eastAsia="微軟正黑體" w:hAnsi="微軟正黑體"/>
                <w:sz w:val="20"/>
                <w:szCs w:val="20"/>
              </w:rPr>
              <w:t>2.費</w:t>
            </w:r>
            <w:r w:rsidRPr="000802DA">
              <w:rPr>
                <w:rFonts w:ascii="微軟正黑體" w:eastAsia="微軟正黑體" w:hAnsi="微軟正黑體" w:hint="eastAsia"/>
                <w:sz w:val="20"/>
                <w:szCs w:val="20"/>
              </w:rPr>
              <w:t>率維持9.5</w:t>
            </w:r>
            <w:r w:rsidRPr="000802DA">
              <w:rPr>
                <w:rFonts w:ascii="微軟正黑體" w:eastAsia="微軟正黑體" w:hAnsi="微軟正黑體"/>
                <w:sz w:val="20"/>
                <w:szCs w:val="20"/>
              </w:rPr>
              <w:t>%，基金於</w:t>
            </w:r>
            <w:r w:rsidRPr="000802DA">
              <w:rPr>
                <w:rFonts w:ascii="微軟正黑體" w:eastAsia="微軟正黑體" w:hAnsi="微軟正黑體" w:hint="eastAsia"/>
                <w:sz w:val="20"/>
                <w:szCs w:val="20"/>
              </w:rPr>
              <w:t>137</w:t>
            </w:r>
            <w:r w:rsidRPr="000802DA">
              <w:rPr>
                <w:rFonts w:ascii="微軟正黑體" w:eastAsia="微軟正黑體" w:hAnsi="微軟正黑體"/>
                <w:sz w:val="20"/>
                <w:szCs w:val="20"/>
              </w:rPr>
              <w:t>年用盡</w:t>
            </w:r>
            <w:r w:rsidRPr="000802DA">
              <w:rPr>
                <w:rFonts w:ascii="微軟正黑體" w:eastAsia="微軟正黑體" w:hAnsi="微軟正黑體"/>
                <w:kern w:val="0"/>
                <w:sz w:val="20"/>
                <w:szCs w:val="20"/>
              </w:rPr>
              <w:t>；費率每2年調高</w:t>
            </w:r>
            <w:r w:rsidRPr="000802DA">
              <w:rPr>
                <w:rFonts w:ascii="微軟正黑體" w:eastAsia="微軟正黑體" w:hAnsi="微軟正黑體" w:hint="eastAsia"/>
                <w:kern w:val="0"/>
                <w:sz w:val="20"/>
                <w:szCs w:val="20"/>
              </w:rPr>
              <w:t>0.5%</w:t>
            </w:r>
            <w:r w:rsidRPr="000802DA">
              <w:rPr>
                <w:rFonts w:ascii="微軟正黑體" w:eastAsia="微軟正黑體" w:hAnsi="微軟正黑體"/>
                <w:kern w:val="0"/>
                <w:sz w:val="20"/>
                <w:szCs w:val="20"/>
              </w:rPr>
              <w:t>至12%，基金</w:t>
            </w:r>
            <w:r w:rsidRPr="000802DA">
              <w:rPr>
                <w:rFonts w:ascii="微軟正黑體" w:eastAsia="微軟正黑體" w:hAnsi="微軟正黑體" w:hint="eastAsia"/>
                <w:kern w:val="0"/>
                <w:sz w:val="20"/>
                <w:szCs w:val="20"/>
              </w:rPr>
              <w:t>於140年用盡</w:t>
            </w:r>
          </w:p>
        </w:tc>
      </w:tr>
      <w:tr w:rsidR="00D10D9D" w:rsidRPr="000802DA" w:rsidTr="00574CCA">
        <w:trPr>
          <w:trHeight w:val="137"/>
        </w:trPr>
        <w:tc>
          <w:tcPr>
            <w:tcW w:w="715" w:type="dxa"/>
            <w:vMerge/>
          </w:tcPr>
          <w:p w:rsidR="00D10D9D" w:rsidRPr="000802DA" w:rsidRDefault="00D10D9D" w:rsidP="00574CCA">
            <w:pPr>
              <w:widowControl/>
              <w:spacing w:line="240" w:lineRule="exact"/>
              <w:rPr>
                <w:rFonts w:ascii="微軟正黑體" w:eastAsia="微軟正黑體" w:hAnsi="微軟正黑體"/>
                <w:sz w:val="20"/>
                <w:szCs w:val="20"/>
              </w:rPr>
            </w:pPr>
          </w:p>
        </w:tc>
        <w:tc>
          <w:tcPr>
            <w:tcW w:w="22073" w:type="dxa"/>
            <w:gridSpan w:val="10"/>
            <w:shd w:val="clear" w:color="auto" w:fill="D9D9D9"/>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領取老年給付(年金)資格比較</w:t>
            </w:r>
          </w:p>
        </w:tc>
      </w:tr>
      <w:tr w:rsidR="00D10D9D" w:rsidRPr="000802DA" w:rsidTr="00574CCA">
        <w:trPr>
          <w:trHeight w:val="69"/>
        </w:trPr>
        <w:tc>
          <w:tcPr>
            <w:tcW w:w="715" w:type="dxa"/>
            <w:vMerge/>
          </w:tcPr>
          <w:p w:rsidR="00D10D9D" w:rsidRPr="000802DA" w:rsidRDefault="00D10D9D" w:rsidP="00574CCA">
            <w:pPr>
              <w:widowControl/>
              <w:spacing w:line="240" w:lineRule="exact"/>
              <w:rPr>
                <w:rFonts w:ascii="微軟正黑體" w:eastAsia="微軟正黑體" w:hAnsi="微軟正黑體"/>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請領年金年齡</w:t>
            </w:r>
          </w:p>
        </w:tc>
        <w:tc>
          <w:tcPr>
            <w:tcW w:w="5326" w:type="dxa"/>
            <w:gridSpan w:val="2"/>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6</w:t>
            </w:r>
            <w:r w:rsidRPr="000802DA">
              <w:rPr>
                <w:rFonts w:ascii="微軟正黑體" w:eastAsia="微軟正黑體" w:hAnsi="微軟正黑體" w:hint="eastAsia"/>
                <w:sz w:val="20"/>
                <w:szCs w:val="20"/>
              </w:rPr>
              <w:t>2</w:t>
            </w:r>
            <w:r w:rsidRPr="000802DA">
              <w:rPr>
                <w:rFonts w:ascii="微軟正黑體" w:eastAsia="微軟正黑體" w:hAnsi="微軟正黑體"/>
                <w:sz w:val="20"/>
                <w:szCs w:val="20"/>
              </w:rPr>
              <w:t>歲</w:t>
            </w:r>
            <w:r w:rsidRPr="000802DA">
              <w:rPr>
                <w:rFonts w:ascii="微軟正黑體" w:eastAsia="微軟正黑體" w:hAnsi="微軟正黑體" w:hint="eastAsia"/>
                <w:sz w:val="20"/>
                <w:szCs w:val="20"/>
              </w:rPr>
              <w:t xml:space="preserve"> (111年為年滿63歲，113年為年滿64歲，115年以後為年滿65歲)</w:t>
            </w:r>
          </w:p>
        </w:tc>
        <w:tc>
          <w:tcPr>
            <w:tcW w:w="3828" w:type="dxa"/>
            <w:vMerge w:val="restart"/>
            <w:vAlign w:val="center"/>
          </w:tcPr>
          <w:p w:rsidR="00D10D9D" w:rsidRPr="000802DA" w:rsidRDefault="00D10D9D" w:rsidP="00D10D9D">
            <w:pPr>
              <w:spacing w:beforeLines="20" w:before="72" w:line="240" w:lineRule="exact"/>
              <w:jc w:val="both"/>
              <w:rPr>
                <w:rFonts w:ascii="微軟正黑體" w:eastAsia="微軟正黑體" w:hAnsi="微軟正黑體"/>
                <w:sz w:val="20"/>
                <w:szCs w:val="20"/>
              </w:rPr>
            </w:pPr>
            <w:r w:rsidRPr="000802DA">
              <w:rPr>
                <w:rFonts w:ascii="微軟正黑體" w:eastAsia="微軟正黑體" w:hAnsi="微軟正黑體"/>
                <w:sz w:val="20"/>
                <w:szCs w:val="20"/>
              </w:rPr>
              <w:t>(</w:t>
            </w:r>
            <w:r w:rsidRPr="000802DA">
              <w:rPr>
                <w:rFonts w:ascii="微軟正黑體" w:eastAsia="微軟正黑體" w:hAnsi="微軟正黑體"/>
                <w:b/>
                <w:sz w:val="20"/>
                <w:szCs w:val="20"/>
              </w:rPr>
              <w:t>現行僅得領取一次金</w:t>
            </w:r>
            <w:r w:rsidRPr="000802DA">
              <w:rPr>
                <w:rFonts w:ascii="微軟正黑體" w:eastAsia="微軟正黑體" w:hAnsi="微軟正黑體"/>
                <w:sz w:val="20"/>
                <w:szCs w:val="20"/>
              </w:rPr>
              <w:t>。給付規定：滿5年者，給付5個基數；6-10年，每超過1年增給1個基數；11-15年，每超過1年增給2個基數；第16年起，每超過1年增給3個基數；保險滿20年者，每超過年給付1個基數，最高以45個基數為限。計30年年資可達45個基數</w:t>
            </w:r>
            <w:r w:rsidRPr="000802DA">
              <w:rPr>
                <w:rFonts w:ascii="微軟正黑體" w:eastAsia="微軟正黑體" w:hAnsi="微軟正黑體" w:hint="eastAsia"/>
                <w:sz w:val="20"/>
                <w:szCs w:val="20"/>
              </w:rPr>
              <w:t>。)</w:t>
            </w:r>
          </w:p>
        </w:tc>
        <w:tc>
          <w:tcPr>
            <w:tcW w:w="4677" w:type="dxa"/>
            <w:gridSpan w:val="2"/>
            <w:vMerge w:val="restart"/>
          </w:tcPr>
          <w:p w:rsidR="00D10D9D" w:rsidRPr="000802DA" w:rsidRDefault="00D10D9D" w:rsidP="00981757">
            <w:pPr>
              <w:spacing w:line="240" w:lineRule="exact"/>
              <w:jc w:val="both"/>
              <w:rPr>
                <w:rFonts w:ascii="微軟正黑體" w:eastAsia="微軟正黑體" w:hAnsi="微軟正黑體"/>
                <w:sz w:val="18"/>
                <w:szCs w:val="18"/>
              </w:rPr>
            </w:pPr>
            <w:r w:rsidRPr="000802DA">
              <w:rPr>
                <w:rFonts w:ascii="微軟正黑體" w:eastAsia="微軟正黑體" w:hAnsi="微軟正黑體"/>
                <w:b/>
                <w:sz w:val="18"/>
                <w:szCs w:val="18"/>
              </w:rPr>
              <w:t>一次金</w:t>
            </w:r>
            <w:r w:rsidRPr="000802DA">
              <w:rPr>
                <w:rFonts w:ascii="微軟正黑體" w:eastAsia="微軟正黑體" w:hAnsi="微軟正黑體"/>
                <w:sz w:val="18"/>
                <w:szCs w:val="18"/>
              </w:rPr>
              <w:t>：退休(職)、資遣、繳費滿15年且年滿55歲退保者，可領取一次金，年資每滿1年給與1.2個月</w:t>
            </w:r>
            <w:r w:rsidRPr="00751A26">
              <w:rPr>
                <w:rFonts w:ascii="微軟正黑體" w:eastAsia="微軟正黑體" w:hAnsi="微軟正黑體"/>
                <w:b/>
                <w:sz w:val="18"/>
                <w:szCs w:val="18"/>
                <w:vertAlign w:val="superscript"/>
              </w:rPr>
              <w:t>(註</w:t>
            </w:r>
            <w:r w:rsidRPr="00751A26">
              <w:rPr>
                <w:rFonts w:ascii="微軟正黑體" w:eastAsia="微軟正黑體" w:hAnsi="微軟正黑體" w:hint="eastAsia"/>
                <w:b/>
                <w:sz w:val="18"/>
                <w:szCs w:val="18"/>
                <w:vertAlign w:val="superscript"/>
              </w:rPr>
              <w:t>2</w:t>
            </w:r>
            <w:r w:rsidRPr="00751A26">
              <w:rPr>
                <w:rFonts w:ascii="微軟正黑體" w:eastAsia="微軟正黑體" w:hAnsi="微軟正黑體"/>
                <w:b/>
                <w:sz w:val="18"/>
                <w:szCs w:val="18"/>
                <w:vertAlign w:val="superscript"/>
              </w:rPr>
              <w:t>)</w:t>
            </w:r>
            <w:r w:rsidRPr="000802DA">
              <w:rPr>
                <w:rFonts w:ascii="微軟正黑體" w:eastAsia="微軟正黑體" w:hAnsi="微軟正黑體"/>
                <w:sz w:val="18"/>
                <w:szCs w:val="18"/>
              </w:rPr>
              <w:t>，最</w:t>
            </w:r>
            <w:r w:rsidRPr="00F76CB3">
              <w:rPr>
                <w:rFonts w:ascii="微軟正黑體" w:eastAsia="微軟正黑體" w:hAnsi="微軟正黑體"/>
                <w:sz w:val="18"/>
                <w:szCs w:val="18"/>
              </w:rPr>
              <w:t>高</w:t>
            </w:r>
            <w:r w:rsidRPr="00F76CB3">
              <w:rPr>
                <w:rFonts w:ascii="微軟正黑體" w:eastAsia="微軟正黑體" w:hAnsi="微軟正黑體" w:hint="eastAsia"/>
                <w:bCs/>
                <w:sz w:val="18"/>
                <w:szCs w:val="18"/>
              </w:rPr>
              <w:t>42</w:t>
            </w:r>
            <w:r w:rsidRPr="000802DA">
              <w:rPr>
                <w:rFonts w:ascii="微軟正黑體" w:eastAsia="微軟正黑體" w:hAnsi="微軟正黑體"/>
                <w:sz w:val="18"/>
                <w:szCs w:val="18"/>
              </w:rPr>
              <w:t>個月，但辦理優惠存款者最高36個月</w:t>
            </w:r>
          </w:p>
          <w:p w:rsidR="00D10D9D" w:rsidRPr="000802DA" w:rsidRDefault="00D10D9D" w:rsidP="00AB4A45">
            <w:pPr>
              <w:spacing w:line="220" w:lineRule="exact"/>
              <w:jc w:val="both"/>
              <w:rPr>
                <w:rFonts w:ascii="微軟正黑體" w:eastAsia="微軟正黑體" w:hAnsi="微軟正黑體"/>
                <w:sz w:val="18"/>
                <w:szCs w:val="18"/>
              </w:rPr>
            </w:pPr>
            <w:r w:rsidRPr="000802DA">
              <w:rPr>
                <w:rFonts w:ascii="微軟正黑體" w:eastAsia="微軟正黑體" w:hAnsi="微軟正黑體"/>
                <w:b/>
                <w:sz w:val="18"/>
                <w:szCs w:val="18"/>
              </w:rPr>
              <w:t>年金：</w:t>
            </w:r>
            <w:r w:rsidRPr="000802DA">
              <w:rPr>
                <w:rFonts w:ascii="微軟正黑體" w:eastAsia="微軟正黑體" w:hAnsi="微軟正黑體"/>
                <w:sz w:val="18"/>
                <w:szCs w:val="18"/>
              </w:rPr>
              <w:t>適用私校教職員</w:t>
            </w:r>
            <w:r w:rsidRPr="000802DA">
              <w:rPr>
                <w:rFonts w:ascii="微軟正黑體" w:eastAsia="微軟正黑體" w:hAnsi="微軟正黑體" w:hint="eastAsia"/>
                <w:sz w:val="18"/>
                <w:szCs w:val="18"/>
              </w:rPr>
              <w:t>、無</w:t>
            </w:r>
            <w:r w:rsidRPr="000802DA">
              <w:rPr>
                <w:rFonts w:ascii="微軟正黑體" w:eastAsia="微軟正黑體" w:hAnsi="微軟正黑體"/>
                <w:sz w:val="18"/>
                <w:szCs w:val="18"/>
              </w:rPr>
              <w:t>月退休(職、伍)給與及優惠存款制度之被保險人</w:t>
            </w:r>
            <w:r w:rsidRPr="000802DA">
              <w:rPr>
                <w:rFonts w:ascii="微軟正黑體" w:eastAsia="微軟正黑體" w:hAnsi="微軟正黑體" w:hint="eastAsia"/>
                <w:sz w:val="18"/>
                <w:szCs w:val="18"/>
              </w:rPr>
              <w:t>，除須符合一次金請領條件外，尚須符合下列年資及起支年齡條件</w:t>
            </w:r>
            <w:r w:rsidRPr="000802DA">
              <w:rPr>
                <w:rFonts w:ascii="微軟正黑體" w:eastAsia="微軟正黑體" w:hAnsi="微軟正黑體"/>
                <w:sz w:val="18"/>
                <w:szCs w:val="18"/>
              </w:rPr>
              <w:t>：(1)65歲，投保年資15年；(2)60歲，投保年資20年；(3)55歲，投保年資30年</w:t>
            </w:r>
          </w:p>
        </w:tc>
        <w:tc>
          <w:tcPr>
            <w:tcW w:w="3261" w:type="dxa"/>
            <w:vMerge w:val="restart"/>
          </w:tcPr>
          <w:p w:rsidR="00D10D9D" w:rsidRPr="000802DA" w:rsidRDefault="00D10D9D" w:rsidP="00AB4A45">
            <w:pPr>
              <w:spacing w:line="206" w:lineRule="exact"/>
              <w:ind w:left="144" w:hangingChars="80" w:hanging="144"/>
              <w:jc w:val="both"/>
              <w:rPr>
                <w:rFonts w:ascii="微軟正黑體" w:eastAsia="微軟正黑體" w:hAnsi="微軟正黑體"/>
                <w:sz w:val="18"/>
                <w:szCs w:val="18"/>
              </w:rPr>
            </w:pPr>
            <w:r w:rsidRPr="000802DA">
              <w:rPr>
                <w:rFonts w:ascii="微軟正黑體" w:eastAsia="微軟正黑體" w:hAnsi="微軟正黑體"/>
                <w:sz w:val="18"/>
                <w:szCs w:val="18"/>
              </w:rPr>
              <w:t>1.農保本身無老年給付，以「老年農民福利津貼」替代</w:t>
            </w:r>
          </w:p>
          <w:p w:rsidR="00D10D9D" w:rsidRPr="000802DA" w:rsidRDefault="00D10D9D" w:rsidP="00AB4A45">
            <w:pPr>
              <w:spacing w:line="206" w:lineRule="exact"/>
              <w:ind w:left="144" w:hangingChars="80" w:hanging="144"/>
              <w:jc w:val="both"/>
              <w:rPr>
                <w:rFonts w:ascii="微軟正黑體" w:eastAsia="微軟正黑體" w:hAnsi="微軟正黑體"/>
                <w:sz w:val="18"/>
                <w:szCs w:val="18"/>
              </w:rPr>
            </w:pPr>
            <w:r w:rsidRPr="000802DA">
              <w:rPr>
                <w:rFonts w:ascii="微軟正黑體" w:eastAsia="微軟正黑體" w:hAnsi="微軟正黑體"/>
                <w:sz w:val="18"/>
                <w:szCs w:val="18"/>
              </w:rPr>
              <w:t>2.老農津貼(每月</w:t>
            </w:r>
            <w:r w:rsidRPr="00F76CB3">
              <w:rPr>
                <w:rFonts w:ascii="微軟正黑體" w:eastAsia="微軟正黑體" w:hAnsi="微軟正黑體"/>
                <w:sz w:val="18"/>
                <w:szCs w:val="18"/>
              </w:rPr>
              <w:t>7,</w:t>
            </w:r>
            <w:r w:rsidRPr="00F76CB3">
              <w:rPr>
                <w:rFonts w:ascii="微軟正黑體" w:eastAsia="微軟正黑體" w:hAnsi="微軟正黑體" w:hint="eastAsia"/>
                <w:sz w:val="18"/>
                <w:szCs w:val="18"/>
              </w:rPr>
              <w:t>550</w:t>
            </w:r>
            <w:r w:rsidRPr="00F76CB3">
              <w:rPr>
                <w:rFonts w:ascii="微軟正黑體" w:eastAsia="微軟正黑體" w:hAnsi="微軟正黑體"/>
                <w:sz w:val="18"/>
                <w:szCs w:val="18"/>
              </w:rPr>
              <w:t>元)</w:t>
            </w:r>
            <w:r w:rsidRPr="000802DA">
              <w:rPr>
                <w:rFonts w:ascii="微軟正黑體" w:eastAsia="微軟正黑體" w:hAnsi="微軟正黑體"/>
                <w:sz w:val="18"/>
                <w:szCs w:val="18"/>
              </w:rPr>
              <w:t>領取資格</w:t>
            </w:r>
            <w:r w:rsidRPr="000802DA">
              <w:rPr>
                <w:rFonts w:ascii="微軟正黑體" w:eastAsia="微軟正黑體" w:hAnsi="微軟正黑體" w:hint="eastAsia"/>
                <w:sz w:val="18"/>
                <w:szCs w:val="18"/>
              </w:rPr>
              <w:t>：</w:t>
            </w:r>
          </w:p>
          <w:p w:rsidR="00D10D9D" w:rsidRPr="000802DA" w:rsidRDefault="00D10D9D" w:rsidP="00AB4A45">
            <w:pPr>
              <w:spacing w:line="206" w:lineRule="exact"/>
              <w:jc w:val="both"/>
              <w:rPr>
                <w:rFonts w:ascii="微軟正黑體" w:eastAsia="微軟正黑體" w:hAnsi="微軟正黑體"/>
                <w:sz w:val="18"/>
                <w:szCs w:val="18"/>
              </w:rPr>
            </w:pPr>
            <w:r w:rsidRPr="000802DA">
              <w:rPr>
                <w:rFonts w:ascii="微軟正黑體" w:eastAsia="微軟正黑體" w:hAnsi="微軟正黑體"/>
                <w:sz w:val="18"/>
                <w:szCs w:val="18"/>
              </w:rPr>
              <w:t>(1)年滿65歲國民</w:t>
            </w:r>
          </w:p>
          <w:p w:rsidR="00D10D9D" w:rsidRPr="000802DA" w:rsidRDefault="00D10D9D" w:rsidP="00AB4A45">
            <w:pPr>
              <w:spacing w:line="206" w:lineRule="exact"/>
              <w:ind w:left="225" w:hangingChars="125" w:hanging="225"/>
              <w:jc w:val="both"/>
              <w:rPr>
                <w:rFonts w:ascii="微軟正黑體" w:eastAsia="微軟正黑體" w:hAnsi="微軟正黑體"/>
                <w:sz w:val="18"/>
                <w:szCs w:val="18"/>
              </w:rPr>
            </w:pPr>
            <w:r w:rsidRPr="000802DA">
              <w:rPr>
                <w:rFonts w:ascii="微軟正黑體" w:eastAsia="微軟正黑體" w:hAnsi="微軟正黑體"/>
                <w:sz w:val="18"/>
                <w:szCs w:val="18"/>
              </w:rPr>
              <w:t>(2)在國內設有戶籍，且於最近3年內每年居住超過183日</w:t>
            </w:r>
          </w:p>
          <w:p w:rsidR="00D10D9D" w:rsidRPr="000802DA" w:rsidRDefault="00D10D9D" w:rsidP="00AB4A45">
            <w:pPr>
              <w:spacing w:line="206" w:lineRule="exact"/>
              <w:ind w:left="225" w:hangingChars="125" w:hanging="225"/>
              <w:jc w:val="both"/>
              <w:rPr>
                <w:rFonts w:ascii="微軟正黑體" w:eastAsia="微軟正黑體" w:hAnsi="微軟正黑體"/>
                <w:sz w:val="18"/>
                <w:szCs w:val="18"/>
              </w:rPr>
            </w:pPr>
            <w:r w:rsidRPr="000802DA">
              <w:rPr>
                <w:rFonts w:ascii="微軟正黑體" w:eastAsia="微軟正黑體" w:hAnsi="微軟正黑體"/>
                <w:sz w:val="18"/>
                <w:szCs w:val="18"/>
              </w:rPr>
              <w:t>(3)申領時參加農保之農民且加保年資合計15年以上者</w:t>
            </w:r>
          </w:p>
          <w:p w:rsidR="00D10D9D" w:rsidRPr="000802DA" w:rsidRDefault="00D10D9D" w:rsidP="00AB4A45">
            <w:pPr>
              <w:spacing w:line="206" w:lineRule="exact"/>
              <w:ind w:left="225" w:hangingChars="125" w:hanging="225"/>
              <w:jc w:val="both"/>
              <w:rPr>
                <w:rFonts w:ascii="微軟正黑體" w:eastAsia="微軟正黑體" w:hAnsi="微軟正黑體"/>
                <w:sz w:val="18"/>
                <w:szCs w:val="18"/>
              </w:rPr>
            </w:pPr>
            <w:r w:rsidRPr="000802DA">
              <w:rPr>
                <w:rFonts w:ascii="微軟正黑體" w:eastAsia="微軟正黑體" w:hAnsi="微軟正黑體"/>
                <w:sz w:val="18"/>
                <w:szCs w:val="18"/>
              </w:rPr>
              <w:t>(4)申領時已領取勞工保險老年給付之漁會甲類會員且會員年資合計15年以上</w:t>
            </w:r>
          </w:p>
          <w:p w:rsidR="00D10D9D" w:rsidRPr="000802DA" w:rsidRDefault="00D10D9D" w:rsidP="00AB4A45">
            <w:pPr>
              <w:spacing w:line="206" w:lineRule="exact"/>
              <w:ind w:left="225" w:hangingChars="125" w:hanging="225"/>
              <w:jc w:val="both"/>
              <w:rPr>
                <w:rFonts w:ascii="微軟正黑體" w:eastAsia="微軟正黑體" w:hAnsi="微軟正黑體"/>
                <w:sz w:val="18"/>
                <w:szCs w:val="18"/>
              </w:rPr>
            </w:pPr>
            <w:r w:rsidRPr="000802DA">
              <w:rPr>
                <w:rFonts w:ascii="微軟正黑體" w:eastAsia="微軟正黑體" w:hAnsi="微軟正黑體"/>
                <w:sz w:val="18"/>
                <w:szCs w:val="18"/>
              </w:rPr>
              <w:t>(5)已領取社會保險老年給付者，於87年11月13日以後再加入農保者或加入勞工保險之漁會甲類會員，不得申領</w:t>
            </w:r>
            <w:r w:rsidRPr="000802DA">
              <w:rPr>
                <w:rFonts w:ascii="微軟正黑體" w:eastAsia="微軟正黑體" w:hAnsi="微軟正黑體" w:hint="eastAsia"/>
                <w:sz w:val="18"/>
                <w:szCs w:val="18"/>
              </w:rPr>
              <w:t>。</w:t>
            </w:r>
          </w:p>
          <w:p w:rsidR="00D10D9D" w:rsidRPr="000802DA" w:rsidRDefault="00D10D9D" w:rsidP="00AB4A45">
            <w:pPr>
              <w:spacing w:line="206" w:lineRule="exact"/>
              <w:ind w:left="225" w:hangingChars="125" w:hanging="225"/>
              <w:jc w:val="both"/>
              <w:rPr>
                <w:rFonts w:ascii="微軟正黑體" w:eastAsia="微軟正黑體" w:hAnsi="微軟正黑體"/>
                <w:sz w:val="18"/>
                <w:szCs w:val="18"/>
              </w:rPr>
            </w:pPr>
            <w:r w:rsidRPr="000802DA">
              <w:rPr>
                <w:rFonts w:ascii="微軟正黑體" w:eastAsia="微軟正黑體" w:hAnsi="微軟正黑體"/>
                <w:sz w:val="18"/>
                <w:szCs w:val="18"/>
              </w:rPr>
              <w:t>(6)自102</w:t>
            </w:r>
            <w:r w:rsidRPr="000802DA">
              <w:rPr>
                <w:rFonts w:ascii="微軟正黑體" w:eastAsia="微軟正黑體" w:hAnsi="微軟正黑體" w:hint="eastAsia"/>
                <w:sz w:val="18"/>
                <w:szCs w:val="18"/>
              </w:rPr>
              <w:t>年</w:t>
            </w:r>
            <w:r w:rsidRPr="000802DA">
              <w:rPr>
                <w:rFonts w:ascii="微軟正黑體" w:eastAsia="微軟正黑體" w:hAnsi="微軟正黑體"/>
                <w:sz w:val="18"/>
                <w:szCs w:val="18"/>
              </w:rPr>
              <w:t>1</w:t>
            </w:r>
            <w:r w:rsidRPr="000802DA">
              <w:rPr>
                <w:rFonts w:ascii="微軟正黑體" w:eastAsia="微軟正黑體" w:hAnsi="微軟正黑體" w:hint="eastAsia"/>
                <w:sz w:val="18"/>
                <w:szCs w:val="18"/>
              </w:rPr>
              <w:t>月</w:t>
            </w:r>
            <w:r w:rsidRPr="000802DA">
              <w:rPr>
                <w:rFonts w:ascii="微軟正黑體" w:eastAsia="微軟正黑體" w:hAnsi="微軟正黑體"/>
                <w:sz w:val="18"/>
                <w:szCs w:val="18"/>
              </w:rPr>
              <w:t>1</w:t>
            </w:r>
            <w:r w:rsidRPr="000802DA">
              <w:rPr>
                <w:rFonts w:ascii="微軟正黑體" w:eastAsia="微軟正黑體" w:hAnsi="微軟正黑體" w:hint="eastAsia"/>
                <w:sz w:val="18"/>
                <w:szCs w:val="18"/>
              </w:rPr>
              <w:t>日</w:t>
            </w:r>
            <w:r w:rsidRPr="000802DA">
              <w:rPr>
                <w:rFonts w:ascii="微軟正黑體" w:eastAsia="微軟正黑體" w:hAnsi="微軟正黑體"/>
                <w:sz w:val="18"/>
                <w:szCs w:val="18"/>
              </w:rPr>
              <w:t>起，申請領取老農津貼之老年農民應符合排富條款</w:t>
            </w:r>
          </w:p>
          <w:p w:rsidR="00D10D9D" w:rsidRPr="000802DA" w:rsidRDefault="00D10D9D" w:rsidP="00AB4A45">
            <w:pPr>
              <w:spacing w:line="206" w:lineRule="exact"/>
              <w:ind w:left="225" w:hangingChars="125" w:hanging="225"/>
              <w:jc w:val="both"/>
              <w:rPr>
                <w:rFonts w:ascii="微軟正黑體" w:eastAsia="微軟正黑體" w:hAnsi="微軟正黑體"/>
                <w:sz w:val="20"/>
                <w:szCs w:val="20"/>
              </w:rPr>
            </w:pPr>
            <w:r w:rsidRPr="000802DA">
              <w:rPr>
                <w:rFonts w:ascii="微軟正黑體" w:eastAsia="微軟正黑體" w:hAnsi="微軟正黑體"/>
                <w:sz w:val="18"/>
                <w:szCs w:val="18"/>
              </w:rPr>
              <w:t>(7)於103</w:t>
            </w:r>
            <w:r w:rsidRPr="000802DA">
              <w:rPr>
                <w:rFonts w:ascii="微軟正黑體" w:eastAsia="微軟正黑體" w:hAnsi="微軟正黑體" w:hint="eastAsia"/>
                <w:sz w:val="18"/>
                <w:szCs w:val="18"/>
              </w:rPr>
              <w:t>年7月18日</w:t>
            </w:r>
            <w:r w:rsidRPr="000802DA">
              <w:rPr>
                <w:rFonts w:ascii="微軟正黑體" w:eastAsia="微軟正黑體" w:hAnsi="微軟正黑體"/>
                <w:sz w:val="18"/>
                <w:szCs w:val="18"/>
              </w:rPr>
              <w:t>前已參加農保，且持續加保，於申領時加保年資合計6個月以上未滿15年者，發給半額津貼</w:t>
            </w:r>
          </w:p>
        </w:tc>
        <w:tc>
          <w:tcPr>
            <w:tcW w:w="2976" w:type="dxa"/>
            <w:gridSpan w:val="2"/>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65歲</w:t>
            </w:r>
          </w:p>
        </w:tc>
      </w:tr>
      <w:tr w:rsidR="00D10D9D" w:rsidRPr="000802DA" w:rsidTr="00AB4A45">
        <w:trPr>
          <w:trHeight w:val="941"/>
        </w:trPr>
        <w:tc>
          <w:tcPr>
            <w:tcW w:w="715" w:type="dxa"/>
            <w:vMerge/>
          </w:tcPr>
          <w:p w:rsidR="00D10D9D" w:rsidRPr="000802DA" w:rsidRDefault="00D10D9D" w:rsidP="00574CCA">
            <w:pPr>
              <w:widowControl/>
              <w:spacing w:line="240" w:lineRule="exact"/>
              <w:rPr>
                <w:rFonts w:ascii="微軟正黑體" w:eastAsia="微軟正黑體" w:hAnsi="微軟正黑體"/>
                <w:b/>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請領年金資格要件</w:t>
            </w:r>
          </w:p>
        </w:tc>
        <w:tc>
          <w:tcPr>
            <w:tcW w:w="5326"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保險年資合計滿15年</w:t>
            </w:r>
          </w:p>
        </w:tc>
        <w:tc>
          <w:tcPr>
            <w:tcW w:w="3828" w:type="dxa"/>
            <w:vMerge/>
          </w:tcPr>
          <w:p w:rsidR="00D10D9D" w:rsidRPr="000802DA" w:rsidRDefault="00D10D9D" w:rsidP="00574CCA">
            <w:pPr>
              <w:spacing w:line="240" w:lineRule="exact"/>
              <w:rPr>
                <w:rFonts w:ascii="微軟正黑體" w:eastAsia="微軟正黑體" w:hAnsi="微軟正黑體"/>
                <w:b/>
                <w:sz w:val="20"/>
                <w:szCs w:val="20"/>
              </w:rPr>
            </w:pPr>
          </w:p>
        </w:tc>
        <w:tc>
          <w:tcPr>
            <w:tcW w:w="4677" w:type="dxa"/>
            <w:gridSpan w:val="2"/>
            <w:vMerge/>
          </w:tcPr>
          <w:p w:rsidR="00D10D9D" w:rsidRPr="000802DA" w:rsidRDefault="00D10D9D" w:rsidP="00574CCA">
            <w:pPr>
              <w:spacing w:line="240" w:lineRule="exact"/>
              <w:jc w:val="both"/>
              <w:rPr>
                <w:rFonts w:ascii="微軟正黑體" w:eastAsia="微軟正黑體" w:hAnsi="微軟正黑體"/>
                <w:sz w:val="18"/>
                <w:szCs w:val="18"/>
              </w:rPr>
            </w:pPr>
          </w:p>
        </w:tc>
        <w:tc>
          <w:tcPr>
            <w:tcW w:w="3261" w:type="dxa"/>
            <w:vMerge/>
          </w:tcPr>
          <w:p w:rsidR="00D10D9D" w:rsidRPr="000802DA" w:rsidRDefault="00D10D9D" w:rsidP="00574CCA">
            <w:pPr>
              <w:spacing w:line="240" w:lineRule="exact"/>
              <w:jc w:val="both"/>
              <w:rPr>
                <w:rFonts w:ascii="微軟正黑體" w:eastAsia="微軟正黑體" w:hAnsi="微軟正黑體"/>
                <w:b/>
                <w:sz w:val="20"/>
                <w:szCs w:val="20"/>
              </w:rPr>
            </w:pPr>
          </w:p>
        </w:tc>
        <w:tc>
          <w:tcPr>
            <w:tcW w:w="2976" w:type="dxa"/>
            <w:gridSpan w:val="2"/>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年滿65歲</w:t>
            </w:r>
          </w:p>
        </w:tc>
      </w:tr>
      <w:tr w:rsidR="00D10D9D" w:rsidRPr="000802DA" w:rsidTr="00574CCA">
        <w:trPr>
          <w:trHeight w:val="360"/>
        </w:trPr>
        <w:tc>
          <w:tcPr>
            <w:tcW w:w="715" w:type="dxa"/>
            <w:vMerge/>
          </w:tcPr>
          <w:p w:rsidR="00D10D9D" w:rsidRPr="000802DA" w:rsidRDefault="00D10D9D" w:rsidP="00574CCA">
            <w:pPr>
              <w:widowControl/>
              <w:spacing w:line="240" w:lineRule="exact"/>
              <w:rPr>
                <w:rFonts w:ascii="微軟正黑體" w:eastAsia="微軟正黑體" w:hAnsi="微軟正黑體"/>
                <w:b/>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老年給付計算基準</w:t>
            </w:r>
          </w:p>
        </w:tc>
        <w:tc>
          <w:tcPr>
            <w:tcW w:w="5326"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最高60個月投保薪資予以平均</w:t>
            </w:r>
          </w:p>
        </w:tc>
        <w:tc>
          <w:tcPr>
            <w:tcW w:w="3828" w:type="dxa"/>
            <w:vMerge/>
          </w:tcPr>
          <w:p w:rsidR="00D10D9D" w:rsidRPr="000802DA" w:rsidRDefault="00D10D9D" w:rsidP="00574CCA">
            <w:pPr>
              <w:spacing w:line="240" w:lineRule="exact"/>
              <w:rPr>
                <w:rFonts w:ascii="微軟正黑體" w:eastAsia="微軟正黑體" w:hAnsi="微軟正黑體"/>
                <w:b/>
                <w:sz w:val="20"/>
                <w:szCs w:val="20"/>
              </w:rPr>
            </w:pPr>
          </w:p>
        </w:tc>
        <w:tc>
          <w:tcPr>
            <w:tcW w:w="4677" w:type="dxa"/>
            <w:gridSpan w:val="2"/>
          </w:tcPr>
          <w:p w:rsidR="00D10D9D" w:rsidRPr="000802DA" w:rsidRDefault="00D10D9D" w:rsidP="00AB4A45">
            <w:pPr>
              <w:spacing w:line="220" w:lineRule="exact"/>
              <w:jc w:val="both"/>
              <w:rPr>
                <w:rFonts w:ascii="微軟正黑體" w:eastAsia="微軟正黑體" w:hAnsi="微軟正黑體"/>
                <w:sz w:val="18"/>
                <w:szCs w:val="18"/>
              </w:rPr>
            </w:pPr>
            <w:r w:rsidRPr="000802DA">
              <w:rPr>
                <w:rFonts w:ascii="微軟正黑體" w:eastAsia="微軟正黑體" w:hAnsi="微軟正黑體"/>
                <w:sz w:val="18"/>
                <w:szCs w:val="18"/>
              </w:rPr>
              <w:t>一次金：退</w:t>
            </w:r>
            <w:r w:rsidRPr="000802DA">
              <w:rPr>
                <w:rFonts w:ascii="微軟正黑體" w:eastAsia="微軟正黑體" w:hAnsi="微軟正黑體" w:hint="eastAsia"/>
                <w:sz w:val="18"/>
                <w:szCs w:val="18"/>
              </w:rPr>
              <w:t>保</w:t>
            </w:r>
            <w:r w:rsidRPr="000802DA">
              <w:rPr>
                <w:rFonts w:ascii="微軟正黑體" w:eastAsia="微軟正黑體" w:hAnsi="微軟正黑體"/>
                <w:sz w:val="18"/>
                <w:szCs w:val="18"/>
              </w:rPr>
              <w:t>當月保險俸</w:t>
            </w:r>
            <w:r w:rsidRPr="000802DA">
              <w:rPr>
                <w:rFonts w:ascii="微軟正黑體" w:eastAsia="微軟正黑體" w:hAnsi="微軟正黑體" w:hint="eastAsia"/>
                <w:sz w:val="18"/>
                <w:szCs w:val="18"/>
              </w:rPr>
              <w:t>(</w:t>
            </w:r>
            <w:r w:rsidRPr="000802DA">
              <w:rPr>
                <w:rFonts w:ascii="微軟正黑體" w:eastAsia="微軟正黑體" w:hAnsi="微軟正黑體"/>
                <w:sz w:val="18"/>
                <w:szCs w:val="18"/>
              </w:rPr>
              <w:t>薪</w:t>
            </w:r>
            <w:r w:rsidRPr="000802DA">
              <w:rPr>
                <w:rFonts w:ascii="微軟正黑體" w:eastAsia="微軟正黑體" w:hAnsi="微軟正黑體" w:hint="eastAsia"/>
                <w:sz w:val="18"/>
                <w:szCs w:val="18"/>
              </w:rPr>
              <w:t>)</w:t>
            </w:r>
            <w:r w:rsidRPr="000802DA">
              <w:rPr>
                <w:rFonts w:ascii="微軟正黑體" w:eastAsia="微軟正黑體" w:hAnsi="微軟正黑體"/>
                <w:sz w:val="18"/>
                <w:szCs w:val="18"/>
              </w:rPr>
              <w:t>額</w:t>
            </w:r>
          </w:p>
          <w:p w:rsidR="00D10D9D" w:rsidRPr="000802DA" w:rsidRDefault="00D10D9D" w:rsidP="00AB4A45">
            <w:pPr>
              <w:spacing w:line="220" w:lineRule="exact"/>
              <w:jc w:val="both"/>
              <w:rPr>
                <w:rFonts w:ascii="微軟正黑體" w:eastAsia="微軟正黑體" w:hAnsi="微軟正黑體"/>
                <w:sz w:val="18"/>
                <w:szCs w:val="18"/>
              </w:rPr>
            </w:pPr>
            <w:r w:rsidRPr="000802DA">
              <w:rPr>
                <w:rFonts w:ascii="微軟正黑體" w:eastAsia="微軟正黑體" w:hAnsi="微軟正黑體"/>
                <w:sz w:val="18"/>
                <w:szCs w:val="18"/>
              </w:rPr>
              <w:t>年金：退</w:t>
            </w:r>
            <w:r w:rsidRPr="000802DA">
              <w:rPr>
                <w:rFonts w:ascii="微軟正黑體" w:eastAsia="微軟正黑體" w:hAnsi="微軟正黑體" w:hint="eastAsia"/>
                <w:sz w:val="18"/>
                <w:szCs w:val="18"/>
              </w:rPr>
              <w:t>保</w:t>
            </w:r>
            <w:r w:rsidRPr="000802DA">
              <w:rPr>
                <w:rFonts w:ascii="微軟正黑體" w:eastAsia="微軟正黑體" w:hAnsi="微軟正黑體"/>
                <w:sz w:val="18"/>
                <w:szCs w:val="18"/>
              </w:rPr>
              <w:t>前10年平均保險俸</w:t>
            </w:r>
            <w:r w:rsidRPr="000802DA">
              <w:rPr>
                <w:rFonts w:ascii="微軟正黑體" w:eastAsia="微軟正黑體" w:hAnsi="微軟正黑體" w:hint="eastAsia"/>
                <w:sz w:val="18"/>
                <w:szCs w:val="18"/>
              </w:rPr>
              <w:t>(</w:t>
            </w:r>
            <w:r w:rsidRPr="000802DA">
              <w:rPr>
                <w:rFonts w:ascii="微軟正黑體" w:eastAsia="微軟正黑體" w:hAnsi="微軟正黑體"/>
                <w:sz w:val="18"/>
                <w:szCs w:val="18"/>
              </w:rPr>
              <w:t>薪</w:t>
            </w:r>
            <w:r w:rsidRPr="000802DA">
              <w:rPr>
                <w:rFonts w:ascii="微軟正黑體" w:eastAsia="微軟正黑體" w:hAnsi="微軟正黑體" w:hint="eastAsia"/>
                <w:sz w:val="18"/>
                <w:szCs w:val="18"/>
              </w:rPr>
              <w:t>)</w:t>
            </w:r>
            <w:r w:rsidRPr="000802DA">
              <w:rPr>
                <w:rFonts w:ascii="微軟正黑體" w:eastAsia="微軟正黑體" w:hAnsi="微軟正黑體"/>
                <w:sz w:val="18"/>
                <w:szCs w:val="18"/>
              </w:rPr>
              <w:t>額</w:t>
            </w:r>
          </w:p>
        </w:tc>
        <w:tc>
          <w:tcPr>
            <w:tcW w:w="3261" w:type="dxa"/>
            <w:vMerge/>
          </w:tcPr>
          <w:p w:rsidR="00D10D9D" w:rsidRPr="000802DA" w:rsidRDefault="00D10D9D" w:rsidP="00574CCA">
            <w:pPr>
              <w:spacing w:line="240" w:lineRule="exact"/>
              <w:jc w:val="both"/>
              <w:rPr>
                <w:rFonts w:ascii="微軟正黑體" w:eastAsia="微軟正黑體" w:hAnsi="微軟正黑體"/>
                <w:b/>
                <w:sz w:val="20"/>
                <w:szCs w:val="20"/>
              </w:rPr>
            </w:pPr>
          </w:p>
        </w:tc>
        <w:tc>
          <w:tcPr>
            <w:tcW w:w="2976" w:type="dxa"/>
            <w:gridSpan w:val="2"/>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18,282元</w:t>
            </w:r>
          </w:p>
        </w:tc>
      </w:tr>
      <w:tr w:rsidR="00D10D9D" w:rsidRPr="000802DA" w:rsidTr="00574CCA">
        <w:trPr>
          <w:trHeight w:val="194"/>
        </w:trPr>
        <w:tc>
          <w:tcPr>
            <w:tcW w:w="715" w:type="dxa"/>
            <w:vMerge/>
          </w:tcPr>
          <w:p w:rsidR="00D10D9D" w:rsidRPr="000802DA" w:rsidRDefault="00D10D9D" w:rsidP="00574CCA">
            <w:pPr>
              <w:widowControl/>
              <w:spacing w:line="240" w:lineRule="exact"/>
              <w:rPr>
                <w:rFonts w:ascii="微軟正黑體" w:eastAsia="微軟正黑體" w:hAnsi="微軟正黑體"/>
                <w:b/>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採計年資上限</w:t>
            </w:r>
          </w:p>
        </w:tc>
        <w:tc>
          <w:tcPr>
            <w:tcW w:w="5326" w:type="dxa"/>
            <w:gridSpan w:val="2"/>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無</w:t>
            </w:r>
          </w:p>
        </w:tc>
        <w:tc>
          <w:tcPr>
            <w:tcW w:w="3828" w:type="dxa"/>
            <w:vMerge/>
          </w:tcPr>
          <w:p w:rsidR="00D10D9D" w:rsidRPr="000802DA" w:rsidRDefault="00D10D9D" w:rsidP="00574CCA">
            <w:pPr>
              <w:spacing w:line="240" w:lineRule="exact"/>
              <w:rPr>
                <w:rFonts w:ascii="微軟正黑體" w:eastAsia="微軟正黑體" w:hAnsi="微軟正黑體"/>
                <w:b/>
                <w:sz w:val="20"/>
                <w:szCs w:val="20"/>
              </w:rPr>
            </w:pPr>
          </w:p>
        </w:tc>
        <w:tc>
          <w:tcPr>
            <w:tcW w:w="4677" w:type="dxa"/>
            <w:gridSpan w:val="2"/>
          </w:tcPr>
          <w:p w:rsidR="00D10D9D" w:rsidRPr="000802DA" w:rsidRDefault="00D10D9D" w:rsidP="00AB4A45">
            <w:pPr>
              <w:spacing w:line="220" w:lineRule="exact"/>
              <w:jc w:val="both"/>
              <w:rPr>
                <w:rFonts w:ascii="微軟正黑體" w:eastAsia="微軟正黑體" w:hAnsi="微軟正黑體"/>
                <w:sz w:val="18"/>
                <w:szCs w:val="18"/>
              </w:rPr>
            </w:pPr>
            <w:r w:rsidRPr="000802DA">
              <w:rPr>
                <w:rFonts w:ascii="微軟正黑體" w:eastAsia="微軟正黑體" w:hAnsi="微軟正黑體"/>
                <w:sz w:val="18"/>
                <w:szCs w:val="18"/>
              </w:rPr>
              <w:t>最高35年</w:t>
            </w:r>
          </w:p>
        </w:tc>
        <w:tc>
          <w:tcPr>
            <w:tcW w:w="3261" w:type="dxa"/>
            <w:vMerge/>
          </w:tcPr>
          <w:p w:rsidR="00D10D9D" w:rsidRPr="000802DA" w:rsidRDefault="00D10D9D" w:rsidP="00574CCA">
            <w:pPr>
              <w:spacing w:line="240" w:lineRule="exact"/>
              <w:jc w:val="both"/>
              <w:rPr>
                <w:rFonts w:ascii="微軟正黑體" w:eastAsia="微軟正黑體" w:hAnsi="微軟正黑體"/>
                <w:b/>
                <w:sz w:val="20"/>
                <w:szCs w:val="20"/>
              </w:rPr>
            </w:pPr>
          </w:p>
        </w:tc>
        <w:tc>
          <w:tcPr>
            <w:tcW w:w="2976" w:type="dxa"/>
            <w:gridSpan w:val="2"/>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最高40年</w:t>
            </w:r>
          </w:p>
        </w:tc>
      </w:tr>
      <w:tr w:rsidR="00D10D9D" w:rsidRPr="000802DA" w:rsidTr="00574CCA">
        <w:trPr>
          <w:trHeight w:val="256"/>
        </w:trPr>
        <w:tc>
          <w:tcPr>
            <w:tcW w:w="715" w:type="dxa"/>
            <w:vMerge/>
          </w:tcPr>
          <w:p w:rsidR="00D10D9D" w:rsidRPr="000802DA" w:rsidRDefault="00D10D9D" w:rsidP="00574CCA">
            <w:pPr>
              <w:widowControl/>
              <w:spacing w:line="240" w:lineRule="exact"/>
              <w:rPr>
                <w:rFonts w:ascii="微軟正黑體" w:eastAsia="微軟正黑體" w:hAnsi="微軟正黑體"/>
                <w:b/>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年資給付率</w:t>
            </w:r>
          </w:p>
        </w:tc>
        <w:tc>
          <w:tcPr>
            <w:tcW w:w="5326" w:type="dxa"/>
            <w:gridSpan w:val="2"/>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1.55%</w:t>
            </w:r>
          </w:p>
        </w:tc>
        <w:tc>
          <w:tcPr>
            <w:tcW w:w="3828" w:type="dxa"/>
            <w:vMerge/>
          </w:tcPr>
          <w:p w:rsidR="00D10D9D" w:rsidRPr="000802DA" w:rsidRDefault="00D10D9D" w:rsidP="00574CCA">
            <w:pPr>
              <w:spacing w:line="240" w:lineRule="exact"/>
              <w:rPr>
                <w:rFonts w:ascii="微軟正黑體" w:eastAsia="微軟正黑體" w:hAnsi="微軟正黑體"/>
                <w:b/>
                <w:sz w:val="20"/>
                <w:szCs w:val="20"/>
              </w:rPr>
            </w:pPr>
          </w:p>
        </w:tc>
        <w:tc>
          <w:tcPr>
            <w:tcW w:w="4677" w:type="dxa"/>
            <w:gridSpan w:val="2"/>
          </w:tcPr>
          <w:p w:rsidR="00D10D9D" w:rsidRPr="000802DA" w:rsidRDefault="00D10D9D" w:rsidP="00AB4A45">
            <w:pPr>
              <w:spacing w:line="220" w:lineRule="exact"/>
              <w:ind w:rightChars="-45" w:right="-108"/>
              <w:jc w:val="both"/>
              <w:rPr>
                <w:rFonts w:ascii="微軟正黑體" w:eastAsia="微軟正黑體" w:hAnsi="微軟正黑體"/>
                <w:sz w:val="18"/>
                <w:szCs w:val="18"/>
              </w:rPr>
            </w:pPr>
            <w:r w:rsidRPr="000802DA">
              <w:rPr>
                <w:rFonts w:ascii="微軟正黑體" w:eastAsia="微軟正黑體" w:hAnsi="微軟正黑體"/>
                <w:sz w:val="18"/>
                <w:szCs w:val="18"/>
              </w:rPr>
              <w:t>0.75%-1.3% (總給付率最高45.5%)</w:t>
            </w:r>
          </w:p>
        </w:tc>
        <w:tc>
          <w:tcPr>
            <w:tcW w:w="3261" w:type="dxa"/>
            <w:vMerge/>
          </w:tcPr>
          <w:p w:rsidR="00D10D9D" w:rsidRPr="000802DA" w:rsidRDefault="00D10D9D" w:rsidP="00574CCA">
            <w:pPr>
              <w:spacing w:line="240" w:lineRule="exact"/>
              <w:jc w:val="both"/>
              <w:rPr>
                <w:rFonts w:ascii="微軟正黑體" w:eastAsia="微軟正黑體" w:hAnsi="微軟正黑體"/>
                <w:b/>
                <w:sz w:val="20"/>
                <w:szCs w:val="20"/>
              </w:rPr>
            </w:pPr>
          </w:p>
        </w:tc>
        <w:tc>
          <w:tcPr>
            <w:tcW w:w="2976" w:type="dxa"/>
            <w:gridSpan w:val="2"/>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1.3%</w:t>
            </w:r>
          </w:p>
        </w:tc>
      </w:tr>
      <w:tr w:rsidR="00D10D9D" w:rsidRPr="000802DA" w:rsidTr="00574CCA">
        <w:trPr>
          <w:trHeight w:val="360"/>
        </w:trPr>
        <w:tc>
          <w:tcPr>
            <w:tcW w:w="715" w:type="dxa"/>
            <w:vMerge/>
          </w:tcPr>
          <w:p w:rsidR="00D10D9D" w:rsidRPr="000802DA" w:rsidRDefault="00D10D9D" w:rsidP="00574CCA">
            <w:pPr>
              <w:widowControl/>
              <w:spacing w:line="240" w:lineRule="exact"/>
              <w:rPr>
                <w:rFonts w:ascii="微軟正黑體" w:eastAsia="微軟正黑體" w:hAnsi="微軟正黑體"/>
                <w:b/>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展延及減額年金</w:t>
            </w:r>
          </w:p>
        </w:tc>
        <w:tc>
          <w:tcPr>
            <w:tcW w:w="5326" w:type="dxa"/>
            <w:gridSpan w:val="2"/>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每延後1年加發4%，最多加發20%；每提早1年減給4%，最多減給20%</w:t>
            </w:r>
          </w:p>
        </w:tc>
        <w:tc>
          <w:tcPr>
            <w:tcW w:w="3828" w:type="dxa"/>
            <w:vMerge/>
          </w:tcPr>
          <w:p w:rsidR="00D10D9D" w:rsidRPr="000802DA" w:rsidRDefault="00D10D9D" w:rsidP="00574CCA">
            <w:pPr>
              <w:spacing w:line="240" w:lineRule="exact"/>
              <w:rPr>
                <w:rFonts w:ascii="微軟正黑體" w:eastAsia="微軟正黑體" w:hAnsi="微軟正黑體"/>
                <w:b/>
                <w:sz w:val="20"/>
                <w:szCs w:val="20"/>
              </w:rPr>
            </w:pPr>
          </w:p>
        </w:tc>
        <w:tc>
          <w:tcPr>
            <w:tcW w:w="4677" w:type="dxa"/>
            <w:gridSpan w:val="2"/>
            <w:vAlign w:val="center"/>
          </w:tcPr>
          <w:p w:rsidR="00D10D9D" w:rsidRPr="000802DA" w:rsidRDefault="00D10D9D" w:rsidP="00AB4A45">
            <w:pPr>
              <w:spacing w:line="220" w:lineRule="exact"/>
              <w:jc w:val="both"/>
              <w:rPr>
                <w:rFonts w:ascii="微軟正黑體" w:eastAsia="微軟正黑體" w:hAnsi="微軟正黑體"/>
                <w:sz w:val="18"/>
                <w:szCs w:val="18"/>
              </w:rPr>
            </w:pPr>
            <w:r w:rsidRPr="000802DA">
              <w:rPr>
                <w:rFonts w:ascii="微軟正黑體" w:eastAsia="微軟正黑體" w:hAnsi="微軟正黑體"/>
                <w:sz w:val="18"/>
                <w:szCs w:val="18"/>
              </w:rPr>
              <w:t>每提前</w:t>
            </w:r>
            <w:r w:rsidRPr="000802DA">
              <w:rPr>
                <w:rFonts w:ascii="微軟正黑體" w:eastAsia="微軟正黑體" w:hAnsi="微軟正黑體" w:hint="eastAsia"/>
                <w:sz w:val="18"/>
                <w:szCs w:val="18"/>
              </w:rPr>
              <w:t>1</w:t>
            </w:r>
            <w:r w:rsidRPr="000802DA">
              <w:rPr>
                <w:rFonts w:ascii="微軟正黑體" w:eastAsia="微軟正黑體" w:hAnsi="微軟正黑體"/>
                <w:sz w:val="18"/>
                <w:szCs w:val="18"/>
              </w:rPr>
              <w:t>年減給4%，最多減給20%</w:t>
            </w:r>
          </w:p>
        </w:tc>
        <w:tc>
          <w:tcPr>
            <w:tcW w:w="3261" w:type="dxa"/>
            <w:vMerge/>
          </w:tcPr>
          <w:p w:rsidR="00D10D9D" w:rsidRPr="000802DA" w:rsidRDefault="00D10D9D" w:rsidP="00574CCA">
            <w:pPr>
              <w:spacing w:line="240" w:lineRule="exact"/>
              <w:jc w:val="both"/>
              <w:rPr>
                <w:rFonts w:ascii="微軟正黑體" w:eastAsia="微軟正黑體" w:hAnsi="微軟正黑體"/>
                <w:b/>
                <w:sz w:val="20"/>
                <w:szCs w:val="20"/>
              </w:rPr>
            </w:pPr>
          </w:p>
        </w:tc>
        <w:tc>
          <w:tcPr>
            <w:tcW w:w="2976" w:type="dxa"/>
            <w:gridSpan w:val="2"/>
            <w:vAlign w:val="center"/>
          </w:tcPr>
          <w:p w:rsidR="00D10D9D" w:rsidRPr="000802DA" w:rsidRDefault="00D10D9D" w:rsidP="00574CCA">
            <w:pPr>
              <w:spacing w:line="240" w:lineRule="exact"/>
              <w:jc w:val="center"/>
              <w:rPr>
                <w:rFonts w:ascii="微軟正黑體" w:eastAsia="微軟正黑體" w:hAnsi="微軟正黑體"/>
                <w:sz w:val="20"/>
                <w:szCs w:val="20"/>
              </w:rPr>
            </w:pPr>
            <w:r w:rsidRPr="000802DA">
              <w:rPr>
                <w:rFonts w:ascii="微軟正黑體" w:eastAsia="微軟正黑體" w:hAnsi="微軟正黑體"/>
                <w:sz w:val="20"/>
                <w:szCs w:val="20"/>
              </w:rPr>
              <w:t>－</w:t>
            </w:r>
          </w:p>
        </w:tc>
      </w:tr>
      <w:tr w:rsidR="00D10D9D" w:rsidRPr="000802DA" w:rsidTr="00574CCA">
        <w:trPr>
          <w:trHeight w:val="249"/>
        </w:trPr>
        <w:tc>
          <w:tcPr>
            <w:tcW w:w="715" w:type="dxa"/>
            <w:vMerge/>
          </w:tcPr>
          <w:p w:rsidR="00D10D9D" w:rsidRPr="000802DA" w:rsidRDefault="00D10D9D" w:rsidP="00574CCA">
            <w:pPr>
              <w:widowControl/>
              <w:spacing w:line="240" w:lineRule="exact"/>
              <w:rPr>
                <w:rFonts w:ascii="微軟正黑體" w:eastAsia="微軟正黑體" w:hAnsi="微軟正黑體"/>
                <w:b/>
                <w:sz w:val="20"/>
                <w:szCs w:val="20"/>
              </w:rPr>
            </w:pPr>
          </w:p>
        </w:tc>
        <w:tc>
          <w:tcPr>
            <w:tcW w:w="2005"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與其他保險之</w:t>
            </w:r>
          </w:p>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銜接機制</w:t>
            </w:r>
          </w:p>
        </w:tc>
        <w:tc>
          <w:tcPr>
            <w:tcW w:w="5326" w:type="dxa"/>
            <w:gridSpan w:val="2"/>
            <w:vAlign w:val="center"/>
          </w:tcPr>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1.與國保採年資併計、分別給付機制</w:t>
            </w:r>
          </w:p>
          <w:p w:rsidR="00D10D9D" w:rsidRPr="000802DA" w:rsidRDefault="00D10D9D" w:rsidP="00574CCA">
            <w:pPr>
              <w:spacing w:line="240" w:lineRule="exact"/>
              <w:rPr>
                <w:rFonts w:ascii="微軟正黑體" w:eastAsia="微軟正黑體" w:hAnsi="微軟正黑體"/>
                <w:sz w:val="20"/>
                <w:szCs w:val="20"/>
              </w:rPr>
            </w:pPr>
            <w:r w:rsidRPr="000802DA">
              <w:rPr>
                <w:rFonts w:ascii="微軟正黑體" w:eastAsia="微軟正黑體" w:hAnsi="微軟正黑體"/>
                <w:sz w:val="20"/>
                <w:szCs w:val="20"/>
              </w:rPr>
              <w:t>2.與其他保險採年資保留機制</w:t>
            </w:r>
          </w:p>
        </w:tc>
        <w:tc>
          <w:tcPr>
            <w:tcW w:w="3828" w:type="dxa"/>
            <w:vAlign w:val="center"/>
          </w:tcPr>
          <w:p w:rsidR="00D10D9D" w:rsidRPr="000802DA" w:rsidRDefault="00D10D9D" w:rsidP="00574CCA">
            <w:pPr>
              <w:spacing w:line="240" w:lineRule="exact"/>
              <w:jc w:val="center"/>
              <w:rPr>
                <w:rFonts w:ascii="微軟正黑體" w:eastAsia="微軟正黑體" w:hAnsi="微軟正黑體"/>
                <w:b/>
                <w:sz w:val="20"/>
                <w:szCs w:val="20"/>
              </w:rPr>
            </w:pPr>
            <w:r w:rsidRPr="000802DA">
              <w:rPr>
                <w:rFonts w:ascii="微軟正黑體" w:eastAsia="微軟正黑體" w:hAnsi="微軟正黑體" w:hint="eastAsia"/>
                <w:b/>
                <w:sz w:val="20"/>
                <w:szCs w:val="20"/>
              </w:rPr>
              <w:t>-</w:t>
            </w:r>
          </w:p>
        </w:tc>
        <w:tc>
          <w:tcPr>
            <w:tcW w:w="4677" w:type="dxa"/>
            <w:gridSpan w:val="2"/>
          </w:tcPr>
          <w:p w:rsidR="00D10D9D" w:rsidRPr="00751A26" w:rsidRDefault="00D10D9D" w:rsidP="00AB4A45">
            <w:pPr>
              <w:pStyle w:val="af0"/>
              <w:numPr>
                <w:ilvl w:val="0"/>
                <w:numId w:val="3"/>
              </w:numPr>
              <w:tabs>
                <w:tab w:val="left" w:pos="502"/>
              </w:tabs>
              <w:spacing w:line="220" w:lineRule="exact"/>
              <w:ind w:leftChars="0"/>
              <w:jc w:val="both"/>
              <w:rPr>
                <w:rFonts w:ascii="微軟正黑體" w:eastAsia="微軟正黑體" w:hAnsi="微軟正黑體"/>
                <w:sz w:val="18"/>
                <w:szCs w:val="18"/>
              </w:rPr>
            </w:pPr>
            <w:r w:rsidRPr="00751A26">
              <w:rPr>
                <w:rFonts w:ascii="微軟正黑體" w:eastAsia="微軟正黑體" w:hAnsi="微軟正黑體"/>
                <w:sz w:val="18"/>
                <w:szCs w:val="18"/>
              </w:rPr>
              <w:t>退保時如不合請領公保養老給付條件，得於之後成就其他社會保險請領條件或65歲時，再依公保退保時年資，請領公保養老給付</w:t>
            </w:r>
            <w:r w:rsidRPr="00751A26">
              <w:rPr>
                <w:rFonts w:ascii="微軟正黑體" w:eastAsia="微軟正黑體" w:hAnsi="微軟正黑體" w:hint="eastAsia"/>
                <w:sz w:val="18"/>
                <w:szCs w:val="18"/>
              </w:rPr>
              <w:t>(</w:t>
            </w:r>
            <w:r w:rsidRPr="00751A26">
              <w:rPr>
                <w:rFonts w:ascii="微軟正黑體" w:eastAsia="微軟正黑體" w:hAnsi="微軟正黑體"/>
                <w:sz w:val="18"/>
                <w:szCs w:val="18"/>
              </w:rPr>
              <w:t>§26</w:t>
            </w:r>
            <w:r w:rsidRPr="00751A26">
              <w:rPr>
                <w:rFonts w:ascii="微軟正黑體" w:eastAsia="微軟正黑體" w:hAnsi="微軟正黑體" w:hint="eastAsia"/>
                <w:sz w:val="18"/>
                <w:szCs w:val="18"/>
              </w:rPr>
              <w:t>)</w:t>
            </w:r>
          </w:p>
          <w:p w:rsidR="00D10D9D" w:rsidRPr="00751A26" w:rsidRDefault="00D10D9D" w:rsidP="00AB4A45">
            <w:pPr>
              <w:pStyle w:val="af0"/>
              <w:numPr>
                <w:ilvl w:val="0"/>
                <w:numId w:val="3"/>
              </w:numPr>
              <w:tabs>
                <w:tab w:val="left" w:pos="612"/>
              </w:tabs>
              <w:spacing w:line="220" w:lineRule="exact"/>
              <w:ind w:leftChars="0"/>
              <w:jc w:val="both"/>
              <w:rPr>
                <w:rFonts w:ascii="微軟正黑體" w:eastAsia="微軟正黑體" w:hAnsi="微軟正黑體"/>
                <w:sz w:val="18"/>
                <w:szCs w:val="18"/>
              </w:rPr>
            </w:pPr>
            <w:r w:rsidRPr="00751A26">
              <w:rPr>
                <w:rFonts w:ascii="微軟正黑體" w:eastAsia="微軟正黑體" w:hAnsi="微軟正黑體"/>
                <w:sz w:val="18"/>
                <w:szCs w:val="18"/>
              </w:rPr>
              <w:t>公保及勞保年資均未達15年，但合計勞保年資達15年者，可依基本年金率(0.75%)及公保年資請領公保年金給付</w:t>
            </w:r>
            <w:r w:rsidRPr="00751A26">
              <w:rPr>
                <w:rFonts w:ascii="微軟正黑體" w:eastAsia="微軟正黑體" w:hAnsi="微軟正黑體" w:hint="eastAsia"/>
                <w:sz w:val="18"/>
                <w:szCs w:val="18"/>
              </w:rPr>
              <w:t>(</w:t>
            </w:r>
            <w:r w:rsidRPr="00751A26">
              <w:rPr>
                <w:rFonts w:ascii="微軟正黑體" w:eastAsia="微軟正黑體" w:hAnsi="微軟正黑體"/>
                <w:sz w:val="18"/>
                <w:szCs w:val="18"/>
              </w:rPr>
              <w:t>§49</w:t>
            </w:r>
            <w:r w:rsidRPr="00751A26">
              <w:rPr>
                <w:rFonts w:ascii="微軟正黑體" w:eastAsia="微軟正黑體" w:hAnsi="微軟正黑體" w:hint="eastAsia"/>
                <w:sz w:val="18"/>
                <w:szCs w:val="18"/>
              </w:rPr>
              <w:t>)</w:t>
            </w:r>
          </w:p>
        </w:tc>
        <w:tc>
          <w:tcPr>
            <w:tcW w:w="3261" w:type="dxa"/>
            <w:vMerge/>
          </w:tcPr>
          <w:p w:rsidR="00D10D9D" w:rsidRPr="000802DA" w:rsidRDefault="00D10D9D" w:rsidP="00574CCA">
            <w:pPr>
              <w:spacing w:line="240" w:lineRule="exact"/>
              <w:jc w:val="both"/>
              <w:rPr>
                <w:rFonts w:ascii="微軟正黑體" w:eastAsia="微軟正黑體" w:hAnsi="微軟正黑體"/>
                <w:b/>
                <w:sz w:val="20"/>
                <w:szCs w:val="20"/>
              </w:rPr>
            </w:pPr>
          </w:p>
        </w:tc>
        <w:tc>
          <w:tcPr>
            <w:tcW w:w="2976" w:type="dxa"/>
            <w:gridSpan w:val="2"/>
            <w:vAlign w:val="center"/>
          </w:tcPr>
          <w:p w:rsidR="00D10D9D" w:rsidRPr="000802DA" w:rsidRDefault="00D10D9D" w:rsidP="00574CCA">
            <w:pPr>
              <w:spacing w:line="240" w:lineRule="exact"/>
              <w:jc w:val="both"/>
              <w:rPr>
                <w:rFonts w:ascii="微軟正黑體" w:eastAsia="微軟正黑體" w:hAnsi="微軟正黑體"/>
                <w:sz w:val="20"/>
                <w:szCs w:val="20"/>
              </w:rPr>
            </w:pPr>
            <w:r w:rsidRPr="000802DA">
              <w:rPr>
                <w:rFonts w:ascii="微軟正黑體" w:eastAsia="微軟正黑體" w:hAnsi="微軟正黑體" w:hint="eastAsia"/>
                <w:sz w:val="20"/>
                <w:szCs w:val="20"/>
              </w:rPr>
              <w:t>國保年資可供勞保及公保(具有任期之公職被保險人)併計年資，以成就勞保及公保老年年金給付條件。</w:t>
            </w:r>
          </w:p>
        </w:tc>
      </w:tr>
    </w:tbl>
    <w:p w:rsidR="008C24C0" w:rsidRDefault="008C24C0" w:rsidP="008C24C0">
      <w:pPr>
        <w:spacing w:line="240" w:lineRule="exact"/>
        <w:ind w:left="118" w:hangingChars="59" w:hanging="118"/>
        <w:rPr>
          <w:rFonts w:ascii="微軟正黑體" w:eastAsia="微軟正黑體" w:hAnsi="微軟正黑體"/>
          <w:sz w:val="20"/>
          <w:szCs w:val="20"/>
        </w:rPr>
      </w:pPr>
    </w:p>
    <w:tbl>
      <w:tblPr>
        <w:tblW w:w="22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1071"/>
        <w:gridCol w:w="934"/>
        <w:gridCol w:w="1698"/>
        <w:gridCol w:w="2069"/>
        <w:gridCol w:w="1559"/>
        <w:gridCol w:w="2268"/>
        <w:gridCol w:w="2694"/>
        <w:gridCol w:w="2835"/>
        <w:gridCol w:w="2551"/>
        <w:gridCol w:w="2410"/>
        <w:gridCol w:w="1984"/>
      </w:tblGrid>
      <w:tr w:rsidR="008C24C0" w:rsidRPr="00D02849" w:rsidTr="00574CCA">
        <w:tc>
          <w:tcPr>
            <w:tcW w:w="715" w:type="dxa"/>
          </w:tcPr>
          <w:p w:rsidR="008C24C0" w:rsidRPr="00D02849" w:rsidRDefault="008C24C0" w:rsidP="00574CCA">
            <w:pPr>
              <w:widowControl/>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身份</w:t>
            </w:r>
          </w:p>
        </w:tc>
        <w:tc>
          <w:tcPr>
            <w:tcW w:w="2005" w:type="dxa"/>
            <w:gridSpan w:val="2"/>
          </w:tcPr>
          <w:p w:rsidR="008C24C0" w:rsidRPr="00D02849" w:rsidRDefault="008C24C0" w:rsidP="00574CCA">
            <w:pPr>
              <w:widowControl/>
              <w:spacing w:line="240" w:lineRule="exact"/>
              <w:rPr>
                <w:rFonts w:ascii="微軟正黑體" w:eastAsia="微軟正黑體" w:hAnsi="微軟正黑體"/>
                <w:sz w:val="20"/>
                <w:szCs w:val="20"/>
              </w:rPr>
            </w:pPr>
          </w:p>
        </w:tc>
        <w:tc>
          <w:tcPr>
            <w:tcW w:w="5326" w:type="dxa"/>
            <w:gridSpan w:val="3"/>
          </w:tcPr>
          <w:p w:rsidR="008C24C0" w:rsidRPr="00D02849" w:rsidRDefault="008C24C0" w:rsidP="00574CCA">
            <w:pPr>
              <w:widowControl/>
              <w:spacing w:line="240" w:lineRule="exact"/>
              <w:jc w:val="center"/>
              <w:rPr>
                <w:rFonts w:ascii="微軟正黑體" w:eastAsia="微軟正黑體" w:hAnsi="微軟正黑體"/>
                <w:b/>
                <w:bCs/>
                <w:sz w:val="20"/>
                <w:szCs w:val="20"/>
              </w:rPr>
            </w:pPr>
            <w:r w:rsidRPr="00D02849">
              <w:rPr>
                <w:rFonts w:ascii="微軟正黑體" w:eastAsia="微軟正黑體" w:hAnsi="微軟正黑體"/>
                <w:b/>
                <w:bCs/>
                <w:sz w:val="20"/>
                <w:szCs w:val="20"/>
              </w:rPr>
              <w:t>勞工</w:t>
            </w:r>
          </w:p>
        </w:tc>
        <w:tc>
          <w:tcPr>
            <w:tcW w:w="2268" w:type="dxa"/>
          </w:tcPr>
          <w:p w:rsidR="008C24C0" w:rsidRPr="00D02849" w:rsidRDefault="008C24C0" w:rsidP="00574CCA">
            <w:pPr>
              <w:widowControl/>
              <w:spacing w:line="240" w:lineRule="exact"/>
              <w:jc w:val="center"/>
              <w:rPr>
                <w:rFonts w:ascii="微軟正黑體" w:eastAsia="微軟正黑體" w:hAnsi="微軟正黑體"/>
                <w:b/>
                <w:bCs/>
                <w:sz w:val="20"/>
                <w:szCs w:val="20"/>
              </w:rPr>
            </w:pPr>
            <w:r w:rsidRPr="00D02849">
              <w:rPr>
                <w:rFonts w:ascii="微軟正黑體" w:eastAsia="微軟正黑體" w:hAnsi="微軟正黑體"/>
                <w:b/>
                <w:bCs/>
                <w:sz w:val="20"/>
                <w:szCs w:val="20"/>
              </w:rPr>
              <w:t>軍職人員</w:t>
            </w:r>
          </w:p>
        </w:tc>
        <w:tc>
          <w:tcPr>
            <w:tcW w:w="8080" w:type="dxa"/>
            <w:gridSpan w:val="3"/>
          </w:tcPr>
          <w:p w:rsidR="008C24C0" w:rsidRPr="00D02849" w:rsidRDefault="008C24C0" w:rsidP="00574CCA">
            <w:pPr>
              <w:widowControl/>
              <w:spacing w:line="240" w:lineRule="exact"/>
              <w:jc w:val="center"/>
              <w:rPr>
                <w:rFonts w:ascii="微軟正黑體" w:eastAsia="微軟正黑體" w:hAnsi="微軟正黑體"/>
                <w:b/>
                <w:bCs/>
                <w:sz w:val="20"/>
                <w:szCs w:val="20"/>
              </w:rPr>
            </w:pPr>
            <w:r w:rsidRPr="00D02849">
              <w:rPr>
                <w:rFonts w:ascii="微軟正黑體" w:eastAsia="微軟正黑體" w:hAnsi="微軟正黑體"/>
                <w:b/>
                <w:bCs/>
                <w:sz w:val="20"/>
                <w:szCs w:val="20"/>
              </w:rPr>
              <w:t>公教人員</w:t>
            </w:r>
          </w:p>
        </w:tc>
        <w:tc>
          <w:tcPr>
            <w:tcW w:w="2410" w:type="dxa"/>
          </w:tcPr>
          <w:p w:rsidR="008C24C0" w:rsidRPr="00D02849" w:rsidRDefault="008C24C0" w:rsidP="00574CCA">
            <w:pPr>
              <w:widowControl/>
              <w:spacing w:line="240" w:lineRule="exact"/>
              <w:jc w:val="center"/>
              <w:rPr>
                <w:rFonts w:ascii="微軟正黑體" w:eastAsia="微軟正黑體" w:hAnsi="微軟正黑體"/>
                <w:b/>
                <w:bCs/>
                <w:sz w:val="20"/>
                <w:szCs w:val="20"/>
              </w:rPr>
            </w:pPr>
            <w:r w:rsidRPr="00D02849">
              <w:rPr>
                <w:rFonts w:ascii="微軟正黑體" w:eastAsia="微軟正黑體" w:hAnsi="微軟正黑體"/>
                <w:b/>
                <w:bCs/>
                <w:sz w:val="20"/>
                <w:szCs w:val="20"/>
              </w:rPr>
              <w:t>農民</w:t>
            </w:r>
          </w:p>
        </w:tc>
        <w:tc>
          <w:tcPr>
            <w:tcW w:w="1984" w:type="dxa"/>
          </w:tcPr>
          <w:p w:rsidR="008C24C0" w:rsidRPr="00D02849" w:rsidRDefault="008C24C0" w:rsidP="00574CCA">
            <w:pPr>
              <w:widowControl/>
              <w:spacing w:line="240" w:lineRule="exact"/>
              <w:jc w:val="center"/>
              <w:rPr>
                <w:rFonts w:ascii="微軟正黑體" w:eastAsia="微軟正黑體" w:hAnsi="微軟正黑體"/>
                <w:b/>
                <w:bCs/>
                <w:sz w:val="20"/>
                <w:szCs w:val="20"/>
              </w:rPr>
            </w:pPr>
            <w:r w:rsidRPr="00D02849">
              <w:rPr>
                <w:rFonts w:ascii="微軟正黑體" w:eastAsia="微軟正黑體" w:hAnsi="微軟正黑體" w:hint="eastAsia"/>
                <w:b/>
                <w:bCs/>
                <w:sz w:val="20"/>
                <w:szCs w:val="20"/>
              </w:rPr>
              <w:t>未就業</w:t>
            </w:r>
            <w:r w:rsidRPr="00D02849">
              <w:rPr>
                <w:rFonts w:ascii="微軟正黑體" w:eastAsia="微軟正黑體" w:hAnsi="微軟正黑體"/>
                <w:b/>
                <w:bCs/>
                <w:sz w:val="20"/>
                <w:szCs w:val="20"/>
              </w:rPr>
              <w:t>國民</w:t>
            </w:r>
          </w:p>
        </w:tc>
      </w:tr>
      <w:tr w:rsidR="008C24C0" w:rsidRPr="00D02849" w:rsidTr="00574CCA">
        <w:trPr>
          <w:trHeight w:val="666"/>
        </w:trPr>
        <w:tc>
          <w:tcPr>
            <w:tcW w:w="715" w:type="dxa"/>
            <w:vMerge w:val="restart"/>
          </w:tcPr>
          <w:p w:rsidR="008C24C0" w:rsidRPr="00D02849" w:rsidRDefault="008C24C0" w:rsidP="00574CCA">
            <w:pPr>
              <w:widowControl/>
              <w:rPr>
                <w:rFonts w:ascii="微軟正黑體" w:eastAsia="微軟正黑體" w:hAnsi="微軟正黑體"/>
                <w:b/>
                <w:sz w:val="20"/>
                <w:szCs w:val="20"/>
              </w:rPr>
            </w:pPr>
          </w:p>
          <w:p w:rsidR="008C24C0" w:rsidRPr="00D02849" w:rsidRDefault="008C24C0" w:rsidP="00574CCA">
            <w:pPr>
              <w:widowControl/>
              <w:rPr>
                <w:rFonts w:ascii="微軟正黑體" w:eastAsia="微軟正黑體" w:hAnsi="微軟正黑體"/>
                <w:b/>
                <w:sz w:val="20"/>
                <w:szCs w:val="20"/>
              </w:rPr>
            </w:pPr>
          </w:p>
          <w:p w:rsidR="008C24C0" w:rsidRPr="00D02849" w:rsidRDefault="008C24C0" w:rsidP="00574CCA">
            <w:pPr>
              <w:widowControl/>
              <w:rPr>
                <w:rFonts w:ascii="微軟正黑體" w:eastAsia="微軟正黑體" w:hAnsi="微軟正黑體"/>
                <w:b/>
                <w:sz w:val="20"/>
                <w:szCs w:val="20"/>
              </w:rPr>
            </w:pPr>
          </w:p>
          <w:p w:rsidR="008C24C0" w:rsidRPr="00D02849" w:rsidRDefault="008C24C0" w:rsidP="00574CCA">
            <w:pPr>
              <w:widowControl/>
              <w:jc w:val="center"/>
              <w:rPr>
                <w:rFonts w:ascii="微軟正黑體" w:eastAsia="微軟正黑體" w:hAnsi="微軟正黑體"/>
                <w:b/>
                <w:sz w:val="20"/>
                <w:szCs w:val="20"/>
              </w:rPr>
            </w:pPr>
            <w:r w:rsidRPr="00D02849">
              <w:rPr>
                <w:rFonts w:ascii="微軟正黑體" w:eastAsia="微軟正黑體" w:hAnsi="微軟正黑體"/>
                <w:b/>
                <w:sz w:val="20"/>
                <w:szCs w:val="20"/>
              </w:rPr>
              <w:t>第</w:t>
            </w:r>
          </w:p>
          <w:p w:rsidR="008C24C0" w:rsidRPr="00D02849" w:rsidRDefault="008C24C0" w:rsidP="00574CCA">
            <w:pPr>
              <w:widowControl/>
              <w:jc w:val="center"/>
              <w:rPr>
                <w:rFonts w:ascii="微軟正黑體" w:eastAsia="微軟正黑體" w:hAnsi="微軟正黑體"/>
                <w:b/>
                <w:sz w:val="20"/>
                <w:szCs w:val="20"/>
              </w:rPr>
            </w:pPr>
            <w:r w:rsidRPr="00D02849">
              <w:rPr>
                <w:rFonts w:ascii="微軟正黑體" w:eastAsia="微軟正黑體" w:hAnsi="微軟正黑體"/>
                <w:b/>
                <w:sz w:val="20"/>
                <w:szCs w:val="20"/>
              </w:rPr>
              <w:t>二</w:t>
            </w:r>
          </w:p>
          <w:p w:rsidR="008C24C0" w:rsidRPr="00D02849" w:rsidRDefault="008C24C0" w:rsidP="00574CCA">
            <w:pPr>
              <w:widowControl/>
              <w:jc w:val="center"/>
              <w:rPr>
                <w:rFonts w:ascii="微軟正黑體" w:eastAsia="微軟正黑體" w:hAnsi="微軟正黑體"/>
                <w:b/>
                <w:sz w:val="20"/>
                <w:szCs w:val="20"/>
              </w:rPr>
            </w:pPr>
            <w:r w:rsidRPr="00D02849">
              <w:rPr>
                <w:rFonts w:ascii="微軟正黑體" w:eastAsia="微軟正黑體" w:hAnsi="微軟正黑體"/>
                <w:b/>
                <w:sz w:val="20"/>
                <w:szCs w:val="20"/>
              </w:rPr>
              <w:t>層</w:t>
            </w:r>
          </w:p>
          <w:p w:rsidR="008C24C0" w:rsidRPr="00D02849" w:rsidRDefault="008C24C0" w:rsidP="00574CCA">
            <w:pPr>
              <w:widowControl/>
              <w:jc w:val="center"/>
              <w:rPr>
                <w:rFonts w:ascii="微軟正黑體" w:eastAsia="微軟正黑體" w:hAnsi="微軟正黑體"/>
                <w:b/>
                <w:sz w:val="20"/>
                <w:szCs w:val="20"/>
              </w:rPr>
            </w:pPr>
          </w:p>
          <w:p w:rsidR="008C24C0" w:rsidRPr="00D02849" w:rsidRDefault="008C24C0" w:rsidP="00574CCA">
            <w:pPr>
              <w:widowControl/>
              <w:jc w:val="center"/>
              <w:rPr>
                <w:rFonts w:ascii="微軟正黑體" w:eastAsia="微軟正黑體" w:hAnsi="微軟正黑體"/>
                <w:b/>
                <w:sz w:val="20"/>
                <w:szCs w:val="20"/>
              </w:rPr>
            </w:pPr>
            <w:r w:rsidRPr="00D02849">
              <w:rPr>
                <w:rFonts w:ascii="微軟正黑體" w:eastAsia="微軟正黑體" w:hAnsi="微軟正黑體"/>
                <w:b/>
                <w:sz w:val="20"/>
                <w:szCs w:val="20"/>
              </w:rPr>
              <w:t>退</w:t>
            </w:r>
          </w:p>
          <w:p w:rsidR="008C24C0" w:rsidRPr="00D02849" w:rsidRDefault="008C24C0" w:rsidP="00574CCA">
            <w:pPr>
              <w:widowControl/>
              <w:jc w:val="center"/>
              <w:rPr>
                <w:rFonts w:ascii="微軟正黑體" w:eastAsia="微軟正黑體" w:hAnsi="微軟正黑體"/>
                <w:b/>
                <w:sz w:val="20"/>
                <w:szCs w:val="20"/>
              </w:rPr>
            </w:pPr>
            <w:r w:rsidRPr="00D02849">
              <w:rPr>
                <w:rFonts w:ascii="微軟正黑體" w:eastAsia="微軟正黑體" w:hAnsi="微軟正黑體"/>
                <w:b/>
                <w:sz w:val="20"/>
                <w:szCs w:val="20"/>
              </w:rPr>
              <w:t>休</w:t>
            </w:r>
          </w:p>
          <w:p w:rsidR="008C24C0" w:rsidRPr="00D02849" w:rsidRDefault="008C24C0" w:rsidP="00574CCA">
            <w:pPr>
              <w:widowControl/>
              <w:jc w:val="center"/>
              <w:rPr>
                <w:rFonts w:ascii="微軟正黑體" w:eastAsia="微軟正黑體" w:hAnsi="微軟正黑體"/>
                <w:b/>
                <w:sz w:val="20"/>
                <w:szCs w:val="20"/>
              </w:rPr>
            </w:pPr>
            <w:r w:rsidRPr="00D02849">
              <w:rPr>
                <w:rFonts w:ascii="微軟正黑體" w:eastAsia="微軟正黑體" w:hAnsi="微軟正黑體"/>
                <w:b/>
                <w:sz w:val="20"/>
                <w:szCs w:val="20"/>
              </w:rPr>
              <w:t>金</w:t>
            </w:r>
          </w:p>
          <w:p w:rsidR="008C24C0" w:rsidRPr="00D02849" w:rsidRDefault="008C24C0" w:rsidP="00574CCA">
            <w:pPr>
              <w:widowControl/>
              <w:jc w:val="center"/>
              <w:rPr>
                <w:rFonts w:ascii="微軟正黑體" w:eastAsia="微軟正黑體" w:hAnsi="微軟正黑體"/>
                <w:b/>
                <w:sz w:val="20"/>
                <w:szCs w:val="20"/>
              </w:rPr>
            </w:pPr>
            <w:r w:rsidRPr="00D02849">
              <w:rPr>
                <w:rFonts w:ascii="微軟正黑體" w:eastAsia="微軟正黑體" w:hAnsi="微軟正黑體"/>
                <w:b/>
                <w:sz w:val="20"/>
                <w:szCs w:val="20"/>
              </w:rPr>
              <w:t>制</w:t>
            </w:r>
          </w:p>
          <w:p w:rsidR="008C24C0" w:rsidRPr="00D02849" w:rsidRDefault="008C24C0" w:rsidP="00574CCA">
            <w:pPr>
              <w:widowControl/>
              <w:jc w:val="center"/>
              <w:rPr>
                <w:rFonts w:ascii="微軟正黑體" w:eastAsia="微軟正黑體" w:hAnsi="微軟正黑體"/>
                <w:b/>
                <w:sz w:val="20"/>
                <w:szCs w:val="20"/>
              </w:rPr>
            </w:pPr>
            <w:r w:rsidRPr="00D02849">
              <w:rPr>
                <w:rFonts w:ascii="微軟正黑體" w:eastAsia="微軟正黑體" w:hAnsi="微軟正黑體"/>
                <w:b/>
                <w:sz w:val="20"/>
                <w:szCs w:val="20"/>
              </w:rPr>
              <w:t>度</w:t>
            </w:r>
          </w:p>
        </w:tc>
        <w:tc>
          <w:tcPr>
            <w:tcW w:w="2005" w:type="dxa"/>
            <w:gridSpan w:val="2"/>
            <w:vMerge w:val="restart"/>
            <w:shd w:val="clear" w:color="auto" w:fill="BFBFBF"/>
            <w:vAlign w:val="center"/>
          </w:tcPr>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b/>
                <w:sz w:val="20"/>
                <w:szCs w:val="20"/>
              </w:rPr>
              <w:t>第二層</w:t>
            </w:r>
          </w:p>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hint="eastAsia"/>
                <w:b/>
                <w:sz w:val="20"/>
                <w:szCs w:val="20"/>
              </w:rPr>
              <w:t>(</w:t>
            </w:r>
            <w:r w:rsidRPr="00D02849">
              <w:rPr>
                <w:rFonts w:ascii="微軟正黑體" w:eastAsia="微軟正黑體" w:hAnsi="微軟正黑體"/>
                <w:b/>
                <w:sz w:val="20"/>
                <w:szCs w:val="20"/>
              </w:rPr>
              <w:t>退休金制度</w:t>
            </w:r>
            <w:r w:rsidRPr="00D02849">
              <w:rPr>
                <w:rFonts w:ascii="微軟正黑體" w:eastAsia="微軟正黑體" w:hAnsi="微軟正黑體" w:hint="eastAsia"/>
                <w:b/>
                <w:sz w:val="20"/>
                <w:szCs w:val="20"/>
              </w:rPr>
              <w:t>)</w:t>
            </w:r>
          </w:p>
        </w:tc>
        <w:tc>
          <w:tcPr>
            <w:tcW w:w="3767" w:type="dxa"/>
            <w:gridSpan w:val="2"/>
            <w:shd w:val="clear" w:color="auto" w:fill="BFBFBF"/>
            <w:vAlign w:val="center"/>
          </w:tcPr>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b/>
                <w:sz w:val="20"/>
                <w:szCs w:val="20"/>
              </w:rPr>
              <w:t>勞工退休金制度</w:t>
            </w:r>
          </w:p>
        </w:tc>
        <w:tc>
          <w:tcPr>
            <w:tcW w:w="1559" w:type="dxa"/>
            <w:vMerge w:val="restart"/>
            <w:shd w:val="clear" w:color="auto" w:fill="BFBFBF"/>
            <w:vAlign w:val="center"/>
          </w:tcPr>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b/>
                <w:sz w:val="20"/>
                <w:szCs w:val="20"/>
              </w:rPr>
              <w:t>約聘僱人員</w:t>
            </w:r>
          </w:p>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b/>
                <w:sz w:val="20"/>
                <w:szCs w:val="20"/>
              </w:rPr>
              <w:t>離職儲金</w:t>
            </w:r>
          </w:p>
        </w:tc>
        <w:tc>
          <w:tcPr>
            <w:tcW w:w="4962" w:type="dxa"/>
            <w:gridSpan w:val="2"/>
            <w:vMerge w:val="restart"/>
            <w:shd w:val="clear" w:color="auto" w:fill="BFBFBF"/>
            <w:vAlign w:val="center"/>
          </w:tcPr>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b/>
                <w:sz w:val="20"/>
                <w:szCs w:val="20"/>
              </w:rPr>
              <w:t>軍公教人員退休撫卹制度</w:t>
            </w:r>
          </w:p>
        </w:tc>
        <w:tc>
          <w:tcPr>
            <w:tcW w:w="2835" w:type="dxa"/>
            <w:vMerge w:val="restart"/>
            <w:shd w:val="clear" w:color="auto" w:fill="BFBFBF"/>
            <w:vAlign w:val="center"/>
          </w:tcPr>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b/>
                <w:sz w:val="20"/>
                <w:szCs w:val="20"/>
              </w:rPr>
              <w:t>政務人員離職儲金</w:t>
            </w:r>
          </w:p>
        </w:tc>
        <w:tc>
          <w:tcPr>
            <w:tcW w:w="2551" w:type="dxa"/>
            <w:vMerge w:val="restart"/>
            <w:shd w:val="clear" w:color="auto" w:fill="BFBFBF"/>
            <w:vAlign w:val="center"/>
          </w:tcPr>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b/>
                <w:sz w:val="20"/>
                <w:szCs w:val="20"/>
              </w:rPr>
              <w:t>私立學校教職員退休撫卹制度</w:t>
            </w:r>
          </w:p>
        </w:tc>
        <w:tc>
          <w:tcPr>
            <w:tcW w:w="2410" w:type="dxa"/>
            <w:vMerge w:val="restart"/>
            <w:shd w:val="clear" w:color="auto" w:fill="BFBFBF"/>
            <w:vAlign w:val="center"/>
          </w:tcPr>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hint="eastAsia"/>
                <w:b/>
                <w:sz w:val="20"/>
                <w:szCs w:val="20"/>
              </w:rPr>
              <w:t>農民退休儲金</w:t>
            </w:r>
          </w:p>
        </w:tc>
        <w:tc>
          <w:tcPr>
            <w:tcW w:w="1984" w:type="dxa"/>
            <w:vMerge w:val="restart"/>
            <w:shd w:val="clear" w:color="auto" w:fill="BFBFBF"/>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(無退休金制度)</w:t>
            </w: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Merge/>
          </w:tcPr>
          <w:p w:rsidR="008C24C0" w:rsidRPr="00D02849" w:rsidRDefault="008C24C0" w:rsidP="00574CCA">
            <w:pPr>
              <w:spacing w:line="240" w:lineRule="exact"/>
              <w:rPr>
                <w:rFonts w:ascii="微軟正黑體" w:eastAsia="微軟正黑體" w:hAnsi="微軟正黑體"/>
                <w:sz w:val="20"/>
                <w:szCs w:val="20"/>
              </w:rPr>
            </w:pPr>
          </w:p>
        </w:tc>
        <w:tc>
          <w:tcPr>
            <w:tcW w:w="1698" w:type="dxa"/>
            <w:shd w:val="clear" w:color="auto" w:fill="BFBFBF"/>
            <w:vAlign w:val="center"/>
          </w:tcPr>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b/>
                <w:sz w:val="20"/>
                <w:szCs w:val="20"/>
              </w:rPr>
              <w:t>舊制</w:t>
            </w:r>
          </w:p>
        </w:tc>
        <w:tc>
          <w:tcPr>
            <w:tcW w:w="2069" w:type="dxa"/>
            <w:shd w:val="clear" w:color="auto" w:fill="BFBFBF"/>
            <w:vAlign w:val="center"/>
          </w:tcPr>
          <w:p w:rsidR="008C24C0" w:rsidRPr="00D02849" w:rsidRDefault="008C24C0" w:rsidP="00574CCA">
            <w:pPr>
              <w:spacing w:line="240" w:lineRule="exact"/>
              <w:jc w:val="center"/>
              <w:rPr>
                <w:rFonts w:ascii="微軟正黑體" w:eastAsia="微軟正黑體" w:hAnsi="微軟正黑體"/>
                <w:b/>
                <w:sz w:val="20"/>
                <w:szCs w:val="20"/>
              </w:rPr>
            </w:pPr>
            <w:r w:rsidRPr="00D02849">
              <w:rPr>
                <w:rFonts w:ascii="微軟正黑體" w:eastAsia="微軟正黑體" w:hAnsi="微軟正黑體"/>
                <w:b/>
                <w:sz w:val="20"/>
                <w:szCs w:val="20"/>
              </w:rPr>
              <w:t>新制</w:t>
            </w:r>
          </w:p>
        </w:tc>
        <w:tc>
          <w:tcPr>
            <w:tcW w:w="1559" w:type="dxa"/>
            <w:vMerge/>
          </w:tcPr>
          <w:p w:rsidR="008C24C0" w:rsidRPr="00D02849" w:rsidRDefault="008C24C0" w:rsidP="00574CCA">
            <w:pPr>
              <w:spacing w:line="240" w:lineRule="exact"/>
              <w:rPr>
                <w:rFonts w:ascii="微軟正黑體" w:eastAsia="微軟正黑體" w:hAnsi="微軟正黑體"/>
                <w:sz w:val="20"/>
                <w:szCs w:val="20"/>
              </w:rPr>
            </w:pPr>
          </w:p>
        </w:tc>
        <w:tc>
          <w:tcPr>
            <w:tcW w:w="4962" w:type="dxa"/>
            <w:gridSpan w:val="2"/>
            <w:vMerge/>
          </w:tcPr>
          <w:p w:rsidR="008C24C0" w:rsidRPr="00D02849" w:rsidRDefault="008C24C0" w:rsidP="00574CCA">
            <w:pPr>
              <w:spacing w:line="240" w:lineRule="exact"/>
              <w:rPr>
                <w:rFonts w:ascii="微軟正黑體" w:eastAsia="微軟正黑體" w:hAnsi="微軟正黑體"/>
                <w:sz w:val="20"/>
                <w:szCs w:val="20"/>
              </w:rPr>
            </w:pPr>
          </w:p>
        </w:tc>
        <w:tc>
          <w:tcPr>
            <w:tcW w:w="2835" w:type="dxa"/>
            <w:vMerge/>
          </w:tcPr>
          <w:p w:rsidR="008C24C0" w:rsidRPr="00D02849" w:rsidRDefault="008C24C0" w:rsidP="00574CCA">
            <w:pPr>
              <w:spacing w:line="240" w:lineRule="exact"/>
              <w:rPr>
                <w:rFonts w:ascii="微軟正黑體" w:eastAsia="微軟正黑體" w:hAnsi="微軟正黑體"/>
                <w:sz w:val="20"/>
                <w:szCs w:val="20"/>
              </w:rPr>
            </w:pPr>
          </w:p>
        </w:tc>
        <w:tc>
          <w:tcPr>
            <w:tcW w:w="2551" w:type="dxa"/>
            <w:vMerge/>
          </w:tcPr>
          <w:p w:rsidR="008C24C0" w:rsidRPr="00D02849" w:rsidRDefault="008C24C0" w:rsidP="00574CCA">
            <w:pPr>
              <w:spacing w:line="240" w:lineRule="exact"/>
              <w:rPr>
                <w:rFonts w:ascii="微軟正黑體" w:eastAsia="微軟正黑體" w:hAnsi="微軟正黑體"/>
                <w:sz w:val="20"/>
                <w:szCs w:val="20"/>
              </w:rPr>
            </w:pPr>
          </w:p>
        </w:tc>
        <w:tc>
          <w:tcPr>
            <w:tcW w:w="2410" w:type="dxa"/>
            <w:vMerge/>
          </w:tcPr>
          <w:p w:rsidR="008C24C0" w:rsidRPr="00D02849" w:rsidRDefault="008C24C0" w:rsidP="00574CCA">
            <w:pPr>
              <w:spacing w:line="240" w:lineRule="exact"/>
              <w:rPr>
                <w:rFonts w:ascii="微軟正黑體" w:eastAsia="微軟正黑體" w:hAnsi="微軟正黑體"/>
                <w:sz w:val="20"/>
                <w:szCs w:val="20"/>
              </w:rPr>
            </w:pP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860A46">
        <w:trPr>
          <w:trHeight w:val="551"/>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法令依據</w:t>
            </w:r>
          </w:p>
        </w:tc>
        <w:tc>
          <w:tcPr>
            <w:tcW w:w="1698"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勞動基準法</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勞工退休金條例</w:t>
            </w:r>
          </w:p>
        </w:tc>
        <w:tc>
          <w:tcPr>
            <w:tcW w:w="155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各機關學校聘僱人員離職給與辦法</w:t>
            </w:r>
          </w:p>
        </w:tc>
        <w:tc>
          <w:tcPr>
            <w:tcW w:w="4962"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hint="eastAsia"/>
                <w:sz w:val="20"/>
                <w:szCs w:val="20"/>
              </w:rPr>
              <w:t>公務人員退休資遣撫卹法、公立學校教職員退休資遣撫卹條例、陸海空軍軍官士官服役條例</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政務人員退職撫卹條例</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學校法人及其所屬私立學校教職員退休撫卹離職資遣條例</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農民退休儲金條例</w:t>
            </w:r>
          </w:p>
        </w:tc>
        <w:tc>
          <w:tcPr>
            <w:tcW w:w="1984" w:type="dxa"/>
            <w:vMerge w:val="restart"/>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01"/>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實施日期</w:t>
            </w:r>
          </w:p>
        </w:tc>
        <w:tc>
          <w:tcPr>
            <w:tcW w:w="1698"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73</w:t>
            </w:r>
            <w:r w:rsidRPr="00D02849">
              <w:rPr>
                <w:rFonts w:ascii="微軟正黑體" w:eastAsia="微軟正黑體" w:hAnsi="微軟正黑體" w:hint="eastAsia"/>
                <w:sz w:val="20"/>
                <w:szCs w:val="20"/>
              </w:rPr>
              <w:t>年</w:t>
            </w:r>
            <w:r w:rsidRPr="00D02849">
              <w:rPr>
                <w:rFonts w:ascii="微軟正黑體" w:eastAsia="微軟正黑體" w:hAnsi="微軟正黑體"/>
                <w:sz w:val="20"/>
                <w:szCs w:val="20"/>
              </w:rPr>
              <w:t>8</w:t>
            </w:r>
            <w:r w:rsidRPr="00D02849">
              <w:rPr>
                <w:rFonts w:ascii="微軟正黑體" w:eastAsia="微軟正黑體" w:hAnsi="微軟正黑體" w:hint="eastAsia"/>
                <w:sz w:val="20"/>
                <w:szCs w:val="20"/>
              </w:rPr>
              <w:t>月</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94</w:t>
            </w:r>
            <w:r w:rsidRPr="00D02849">
              <w:rPr>
                <w:rFonts w:ascii="微軟正黑體" w:eastAsia="微軟正黑體" w:hAnsi="微軟正黑體" w:hint="eastAsia"/>
                <w:sz w:val="20"/>
                <w:szCs w:val="20"/>
              </w:rPr>
              <w:t>年</w:t>
            </w:r>
            <w:r w:rsidRPr="00D02849">
              <w:rPr>
                <w:rFonts w:ascii="微軟正黑體" w:eastAsia="微軟正黑體" w:hAnsi="微軟正黑體"/>
                <w:sz w:val="20"/>
                <w:szCs w:val="20"/>
              </w:rPr>
              <w:t>7</w:t>
            </w:r>
            <w:r w:rsidRPr="00D02849">
              <w:rPr>
                <w:rFonts w:ascii="微軟正黑體" w:eastAsia="微軟正黑體" w:hAnsi="微軟正黑體" w:hint="eastAsia"/>
                <w:sz w:val="20"/>
                <w:szCs w:val="20"/>
              </w:rPr>
              <w:t>月</w:t>
            </w:r>
          </w:p>
        </w:tc>
        <w:tc>
          <w:tcPr>
            <w:tcW w:w="155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84</w:t>
            </w:r>
            <w:r w:rsidRPr="00D02849">
              <w:rPr>
                <w:rFonts w:ascii="微軟正黑體" w:eastAsia="微軟正黑體" w:hAnsi="微軟正黑體" w:hint="eastAsia"/>
                <w:sz w:val="20"/>
                <w:szCs w:val="20"/>
              </w:rPr>
              <w:t>年</w:t>
            </w:r>
            <w:r w:rsidRPr="00D02849">
              <w:rPr>
                <w:rFonts w:ascii="微軟正黑體" w:eastAsia="微軟正黑體" w:hAnsi="微軟正黑體"/>
                <w:sz w:val="20"/>
                <w:szCs w:val="20"/>
              </w:rPr>
              <w:t>7</w:t>
            </w:r>
            <w:r w:rsidRPr="00D02849">
              <w:rPr>
                <w:rFonts w:ascii="微軟正黑體" w:eastAsia="微軟正黑體" w:hAnsi="微軟正黑體" w:hint="eastAsia"/>
                <w:sz w:val="20"/>
                <w:szCs w:val="20"/>
              </w:rPr>
              <w:t>月</w:t>
            </w:r>
          </w:p>
        </w:tc>
        <w:tc>
          <w:tcPr>
            <w:tcW w:w="4962" w:type="dxa"/>
            <w:gridSpan w:val="2"/>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84</w:t>
            </w:r>
            <w:r w:rsidRPr="00D02849">
              <w:rPr>
                <w:rFonts w:ascii="微軟正黑體" w:eastAsia="微軟正黑體" w:hAnsi="微軟正黑體" w:hint="eastAsia"/>
                <w:sz w:val="20"/>
                <w:szCs w:val="20"/>
              </w:rPr>
              <w:t>年</w:t>
            </w:r>
            <w:r w:rsidRPr="00D02849">
              <w:rPr>
                <w:rFonts w:ascii="微軟正黑體" w:eastAsia="微軟正黑體" w:hAnsi="微軟正黑體"/>
                <w:sz w:val="20"/>
                <w:szCs w:val="20"/>
              </w:rPr>
              <w:t>7</w:t>
            </w:r>
            <w:r w:rsidRPr="00D02849">
              <w:rPr>
                <w:rFonts w:ascii="微軟正黑體" w:eastAsia="微軟正黑體" w:hAnsi="微軟正黑體" w:hint="eastAsia"/>
                <w:sz w:val="20"/>
                <w:szCs w:val="20"/>
              </w:rPr>
              <w:t>月</w:t>
            </w:r>
            <w:r w:rsidRPr="00D02849">
              <w:rPr>
                <w:rFonts w:ascii="微軟正黑體" w:eastAsia="微軟正黑體" w:hAnsi="微軟正黑體"/>
                <w:sz w:val="20"/>
                <w:szCs w:val="20"/>
              </w:rPr>
              <w:t>、85</w:t>
            </w:r>
            <w:r w:rsidRPr="00D02849">
              <w:rPr>
                <w:rFonts w:ascii="微軟正黑體" w:eastAsia="微軟正黑體" w:hAnsi="微軟正黑體" w:hint="eastAsia"/>
                <w:sz w:val="20"/>
                <w:szCs w:val="20"/>
              </w:rPr>
              <w:t>年</w:t>
            </w:r>
            <w:r w:rsidRPr="00D02849">
              <w:rPr>
                <w:rFonts w:ascii="微軟正黑體" w:eastAsia="微軟正黑體" w:hAnsi="微軟正黑體"/>
                <w:sz w:val="20"/>
                <w:szCs w:val="20"/>
              </w:rPr>
              <w:t>2</w:t>
            </w:r>
            <w:r w:rsidRPr="00D02849">
              <w:rPr>
                <w:rFonts w:ascii="微軟正黑體" w:eastAsia="微軟正黑體" w:hAnsi="微軟正黑體" w:hint="eastAsia"/>
                <w:sz w:val="20"/>
                <w:szCs w:val="20"/>
              </w:rPr>
              <w:t>月</w:t>
            </w:r>
            <w:r w:rsidRPr="00D02849">
              <w:rPr>
                <w:rFonts w:ascii="微軟正黑體" w:eastAsia="微軟正黑體" w:hAnsi="微軟正黑體"/>
                <w:sz w:val="20"/>
                <w:szCs w:val="20"/>
              </w:rPr>
              <w:t>、86</w:t>
            </w:r>
            <w:r w:rsidRPr="00D02849">
              <w:rPr>
                <w:rFonts w:ascii="微軟正黑體" w:eastAsia="微軟正黑體" w:hAnsi="微軟正黑體" w:hint="eastAsia"/>
                <w:sz w:val="20"/>
                <w:szCs w:val="20"/>
              </w:rPr>
              <w:t>年</w:t>
            </w:r>
            <w:r w:rsidRPr="00D02849">
              <w:rPr>
                <w:rFonts w:ascii="微軟正黑體" w:eastAsia="微軟正黑體" w:hAnsi="微軟正黑體"/>
                <w:sz w:val="20"/>
                <w:szCs w:val="20"/>
              </w:rPr>
              <w:t>1</w:t>
            </w:r>
            <w:r w:rsidRPr="00D02849">
              <w:rPr>
                <w:rFonts w:ascii="微軟正黑體" w:eastAsia="微軟正黑體" w:hAnsi="微軟正黑體" w:hint="eastAsia"/>
                <w:sz w:val="20"/>
                <w:szCs w:val="20"/>
              </w:rPr>
              <w:t>月</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93</w:t>
            </w:r>
            <w:r w:rsidRPr="00D02849">
              <w:rPr>
                <w:rFonts w:ascii="微軟正黑體" w:eastAsia="微軟正黑體" w:hAnsi="微軟正黑體" w:hint="eastAsia"/>
                <w:sz w:val="20"/>
                <w:szCs w:val="20"/>
              </w:rPr>
              <w:t>年</w:t>
            </w:r>
            <w:r w:rsidRPr="00D02849">
              <w:rPr>
                <w:rFonts w:ascii="微軟正黑體" w:eastAsia="微軟正黑體" w:hAnsi="微軟正黑體"/>
                <w:sz w:val="20"/>
                <w:szCs w:val="20"/>
              </w:rPr>
              <w:t>1</w:t>
            </w:r>
            <w:r w:rsidRPr="00D02849">
              <w:rPr>
                <w:rFonts w:ascii="微軟正黑體" w:eastAsia="微軟正黑體" w:hAnsi="微軟正黑體" w:hint="eastAsia"/>
                <w:sz w:val="20"/>
                <w:szCs w:val="20"/>
              </w:rPr>
              <w:t>月</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99</w:t>
            </w:r>
            <w:r w:rsidRPr="00D02849">
              <w:rPr>
                <w:rFonts w:ascii="微軟正黑體" w:eastAsia="微軟正黑體" w:hAnsi="微軟正黑體" w:hint="eastAsia"/>
                <w:sz w:val="20"/>
                <w:szCs w:val="20"/>
              </w:rPr>
              <w:t>年</w:t>
            </w:r>
            <w:r w:rsidRPr="00D02849">
              <w:rPr>
                <w:rFonts w:ascii="微軟正黑體" w:eastAsia="微軟正黑體" w:hAnsi="微軟正黑體"/>
                <w:sz w:val="20"/>
                <w:szCs w:val="20"/>
              </w:rPr>
              <w:t>1</w:t>
            </w:r>
            <w:r w:rsidRPr="00D02849">
              <w:rPr>
                <w:rFonts w:ascii="微軟正黑體" w:eastAsia="微軟正黑體" w:hAnsi="微軟正黑體" w:hint="eastAsia"/>
                <w:sz w:val="20"/>
                <w:szCs w:val="20"/>
              </w:rPr>
              <w:t>月</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110年1月</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01"/>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主管機關</w:t>
            </w:r>
          </w:p>
        </w:tc>
        <w:tc>
          <w:tcPr>
            <w:tcW w:w="1698"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勞動部</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勞動部</w:t>
            </w:r>
          </w:p>
        </w:tc>
        <w:tc>
          <w:tcPr>
            <w:tcW w:w="155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銓敘部</w:t>
            </w:r>
          </w:p>
        </w:tc>
        <w:tc>
          <w:tcPr>
            <w:tcW w:w="4962" w:type="dxa"/>
            <w:gridSpan w:val="2"/>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銓敘部、教育部、國防部</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銓敘部</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教育部</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行政院農業委員會</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860A46">
        <w:trPr>
          <w:trHeight w:val="329"/>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1071" w:type="dxa"/>
            <w:vMerge w:val="restart"/>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費率(%)</w:t>
            </w:r>
          </w:p>
        </w:tc>
        <w:tc>
          <w:tcPr>
            <w:tcW w:w="934"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法定</w:t>
            </w:r>
          </w:p>
        </w:tc>
        <w:tc>
          <w:tcPr>
            <w:tcW w:w="1698"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2-15</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6</w:t>
            </w:r>
          </w:p>
        </w:tc>
        <w:tc>
          <w:tcPr>
            <w:tcW w:w="155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12</w:t>
            </w:r>
          </w:p>
        </w:tc>
        <w:tc>
          <w:tcPr>
            <w:tcW w:w="4962" w:type="dxa"/>
            <w:gridSpan w:val="2"/>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軍、</w:t>
            </w:r>
            <w:r w:rsidRPr="00D02849">
              <w:rPr>
                <w:rFonts w:ascii="微軟正黑體" w:eastAsia="微軟正黑體" w:hAnsi="微軟正黑體" w:hint="eastAsia"/>
                <w:sz w:val="20"/>
                <w:szCs w:val="20"/>
              </w:rPr>
              <w:t>公、</w:t>
            </w:r>
            <w:r w:rsidRPr="00D02849">
              <w:rPr>
                <w:rFonts w:ascii="微軟正黑體" w:eastAsia="微軟正黑體" w:hAnsi="微軟正黑體"/>
                <w:sz w:val="20"/>
                <w:szCs w:val="20"/>
              </w:rPr>
              <w:t>教：12</w:t>
            </w:r>
            <w:r w:rsidRPr="00D02849">
              <w:rPr>
                <w:rFonts w:ascii="微軟正黑體" w:eastAsia="微軟正黑體" w:hAnsi="微軟正黑體" w:hint="eastAsia"/>
                <w:sz w:val="20"/>
                <w:szCs w:val="20"/>
              </w:rPr>
              <w:t>-18</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12</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12</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10以下</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1071" w:type="dxa"/>
            <w:vMerge/>
            <w:vAlign w:val="center"/>
          </w:tcPr>
          <w:p w:rsidR="008C24C0" w:rsidRPr="00D02849" w:rsidRDefault="008C24C0" w:rsidP="00574CCA">
            <w:pPr>
              <w:spacing w:line="240" w:lineRule="exact"/>
              <w:rPr>
                <w:rFonts w:ascii="微軟正黑體" w:eastAsia="微軟正黑體" w:hAnsi="微軟正黑體"/>
                <w:sz w:val="20"/>
                <w:szCs w:val="20"/>
              </w:rPr>
            </w:pPr>
          </w:p>
        </w:tc>
        <w:tc>
          <w:tcPr>
            <w:tcW w:w="934"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現行</w:t>
            </w:r>
          </w:p>
          <w:p w:rsidR="008C24C0" w:rsidRPr="00D02849" w:rsidRDefault="008C24C0" w:rsidP="00574CCA">
            <w:pPr>
              <w:spacing w:line="240" w:lineRule="exact"/>
              <w:jc w:val="center"/>
              <w:rPr>
                <w:rFonts w:ascii="微軟正黑體" w:eastAsia="微軟正黑體" w:hAnsi="微軟正黑體"/>
                <w:sz w:val="16"/>
                <w:szCs w:val="16"/>
              </w:rPr>
            </w:pPr>
            <w:r w:rsidRPr="00D02849">
              <w:rPr>
                <w:rFonts w:ascii="微軟正黑體" w:eastAsia="微軟正黑體" w:hAnsi="微軟正黑體" w:hint="eastAsia"/>
                <w:sz w:val="16"/>
                <w:szCs w:val="16"/>
              </w:rPr>
              <w:t>(110年)</w:t>
            </w:r>
          </w:p>
        </w:tc>
        <w:tc>
          <w:tcPr>
            <w:tcW w:w="1698"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每年3月底前  足額提撥</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6</w:t>
            </w:r>
          </w:p>
        </w:tc>
        <w:tc>
          <w:tcPr>
            <w:tcW w:w="155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12</w:t>
            </w:r>
          </w:p>
        </w:tc>
        <w:tc>
          <w:tcPr>
            <w:tcW w:w="4962" w:type="dxa"/>
            <w:gridSpan w:val="2"/>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13</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12</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12</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10以下</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雇主責任</w:t>
            </w:r>
          </w:p>
        </w:tc>
        <w:tc>
          <w:tcPr>
            <w:tcW w:w="1698"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雇主負擔</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雇主提撥不得少於</w:t>
            </w:r>
            <w:r w:rsidRPr="00D02849">
              <w:rPr>
                <w:rFonts w:ascii="微軟正黑體" w:eastAsia="微軟正黑體" w:hAnsi="微軟正黑體" w:hint="eastAsia"/>
                <w:sz w:val="20"/>
                <w:szCs w:val="20"/>
              </w:rPr>
              <w:t>6</w:t>
            </w:r>
            <w:r w:rsidRPr="00D02849">
              <w:rPr>
                <w:rFonts w:ascii="微軟正黑體" w:eastAsia="微軟正黑體" w:hAnsi="微軟正黑體"/>
                <w:sz w:val="20"/>
                <w:szCs w:val="20"/>
              </w:rPr>
              <w:t>%</w:t>
            </w:r>
          </w:p>
        </w:tc>
        <w:tc>
          <w:tcPr>
            <w:tcW w:w="1559" w:type="dxa"/>
            <w:vMerge w:val="restart"/>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政府與約聘僱人員各按12%費率負擔50%</w:t>
            </w:r>
            <w:r w:rsidRPr="00D02849">
              <w:rPr>
                <w:rFonts w:ascii="微軟正黑體" w:eastAsia="微軟正黑體" w:hAnsi="微軟正黑體" w:hint="eastAsia"/>
                <w:sz w:val="20"/>
                <w:szCs w:val="20"/>
              </w:rPr>
              <w:t xml:space="preserve"> </w:t>
            </w:r>
            <w:r w:rsidRPr="00D02849">
              <w:rPr>
                <w:rFonts w:ascii="微軟正黑體" w:eastAsia="微軟正黑體" w:hAnsi="微軟正黑體"/>
                <w:sz w:val="20"/>
                <w:szCs w:val="20"/>
              </w:rPr>
              <w:t>(6%)</w:t>
            </w:r>
          </w:p>
        </w:tc>
        <w:tc>
          <w:tcPr>
            <w:tcW w:w="4962" w:type="dxa"/>
            <w:gridSpan w:val="2"/>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65%</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65%</w:t>
            </w:r>
          </w:p>
        </w:tc>
        <w:tc>
          <w:tcPr>
            <w:tcW w:w="2551" w:type="dxa"/>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65%</w:t>
            </w:r>
            <w:r w:rsidRPr="00D02849">
              <w:rPr>
                <w:rFonts w:ascii="微軟正黑體" w:eastAsia="微軟正黑體" w:hAnsi="微軟正黑體" w:hint="eastAsia"/>
                <w:sz w:val="20"/>
                <w:szCs w:val="20"/>
              </w:rPr>
              <w:t xml:space="preserve"> </w:t>
            </w:r>
            <w:r w:rsidRPr="00D02849">
              <w:rPr>
                <w:rFonts w:ascii="微軟正黑體" w:eastAsia="微軟正黑體" w:hAnsi="微軟正黑體"/>
                <w:sz w:val="20"/>
                <w:szCs w:val="20"/>
              </w:rPr>
              <w:t>(私立學校、學校主管機關各32.5%)</w:t>
            </w:r>
          </w:p>
        </w:tc>
        <w:tc>
          <w:tcPr>
            <w:tcW w:w="2410" w:type="dxa"/>
            <w:vMerge w:val="restart"/>
            <w:vAlign w:val="center"/>
          </w:tcPr>
          <w:p w:rsidR="008C24C0" w:rsidRPr="00D02849" w:rsidRDefault="008C24C0" w:rsidP="00574CCA">
            <w:pPr>
              <w:spacing w:line="240" w:lineRule="exact"/>
              <w:jc w:val="both"/>
              <w:rPr>
                <w:rFonts w:ascii="微軟正黑體" w:eastAsia="微軟正黑體" w:hAnsi="微軟正黑體"/>
                <w:sz w:val="20"/>
                <w:szCs w:val="20"/>
              </w:rPr>
            </w:pPr>
            <w:r w:rsidRPr="00D02849">
              <w:rPr>
                <w:rFonts w:ascii="微軟正黑體" w:eastAsia="微軟正黑體" w:hAnsi="微軟正黑體" w:hint="eastAsia"/>
                <w:sz w:val="20"/>
                <w:szCs w:val="20"/>
              </w:rPr>
              <w:t>農民於基本工資10%範圍內提繳後，政府提繳相同金額</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員工責任</w:t>
            </w:r>
          </w:p>
        </w:tc>
        <w:tc>
          <w:tcPr>
            <w:tcW w:w="1698"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員工可相對提撥，以</w:t>
            </w:r>
            <w:r w:rsidRPr="00D02849">
              <w:rPr>
                <w:rFonts w:ascii="微軟正黑體" w:eastAsia="微軟正黑體" w:hAnsi="微軟正黑體" w:hint="eastAsia"/>
                <w:sz w:val="20"/>
                <w:szCs w:val="20"/>
              </w:rPr>
              <w:t xml:space="preserve"> </w:t>
            </w:r>
            <w:r w:rsidRPr="00D02849">
              <w:rPr>
                <w:rFonts w:ascii="微軟正黑體" w:eastAsia="微軟正黑體" w:hAnsi="微軟正黑體"/>
                <w:sz w:val="20"/>
                <w:szCs w:val="20"/>
              </w:rPr>
              <w:t>6％為上限</w:t>
            </w:r>
          </w:p>
        </w:tc>
        <w:tc>
          <w:tcPr>
            <w:tcW w:w="1559" w:type="dxa"/>
            <w:vMerge/>
            <w:vAlign w:val="center"/>
          </w:tcPr>
          <w:p w:rsidR="008C24C0" w:rsidRPr="00D02849" w:rsidRDefault="008C24C0" w:rsidP="00574CCA">
            <w:pPr>
              <w:spacing w:line="240" w:lineRule="exact"/>
              <w:rPr>
                <w:rFonts w:ascii="微軟正黑體" w:eastAsia="微軟正黑體" w:hAnsi="微軟正黑體"/>
                <w:sz w:val="20"/>
                <w:szCs w:val="20"/>
              </w:rPr>
            </w:pPr>
          </w:p>
        </w:tc>
        <w:tc>
          <w:tcPr>
            <w:tcW w:w="4962" w:type="dxa"/>
            <w:gridSpan w:val="2"/>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35%</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35%</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35%</w:t>
            </w:r>
          </w:p>
        </w:tc>
        <w:tc>
          <w:tcPr>
            <w:tcW w:w="2410"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trike/>
                <w:sz w:val="20"/>
                <w:szCs w:val="20"/>
              </w:rPr>
            </w:pPr>
            <w:r w:rsidRPr="00D02849">
              <w:rPr>
                <w:rFonts w:ascii="微軟正黑體" w:eastAsia="微軟正黑體" w:hAnsi="微軟正黑體" w:hint="eastAsia"/>
                <w:sz w:val="20"/>
                <w:szCs w:val="20"/>
              </w:rPr>
              <w:t>費率調整機制及  政府法定責任</w:t>
            </w:r>
          </w:p>
        </w:tc>
        <w:tc>
          <w:tcPr>
            <w:tcW w:w="1698" w:type="dxa"/>
            <w:vAlign w:val="center"/>
          </w:tcPr>
          <w:p w:rsidR="008C24C0" w:rsidRPr="00D02849" w:rsidRDefault="008C24C0" w:rsidP="00EF74FA">
            <w:pPr>
              <w:spacing w:line="220" w:lineRule="exact"/>
              <w:jc w:val="both"/>
              <w:rPr>
                <w:rFonts w:ascii="微軟正黑體" w:eastAsia="微軟正黑體" w:hAnsi="微軟正黑體"/>
                <w:sz w:val="20"/>
                <w:szCs w:val="20"/>
              </w:rPr>
            </w:pPr>
            <w:r w:rsidRPr="00D02849">
              <w:rPr>
                <w:rFonts w:ascii="微軟正黑體" w:eastAsia="微軟正黑體" w:hAnsi="微軟正黑體"/>
                <w:sz w:val="20"/>
                <w:szCs w:val="20"/>
              </w:rPr>
              <w:t>雇主按月提撥之勞工退休準備金匯集為勞工退休基金，最低收益不得低於當地銀行</w:t>
            </w:r>
            <w:r w:rsidRPr="00D02849">
              <w:rPr>
                <w:rFonts w:ascii="微軟正黑體" w:eastAsia="微軟正黑體" w:hAnsi="微軟正黑體" w:hint="eastAsia"/>
                <w:sz w:val="20"/>
                <w:szCs w:val="20"/>
              </w:rPr>
              <w:t>2</w:t>
            </w:r>
            <w:r w:rsidRPr="00D02849">
              <w:rPr>
                <w:rFonts w:ascii="微軟正黑體" w:eastAsia="微軟正黑體" w:hAnsi="微軟正黑體"/>
                <w:sz w:val="20"/>
                <w:szCs w:val="20"/>
              </w:rPr>
              <w:t>年定期存款利率之收益；如有虧損，由國庫補足</w:t>
            </w:r>
            <w:r w:rsidRPr="00D02849">
              <w:rPr>
                <w:rFonts w:ascii="微軟正黑體" w:eastAsia="微軟正黑體" w:hAnsi="微軟正黑體" w:hint="eastAsia"/>
                <w:sz w:val="20"/>
                <w:szCs w:val="20"/>
              </w:rPr>
              <w:t>(</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56)</w:t>
            </w:r>
          </w:p>
        </w:tc>
        <w:tc>
          <w:tcPr>
            <w:tcW w:w="2069" w:type="dxa"/>
            <w:vAlign w:val="center"/>
          </w:tcPr>
          <w:p w:rsidR="008C24C0" w:rsidRPr="00D02849" w:rsidRDefault="008C24C0" w:rsidP="00574CCA">
            <w:pPr>
              <w:spacing w:line="240" w:lineRule="exact"/>
              <w:jc w:val="both"/>
              <w:rPr>
                <w:rFonts w:ascii="微軟正黑體" w:eastAsia="微軟正黑體" w:hAnsi="微軟正黑體"/>
                <w:sz w:val="20"/>
                <w:szCs w:val="20"/>
              </w:rPr>
            </w:pPr>
            <w:r w:rsidRPr="00D02849">
              <w:rPr>
                <w:rFonts w:ascii="微軟正黑體" w:eastAsia="微軟正黑體" w:hAnsi="微軟正黑體"/>
                <w:sz w:val="20"/>
                <w:szCs w:val="20"/>
              </w:rPr>
              <w:t>勞工退休金運用收益，</w:t>
            </w:r>
            <w:r w:rsidRPr="00D02849">
              <w:rPr>
                <w:rFonts w:ascii="微軟正黑體" w:eastAsia="微軟正黑體" w:hAnsi="微軟正黑體" w:hint="eastAsia"/>
                <w:sz w:val="20"/>
                <w:szCs w:val="20"/>
              </w:rPr>
              <w:t>不得低於當地銀行2年定期存款利率計算之收益</w:t>
            </w:r>
            <w:r w:rsidRPr="00D02849">
              <w:rPr>
                <w:rFonts w:ascii="微軟正黑體" w:eastAsia="微軟正黑體" w:hAnsi="微軟正黑體"/>
                <w:sz w:val="20"/>
                <w:szCs w:val="20"/>
              </w:rPr>
              <w:t>；如有不足由國庫補足之</w:t>
            </w:r>
            <w:r w:rsidRPr="00D02849">
              <w:rPr>
                <w:rFonts w:ascii="微軟正黑體" w:eastAsia="微軟正黑體" w:hAnsi="微軟正黑體" w:hint="eastAsia"/>
                <w:sz w:val="20"/>
                <w:szCs w:val="20"/>
              </w:rPr>
              <w:t>(</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23)</w:t>
            </w:r>
          </w:p>
        </w:tc>
        <w:tc>
          <w:tcPr>
            <w:tcW w:w="155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4962" w:type="dxa"/>
            <w:gridSpan w:val="2"/>
            <w:vAlign w:val="center"/>
          </w:tcPr>
          <w:p w:rsidR="008C24C0" w:rsidRPr="00D02849" w:rsidRDefault="008C24C0" w:rsidP="008C24C0">
            <w:pPr>
              <w:pStyle w:val="af0"/>
              <w:numPr>
                <w:ilvl w:val="0"/>
                <w:numId w:val="67"/>
              </w:numPr>
              <w:spacing w:line="240" w:lineRule="exact"/>
              <w:ind w:leftChars="0" w:left="176" w:hanging="176"/>
              <w:jc w:val="both"/>
              <w:rPr>
                <w:rFonts w:ascii="微軟正黑體" w:eastAsia="微軟正黑體" w:hAnsi="微軟正黑體"/>
                <w:sz w:val="20"/>
                <w:szCs w:val="20"/>
              </w:rPr>
            </w:pPr>
            <w:r w:rsidRPr="00D02849">
              <w:rPr>
                <w:rFonts w:ascii="微軟正黑體" w:eastAsia="微軟正黑體" w:hAnsi="微軟正黑體" w:hint="eastAsia"/>
                <w:sz w:val="20"/>
                <w:szCs w:val="20"/>
              </w:rPr>
              <w:t>自110年1月1日起，每年調高1％，分3年調整，至112年調高至15％</w:t>
            </w:r>
          </w:p>
          <w:p w:rsidR="008C24C0" w:rsidRPr="00D02849" w:rsidRDefault="008C24C0" w:rsidP="008C24C0">
            <w:pPr>
              <w:pStyle w:val="af0"/>
              <w:numPr>
                <w:ilvl w:val="0"/>
                <w:numId w:val="67"/>
              </w:numPr>
              <w:spacing w:line="240" w:lineRule="exact"/>
              <w:ind w:leftChars="0" w:left="176" w:hanging="176"/>
              <w:jc w:val="both"/>
              <w:rPr>
                <w:rFonts w:ascii="微軟正黑體" w:eastAsia="微軟正黑體" w:hAnsi="微軟正黑體"/>
                <w:sz w:val="20"/>
                <w:szCs w:val="20"/>
              </w:rPr>
            </w:pPr>
            <w:r w:rsidRPr="00D02849">
              <w:rPr>
                <w:rFonts w:ascii="微軟正黑體" w:eastAsia="微軟正黑體" w:hAnsi="微軟正黑體"/>
                <w:sz w:val="20"/>
                <w:szCs w:val="20"/>
              </w:rPr>
              <w:t>由政府負最後支付保證責任</w:t>
            </w:r>
            <w:r w:rsidRPr="00D02849">
              <w:rPr>
                <w:rFonts w:ascii="微軟正黑體" w:eastAsia="微軟正黑體" w:hAnsi="微軟正黑體" w:hint="eastAsia"/>
                <w:sz w:val="20"/>
                <w:szCs w:val="20"/>
              </w:rPr>
              <w:t>，當退撫基金3年實際平均運用收益低於臺灣銀行2年期定期存款利率計算之收益，由國庫補足其差額(軍</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29、公</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7、教</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8、退撫基金管理條例</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5)</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2551" w:type="dxa"/>
            <w:vAlign w:val="center"/>
          </w:tcPr>
          <w:p w:rsidR="008C24C0" w:rsidRPr="00D02849" w:rsidRDefault="008C24C0" w:rsidP="00574CCA">
            <w:pPr>
              <w:spacing w:line="240" w:lineRule="exact"/>
              <w:jc w:val="both"/>
              <w:rPr>
                <w:rFonts w:ascii="微軟正黑體" w:eastAsia="微軟正黑體" w:hAnsi="微軟正黑體"/>
                <w:sz w:val="20"/>
                <w:szCs w:val="20"/>
              </w:rPr>
            </w:pPr>
            <w:r w:rsidRPr="00D02849">
              <w:rPr>
                <w:rFonts w:ascii="微軟正黑體" w:eastAsia="微軟正黑體" w:hAnsi="微軟正黑體"/>
                <w:sz w:val="20"/>
                <w:szCs w:val="20"/>
              </w:rPr>
              <w:t>儲金統一管理運用時之收益及選擇風險程度最低之投資組合運用收益不得低於當地銀行2年期定期存款利率</w:t>
            </w:r>
            <w:r w:rsidRPr="00D02849">
              <w:rPr>
                <w:rFonts w:ascii="微軟正黑體" w:eastAsia="微軟正黑體" w:hAnsi="微軟正黑體" w:hint="eastAsia"/>
                <w:sz w:val="20"/>
                <w:szCs w:val="20"/>
              </w:rPr>
              <w:t>計算之收益</w:t>
            </w:r>
            <w:r w:rsidRPr="00D02849">
              <w:rPr>
                <w:rFonts w:ascii="微軟正黑體" w:eastAsia="微軟正黑體" w:hAnsi="微軟正黑體"/>
                <w:sz w:val="20"/>
                <w:szCs w:val="20"/>
              </w:rPr>
              <w:t>，如有不足，由國庫補足之</w:t>
            </w:r>
            <w:r w:rsidRPr="00D02849">
              <w:rPr>
                <w:rFonts w:ascii="微軟正黑體" w:eastAsia="微軟正黑體" w:hAnsi="微軟正黑體" w:hint="eastAsia"/>
                <w:sz w:val="20"/>
                <w:szCs w:val="20"/>
              </w:rPr>
              <w:t>(</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10)</w:t>
            </w:r>
          </w:p>
        </w:tc>
        <w:tc>
          <w:tcPr>
            <w:tcW w:w="2410" w:type="dxa"/>
            <w:vAlign w:val="center"/>
          </w:tcPr>
          <w:p w:rsidR="008C24C0" w:rsidRPr="00D02849" w:rsidRDefault="008C24C0" w:rsidP="00574CCA">
            <w:pPr>
              <w:spacing w:line="240" w:lineRule="exact"/>
              <w:jc w:val="both"/>
              <w:rPr>
                <w:rFonts w:ascii="微軟正黑體" w:eastAsia="微軟正黑體" w:hAnsi="微軟正黑體"/>
                <w:sz w:val="20"/>
                <w:szCs w:val="20"/>
              </w:rPr>
            </w:pPr>
            <w:r w:rsidRPr="00D02849">
              <w:rPr>
                <w:rFonts w:ascii="微軟正黑體" w:eastAsia="微軟正黑體" w:hAnsi="微軟正黑體" w:cs="Helvetica" w:hint="eastAsia"/>
                <w:sz w:val="20"/>
                <w:szCs w:val="20"/>
              </w:rPr>
              <w:t>農民退休儲金運用收益，不得低於以當地銀行2年定期存款利率計算之收益；有不足者，由國庫補足之</w:t>
            </w:r>
            <w:r w:rsidRPr="00D02849">
              <w:rPr>
                <w:rFonts w:ascii="微軟正黑體" w:eastAsia="微軟正黑體" w:hAnsi="微軟正黑體" w:hint="eastAsia"/>
                <w:sz w:val="20"/>
                <w:szCs w:val="20"/>
              </w:rPr>
              <w:t>(</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15)</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35"/>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人數(萬人)</w:t>
            </w:r>
          </w:p>
        </w:tc>
        <w:tc>
          <w:tcPr>
            <w:tcW w:w="1698" w:type="dxa"/>
            <w:vAlign w:val="center"/>
          </w:tcPr>
          <w:p w:rsidR="008C24C0" w:rsidRPr="00D02849" w:rsidRDefault="008C24C0" w:rsidP="00574CCA">
            <w:pPr>
              <w:spacing w:line="240" w:lineRule="exact"/>
              <w:ind w:leftChars="-25" w:left="-60" w:rightChars="-40" w:right="-96"/>
              <w:jc w:val="center"/>
              <w:rPr>
                <w:rFonts w:ascii="微軟正黑體" w:eastAsia="微軟正黑體" w:hAnsi="微軟正黑體"/>
                <w:sz w:val="16"/>
                <w:szCs w:val="16"/>
                <w:vertAlign w:val="superscript"/>
              </w:rPr>
            </w:pPr>
            <w:r w:rsidRPr="00D02849">
              <w:rPr>
                <w:rFonts w:ascii="微軟正黑體" w:eastAsia="微軟正黑體" w:hAnsi="微軟正黑體" w:hint="eastAsia"/>
                <w:sz w:val="20"/>
                <w:szCs w:val="20"/>
              </w:rPr>
              <w:t>70.9</w:t>
            </w:r>
            <w:r w:rsidRPr="00D02849">
              <w:rPr>
                <w:rFonts w:ascii="微軟正黑體" w:eastAsia="微軟正黑體" w:hAnsi="微軟正黑體"/>
                <w:sz w:val="20"/>
                <w:szCs w:val="20"/>
              </w:rPr>
              <w:t>(10</w:t>
            </w:r>
            <w:r w:rsidRPr="00D02849">
              <w:rPr>
                <w:rFonts w:ascii="微軟正黑體" w:eastAsia="微軟正黑體" w:hAnsi="微軟正黑體" w:hint="eastAsia"/>
                <w:sz w:val="20"/>
                <w:szCs w:val="20"/>
              </w:rPr>
              <w:t>9</w:t>
            </w:r>
            <w:r w:rsidRPr="00D02849">
              <w:rPr>
                <w:rFonts w:ascii="微軟正黑體" w:eastAsia="微軟正黑體" w:hAnsi="微軟正黑體"/>
                <w:sz w:val="20"/>
                <w:szCs w:val="20"/>
              </w:rPr>
              <w:t>/12)</w:t>
            </w:r>
            <w:r w:rsidRPr="00751A26">
              <w:rPr>
                <w:rFonts w:ascii="微軟正黑體" w:eastAsia="微軟正黑體" w:hAnsi="微軟正黑體" w:hint="eastAsia"/>
                <w:sz w:val="20"/>
                <w:szCs w:val="20"/>
                <w:vertAlign w:val="superscript"/>
              </w:rPr>
              <w:t>(註3)</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708.4</w:t>
            </w:r>
            <w:r w:rsidRPr="00D02849">
              <w:rPr>
                <w:rFonts w:ascii="微軟正黑體" w:eastAsia="微軟正黑體" w:hAnsi="微軟正黑體"/>
                <w:sz w:val="20"/>
                <w:szCs w:val="20"/>
              </w:rPr>
              <w:t>(10</w:t>
            </w:r>
            <w:r w:rsidRPr="00D02849">
              <w:rPr>
                <w:rFonts w:ascii="微軟正黑體" w:eastAsia="微軟正黑體" w:hAnsi="微軟正黑體" w:hint="eastAsia"/>
                <w:sz w:val="20"/>
                <w:szCs w:val="20"/>
              </w:rPr>
              <w:t>9</w:t>
            </w:r>
            <w:r w:rsidRPr="00D02849">
              <w:rPr>
                <w:rFonts w:ascii="微軟正黑體" w:eastAsia="微軟正黑體" w:hAnsi="微軟正黑體"/>
                <w:sz w:val="20"/>
                <w:szCs w:val="20"/>
              </w:rPr>
              <w:t>/1</w:t>
            </w:r>
            <w:r w:rsidRPr="00D02849">
              <w:rPr>
                <w:rFonts w:ascii="微軟正黑體" w:eastAsia="微軟正黑體" w:hAnsi="微軟正黑體" w:hint="eastAsia"/>
                <w:sz w:val="20"/>
                <w:szCs w:val="20"/>
              </w:rPr>
              <w:t>2</w:t>
            </w:r>
            <w:r w:rsidRPr="00D02849">
              <w:rPr>
                <w:rFonts w:ascii="微軟正黑體" w:eastAsia="微軟正黑體" w:hAnsi="微軟正黑體"/>
                <w:sz w:val="20"/>
                <w:szCs w:val="20"/>
              </w:rPr>
              <w:t>)</w:t>
            </w:r>
          </w:p>
        </w:tc>
        <w:tc>
          <w:tcPr>
            <w:tcW w:w="155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4962" w:type="dxa"/>
            <w:gridSpan w:val="2"/>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6</w:t>
            </w:r>
            <w:r w:rsidRPr="00D02849">
              <w:rPr>
                <w:rFonts w:ascii="微軟正黑體" w:eastAsia="微軟正黑體" w:hAnsi="微軟正黑體" w:hint="eastAsia"/>
                <w:sz w:val="20"/>
                <w:szCs w:val="20"/>
              </w:rPr>
              <w:t>7.2</w:t>
            </w:r>
            <w:r w:rsidRPr="00D02849">
              <w:rPr>
                <w:rFonts w:ascii="微軟正黑體" w:eastAsia="微軟正黑體" w:hAnsi="微軟正黑體"/>
                <w:sz w:val="20"/>
                <w:szCs w:val="20"/>
              </w:rPr>
              <w:t>(10</w:t>
            </w:r>
            <w:r w:rsidRPr="00D02849">
              <w:rPr>
                <w:rFonts w:ascii="微軟正黑體" w:eastAsia="微軟正黑體" w:hAnsi="微軟正黑體" w:hint="eastAsia"/>
                <w:sz w:val="20"/>
                <w:szCs w:val="20"/>
              </w:rPr>
              <w:t>9</w:t>
            </w:r>
            <w:r w:rsidRPr="00D02849">
              <w:rPr>
                <w:rFonts w:ascii="微軟正黑體" w:eastAsia="微軟正黑體" w:hAnsi="微軟正黑體"/>
                <w:sz w:val="20"/>
                <w:szCs w:val="20"/>
              </w:rPr>
              <w:t>/12)</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F76CB3">
              <w:rPr>
                <w:rFonts w:ascii="微軟正黑體" w:eastAsia="微軟正黑體" w:hAnsi="微軟正黑體" w:hint="eastAsia"/>
                <w:sz w:val="20"/>
                <w:szCs w:val="20"/>
              </w:rPr>
              <w:t>5.0</w:t>
            </w:r>
            <w:r w:rsidRPr="00F76CB3">
              <w:rPr>
                <w:rFonts w:ascii="微軟正黑體" w:eastAsia="微軟正黑體" w:hAnsi="微軟正黑體"/>
                <w:sz w:val="20"/>
                <w:szCs w:val="20"/>
              </w:rPr>
              <w:t>(10</w:t>
            </w:r>
            <w:r w:rsidRPr="00D02849">
              <w:rPr>
                <w:rFonts w:ascii="微軟正黑體" w:eastAsia="微軟正黑體" w:hAnsi="微軟正黑體" w:hint="eastAsia"/>
                <w:sz w:val="20"/>
                <w:szCs w:val="20"/>
              </w:rPr>
              <w:t>9</w:t>
            </w:r>
            <w:r w:rsidRPr="00D02849">
              <w:rPr>
                <w:rFonts w:ascii="微軟正黑體" w:eastAsia="微軟正黑體" w:hAnsi="微軟正黑體"/>
                <w:sz w:val="20"/>
                <w:szCs w:val="20"/>
              </w:rPr>
              <w:t>/12)</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4.6(110/01)</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基金</w:t>
            </w:r>
            <w:r>
              <w:rPr>
                <w:rFonts w:ascii="微軟正黑體" w:eastAsia="微軟正黑體" w:hAnsi="微軟正黑體"/>
                <w:sz w:val="20"/>
                <w:szCs w:val="20"/>
              </w:rPr>
              <w:t>運用</w:t>
            </w:r>
            <w:r w:rsidRPr="00D02849">
              <w:rPr>
                <w:rFonts w:ascii="微軟正黑體" w:eastAsia="微軟正黑體" w:hAnsi="微軟正黑體"/>
                <w:sz w:val="20"/>
                <w:szCs w:val="20"/>
              </w:rPr>
              <w:t>規模(億元)</w:t>
            </w:r>
          </w:p>
        </w:tc>
        <w:tc>
          <w:tcPr>
            <w:tcW w:w="1698"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8,976</w:t>
            </w:r>
            <w:r w:rsidRPr="00D02849">
              <w:rPr>
                <w:rFonts w:ascii="微軟正黑體" w:eastAsia="微軟正黑體" w:hAnsi="微軟正黑體"/>
                <w:sz w:val="20"/>
                <w:szCs w:val="20"/>
              </w:rPr>
              <w:t>(1</w:t>
            </w:r>
            <w:r w:rsidRPr="00D02849">
              <w:rPr>
                <w:rFonts w:ascii="微軟正黑體" w:eastAsia="微軟正黑體" w:hAnsi="微軟正黑體" w:hint="eastAsia"/>
                <w:sz w:val="20"/>
                <w:szCs w:val="20"/>
              </w:rPr>
              <w:t>09</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12</w:t>
            </w:r>
            <w:r w:rsidRPr="00D02849">
              <w:rPr>
                <w:rFonts w:ascii="微軟正黑體" w:eastAsia="微軟正黑體" w:hAnsi="微軟正黑體"/>
                <w:sz w:val="20"/>
                <w:szCs w:val="20"/>
              </w:rPr>
              <w:t>)</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27,225</w:t>
            </w:r>
            <w:r w:rsidRPr="00D02849">
              <w:rPr>
                <w:rFonts w:ascii="微軟正黑體" w:eastAsia="微軟正黑體" w:hAnsi="微軟正黑體"/>
                <w:sz w:val="20"/>
                <w:szCs w:val="20"/>
              </w:rPr>
              <w:t>(10</w:t>
            </w:r>
            <w:r w:rsidRPr="00D02849">
              <w:rPr>
                <w:rFonts w:ascii="微軟正黑體" w:eastAsia="微軟正黑體" w:hAnsi="微軟正黑體" w:hint="eastAsia"/>
                <w:sz w:val="20"/>
                <w:szCs w:val="20"/>
              </w:rPr>
              <w:t>9</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12</w:t>
            </w:r>
            <w:r w:rsidRPr="00D02849">
              <w:rPr>
                <w:rFonts w:ascii="微軟正黑體" w:eastAsia="微軟正黑體" w:hAnsi="微軟正黑體"/>
                <w:sz w:val="20"/>
                <w:szCs w:val="20"/>
              </w:rPr>
              <w:t>)</w:t>
            </w:r>
          </w:p>
        </w:tc>
        <w:tc>
          <w:tcPr>
            <w:tcW w:w="155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4962" w:type="dxa"/>
            <w:gridSpan w:val="2"/>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6</w:t>
            </w:r>
            <w:r w:rsidRPr="00D02849">
              <w:rPr>
                <w:rFonts w:ascii="微軟正黑體" w:eastAsia="微軟正黑體" w:hAnsi="微軟正黑體"/>
                <w:sz w:val="20"/>
                <w:szCs w:val="20"/>
              </w:rPr>
              <w:t>,</w:t>
            </w:r>
            <w:r>
              <w:rPr>
                <w:rFonts w:ascii="微軟正黑體" w:eastAsia="微軟正黑體" w:hAnsi="微軟正黑體" w:hint="eastAsia"/>
                <w:sz w:val="20"/>
                <w:szCs w:val="20"/>
              </w:rPr>
              <w:t>403(</w:t>
            </w:r>
            <w:r w:rsidRPr="00D02849">
              <w:rPr>
                <w:rFonts w:ascii="微軟正黑體" w:eastAsia="微軟正黑體" w:hAnsi="微軟正黑體"/>
                <w:sz w:val="20"/>
                <w:szCs w:val="20"/>
              </w:rPr>
              <w:t>10</w:t>
            </w:r>
            <w:r w:rsidRPr="00D02849">
              <w:rPr>
                <w:rFonts w:ascii="微軟正黑體" w:eastAsia="微軟正黑體" w:hAnsi="微軟正黑體" w:hint="eastAsia"/>
                <w:sz w:val="20"/>
                <w:szCs w:val="20"/>
              </w:rPr>
              <w:t>9</w:t>
            </w:r>
            <w:r w:rsidRPr="00D02849">
              <w:rPr>
                <w:rFonts w:ascii="微軟正黑體" w:eastAsia="微軟正黑體" w:hAnsi="微軟正黑體"/>
                <w:sz w:val="20"/>
                <w:szCs w:val="20"/>
              </w:rPr>
              <w:t>/12)</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Pr>
                <w:rFonts w:ascii="微軟正黑體" w:eastAsia="微軟正黑體" w:hAnsi="微軟正黑體" w:hint="eastAsia"/>
                <w:sz w:val="20"/>
                <w:szCs w:val="20"/>
              </w:rPr>
              <w:t>61</w:t>
            </w:r>
            <w:r w:rsidRPr="00D02849">
              <w:rPr>
                <w:rFonts w:ascii="微軟正黑體" w:eastAsia="微軟正黑體" w:hAnsi="微軟正黑體" w:hint="eastAsia"/>
                <w:sz w:val="20"/>
                <w:szCs w:val="20"/>
              </w:rPr>
              <w:t>0</w:t>
            </w:r>
            <w:r w:rsidRPr="00D02849">
              <w:rPr>
                <w:rFonts w:ascii="微軟正黑體" w:eastAsia="微軟正黑體" w:hAnsi="微軟正黑體"/>
                <w:sz w:val="20"/>
                <w:szCs w:val="20"/>
              </w:rPr>
              <w:t>(1</w:t>
            </w:r>
            <w:r w:rsidRPr="00D02849">
              <w:rPr>
                <w:rFonts w:ascii="微軟正黑體" w:eastAsia="微軟正黑體" w:hAnsi="微軟正黑體" w:hint="eastAsia"/>
                <w:sz w:val="20"/>
                <w:szCs w:val="20"/>
              </w:rPr>
              <w:t>09</w:t>
            </w:r>
            <w:r w:rsidRPr="00D02849">
              <w:rPr>
                <w:rFonts w:ascii="微軟正黑體" w:eastAsia="微軟正黑體" w:hAnsi="微軟正黑體"/>
                <w:sz w:val="20"/>
                <w:szCs w:val="20"/>
              </w:rPr>
              <w:t>/1</w:t>
            </w:r>
            <w:r w:rsidRPr="00D02849">
              <w:rPr>
                <w:rFonts w:ascii="微軟正黑體" w:eastAsia="微軟正黑體" w:hAnsi="微軟正黑體" w:hint="eastAsia"/>
                <w:sz w:val="20"/>
                <w:szCs w:val="20"/>
              </w:rPr>
              <w:t>2</w:t>
            </w:r>
            <w:r w:rsidRPr="00D02849">
              <w:rPr>
                <w:rFonts w:ascii="微軟正黑體" w:eastAsia="微軟正黑體" w:hAnsi="微軟正黑體"/>
                <w:sz w:val="20"/>
                <w:szCs w:val="20"/>
              </w:rPr>
              <w:t>)</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未來基金餘額分析</w:t>
            </w:r>
          </w:p>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hint="eastAsia"/>
                <w:sz w:val="20"/>
                <w:szCs w:val="20"/>
              </w:rPr>
              <w:t>(依最新精算結果)</w:t>
            </w:r>
          </w:p>
        </w:tc>
        <w:tc>
          <w:tcPr>
            <w:tcW w:w="1698"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155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4962" w:type="dxa"/>
            <w:gridSpan w:val="2"/>
            <w:vAlign w:val="center"/>
          </w:tcPr>
          <w:p w:rsidR="008C24C0" w:rsidRPr="00D02849" w:rsidRDefault="008C24C0" w:rsidP="00574CCA">
            <w:pPr>
              <w:spacing w:line="240" w:lineRule="exact"/>
              <w:ind w:left="160" w:hangingChars="80" w:hanging="160"/>
              <w:rPr>
                <w:rFonts w:ascii="微軟正黑體" w:eastAsia="微軟正黑體" w:hAnsi="微軟正黑體"/>
                <w:sz w:val="20"/>
                <w:szCs w:val="20"/>
              </w:rPr>
            </w:pPr>
            <w:r w:rsidRPr="00D02849">
              <w:rPr>
                <w:rFonts w:ascii="微軟正黑體" w:eastAsia="微軟正黑體" w:hAnsi="微軟正黑體"/>
                <w:sz w:val="20"/>
                <w:szCs w:val="20"/>
              </w:rPr>
              <w:t>1.精算</w:t>
            </w:r>
            <w:r w:rsidRPr="00D02849">
              <w:rPr>
                <w:rFonts w:ascii="微軟正黑體" w:eastAsia="微軟正黑體" w:hAnsi="微軟正黑體" w:hint="eastAsia"/>
                <w:sz w:val="20"/>
                <w:szCs w:val="20"/>
              </w:rPr>
              <w:t>未來50年最適提撥</w:t>
            </w:r>
            <w:r w:rsidRPr="00D02849">
              <w:rPr>
                <w:rFonts w:ascii="微軟正黑體" w:eastAsia="微軟正黑體" w:hAnsi="微軟正黑體"/>
                <w:sz w:val="20"/>
                <w:szCs w:val="20"/>
              </w:rPr>
              <w:t>率：公務人員</w:t>
            </w:r>
            <w:r w:rsidRPr="00D02849">
              <w:rPr>
                <w:rFonts w:ascii="微軟正黑體" w:eastAsia="微軟正黑體" w:hAnsi="微軟正黑體" w:hint="eastAsia"/>
                <w:sz w:val="20"/>
                <w:szCs w:val="20"/>
              </w:rPr>
              <w:t>26.27</w:t>
            </w:r>
            <w:r w:rsidRPr="00D02849">
              <w:rPr>
                <w:rFonts w:ascii="微軟正黑體" w:eastAsia="微軟正黑體" w:hAnsi="微軟正黑體"/>
                <w:sz w:val="20"/>
                <w:szCs w:val="20"/>
              </w:rPr>
              <w:t>％、教育人員</w:t>
            </w:r>
            <w:r w:rsidRPr="00D02849">
              <w:rPr>
                <w:rFonts w:ascii="微軟正黑體" w:eastAsia="微軟正黑體" w:hAnsi="微軟正黑體" w:hint="eastAsia"/>
                <w:sz w:val="20"/>
                <w:szCs w:val="20"/>
              </w:rPr>
              <w:t>30.24</w:t>
            </w:r>
            <w:r w:rsidRPr="00D02849">
              <w:rPr>
                <w:rFonts w:ascii="微軟正黑體" w:eastAsia="微軟正黑體" w:hAnsi="微軟正黑體"/>
                <w:sz w:val="20"/>
                <w:szCs w:val="20"/>
              </w:rPr>
              <w:t>％、軍職人員</w:t>
            </w:r>
            <w:r w:rsidRPr="00D02849">
              <w:rPr>
                <w:rFonts w:ascii="微軟正黑體" w:eastAsia="微軟正黑體" w:hAnsi="微軟正黑體" w:hint="eastAsia"/>
                <w:sz w:val="20"/>
                <w:szCs w:val="20"/>
              </w:rPr>
              <w:t>12.34</w:t>
            </w:r>
            <w:r w:rsidRPr="00D02849">
              <w:rPr>
                <w:rFonts w:ascii="微軟正黑體" w:eastAsia="微軟正黑體" w:hAnsi="微軟正黑體"/>
                <w:sz w:val="20"/>
                <w:szCs w:val="20"/>
              </w:rPr>
              <w:t>％</w:t>
            </w:r>
          </w:p>
          <w:p w:rsidR="008C24C0" w:rsidRPr="00D02849" w:rsidRDefault="008C24C0" w:rsidP="00574CCA">
            <w:pPr>
              <w:spacing w:line="240" w:lineRule="exact"/>
              <w:ind w:left="160" w:hangingChars="80" w:hanging="160"/>
              <w:rPr>
                <w:rFonts w:ascii="微軟正黑體" w:eastAsia="微軟正黑體" w:hAnsi="微軟正黑體"/>
                <w:sz w:val="20"/>
                <w:szCs w:val="20"/>
              </w:rPr>
            </w:pPr>
            <w:r w:rsidRPr="00D02849">
              <w:rPr>
                <w:rFonts w:ascii="微軟正黑體" w:eastAsia="微軟正黑體" w:hAnsi="微軟正黑體"/>
                <w:sz w:val="20"/>
                <w:szCs w:val="20"/>
              </w:rPr>
              <w:t>2.</w:t>
            </w:r>
            <w:r w:rsidRPr="00D02849">
              <w:rPr>
                <w:rFonts w:ascii="微軟正黑體" w:eastAsia="微軟正黑體" w:hAnsi="微軟正黑體" w:hint="eastAsia"/>
                <w:sz w:val="20"/>
                <w:szCs w:val="20"/>
              </w:rPr>
              <w:t>維持現行提撥費率12%，</w:t>
            </w:r>
            <w:r w:rsidRPr="00D02849">
              <w:rPr>
                <w:rFonts w:ascii="微軟正黑體" w:eastAsia="微軟正黑體" w:hAnsi="微軟正黑體"/>
                <w:sz w:val="20"/>
                <w:szCs w:val="20"/>
              </w:rPr>
              <w:t>預估基金用盡年度</w:t>
            </w:r>
            <w:r w:rsidRPr="00D02849">
              <w:rPr>
                <w:rFonts w:ascii="微軟正黑體" w:eastAsia="微軟正黑體" w:hAnsi="微軟正黑體" w:hint="eastAsia"/>
                <w:sz w:val="20"/>
                <w:szCs w:val="20"/>
              </w:rPr>
              <w:t>(新制)</w:t>
            </w:r>
            <w:r w:rsidRPr="00D02849">
              <w:rPr>
                <w:rFonts w:ascii="微軟正黑體" w:eastAsia="微軟正黑體" w:hAnsi="微軟正黑體"/>
                <w:sz w:val="20"/>
                <w:szCs w:val="20"/>
              </w:rPr>
              <w:t>：公務人員1</w:t>
            </w:r>
            <w:r w:rsidRPr="00D02849">
              <w:rPr>
                <w:rFonts w:ascii="微軟正黑體" w:eastAsia="微軟正黑體" w:hAnsi="微軟正黑體" w:hint="eastAsia"/>
                <w:sz w:val="20"/>
                <w:szCs w:val="20"/>
              </w:rPr>
              <w:t>30</w:t>
            </w:r>
            <w:r w:rsidRPr="00D02849">
              <w:rPr>
                <w:rFonts w:ascii="微軟正黑體" w:eastAsia="微軟正黑體" w:hAnsi="微軟正黑體"/>
                <w:sz w:val="20"/>
                <w:szCs w:val="20"/>
              </w:rPr>
              <w:t>年、教育人員1</w:t>
            </w:r>
            <w:r w:rsidRPr="00D02849">
              <w:rPr>
                <w:rFonts w:ascii="微軟正黑體" w:eastAsia="微軟正黑體" w:hAnsi="微軟正黑體" w:hint="eastAsia"/>
                <w:sz w:val="20"/>
                <w:szCs w:val="20"/>
              </w:rPr>
              <w:t>29</w:t>
            </w:r>
            <w:r w:rsidRPr="00D02849">
              <w:rPr>
                <w:rFonts w:ascii="微軟正黑體" w:eastAsia="微軟正黑體" w:hAnsi="微軟正黑體"/>
                <w:sz w:val="20"/>
                <w:szCs w:val="20"/>
              </w:rPr>
              <w:t>年、軍職人員</w:t>
            </w:r>
            <w:r w:rsidRPr="00D02849">
              <w:rPr>
                <w:rFonts w:ascii="微軟正黑體" w:eastAsia="微軟正黑體" w:hAnsi="微軟正黑體" w:hint="eastAsia"/>
                <w:sz w:val="20"/>
                <w:szCs w:val="20"/>
              </w:rPr>
              <w:t>未來50年內不會用盡</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273"/>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2073" w:type="dxa"/>
            <w:gridSpan w:val="11"/>
            <w:shd w:val="clear" w:color="auto" w:fill="D9D9D9" w:themeFill="background1" w:themeFillShade="D9"/>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領取</w:t>
            </w:r>
            <w:r w:rsidRPr="00D02849">
              <w:rPr>
                <w:rFonts w:ascii="微軟正黑體" w:eastAsia="微軟正黑體" w:hAnsi="微軟正黑體" w:hint="eastAsia"/>
                <w:sz w:val="20"/>
                <w:szCs w:val="20"/>
              </w:rPr>
              <w:t>月退休金(年金)</w:t>
            </w:r>
            <w:r w:rsidRPr="00D02849">
              <w:rPr>
                <w:rFonts w:ascii="微軟正黑體" w:eastAsia="微軟正黑體" w:hAnsi="微軟正黑體"/>
                <w:sz w:val="20"/>
                <w:szCs w:val="20"/>
              </w:rPr>
              <w:t>資格比較</w:t>
            </w: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請領</w:t>
            </w:r>
            <w:r w:rsidRPr="00D02849">
              <w:rPr>
                <w:rFonts w:ascii="微軟正黑體" w:eastAsia="微軟正黑體" w:hAnsi="微軟正黑體" w:hint="eastAsia"/>
                <w:sz w:val="20"/>
                <w:szCs w:val="20"/>
              </w:rPr>
              <w:t>年金</w:t>
            </w:r>
            <w:r w:rsidRPr="00D02849">
              <w:rPr>
                <w:rFonts w:ascii="微軟正黑體" w:eastAsia="微軟正黑體" w:hAnsi="微軟正黑體"/>
                <w:sz w:val="20"/>
                <w:szCs w:val="20"/>
              </w:rPr>
              <w:t>年齡</w:t>
            </w:r>
          </w:p>
        </w:tc>
        <w:tc>
          <w:tcPr>
            <w:tcW w:w="1698" w:type="dxa"/>
            <w:vMerge w:val="restart"/>
            <w:vAlign w:val="center"/>
          </w:tcPr>
          <w:p w:rsidR="008C24C0" w:rsidRPr="00D02849" w:rsidRDefault="008C24C0" w:rsidP="00574CCA">
            <w:pPr>
              <w:jc w:val="center"/>
            </w:pPr>
            <w:r w:rsidRPr="00D02849">
              <w:rPr>
                <w:rFonts w:ascii="微軟正黑體" w:eastAsia="微軟正黑體" w:hAnsi="微軟正黑體"/>
                <w:sz w:val="20"/>
                <w:szCs w:val="20"/>
              </w:rPr>
              <w:t>-</w:t>
            </w: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60歲</w:t>
            </w:r>
          </w:p>
        </w:tc>
        <w:tc>
          <w:tcPr>
            <w:tcW w:w="1559" w:type="dxa"/>
            <w:vMerge w:val="restart"/>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sz w:val="20"/>
                <w:szCs w:val="20"/>
              </w:rPr>
              <w:t>-</w:t>
            </w:r>
          </w:p>
        </w:tc>
        <w:tc>
          <w:tcPr>
            <w:tcW w:w="4962" w:type="dxa"/>
            <w:gridSpan w:val="2"/>
            <w:vMerge w:val="restart"/>
            <w:vAlign w:val="center"/>
          </w:tcPr>
          <w:p w:rsidR="008C24C0" w:rsidRPr="00F76CB3" w:rsidRDefault="008C24C0" w:rsidP="00574CCA">
            <w:pPr>
              <w:spacing w:line="240" w:lineRule="exact"/>
              <w:ind w:left="160" w:hangingChars="80" w:hanging="160"/>
              <w:rPr>
                <w:rFonts w:ascii="微軟正黑體" w:eastAsia="微軟正黑體" w:hAnsi="微軟正黑體"/>
                <w:sz w:val="20"/>
                <w:szCs w:val="20"/>
              </w:rPr>
            </w:pPr>
            <w:r w:rsidRPr="00F76CB3">
              <w:rPr>
                <w:rFonts w:ascii="微軟正黑體" w:eastAsia="微軟正黑體" w:hAnsi="微軟正黑體" w:hint="eastAsia"/>
                <w:sz w:val="20"/>
                <w:szCs w:val="20"/>
              </w:rPr>
              <w:t>1.公教人員：年資滿15年，請領年齡逐年延後至65歲(公120年、教122年起)，高級中等以下學校校長及教師為58歲，危勞職務維持70制(15年+55歲)</w:t>
            </w:r>
          </w:p>
          <w:p w:rsidR="008C24C0" w:rsidRPr="00F76CB3" w:rsidRDefault="008C24C0" w:rsidP="00574CCA">
            <w:pPr>
              <w:spacing w:line="240" w:lineRule="exact"/>
              <w:ind w:left="160" w:hangingChars="80" w:hanging="160"/>
              <w:rPr>
                <w:rFonts w:ascii="微軟正黑體" w:eastAsia="微軟正黑體" w:hAnsi="微軟正黑體"/>
                <w:sz w:val="20"/>
                <w:szCs w:val="20"/>
              </w:rPr>
            </w:pPr>
            <w:r w:rsidRPr="00F76CB3">
              <w:rPr>
                <w:rFonts w:ascii="微軟正黑體" w:eastAsia="微軟正黑體" w:hAnsi="微軟正黑體" w:hint="eastAsia"/>
                <w:sz w:val="20"/>
                <w:szCs w:val="20"/>
              </w:rPr>
              <w:t>2.軍職人員：年資滿20年，無年齡限制；或年資滿15年且年滿60歲</w:t>
            </w:r>
          </w:p>
        </w:tc>
        <w:tc>
          <w:tcPr>
            <w:tcW w:w="2835" w:type="dxa"/>
            <w:vMerge w:val="restart"/>
            <w:vAlign w:val="center"/>
          </w:tcPr>
          <w:p w:rsidR="008C24C0" w:rsidRPr="00F76CB3" w:rsidRDefault="008C24C0" w:rsidP="00574CCA">
            <w:pPr>
              <w:spacing w:line="240" w:lineRule="exact"/>
              <w:jc w:val="both"/>
            </w:pPr>
            <w:r w:rsidRPr="00F76CB3">
              <w:rPr>
                <w:rFonts w:ascii="微軟正黑體" w:eastAsia="微軟正黑體" w:hAnsi="微軟正黑體" w:hint="eastAsia"/>
                <w:sz w:val="20"/>
                <w:szCs w:val="20"/>
              </w:rPr>
              <w:t>參加離職儲金制度之政務人員於退職或死亡後，一次核發公、自提儲金本息(§5、§8I)</w:t>
            </w:r>
          </w:p>
        </w:tc>
        <w:tc>
          <w:tcPr>
            <w:tcW w:w="2551" w:type="dxa"/>
            <w:vMerge w:val="restart"/>
            <w:vAlign w:val="center"/>
          </w:tcPr>
          <w:p w:rsidR="008C24C0" w:rsidRPr="00F76CB3" w:rsidRDefault="008C24C0" w:rsidP="00574CCA">
            <w:pPr>
              <w:spacing w:line="240" w:lineRule="exact"/>
              <w:jc w:val="both"/>
              <w:rPr>
                <w:rFonts w:ascii="微軟正黑體" w:eastAsia="微軟正黑體" w:hAnsi="微軟正黑體"/>
                <w:sz w:val="20"/>
                <w:szCs w:val="20"/>
              </w:rPr>
            </w:pPr>
            <w:r w:rsidRPr="00F76CB3">
              <w:rPr>
                <w:rFonts w:ascii="微軟正黑體" w:eastAsia="微軟正黑體" w:hAnsi="微軟正黑體" w:hint="eastAsia"/>
                <w:sz w:val="20"/>
                <w:szCs w:val="20"/>
              </w:rPr>
              <w:t>年資滿25年，無年齡限制；或年滿60歲</w:t>
            </w:r>
            <w:r w:rsidRPr="00F76CB3">
              <w:rPr>
                <w:rFonts w:ascii="微軟正黑體" w:eastAsia="微軟正黑體" w:hAnsi="微軟正黑體" w:hint="eastAsia"/>
                <w:kern w:val="0"/>
                <w:sz w:val="20"/>
                <w:szCs w:val="20"/>
              </w:rPr>
              <w:t>(分期請領於每年1月及7月發放)</w:t>
            </w:r>
          </w:p>
        </w:tc>
        <w:tc>
          <w:tcPr>
            <w:tcW w:w="2410" w:type="dxa"/>
            <w:vMerge w:val="restart"/>
            <w:vAlign w:val="center"/>
          </w:tcPr>
          <w:p w:rsidR="008C24C0" w:rsidRPr="00D02849" w:rsidRDefault="008C24C0" w:rsidP="00574CCA">
            <w:pPr>
              <w:spacing w:line="240" w:lineRule="exact"/>
              <w:jc w:val="center"/>
              <w:rPr>
                <w:rFonts w:ascii="微軟正黑體" w:eastAsia="微軟正黑體" w:hAnsi="微軟正黑體" w:cs="Helvetica"/>
                <w:sz w:val="20"/>
                <w:szCs w:val="20"/>
              </w:rPr>
            </w:pPr>
            <w:r w:rsidRPr="00D02849">
              <w:rPr>
                <w:rFonts w:ascii="微軟正黑體" w:eastAsia="微軟正黑體" w:hAnsi="微軟正黑體" w:cs="Helvetica" w:hint="eastAsia"/>
                <w:sz w:val="20"/>
                <w:szCs w:val="20"/>
              </w:rPr>
              <w:t>65歲</w:t>
            </w:r>
          </w:p>
        </w:tc>
        <w:tc>
          <w:tcPr>
            <w:tcW w:w="1984" w:type="dxa"/>
            <w:vMerge w:val="restart"/>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請領年金資格要件</w:t>
            </w:r>
          </w:p>
        </w:tc>
        <w:tc>
          <w:tcPr>
            <w:tcW w:w="1698" w:type="dxa"/>
            <w:vMerge/>
          </w:tcPr>
          <w:p w:rsidR="008C24C0" w:rsidRPr="00D02849" w:rsidRDefault="008C24C0" w:rsidP="00574CCA">
            <w:pPr>
              <w:jc w:val="center"/>
            </w:pP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工作年資滿15年</w:t>
            </w:r>
          </w:p>
        </w:tc>
        <w:tc>
          <w:tcPr>
            <w:tcW w:w="1559"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4962" w:type="dxa"/>
            <w:gridSpan w:val="2"/>
            <w:vMerge/>
            <w:vAlign w:val="center"/>
          </w:tcPr>
          <w:p w:rsidR="008C24C0" w:rsidRPr="00F76CB3" w:rsidRDefault="008C24C0" w:rsidP="00574CCA">
            <w:pPr>
              <w:spacing w:line="240" w:lineRule="exact"/>
              <w:rPr>
                <w:rFonts w:ascii="微軟正黑體" w:eastAsia="微軟正黑體" w:hAnsi="微軟正黑體"/>
                <w:sz w:val="20"/>
                <w:szCs w:val="20"/>
              </w:rPr>
            </w:pPr>
          </w:p>
        </w:tc>
        <w:tc>
          <w:tcPr>
            <w:tcW w:w="2835" w:type="dxa"/>
            <w:vMerge/>
            <w:vAlign w:val="center"/>
          </w:tcPr>
          <w:p w:rsidR="008C24C0" w:rsidRPr="00F76CB3" w:rsidRDefault="008C24C0" w:rsidP="00574CCA">
            <w:pPr>
              <w:spacing w:line="240" w:lineRule="exact"/>
              <w:jc w:val="center"/>
              <w:rPr>
                <w:rFonts w:ascii="微軟正黑體" w:eastAsia="微軟正黑體" w:hAnsi="微軟正黑體"/>
                <w:sz w:val="20"/>
                <w:szCs w:val="20"/>
              </w:rPr>
            </w:pPr>
          </w:p>
        </w:tc>
        <w:tc>
          <w:tcPr>
            <w:tcW w:w="2551" w:type="dxa"/>
            <w:vMerge/>
            <w:vAlign w:val="center"/>
          </w:tcPr>
          <w:p w:rsidR="008C24C0" w:rsidRPr="00F76CB3" w:rsidRDefault="008C24C0" w:rsidP="00574CCA">
            <w:pPr>
              <w:spacing w:line="240" w:lineRule="exact"/>
              <w:jc w:val="center"/>
              <w:rPr>
                <w:rFonts w:ascii="微軟正黑體" w:eastAsia="微軟正黑體" w:hAnsi="微軟正黑體"/>
                <w:sz w:val="20"/>
                <w:szCs w:val="20"/>
              </w:rPr>
            </w:pPr>
          </w:p>
        </w:tc>
        <w:tc>
          <w:tcPr>
            <w:tcW w:w="2410" w:type="dxa"/>
            <w:vMerge/>
            <w:vAlign w:val="center"/>
          </w:tcPr>
          <w:p w:rsidR="008C24C0" w:rsidRPr="00D02849" w:rsidRDefault="008C24C0" w:rsidP="00574CCA">
            <w:pPr>
              <w:spacing w:line="240" w:lineRule="exact"/>
              <w:jc w:val="both"/>
              <w:rPr>
                <w:rFonts w:ascii="微軟正黑體" w:eastAsia="微軟正黑體" w:hAnsi="微軟正黑體" w:cs="Helvetica"/>
                <w:sz w:val="20"/>
                <w:szCs w:val="20"/>
              </w:rPr>
            </w:pP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hint="eastAsia"/>
                <w:sz w:val="20"/>
                <w:szCs w:val="20"/>
              </w:rPr>
              <w:t>月退休金</w:t>
            </w:r>
            <w:r w:rsidRPr="00D02849">
              <w:rPr>
                <w:rFonts w:ascii="微軟正黑體" w:eastAsia="微軟正黑體" w:hAnsi="微軟正黑體"/>
                <w:sz w:val="20"/>
                <w:szCs w:val="20"/>
              </w:rPr>
              <w:t>計算基準</w:t>
            </w:r>
          </w:p>
        </w:tc>
        <w:tc>
          <w:tcPr>
            <w:tcW w:w="1698" w:type="dxa"/>
            <w:vMerge/>
          </w:tcPr>
          <w:p w:rsidR="008C24C0" w:rsidRPr="00D02849" w:rsidRDefault="008C24C0" w:rsidP="00574CCA">
            <w:pPr>
              <w:jc w:val="center"/>
            </w:pPr>
          </w:p>
        </w:tc>
        <w:tc>
          <w:tcPr>
            <w:tcW w:w="2069" w:type="dxa"/>
            <w:vAlign w:val="center"/>
          </w:tcPr>
          <w:p w:rsidR="008C24C0" w:rsidRPr="00D02849" w:rsidRDefault="008C24C0" w:rsidP="00574CCA">
            <w:pPr>
              <w:spacing w:line="240" w:lineRule="exact"/>
              <w:jc w:val="both"/>
              <w:rPr>
                <w:rFonts w:ascii="微軟正黑體" w:eastAsia="微軟正黑體" w:hAnsi="微軟正黑體"/>
                <w:sz w:val="20"/>
                <w:szCs w:val="20"/>
              </w:rPr>
            </w:pPr>
            <w:r w:rsidRPr="00D02849">
              <w:rPr>
                <w:rFonts w:ascii="微軟正黑體" w:eastAsia="微軟正黑體" w:hAnsi="微軟正黑體" w:hint="eastAsia"/>
                <w:sz w:val="20"/>
                <w:szCs w:val="20"/>
              </w:rPr>
              <w:t>勞工個人之退休金專戶本金及累積收益，依據年金生命表，以平均餘命及利率等基礎計算所得之金額(</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23)</w:t>
            </w:r>
          </w:p>
        </w:tc>
        <w:tc>
          <w:tcPr>
            <w:tcW w:w="1559"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4962" w:type="dxa"/>
            <w:gridSpan w:val="2"/>
            <w:vAlign w:val="center"/>
          </w:tcPr>
          <w:p w:rsidR="008C24C0" w:rsidRPr="00F76CB3" w:rsidRDefault="008C24C0" w:rsidP="00574CCA">
            <w:pPr>
              <w:spacing w:line="240" w:lineRule="exact"/>
              <w:ind w:left="160" w:hangingChars="80" w:hanging="160"/>
              <w:jc w:val="both"/>
              <w:rPr>
                <w:rFonts w:ascii="微軟正黑體" w:eastAsia="微軟正黑體" w:hAnsi="微軟正黑體"/>
                <w:spacing w:val="-2"/>
                <w:sz w:val="20"/>
                <w:szCs w:val="20"/>
              </w:rPr>
            </w:pPr>
            <w:r w:rsidRPr="00F76CB3">
              <w:rPr>
                <w:rFonts w:ascii="微軟正黑體" w:eastAsia="微軟正黑體" w:hAnsi="微軟正黑體" w:hint="eastAsia"/>
                <w:sz w:val="20"/>
                <w:szCs w:val="20"/>
              </w:rPr>
              <w:t>1.</w:t>
            </w:r>
            <w:r w:rsidRPr="00F76CB3">
              <w:rPr>
                <w:rFonts w:ascii="微軟正黑體" w:eastAsia="微軟正黑體" w:hAnsi="微軟正黑體" w:hint="eastAsia"/>
                <w:spacing w:val="-4"/>
                <w:sz w:val="20"/>
                <w:szCs w:val="20"/>
              </w:rPr>
              <w:t>公教人員：「最後在職15年之平均俸(薪)額(逐年調整至118年起)」2倍</w:t>
            </w:r>
            <w:r w:rsidRPr="00F76CB3">
              <w:rPr>
                <w:rFonts w:ascii="微軟正黑體" w:eastAsia="微軟正黑體" w:hAnsi="微軟正黑體"/>
                <w:sz w:val="20"/>
                <w:szCs w:val="20"/>
              </w:rPr>
              <w:t>×</w:t>
            </w:r>
            <w:r w:rsidRPr="00F76CB3">
              <w:rPr>
                <w:rFonts w:ascii="微軟正黑體" w:eastAsia="微軟正黑體" w:hAnsi="微軟正黑體" w:hint="eastAsia"/>
                <w:spacing w:val="-4"/>
                <w:sz w:val="20"/>
                <w:szCs w:val="20"/>
              </w:rPr>
              <w:t>月退休金給付率，並按審定退休年資，依上述法令附表3規定之退休所得替代率計算上限金額</w:t>
            </w:r>
          </w:p>
          <w:p w:rsidR="008C24C0" w:rsidRPr="00F76CB3" w:rsidRDefault="008C24C0" w:rsidP="00574CCA">
            <w:pPr>
              <w:spacing w:line="240" w:lineRule="exact"/>
              <w:ind w:left="160" w:hangingChars="80" w:hanging="160"/>
              <w:jc w:val="both"/>
              <w:rPr>
                <w:rFonts w:ascii="微軟正黑體" w:eastAsia="微軟正黑體" w:hAnsi="微軟正黑體"/>
                <w:sz w:val="20"/>
                <w:szCs w:val="20"/>
              </w:rPr>
            </w:pPr>
            <w:r w:rsidRPr="00F76CB3">
              <w:rPr>
                <w:rFonts w:ascii="微軟正黑體" w:eastAsia="微軟正黑體" w:hAnsi="微軟正黑體" w:hint="eastAsia"/>
                <w:sz w:val="20"/>
                <w:szCs w:val="20"/>
              </w:rPr>
              <w:t>2.軍職人員：「現役同官階俸級人員服役最後1/5年資之本俸平均數」2倍</w:t>
            </w:r>
            <w:r w:rsidRPr="00F76CB3">
              <w:rPr>
                <w:rFonts w:ascii="微軟正黑體" w:eastAsia="微軟正黑體" w:hAnsi="微軟正黑體"/>
                <w:sz w:val="20"/>
                <w:szCs w:val="20"/>
              </w:rPr>
              <w:t>×</w:t>
            </w:r>
            <w:r w:rsidRPr="00F76CB3">
              <w:rPr>
                <w:rFonts w:ascii="微軟正黑體" w:eastAsia="微軟正黑體" w:hAnsi="微軟正黑體" w:hint="eastAsia"/>
                <w:sz w:val="20"/>
                <w:szCs w:val="20"/>
              </w:rPr>
              <w:t xml:space="preserve">55%，每增加年資1年，俸率增加2% </w:t>
            </w:r>
          </w:p>
        </w:tc>
        <w:tc>
          <w:tcPr>
            <w:tcW w:w="2835" w:type="dxa"/>
            <w:vMerge/>
            <w:vAlign w:val="center"/>
          </w:tcPr>
          <w:p w:rsidR="008C24C0" w:rsidRPr="00F76CB3" w:rsidRDefault="008C24C0" w:rsidP="00574CCA">
            <w:pPr>
              <w:spacing w:line="240" w:lineRule="exact"/>
              <w:jc w:val="center"/>
              <w:rPr>
                <w:rFonts w:ascii="微軟正黑體" w:eastAsia="微軟正黑體" w:hAnsi="微軟正黑體"/>
                <w:sz w:val="20"/>
                <w:szCs w:val="20"/>
              </w:rPr>
            </w:pPr>
          </w:p>
        </w:tc>
        <w:tc>
          <w:tcPr>
            <w:tcW w:w="2551" w:type="dxa"/>
            <w:vAlign w:val="center"/>
          </w:tcPr>
          <w:p w:rsidR="008C24C0" w:rsidRPr="00F76CB3" w:rsidRDefault="008C24C0" w:rsidP="00574CCA">
            <w:pPr>
              <w:spacing w:line="240" w:lineRule="exact"/>
              <w:jc w:val="both"/>
              <w:rPr>
                <w:rFonts w:ascii="微軟正黑體" w:eastAsia="微軟正黑體" w:hAnsi="微軟正黑體"/>
                <w:sz w:val="20"/>
                <w:szCs w:val="20"/>
              </w:rPr>
            </w:pPr>
            <w:r w:rsidRPr="00F76CB3">
              <w:rPr>
                <w:rFonts w:ascii="微軟正黑體" w:eastAsia="微軟正黑體" w:hAnsi="微軟正黑體" w:hint="eastAsia"/>
                <w:sz w:val="20"/>
                <w:szCs w:val="20"/>
              </w:rPr>
              <w:t>以一次給付應領取總額，投保符合保險法規定之年金保險或由儲金管理會提供分期請領之設計，作為定期發給之退休金(</w:t>
            </w:r>
            <w:r w:rsidRPr="00F76CB3">
              <w:rPr>
                <w:rFonts w:ascii="微軟正黑體" w:eastAsia="微軟正黑體" w:hAnsi="微軟正黑體"/>
                <w:sz w:val="20"/>
                <w:szCs w:val="20"/>
              </w:rPr>
              <w:t>§</w:t>
            </w:r>
            <w:r w:rsidRPr="00F76CB3">
              <w:rPr>
                <w:rFonts w:ascii="微軟正黑體" w:eastAsia="微軟正黑體" w:hAnsi="微軟正黑體" w:hint="eastAsia"/>
                <w:sz w:val="20"/>
                <w:szCs w:val="20"/>
              </w:rPr>
              <w:t>20)</w:t>
            </w:r>
          </w:p>
        </w:tc>
        <w:tc>
          <w:tcPr>
            <w:tcW w:w="2410" w:type="dxa"/>
            <w:vAlign w:val="center"/>
          </w:tcPr>
          <w:p w:rsidR="008C24C0" w:rsidRPr="00D02849" w:rsidRDefault="008C24C0" w:rsidP="00574CCA">
            <w:pPr>
              <w:spacing w:line="240" w:lineRule="exact"/>
              <w:jc w:val="both"/>
              <w:rPr>
                <w:rFonts w:ascii="微軟正黑體" w:eastAsia="微軟正黑體" w:hAnsi="微軟正黑體" w:cs="Helvetica"/>
                <w:sz w:val="20"/>
                <w:szCs w:val="20"/>
              </w:rPr>
            </w:pPr>
            <w:r w:rsidRPr="00D02849">
              <w:rPr>
                <w:rFonts w:ascii="微軟正黑體" w:eastAsia="微軟正黑體" w:hAnsi="微軟正黑體" w:cs="Helvetica" w:hint="eastAsia"/>
                <w:sz w:val="20"/>
                <w:szCs w:val="20"/>
              </w:rPr>
              <w:t>退休儲金專戶本金及累積收益，依據年金生命表，以平均餘命及利率等基礎計算所得之金額(</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15</w:t>
            </w:r>
            <w:r w:rsidRPr="00D02849">
              <w:rPr>
                <w:rFonts w:ascii="微軟正黑體" w:eastAsia="微軟正黑體" w:hAnsi="微軟正黑體" w:cs="Helvetica" w:hint="eastAsia"/>
                <w:sz w:val="20"/>
                <w:szCs w:val="20"/>
              </w:rPr>
              <w:t>)</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採計年資上限</w:t>
            </w:r>
          </w:p>
        </w:tc>
        <w:tc>
          <w:tcPr>
            <w:tcW w:w="1698" w:type="dxa"/>
            <w:vMerge/>
          </w:tcPr>
          <w:p w:rsidR="008C24C0" w:rsidRPr="00D02849" w:rsidRDefault="008C24C0" w:rsidP="00574CCA">
            <w:pPr>
              <w:jc w:val="center"/>
            </w:pP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1559"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4962"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hint="eastAsia"/>
                <w:sz w:val="20"/>
                <w:szCs w:val="20"/>
              </w:rPr>
              <w:t>1.公教人員：40年</w:t>
            </w:r>
          </w:p>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hint="eastAsia"/>
                <w:sz w:val="20"/>
                <w:szCs w:val="20"/>
              </w:rPr>
              <w:t>2.軍職人員：無</w:t>
            </w:r>
          </w:p>
        </w:tc>
        <w:tc>
          <w:tcPr>
            <w:tcW w:w="2835"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Pr>
                <w:rFonts w:ascii="微軟正黑體" w:eastAsia="微軟正黑體" w:hAnsi="微軟正黑體" w:hint="eastAsia"/>
                <w:sz w:val="20"/>
                <w:szCs w:val="20"/>
              </w:rPr>
              <w:t>所得替代</w:t>
            </w:r>
            <w:r w:rsidRPr="00D02849">
              <w:rPr>
                <w:rFonts w:ascii="微軟正黑體" w:eastAsia="微軟正黑體" w:hAnsi="微軟正黑體"/>
                <w:sz w:val="20"/>
                <w:szCs w:val="20"/>
              </w:rPr>
              <w:t>率</w:t>
            </w:r>
          </w:p>
        </w:tc>
        <w:tc>
          <w:tcPr>
            <w:tcW w:w="1698" w:type="dxa"/>
            <w:vMerge/>
          </w:tcPr>
          <w:p w:rsidR="008C24C0" w:rsidRPr="00D02849" w:rsidRDefault="008C24C0" w:rsidP="00574CCA">
            <w:pPr>
              <w:jc w:val="center"/>
            </w:pPr>
          </w:p>
        </w:tc>
        <w:tc>
          <w:tcPr>
            <w:tcW w:w="2069"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1559"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4962" w:type="dxa"/>
            <w:gridSpan w:val="2"/>
            <w:vAlign w:val="center"/>
          </w:tcPr>
          <w:p w:rsidR="008C24C0" w:rsidRPr="00D02849" w:rsidRDefault="008C24C0" w:rsidP="00574CCA">
            <w:pPr>
              <w:spacing w:line="240" w:lineRule="exact"/>
              <w:ind w:left="160" w:hangingChars="80" w:hanging="160"/>
              <w:rPr>
                <w:rFonts w:ascii="微軟正黑體" w:eastAsia="微軟正黑體" w:hAnsi="微軟正黑體"/>
                <w:sz w:val="20"/>
                <w:szCs w:val="20"/>
              </w:rPr>
            </w:pPr>
            <w:r w:rsidRPr="00D02849">
              <w:rPr>
                <w:rFonts w:ascii="微軟正黑體" w:eastAsia="微軟正黑體" w:hAnsi="微軟正黑體" w:hint="eastAsia"/>
                <w:sz w:val="20"/>
                <w:szCs w:val="20"/>
              </w:rPr>
              <w:t>1.公教人員：</w:t>
            </w:r>
            <w:r>
              <w:rPr>
                <w:rFonts w:ascii="微軟正黑體" w:eastAsia="微軟正黑體" w:hAnsi="微軟正黑體" w:hint="eastAsia"/>
                <w:sz w:val="20"/>
                <w:szCs w:val="20"/>
              </w:rPr>
              <w:t>所得替代率</w:t>
            </w:r>
            <w:r w:rsidRPr="00D02849">
              <w:rPr>
                <w:rFonts w:ascii="微軟正黑體" w:eastAsia="微軟正黑體" w:hAnsi="微軟正黑體" w:hint="eastAsia"/>
                <w:sz w:val="20"/>
                <w:szCs w:val="20"/>
              </w:rPr>
              <w:t>最高62.5%(</w:t>
            </w:r>
            <w:r>
              <w:rPr>
                <w:rFonts w:ascii="微軟正黑體" w:eastAsia="微軟正黑體" w:hAnsi="微軟正黑體" w:hint="eastAsia"/>
                <w:sz w:val="20"/>
                <w:szCs w:val="20"/>
              </w:rPr>
              <w:t>逐年調降至</w:t>
            </w:r>
            <w:r w:rsidRPr="00D02849">
              <w:rPr>
                <w:rFonts w:ascii="微軟正黑體" w:eastAsia="微軟正黑體" w:hAnsi="微軟正黑體" w:hint="eastAsia"/>
                <w:sz w:val="20"/>
                <w:szCs w:val="20"/>
              </w:rPr>
              <w:t>118</w:t>
            </w:r>
            <w:r>
              <w:rPr>
                <w:rFonts w:ascii="微軟正黑體" w:eastAsia="微軟正黑體" w:hAnsi="微軟正黑體" w:hint="eastAsia"/>
                <w:sz w:val="20"/>
                <w:szCs w:val="20"/>
              </w:rPr>
              <w:t xml:space="preserve">   年起</w:t>
            </w:r>
            <w:r w:rsidRPr="00D02849">
              <w:rPr>
                <w:rFonts w:ascii="微軟正黑體" w:eastAsia="微軟正黑體" w:hAnsi="微軟正黑體" w:hint="eastAsia"/>
                <w:sz w:val="20"/>
                <w:szCs w:val="20"/>
              </w:rPr>
              <w:t>)</w:t>
            </w:r>
          </w:p>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hint="eastAsia"/>
                <w:sz w:val="20"/>
                <w:szCs w:val="20"/>
              </w:rPr>
              <w:t>2.軍職人員：軍官俸率最高90%、士官俸率最高95%</w:t>
            </w:r>
          </w:p>
        </w:tc>
        <w:tc>
          <w:tcPr>
            <w:tcW w:w="2835"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EF74FA">
        <w:trPr>
          <w:trHeight w:val="658"/>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展延及減額年金</w:t>
            </w:r>
          </w:p>
        </w:tc>
        <w:tc>
          <w:tcPr>
            <w:tcW w:w="1698" w:type="dxa"/>
            <w:vMerge/>
          </w:tcPr>
          <w:p w:rsidR="008C24C0" w:rsidRPr="00D02849" w:rsidRDefault="008C24C0" w:rsidP="00574CCA">
            <w:pPr>
              <w:jc w:val="center"/>
            </w:pPr>
          </w:p>
        </w:tc>
        <w:tc>
          <w:tcPr>
            <w:tcW w:w="2069" w:type="dxa"/>
            <w:vAlign w:val="center"/>
          </w:tcPr>
          <w:p w:rsidR="008C24C0" w:rsidRPr="00D02849" w:rsidRDefault="008C24C0" w:rsidP="00574CCA">
            <w:pPr>
              <w:spacing w:line="240" w:lineRule="exact"/>
              <w:jc w:val="both"/>
              <w:rPr>
                <w:rFonts w:ascii="微軟正黑體" w:eastAsia="微軟正黑體" w:hAnsi="微軟正黑體"/>
                <w:sz w:val="20"/>
                <w:szCs w:val="20"/>
              </w:rPr>
            </w:pPr>
            <w:r w:rsidRPr="00D02849">
              <w:rPr>
                <w:rFonts w:ascii="微軟正黑體" w:eastAsia="微軟正黑體" w:hAnsi="微軟正黑體" w:hint="eastAsia"/>
                <w:sz w:val="20"/>
                <w:szCs w:val="20"/>
              </w:rPr>
              <w:t>無，符合失能或身心障礙相關條件，可提前請領，無年齡限制(§24-2)</w:t>
            </w:r>
          </w:p>
        </w:tc>
        <w:tc>
          <w:tcPr>
            <w:tcW w:w="1559"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4962"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hint="eastAsia"/>
                <w:sz w:val="20"/>
                <w:szCs w:val="20"/>
              </w:rPr>
              <w:t>1.公教人員：每提前1年減給4%，最多減給20%</w:t>
            </w:r>
          </w:p>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hint="eastAsia"/>
                <w:sz w:val="20"/>
                <w:szCs w:val="20"/>
              </w:rPr>
              <w:t>2.軍職人員：無</w:t>
            </w:r>
          </w:p>
        </w:tc>
        <w:tc>
          <w:tcPr>
            <w:tcW w:w="2835"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2551" w:type="dxa"/>
            <w:vAlign w:val="center"/>
          </w:tcPr>
          <w:p w:rsidR="008C24C0" w:rsidRPr="00D02849" w:rsidRDefault="008C24C0" w:rsidP="00574CCA">
            <w:pPr>
              <w:spacing w:line="240" w:lineRule="exact"/>
              <w:jc w:val="both"/>
              <w:rPr>
                <w:rFonts w:ascii="微軟正黑體" w:eastAsia="微軟正黑體" w:hAnsi="微軟正黑體"/>
                <w:sz w:val="20"/>
                <w:szCs w:val="20"/>
              </w:rPr>
            </w:pPr>
            <w:r w:rsidRPr="00D02849">
              <w:rPr>
                <w:rFonts w:ascii="微軟正黑體" w:eastAsia="微軟正黑體" w:hAnsi="微軟正黑體" w:hint="eastAsia"/>
                <w:sz w:val="20"/>
                <w:szCs w:val="20"/>
              </w:rPr>
              <w:t>無，惟配合私校組織變更、停辦或精簡者，符合相關條件者，得辦理彈性退休</w:t>
            </w:r>
          </w:p>
        </w:tc>
        <w:tc>
          <w:tcPr>
            <w:tcW w:w="2410" w:type="dxa"/>
            <w:vAlign w:val="center"/>
          </w:tcPr>
          <w:p w:rsidR="008C24C0" w:rsidRPr="00D02849" w:rsidRDefault="008C24C0" w:rsidP="00574CCA">
            <w:pPr>
              <w:spacing w:line="240" w:lineRule="exact"/>
              <w:jc w:val="both"/>
              <w:rPr>
                <w:rFonts w:ascii="微軟正黑體" w:eastAsia="微軟正黑體" w:hAnsi="微軟正黑體"/>
                <w:sz w:val="20"/>
                <w:szCs w:val="20"/>
              </w:rPr>
            </w:pPr>
            <w:r w:rsidRPr="00D02849">
              <w:rPr>
                <w:rFonts w:ascii="微軟正黑體" w:eastAsia="微軟正黑體" w:hAnsi="微軟正黑體" w:hint="eastAsia"/>
                <w:sz w:val="20"/>
                <w:szCs w:val="20"/>
              </w:rPr>
              <w:t>無，符合失能或身心障礙相關條件，可提前請領，無年齡限制(§16)</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r w:rsidR="008C24C0" w:rsidRPr="00D02849" w:rsidTr="00574CCA">
        <w:trPr>
          <w:trHeight w:val="360"/>
        </w:trPr>
        <w:tc>
          <w:tcPr>
            <w:tcW w:w="715" w:type="dxa"/>
            <w:vMerge/>
          </w:tcPr>
          <w:p w:rsidR="008C24C0" w:rsidRPr="00D02849" w:rsidRDefault="008C24C0" w:rsidP="00574CCA">
            <w:pPr>
              <w:widowControl/>
              <w:spacing w:line="240" w:lineRule="exact"/>
              <w:rPr>
                <w:rFonts w:ascii="微軟正黑體" w:eastAsia="微軟正黑體" w:hAnsi="微軟正黑體"/>
                <w:b/>
                <w:sz w:val="20"/>
                <w:szCs w:val="20"/>
              </w:rPr>
            </w:pPr>
          </w:p>
        </w:tc>
        <w:tc>
          <w:tcPr>
            <w:tcW w:w="2005"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sz w:val="20"/>
                <w:szCs w:val="20"/>
              </w:rPr>
              <w:t>與其他</w:t>
            </w:r>
            <w:r w:rsidRPr="00D02849">
              <w:rPr>
                <w:rFonts w:ascii="微軟正黑體" w:eastAsia="微軟正黑體" w:hAnsi="微軟正黑體" w:hint="eastAsia"/>
                <w:sz w:val="20"/>
                <w:szCs w:val="20"/>
              </w:rPr>
              <w:t>退休金制度</w:t>
            </w:r>
            <w:r w:rsidRPr="00D02849">
              <w:rPr>
                <w:rFonts w:ascii="微軟正黑體" w:eastAsia="微軟正黑體" w:hAnsi="微軟正黑體"/>
                <w:sz w:val="20"/>
                <w:szCs w:val="20"/>
              </w:rPr>
              <w:t>之銜接機制</w:t>
            </w:r>
          </w:p>
        </w:tc>
        <w:tc>
          <w:tcPr>
            <w:tcW w:w="1698" w:type="dxa"/>
            <w:vMerge/>
          </w:tcPr>
          <w:p w:rsidR="008C24C0" w:rsidRPr="00D02849" w:rsidRDefault="008C24C0" w:rsidP="00574CCA">
            <w:pPr>
              <w:jc w:val="center"/>
            </w:pPr>
          </w:p>
        </w:tc>
        <w:tc>
          <w:tcPr>
            <w:tcW w:w="2069" w:type="dxa"/>
            <w:shd w:val="clear" w:color="auto" w:fill="auto"/>
            <w:vAlign w:val="center"/>
          </w:tcPr>
          <w:p w:rsidR="008C24C0" w:rsidRPr="00D02849" w:rsidRDefault="008C24C0" w:rsidP="00574CCA">
            <w:pPr>
              <w:spacing w:line="240" w:lineRule="exact"/>
              <w:jc w:val="center"/>
              <w:rPr>
                <w:rFonts w:ascii="微軟正黑體" w:eastAsia="微軟正黑體" w:hAnsi="微軟正黑體"/>
                <w:sz w:val="20"/>
                <w:szCs w:val="20"/>
                <w:highlight w:val="yellow"/>
              </w:rPr>
            </w:pPr>
            <w:r w:rsidRPr="00D02849">
              <w:rPr>
                <w:rFonts w:ascii="微軟正黑體" w:eastAsia="微軟正黑體" w:hAnsi="微軟正黑體" w:hint="eastAsia"/>
                <w:sz w:val="20"/>
                <w:szCs w:val="20"/>
              </w:rPr>
              <w:t>-</w:t>
            </w:r>
          </w:p>
        </w:tc>
        <w:tc>
          <w:tcPr>
            <w:tcW w:w="1559" w:type="dxa"/>
            <w:vMerge/>
            <w:vAlign w:val="center"/>
          </w:tcPr>
          <w:p w:rsidR="008C24C0" w:rsidRPr="00D02849" w:rsidRDefault="008C24C0" w:rsidP="00574CCA">
            <w:pPr>
              <w:spacing w:line="240" w:lineRule="exact"/>
              <w:jc w:val="center"/>
              <w:rPr>
                <w:rFonts w:ascii="微軟正黑體" w:eastAsia="微軟正黑體" w:hAnsi="微軟正黑體"/>
                <w:sz w:val="20"/>
                <w:szCs w:val="20"/>
              </w:rPr>
            </w:pPr>
          </w:p>
        </w:tc>
        <w:tc>
          <w:tcPr>
            <w:tcW w:w="4962" w:type="dxa"/>
            <w:gridSpan w:val="2"/>
            <w:vAlign w:val="center"/>
          </w:tcPr>
          <w:p w:rsidR="008C24C0" w:rsidRPr="00D02849" w:rsidRDefault="008C24C0" w:rsidP="00574CCA">
            <w:pPr>
              <w:spacing w:line="240" w:lineRule="exact"/>
              <w:rPr>
                <w:rFonts w:ascii="微軟正黑體" w:eastAsia="微軟正黑體" w:hAnsi="微軟正黑體"/>
                <w:sz w:val="20"/>
                <w:szCs w:val="20"/>
              </w:rPr>
            </w:pPr>
            <w:r w:rsidRPr="00D02849">
              <w:rPr>
                <w:rFonts w:ascii="微軟正黑體" w:eastAsia="微軟正黑體" w:hAnsi="微軟正黑體" w:hint="eastAsia"/>
                <w:sz w:val="20"/>
                <w:szCs w:val="20"/>
              </w:rPr>
              <w:t>公教人員退撫制度與其他退休金制度採年資併計、分別給付機制；軍職人員無</w:t>
            </w:r>
          </w:p>
        </w:tc>
        <w:tc>
          <w:tcPr>
            <w:tcW w:w="2835"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2551"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2410" w:type="dxa"/>
            <w:vAlign w:val="center"/>
          </w:tcPr>
          <w:p w:rsidR="008C24C0" w:rsidRPr="00D02849" w:rsidRDefault="008C24C0" w:rsidP="00574CCA">
            <w:pPr>
              <w:spacing w:line="240" w:lineRule="exact"/>
              <w:jc w:val="center"/>
              <w:rPr>
                <w:rFonts w:ascii="微軟正黑體" w:eastAsia="微軟正黑體" w:hAnsi="微軟正黑體"/>
                <w:sz w:val="20"/>
                <w:szCs w:val="20"/>
              </w:rPr>
            </w:pPr>
            <w:r w:rsidRPr="00D02849">
              <w:rPr>
                <w:rFonts w:ascii="微軟正黑體" w:eastAsia="微軟正黑體" w:hAnsi="微軟正黑體" w:hint="eastAsia"/>
                <w:sz w:val="20"/>
                <w:szCs w:val="20"/>
              </w:rPr>
              <w:t>-</w:t>
            </w:r>
          </w:p>
        </w:tc>
        <w:tc>
          <w:tcPr>
            <w:tcW w:w="1984" w:type="dxa"/>
            <w:vMerge/>
          </w:tcPr>
          <w:p w:rsidR="008C24C0" w:rsidRPr="00D02849" w:rsidRDefault="008C24C0" w:rsidP="00574CCA">
            <w:pPr>
              <w:spacing w:line="240" w:lineRule="exact"/>
              <w:rPr>
                <w:rFonts w:ascii="微軟正黑體" w:eastAsia="微軟正黑體" w:hAnsi="微軟正黑體"/>
                <w:sz w:val="20"/>
                <w:szCs w:val="20"/>
              </w:rPr>
            </w:pPr>
          </w:p>
        </w:tc>
      </w:tr>
    </w:tbl>
    <w:p w:rsidR="008C24C0" w:rsidRDefault="008C24C0" w:rsidP="008C24C0">
      <w:pPr>
        <w:spacing w:line="240" w:lineRule="exact"/>
        <w:ind w:left="118" w:hangingChars="59" w:hanging="118"/>
        <w:rPr>
          <w:rFonts w:ascii="微軟正黑體" w:eastAsia="微軟正黑體" w:hAnsi="微軟正黑體"/>
          <w:sz w:val="20"/>
          <w:szCs w:val="20"/>
        </w:rPr>
      </w:pPr>
      <w:r w:rsidRPr="00B62D01">
        <w:rPr>
          <w:rFonts w:ascii="微軟正黑體" w:eastAsia="微軟正黑體" w:hAnsi="微軟正黑體"/>
          <w:sz w:val="20"/>
          <w:szCs w:val="20"/>
        </w:rPr>
        <w:t>註1：</w:t>
      </w:r>
      <w:r w:rsidRPr="0099480D">
        <w:rPr>
          <w:rFonts w:ascii="微軟正黑體" w:eastAsia="微軟正黑體" w:hAnsi="微軟正黑體" w:hint="eastAsia"/>
          <w:sz w:val="20"/>
          <w:szCs w:val="20"/>
        </w:rPr>
        <w:t>勞工保險基金</w:t>
      </w:r>
      <w:r w:rsidR="0099480D" w:rsidRPr="003656D8">
        <w:rPr>
          <w:rFonts w:ascii="微軟正黑體" w:eastAsia="微軟正黑體" w:hAnsi="微軟正黑體" w:hint="eastAsia"/>
          <w:sz w:val="20"/>
          <w:szCs w:val="20"/>
        </w:rPr>
        <w:t>運用</w:t>
      </w:r>
      <w:r w:rsidRPr="003656D8">
        <w:rPr>
          <w:rFonts w:ascii="微軟正黑體" w:eastAsia="微軟正黑體" w:hAnsi="微軟正黑體" w:hint="eastAsia"/>
          <w:sz w:val="20"/>
          <w:szCs w:val="20"/>
        </w:rPr>
        <w:t>規模</w:t>
      </w:r>
      <w:r w:rsidR="0099480D" w:rsidRPr="003656D8">
        <w:rPr>
          <w:rFonts w:ascii="微軟正黑體" w:eastAsia="微軟正黑體" w:hAnsi="微軟正黑體" w:hint="eastAsia"/>
          <w:sz w:val="20"/>
          <w:szCs w:val="20"/>
        </w:rPr>
        <w:t>僅</w:t>
      </w:r>
      <w:r w:rsidRPr="0099480D">
        <w:rPr>
          <w:rFonts w:ascii="微軟正黑體" w:eastAsia="微軟正黑體" w:hAnsi="微軟正黑體" w:hint="eastAsia"/>
          <w:sz w:val="20"/>
          <w:szCs w:val="20"/>
        </w:rPr>
        <w:t>含普通事故保險</w:t>
      </w:r>
      <w:r>
        <w:rPr>
          <w:rFonts w:ascii="微軟正黑體" w:eastAsia="微軟正黑體" w:hAnsi="微軟正黑體" w:hint="eastAsia"/>
          <w:sz w:val="20"/>
          <w:szCs w:val="20"/>
        </w:rPr>
        <w:t>。</w:t>
      </w:r>
    </w:p>
    <w:p w:rsidR="008C24C0" w:rsidRPr="00B62D01" w:rsidRDefault="008C24C0" w:rsidP="008C24C0">
      <w:pPr>
        <w:spacing w:line="240" w:lineRule="exact"/>
        <w:ind w:left="118" w:hangingChars="59" w:hanging="118"/>
        <w:rPr>
          <w:rFonts w:ascii="微軟正黑體" w:eastAsia="微軟正黑體" w:hAnsi="微軟正黑體"/>
          <w:sz w:val="20"/>
          <w:szCs w:val="20"/>
        </w:rPr>
      </w:pPr>
      <w:r>
        <w:rPr>
          <w:rFonts w:ascii="微軟正黑體" w:eastAsia="微軟正黑體" w:hAnsi="微軟正黑體" w:hint="eastAsia"/>
          <w:sz w:val="20"/>
          <w:szCs w:val="20"/>
        </w:rPr>
        <w:t>註2：</w:t>
      </w:r>
      <w:r w:rsidRPr="00B62D01">
        <w:rPr>
          <w:rFonts w:ascii="微軟正黑體" w:eastAsia="微軟正黑體" w:hAnsi="微軟正黑體"/>
          <w:sz w:val="20"/>
          <w:szCs w:val="20"/>
        </w:rPr>
        <w:t>此係公保被保險人88年5月31日以後保險年資之給付標準，而88年5月30日以前之保險年資，依原公務人員保險法或原私立學校教職員保險條例規定標準計算。</w:t>
      </w:r>
    </w:p>
    <w:p w:rsidR="008C24C0" w:rsidRPr="00B62D01" w:rsidRDefault="008C24C0" w:rsidP="008C24C0">
      <w:pPr>
        <w:spacing w:line="240" w:lineRule="exact"/>
        <w:ind w:left="118" w:hangingChars="59" w:hanging="118"/>
        <w:rPr>
          <w:rFonts w:ascii="微軟正黑體" w:eastAsia="微軟正黑體" w:hAnsi="微軟正黑體"/>
          <w:sz w:val="20"/>
          <w:szCs w:val="20"/>
        </w:rPr>
      </w:pPr>
      <w:r w:rsidRPr="00B62D01">
        <w:rPr>
          <w:rFonts w:ascii="微軟正黑體" w:eastAsia="微軟正黑體" w:hAnsi="微軟正黑體"/>
          <w:sz w:val="20"/>
          <w:szCs w:val="20"/>
        </w:rPr>
        <w:t>註</w:t>
      </w:r>
      <w:r>
        <w:rPr>
          <w:rFonts w:ascii="微軟正黑體" w:eastAsia="微軟正黑體" w:hAnsi="微軟正黑體" w:hint="eastAsia"/>
          <w:sz w:val="20"/>
          <w:szCs w:val="20"/>
        </w:rPr>
        <w:t>3</w:t>
      </w:r>
      <w:r w:rsidRPr="00B62D01">
        <w:rPr>
          <w:rFonts w:ascii="微軟正黑體" w:eastAsia="微軟正黑體" w:hAnsi="微軟正黑體"/>
          <w:sz w:val="20"/>
          <w:szCs w:val="20"/>
        </w:rPr>
        <w:t>：勞工退休金舊制人數係指實際適用人數。</w:t>
      </w:r>
    </w:p>
    <w:p w:rsidR="008C24C0" w:rsidRDefault="008C24C0" w:rsidP="008C24C0">
      <w:pPr>
        <w:spacing w:line="240" w:lineRule="exact"/>
        <w:ind w:left="980" w:hangingChars="490" w:hanging="980"/>
        <w:rPr>
          <w:rFonts w:ascii="微軟正黑體" w:eastAsia="微軟正黑體" w:hAnsi="微軟正黑體"/>
          <w:sz w:val="20"/>
          <w:szCs w:val="20"/>
        </w:rPr>
      </w:pPr>
      <w:r w:rsidRPr="00B62D01">
        <w:rPr>
          <w:rFonts w:ascii="微軟正黑體" w:eastAsia="微軟正黑體" w:hAnsi="微軟正黑體"/>
          <w:sz w:val="20"/>
          <w:szCs w:val="20"/>
        </w:rPr>
        <w:t>資料來源：勞動部勞工保險局網站</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ht</w:t>
      </w:r>
      <w:r w:rsidRPr="00F76CB3">
        <w:rPr>
          <w:rFonts w:ascii="微軟正黑體" w:eastAsia="微軟正黑體" w:hAnsi="微軟正黑體"/>
          <w:sz w:val="20"/>
          <w:szCs w:val="20"/>
        </w:rPr>
        <w:t>tp</w:t>
      </w:r>
      <w:r w:rsidRPr="00F76CB3">
        <w:rPr>
          <w:rFonts w:ascii="微軟正黑體" w:eastAsia="微軟正黑體" w:hAnsi="微軟正黑體" w:hint="eastAsia"/>
          <w:sz w:val="20"/>
          <w:szCs w:val="20"/>
        </w:rPr>
        <w:t>s</w:t>
      </w:r>
      <w:r w:rsidRPr="00F76CB3">
        <w:rPr>
          <w:rFonts w:ascii="微軟正黑體" w:eastAsia="微軟正黑體" w:hAnsi="微軟正黑體"/>
          <w:sz w:val="20"/>
          <w:szCs w:val="20"/>
        </w:rPr>
        <w:t>:</w:t>
      </w:r>
      <w:r w:rsidRPr="00B62D01">
        <w:rPr>
          <w:rFonts w:ascii="微軟正黑體" w:eastAsia="微軟正黑體" w:hAnsi="微軟正黑體"/>
          <w:sz w:val="20"/>
          <w:szCs w:val="20"/>
        </w:rPr>
        <w:t>//www.bli.gov.tw/</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、臺灣銀行網站</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http://www.bot.com.tw/Pages/default.aspx</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、勞動部網站</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https://www.mol.gov.tw/</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、公務人員退休撫卹基金網站</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http://www.fund.gov.tw/mp.asp?mp=1</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、財團法人中華民國私立學校教職員退休撫卹離職資遣儲金管理委員會網站</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http://www1.t-service.org.tw/bin/home.php</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w:t>
      </w:r>
      <w:r w:rsidRPr="00B62D01">
        <w:rPr>
          <w:rFonts w:ascii="微軟正黑體" w:eastAsia="微軟正黑體" w:hAnsi="微軟正黑體" w:hint="eastAsia"/>
          <w:sz w:val="20"/>
          <w:szCs w:val="20"/>
        </w:rPr>
        <w:t>勞動部勞動基金運用局網站(</w:t>
      </w:r>
      <w:r w:rsidRPr="00B62D01">
        <w:rPr>
          <w:rFonts w:ascii="微軟正黑體" w:eastAsia="微軟正黑體" w:hAnsi="微軟正黑體"/>
          <w:sz w:val="20"/>
          <w:szCs w:val="20"/>
        </w:rPr>
        <w:t>https://www.blf.gov.tw/</w:t>
      </w:r>
      <w:r w:rsidRPr="00B62D01">
        <w:rPr>
          <w:rFonts w:ascii="微軟正黑體" w:eastAsia="微軟正黑體" w:hAnsi="微軟正黑體" w:hint="eastAsia"/>
          <w:sz w:val="20"/>
          <w:szCs w:val="20"/>
        </w:rPr>
        <w:t>)、</w:t>
      </w:r>
      <w:r w:rsidR="00F86528" w:rsidRPr="003656D8">
        <w:rPr>
          <w:rFonts w:ascii="微軟正黑體" w:eastAsia="微軟正黑體" w:hAnsi="微軟正黑體" w:hint="eastAsia"/>
          <w:sz w:val="20"/>
          <w:szCs w:val="20"/>
        </w:rPr>
        <w:t>勞動部、</w:t>
      </w:r>
      <w:r w:rsidRPr="00B62D01">
        <w:rPr>
          <w:rFonts w:ascii="微軟正黑體" w:eastAsia="微軟正黑體" w:hAnsi="微軟正黑體"/>
          <w:kern w:val="0"/>
          <w:sz w:val="20"/>
          <w:szCs w:val="20"/>
        </w:rPr>
        <w:t>勞工保險普通事故保險費率精算及財務評估</w:t>
      </w:r>
      <w:r w:rsidRPr="00B62D01">
        <w:rPr>
          <w:rFonts w:ascii="微軟正黑體" w:eastAsia="微軟正黑體" w:hAnsi="微軟正黑體" w:hint="eastAsia"/>
          <w:kern w:val="0"/>
          <w:sz w:val="20"/>
          <w:szCs w:val="20"/>
        </w:rPr>
        <w:t>(</w:t>
      </w:r>
      <w:r w:rsidRPr="00B62D01">
        <w:rPr>
          <w:rFonts w:ascii="微軟正黑體" w:eastAsia="微軟正黑體" w:hAnsi="微軟正黑體" w:hint="eastAsia"/>
          <w:sz w:val="20"/>
          <w:szCs w:val="20"/>
        </w:rPr>
        <w:t>107</w:t>
      </w:r>
      <w:r w:rsidRPr="00B62D01">
        <w:rPr>
          <w:rFonts w:ascii="微軟正黑體" w:eastAsia="微軟正黑體" w:hAnsi="微軟正黑體"/>
          <w:sz w:val="20"/>
          <w:szCs w:val="20"/>
        </w:rPr>
        <w:t>年</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、國民年金保險費率精算及財務評估報</w:t>
      </w:r>
      <w:r w:rsidRPr="00D02849">
        <w:rPr>
          <w:rFonts w:ascii="微軟正黑體" w:eastAsia="微軟正黑體" w:hAnsi="微軟正黑體"/>
          <w:sz w:val="20"/>
          <w:szCs w:val="20"/>
        </w:rPr>
        <w:t>告</w:t>
      </w:r>
      <w:r w:rsidRPr="00D02849">
        <w:rPr>
          <w:rFonts w:ascii="微軟正黑體" w:eastAsia="微軟正黑體" w:hAnsi="微軟正黑體" w:hint="eastAsia"/>
          <w:sz w:val="20"/>
          <w:szCs w:val="20"/>
        </w:rPr>
        <w:t>(109年)</w:t>
      </w:r>
      <w:r w:rsidRPr="00D02849">
        <w:rPr>
          <w:rFonts w:ascii="微軟正黑體" w:eastAsia="微軟正黑體" w:hAnsi="微軟正黑體"/>
          <w:sz w:val="20"/>
          <w:szCs w:val="20"/>
        </w:rPr>
        <w:t>、</w:t>
      </w:r>
      <w:r w:rsidRPr="00350C0A">
        <w:rPr>
          <w:rFonts w:ascii="微軟正黑體" w:eastAsia="微軟正黑體" w:hAnsi="微軟正黑體"/>
          <w:sz w:val="20"/>
          <w:szCs w:val="20"/>
        </w:rPr>
        <w:t>公教人員保險第</w:t>
      </w:r>
      <w:r w:rsidRPr="00350C0A">
        <w:rPr>
          <w:rFonts w:ascii="微軟正黑體" w:eastAsia="微軟正黑體" w:hAnsi="微軟正黑體" w:hint="eastAsia"/>
          <w:sz w:val="20"/>
          <w:szCs w:val="20"/>
        </w:rPr>
        <w:t>8</w:t>
      </w:r>
      <w:r w:rsidRPr="00350C0A">
        <w:rPr>
          <w:rFonts w:ascii="微軟正黑體" w:eastAsia="微軟正黑體" w:hAnsi="微軟正黑體"/>
          <w:sz w:val="20"/>
          <w:szCs w:val="20"/>
        </w:rPr>
        <w:t>次保險費率精算</w:t>
      </w:r>
      <w:r w:rsidRPr="00350C0A">
        <w:rPr>
          <w:rFonts w:ascii="微軟正黑體" w:eastAsia="微軟正黑體" w:hAnsi="微軟正黑體" w:hint="eastAsia"/>
          <w:sz w:val="20"/>
          <w:szCs w:val="20"/>
        </w:rPr>
        <w:t>(109</w:t>
      </w:r>
      <w:r w:rsidRPr="00350C0A">
        <w:rPr>
          <w:rFonts w:ascii="微軟正黑體" w:eastAsia="微軟正黑體" w:hAnsi="微軟正黑體"/>
          <w:sz w:val="20"/>
          <w:szCs w:val="20"/>
        </w:rPr>
        <w:t>年</w:t>
      </w:r>
      <w:r w:rsidRPr="00350C0A">
        <w:rPr>
          <w:rFonts w:ascii="微軟正黑體" w:eastAsia="微軟正黑體" w:hAnsi="微軟正黑體" w:hint="eastAsia"/>
          <w:sz w:val="20"/>
          <w:szCs w:val="20"/>
        </w:rPr>
        <w:t>)</w:t>
      </w:r>
      <w:r w:rsidRPr="00B62D01">
        <w:rPr>
          <w:rFonts w:ascii="微軟正黑體" w:eastAsia="微軟正黑體" w:hAnsi="微軟正黑體"/>
          <w:sz w:val="20"/>
          <w:szCs w:val="20"/>
        </w:rPr>
        <w:t>、公務人員退休撫卹基金第</w:t>
      </w:r>
      <w:r w:rsidRPr="00B62D01">
        <w:rPr>
          <w:rFonts w:ascii="微軟正黑體" w:eastAsia="微軟正黑體" w:hAnsi="微軟正黑體" w:hint="eastAsia"/>
          <w:sz w:val="20"/>
          <w:szCs w:val="20"/>
        </w:rPr>
        <w:t>7</w:t>
      </w:r>
      <w:r w:rsidRPr="00B62D01">
        <w:rPr>
          <w:rFonts w:ascii="微軟正黑體" w:eastAsia="微軟正黑體" w:hAnsi="微軟正黑體"/>
          <w:sz w:val="20"/>
          <w:szCs w:val="20"/>
        </w:rPr>
        <w:t>次精算評估報告</w:t>
      </w:r>
      <w:r w:rsidRPr="00B62D01">
        <w:rPr>
          <w:rFonts w:ascii="微軟正黑體" w:eastAsia="微軟正黑體" w:hAnsi="微軟正黑體" w:hint="eastAsia"/>
          <w:sz w:val="20"/>
          <w:szCs w:val="20"/>
        </w:rPr>
        <w:t>(</w:t>
      </w:r>
      <w:r w:rsidRPr="00B62D01">
        <w:rPr>
          <w:rFonts w:ascii="微軟正黑體" w:eastAsia="微軟正黑體" w:hAnsi="微軟正黑體"/>
          <w:sz w:val="20"/>
          <w:szCs w:val="20"/>
        </w:rPr>
        <w:t>10</w:t>
      </w:r>
      <w:r w:rsidRPr="00B62D01">
        <w:rPr>
          <w:rFonts w:ascii="微軟正黑體" w:eastAsia="微軟正黑體" w:hAnsi="微軟正黑體" w:hint="eastAsia"/>
          <w:sz w:val="20"/>
          <w:szCs w:val="20"/>
        </w:rPr>
        <w:t>8</w:t>
      </w:r>
      <w:r w:rsidRPr="00B62D01">
        <w:rPr>
          <w:rFonts w:ascii="微軟正黑體" w:eastAsia="微軟正黑體" w:hAnsi="微軟正黑體"/>
          <w:sz w:val="20"/>
          <w:szCs w:val="20"/>
        </w:rPr>
        <w:t>年</w:t>
      </w:r>
      <w:r w:rsidRPr="00B62D01">
        <w:rPr>
          <w:rFonts w:ascii="微軟正黑體" w:eastAsia="微軟正黑體" w:hAnsi="微軟正黑體" w:hint="eastAsia"/>
          <w:sz w:val="20"/>
          <w:szCs w:val="20"/>
        </w:rPr>
        <w:t>)。</w:t>
      </w:r>
    </w:p>
    <w:p w:rsidR="00930A4C" w:rsidRPr="008C24C0" w:rsidRDefault="00930A4C" w:rsidP="00930A4C">
      <w:pPr>
        <w:spacing w:line="360" w:lineRule="exact"/>
        <w:rPr>
          <w:rFonts w:ascii="微軟正黑體" w:eastAsia="微軟正黑體" w:hAnsi="微軟正黑體"/>
          <w:b/>
          <w:sz w:val="20"/>
          <w:szCs w:val="20"/>
        </w:rPr>
        <w:sectPr w:rsidR="00930A4C" w:rsidRPr="008C24C0" w:rsidSect="00A46E37">
          <w:headerReference w:type="default" r:id="rId167"/>
          <w:footerReference w:type="even" r:id="rId168"/>
          <w:pgSz w:w="23814" w:h="16839" w:orient="landscape" w:code="8"/>
          <w:pgMar w:top="364" w:right="851" w:bottom="284" w:left="851" w:header="57" w:footer="170" w:gutter="0"/>
          <w:cols w:space="425"/>
          <w:docGrid w:type="lines" w:linePitch="360"/>
        </w:sectPr>
      </w:pPr>
    </w:p>
    <w:p w:rsidR="00930A4C" w:rsidRPr="00F0717A" w:rsidRDefault="00930A4C" w:rsidP="00930A4C">
      <w:pPr>
        <w:spacing w:line="400" w:lineRule="exact"/>
        <w:rPr>
          <w:rFonts w:eastAsia="微軟正黑體"/>
          <w:b/>
          <w:sz w:val="28"/>
          <w:szCs w:val="28"/>
        </w:rPr>
      </w:pPr>
      <w:r w:rsidRPr="00F0717A">
        <w:rPr>
          <w:rFonts w:eastAsia="微軟正黑體"/>
          <w:b/>
          <w:sz w:val="28"/>
          <w:szCs w:val="28"/>
        </w:rPr>
        <w:lastRenderedPageBreak/>
        <w:t>二、老年福利津貼比較表</w:t>
      </w:r>
      <w:r w:rsidRPr="00F0717A">
        <w:rPr>
          <w:rFonts w:eastAsia="微軟正黑體"/>
          <w:b/>
          <w:sz w:val="28"/>
          <w:szCs w:val="28"/>
        </w:rPr>
        <w:t xml:space="preserve">                                                                                                           </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3219"/>
        <w:gridCol w:w="3119"/>
        <w:gridCol w:w="3263"/>
        <w:gridCol w:w="3542"/>
        <w:gridCol w:w="3507"/>
        <w:gridCol w:w="2682"/>
      </w:tblGrid>
      <w:tr w:rsidR="00F61575" w:rsidRPr="00D02849" w:rsidTr="00574CCA">
        <w:trPr>
          <w:trHeight w:val="1030"/>
        </w:trPr>
        <w:tc>
          <w:tcPr>
            <w:tcW w:w="574" w:type="pct"/>
            <w:tcBorders>
              <w:tl2br w:val="single" w:sz="4" w:space="0" w:color="auto"/>
            </w:tcBorders>
            <w:shd w:val="clear" w:color="auto" w:fill="BFBFBF"/>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b/>
                <w:sz w:val="22"/>
                <w:szCs w:val="22"/>
              </w:rPr>
            </w:pPr>
            <w:r w:rsidRPr="00D02849">
              <w:rPr>
                <w:rFonts w:ascii="微軟正黑體" w:eastAsia="微軟正黑體" w:hAnsi="微軟正黑體" w:hint="eastAsia"/>
                <w:b/>
                <w:sz w:val="22"/>
                <w:szCs w:val="22"/>
              </w:rPr>
              <w:t xml:space="preserve">          </w:t>
            </w:r>
            <w:r w:rsidRPr="00D02849">
              <w:rPr>
                <w:rFonts w:ascii="微軟正黑體" w:eastAsia="微軟正黑體" w:hAnsi="微軟正黑體"/>
                <w:b/>
                <w:sz w:val="22"/>
                <w:szCs w:val="22"/>
              </w:rPr>
              <w:t>津貼</w:t>
            </w:r>
            <w:r w:rsidRPr="00D02849">
              <w:rPr>
                <w:rFonts w:ascii="微軟正黑體" w:eastAsia="微軟正黑體" w:hAnsi="微軟正黑體" w:hint="eastAsia"/>
                <w:b/>
                <w:sz w:val="22"/>
                <w:szCs w:val="22"/>
              </w:rPr>
              <w:t>名稱</w:t>
            </w:r>
          </w:p>
          <w:p w:rsidR="00F61575" w:rsidRPr="00D02849" w:rsidRDefault="00F61575" w:rsidP="00574CCA">
            <w:pPr>
              <w:spacing w:line="300" w:lineRule="exact"/>
              <w:jc w:val="center"/>
              <w:rPr>
                <w:rFonts w:ascii="微軟正黑體" w:eastAsia="微軟正黑體" w:hAnsi="微軟正黑體"/>
                <w:b/>
                <w:sz w:val="22"/>
                <w:szCs w:val="22"/>
              </w:rPr>
            </w:pPr>
          </w:p>
          <w:p w:rsidR="00F61575" w:rsidRPr="00D02849" w:rsidRDefault="00F61575" w:rsidP="00574CCA">
            <w:pPr>
              <w:spacing w:line="300" w:lineRule="exact"/>
              <w:rPr>
                <w:rFonts w:ascii="微軟正黑體" w:eastAsia="微軟正黑體" w:hAnsi="微軟正黑體"/>
                <w:b/>
                <w:sz w:val="22"/>
                <w:szCs w:val="22"/>
              </w:rPr>
            </w:pPr>
            <w:r w:rsidRPr="00D02849">
              <w:rPr>
                <w:rFonts w:ascii="微軟正黑體" w:eastAsia="微軟正黑體" w:hAnsi="微軟正黑體" w:hint="eastAsia"/>
                <w:b/>
                <w:sz w:val="22"/>
                <w:szCs w:val="22"/>
              </w:rPr>
              <w:t xml:space="preserve">  比較項目</w:t>
            </w:r>
          </w:p>
        </w:tc>
        <w:tc>
          <w:tcPr>
            <w:tcW w:w="737" w:type="pct"/>
            <w:shd w:val="clear" w:color="auto" w:fill="BFBFBF"/>
            <w:tcMar>
              <w:top w:w="57" w:type="dxa"/>
              <w:left w:w="57" w:type="dxa"/>
              <w:bottom w:w="57" w:type="dxa"/>
              <w:right w:w="57" w:type="dxa"/>
            </w:tcMar>
            <w:vAlign w:val="center"/>
          </w:tcPr>
          <w:p w:rsidR="00F61575" w:rsidRPr="00D02849" w:rsidRDefault="00F61575" w:rsidP="00574CCA">
            <w:pPr>
              <w:spacing w:line="300" w:lineRule="exact"/>
              <w:jc w:val="center"/>
              <w:rPr>
                <w:rFonts w:ascii="微軟正黑體" w:eastAsia="微軟正黑體" w:hAnsi="微軟正黑體"/>
                <w:b/>
                <w:sz w:val="22"/>
                <w:szCs w:val="22"/>
              </w:rPr>
            </w:pPr>
            <w:r w:rsidRPr="00D02849">
              <w:rPr>
                <w:rFonts w:ascii="微軟正黑體" w:eastAsia="微軟正黑體" w:hAnsi="微軟正黑體"/>
                <w:b/>
                <w:sz w:val="22"/>
                <w:szCs w:val="22"/>
              </w:rPr>
              <w:t>老年基本保證年金</w:t>
            </w:r>
            <w:r w:rsidRPr="002C0ADC">
              <w:rPr>
                <w:rFonts w:ascii="微軟正黑體" w:eastAsia="微軟正黑體" w:hAnsi="微軟正黑體"/>
                <w:sz w:val="22"/>
                <w:szCs w:val="22"/>
                <w:vertAlign w:val="superscript"/>
              </w:rPr>
              <w:t>(註1)</w:t>
            </w:r>
          </w:p>
        </w:tc>
        <w:tc>
          <w:tcPr>
            <w:tcW w:w="714" w:type="pct"/>
            <w:shd w:val="clear" w:color="auto" w:fill="BFBFBF"/>
            <w:vAlign w:val="center"/>
          </w:tcPr>
          <w:p w:rsidR="00F61575" w:rsidRPr="00D02849" w:rsidRDefault="00F61575" w:rsidP="00574CCA">
            <w:pPr>
              <w:spacing w:line="300" w:lineRule="exact"/>
              <w:jc w:val="center"/>
              <w:rPr>
                <w:rFonts w:ascii="微軟正黑體" w:eastAsia="微軟正黑體" w:hAnsi="微軟正黑體"/>
                <w:b/>
                <w:sz w:val="22"/>
                <w:szCs w:val="22"/>
              </w:rPr>
            </w:pPr>
            <w:r w:rsidRPr="00D02849">
              <w:rPr>
                <w:rFonts w:ascii="微軟正黑體" w:eastAsia="微軟正黑體" w:hAnsi="微軟正黑體"/>
                <w:b/>
                <w:sz w:val="22"/>
                <w:szCs w:val="22"/>
              </w:rPr>
              <w:t>原住民給付</w:t>
            </w:r>
            <w:r w:rsidRPr="002C0ADC">
              <w:rPr>
                <w:rFonts w:ascii="微軟正黑體" w:eastAsia="微軟正黑體" w:hAnsi="微軟正黑體"/>
                <w:sz w:val="22"/>
                <w:szCs w:val="22"/>
                <w:vertAlign w:val="superscript"/>
              </w:rPr>
              <w:t>(註2)</w:t>
            </w:r>
          </w:p>
        </w:tc>
        <w:tc>
          <w:tcPr>
            <w:tcW w:w="747" w:type="pct"/>
            <w:shd w:val="clear" w:color="auto" w:fill="BFBFBF"/>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b/>
                <w:sz w:val="22"/>
                <w:szCs w:val="22"/>
              </w:rPr>
            </w:pPr>
            <w:r w:rsidRPr="00D02849">
              <w:rPr>
                <w:rFonts w:ascii="微軟正黑體" w:eastAsia="微軟正黑體" w:hAnsi="微軟正黑體"/>
                <w:b/>
                <w:sz w:val="22"/>
                <w:szCs w:val="22"/>
              </w:rPr>
              <w:t>老年農民福利津貼</w:t>
            </w:r>
          </w:p>
        </w:tc>
        <w:tc>
          <w:tcPr>
            <w:tcW w:w="811" w:type="pct"/>
            <w:shd w:val="clear" w:color="auto" w:fill="BFBFBF"/>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b/>
                <w:sz w:val="22"/>
                <w:szCs w:val="22"/>
              </w:rPr>
            </w:pPr>
            <w:r w:rsidRPr="00D02849">
              <w:rPr>
                <w:rFonts w:ascii="微軟正黑體" w:eastAsia="微軟正黑體" w:hAnsi="微軟正黑體"/>
                <w:b/>
                <w:sz w:val="22"/>
                <w:szCs w:val="22"/>
              </w:rPr>
              <w:t>中低收入老人生活津貼</w:t>
            </w:r>
          </w:p>
        </w:tc>
        <w:tc>
          <w:tcPr>
            <w:tcW w:w="803" w:type="pct"/>
            <w:shd w:val="clear" w:color="auto" w:fill="BFBFBF"/>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b/>
                <w:sz w:val="22"/>
                <w:szCs w:val="22"/>
              </w:rPr>
            </w:pPr>
            <w:r w:rsidRPr="00D02849">
              <w:rPr>
                <w:rFonts w:ascii="微軟正黑體" w:eastAsia="微軟正黑體" w:hAnsi="微軟正黑體"/>
                <w:b/>
                <w:sz w:val="22"/>
                <w:szCs w:val="22"/>
              </w:rPr>
              <w:t>榮民就養給</w:t>
            </w:r>
            <w:r w:rsidRPr="00D02849">
              <w:rPr>
                <w:rFonts w:ascii="微軟正黑體" w:eastAsia="微軟正黑體" w:hAnsi="微軟正黑體" w:hint="eastAsia"/>
                <w:b/>
                <w:sz w:val="22"/>
                <w:szCs w:val="22"/>
              </w:rPr>
              <w:t>付</w:t>
            </w:r>
          </w:p>
        </w:tc>
        <w:tc>
          <w:tcPr>
            <w:tcW w:w="61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b/>
                <w:sz w:val="22"/>
                <w:szCs w:val="22"/>
              </w:rPr>
              <w:t>總計</w:t>
            </w:r>
          </w:p>
        </w:tc>
      </w:tr>
      <w:tr w:rsidR="00F61575" w:rsidRPr="00D02849" w:rsidTr="00F61575">
        <w:trPr>
          <w:trHeight w:val="366"/>
        </w:trPr>
        <w:tc>
          <w:tcPr>
            <w:tcW w:w="57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實施日期(年月)</w:t>
            </w:r>
          </w:p>
        </w:tc>
        <w:tc>
          <w:tcPr>
            <w:tcW w:w="73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97</w:t>
            </w:r>
            <w:r w:rsidRPr="00D02849">
              <w:rPr>
                <w:rFonts w:ascii="微軟正黑體" w:eastAsia="微軟正黑體" w:hAnsi="微軟正黑體" w:hint="eastAsia"/>
                <w:sz w:val="22"/>
                <w:szCs w:val="22"/>
              </w:rPr>
              <w:t>年</w:t>
            </w:r>
            <w:r w:rsidRPr="00D02849">
              <w:rPr>
                <w:rFonts w:ascii="微軟正黑體" w:eastAsia="微軟正黑體" w:hAnsi="微軟正黑體"/>
                <w:sz w:val="22"/>
                <w:szCs w:val="22"/>
              </w:rPr>
              <w:t>10</w:t>
            </w:r>
            <w:r w:rsidRPr="00D02849">
              <w:rPr>
                <w:rFonts w:ascii="微軟正黑體" w:eastAsia="微軟正黑體" w:hAnsi="微軟正黑體" w:hint="eastAsia"/>
                <w:sz w:val="22"/>
                <w:szCs w:val="22"/>
              </w:rPr>
              <w:t>月(</w:t>
            </w:r>
            <w:r w:rsidRPr="00D02849">
              <w:rPr>
                <w:rFonts w:ascii="微軟正黑體" w:eastAsia="微軟正黑體" w:hAnsi="微軟正黑體"/>
                <w:sz w:val="22"/>
                <w:szCs w:val="22"/>
              </w:rPr>
              <w:t>91</w:t>
            </w:r>
            <w:r w:rsidRPr="00D02849">
              <w:rPr>
                <w:rFonts w:ascii="微軟正黑體" w:eastAsia="微軟正黑體" w:hAnsi="微軟正黑體" w:hint="eastAsia"/>
                <w:sz w:val="22"/>
                <w:szCs w:val="22"/>
              </w:rPr>
              <w:t>年</w:t>
            </w:r>
            <w:r w:rsidRPr="00D02849">
              <w:rPr>
                <w:rFonts w:ascii="微軟正黑體" w:eastAsia="微軟正黑體" w:hAnsi="微軟正黑體"/>
                <w:sz w:val="22"/>
                <w:szCs w:val="22"/>
              </w:rPr>
              <w:t>1</w:t>
            </w:r>
            <w:r w:rsidRPr="00D02849">
              <w:rPr>
                <w:rFonts w:ascii="微軟正黑體" w:eastAsia="微軟正黑體" w:hAnsi="微軟正黑體" w:hint="eastAsia"/>
                <w:sz w:val="22"/>
                <w:szCs w:val="22"/>
              </w:rPr>
              <w:t>月)</w:t>
            </w:r>
          </w:p>
        </w:tc>
        <w:tc>
          <w:tcPr>
            <w:tcW w:w="71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97</w:t>
            </w:r>
            <w:r w:rsidRPr="00D02849">
              <w:rPr>
                <w:rFonts w:ascii="微軟正黑體" w:eastAsia="微軟正黑體" w:hAnsi="微軟正黑體" w:hint="eastAsia"/>
                <w:sz w:val="22"/>
                <w:szCs w:val="22"/>
              </w:rPr>
              <w:t>年</w:t>
            </w:r>
            <w:r w:rsidRPr="00D02849">
              <w:rPr>
                <w:rFonts w:ascii="微軟正黑體" w:eastAsia="微軟正黑體" w:hAnsi="微軟正黑體"/>
                <w:sz w:val="22"/>
                <w:szCs w:val="22"/>
              </w:rPr>
              <w:t>10</w:t>
            </w:r>
            <w:r w:rsidRPr="00D02849">
              <w:rPr>
                <w:rFonts w:ascii="微軟正黑體" w:eastAsia="微軟正黑體" w:hAnsi="微軟正黑體" w:hint="eastAsia"/>
                <w:sz w:val="22"/>
                <w:szCs w:val="22"/>
              </w:rPr>
              <w:t>月(</w:t>
            </w:r>
            <w:r w:rsidRPr="00D02849">
              <w:rPr>
                <w:rFonts w:ascii="微軟正黑體" w:eastAsia="微軟正黑體" w:hAnsi="微軟正黑體"/>
                <w:sz w:val="22"/>
                <w:szCs w:val="22"/>
              </w:rPr>
              <w:t>91</w:t>
            </w:r>
            <w:r w:rsidRPr="00D02849">
              <w:rPr>
                <w:rFonts w:ascii="微軟正黑體" w:eastAsia="微軟正黑體" w:hAnsi="微軟正黑體" w:hint="eastAsia"/>
                <w:sz w:val="22"/>
                <w:szCs w:val="22"/>
              </w:rPr>
              <w:t>年</w:t>
            </w:r>
            <w:r w:rsidRPr="00D02849">
              <w:rPr>
                <w:rFonts w:ascii="微軟正黑體" w:eastAsia="微軟正黑體" w:hAnsi="微軟正黑體"/>
                <w:sz w:val="22"/>
                <w:szCs w:val="22"/>
              </w:rPr>
              <w:t>1</w:t>
            </w:r>
            <w:r w:rsidRPr="00D02849">
              <w:rPr>
                <w:rFonts w:ascii="微軟正黑體" w:eastAsia="微軟正黑體" w:hAnsi="微軟正黑體" w:hint="eastAsia"/>
                <w:sz w:val="22"/>
                <w:szCs w:val="22"/>
              </w:rPr>
              <w:t>月)</w:t>
            </w:r>
          </w:p>
        </w:tc>
        <w:tc>
          <w:tcPr>
            <w:tcW w:w="74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84</w:t>
            </w:r>
            <w:r w:rsidRPr="00D02849">
              <w:rPr>
                <w:rFonts w:ascii="微軟正黑體" w:eastAsia="微軟正黑體" w:hAnsi="微軟正黑體" w:hint="eastAsia"/>
                <w:sz w:val="22"/>
                <w:szCs w:val="22"/>
              </w:rPr>
              <w:t>年6月</w:t>
            </w:r>
          </w:p>
        </w:tc>
        <w:tc>
          <w:tcPr>
            <w:tcW w:w="811"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87</w:t>
            </w:r>
            <w:r w:rsidRPr="00D02849">
              <w:rPr>
                <w:rFonts w:ascii="微軟正黑體" w:eastAsia="微軟正黑體" w:hAnsi="微軟正黑體" w:hint="eastAsia"/>
                <w:sz w:val="22"/>
                <w:szCs w:val="22"/>
              </w:rPr>
              <w:t>年</w:t>
            </w:r>
            <w:r w:rsidRPr="00D02849">
              <w:rPr>
                <w:rFonts w:ascii="微軟正黑體" w:eastAsia="微軟正黑體" w:hAnsi="微軟正黑體"/>
                <w:sz w:val="22"/>
                <w:szCs w:val="22"/>
              </w:rPr>
              <w:t>6</w:t>
            </w:r>
            <w:r w:rsidRPr="00D02849">
              <w:rPr>
                <w:rFonts w:ascii="微軟正黑體" w:eastAsia="微軟正黑體" w:hAnsi="微軟正黑體" w:hint="eastAsia"/>
                <w:sz w:val="22"/>
                <w:szCs w:val="22"/>
              </w:rPr>
              <w:t>月</w:t>
            </w:r>
          </w:p>
        </w:tc>
        <w:tc>
          <w:tcPr>
            <w:tcW w:w="803"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57</w:t>
            </w:r>
            <w:r w:rsidRPr="00D02849">
              <w:rPr>
                <w:rFonts w:ascii="微軟正黑體" w:eastAsia="微軟正黑體" w:hAnsi="微軟正黑體" w:hint="eastAsia"/>
                <w:sz w:val="22"/>
                <w:szCs w:val="22"/>
              </w:rPr>
              <w:t>年</w:t>
            </w:r>
            <w:r w:rsidRPr="00D02849">
              <w:rPr>
                <w:rFonts w:ascii="微軟正黑體" w:eastAsia="微軟正黑體" w:hAnsi="微軟正黑體"/>
                <w:sz w:val="22"/>
                <w:szCs w:val="22"/>
              </w:rPr>
              <w:t>11</w:t>
            </w:r>
            <w:r w:rsidRPr="00D02849">
              <w:rPr>
                <w:rFonts w:ascii="微軟正黑體" w:eastAsia="微軟正黑體" w:hAnsi="微軟正黑體" w:hint="eastAsia"/>
                <w:sz w:val="22"/>
                <w:szCs w:val="22"/>
              </w:rPr>
              <w:t>月</w:t>
            </w:r>
          </w:p>
        </w:tc>
        <w:tc>
          <w:tcPr>
            <w:tcW w:w="614" w:type="pct"/>
            <w:vMerge w:val="restart"/>
            <w:shd w:val="clear" w:color="auto" w:fill="auto"/>
            <w:tcMar>
              <w:top w:w="28" w:type="dxa"/>
              <w:left w:w="57" w:type="dxa"/>
              <w:bottom w:w="28" w:type="dxa"/>
              <w:right w:w="57" w:type="dxa"/>
            </w:tcMar>
            <w:vAlign w:val="center"/>
          </w:tcPr>
          <w:p w:rsidR="00F61575" w:rsidRPr="00D02849" w:rsidRDefault="00F61575" w:rsidP="00574CCA">
            <w:pPr>
              <w:spacing w:line="300" w:lineRule="exact"/>
              <w:rPr>
                <w:rFonts w:ascii="微軟正黑體" w:eastAsia="微軟正黑體" w:hAnsi="微軟正黑體"/>
                <w:sz w:val="22"/>
                <w:szCs w:val="22"/>
              </w:rPr>
            </w:pPr>
          </w:p>
        </w:tc>
      </w:tr>
      <w:tr w:rsidR="00F61575" w:rsidRPr="00D02849" w:rsidTr="00F61575">
        <w:trPr>
          <w:trHeight w:val="360"/>
        </w:trPr>
        <w:tc>
          <w:tcPr>
            <w:tcW w:w="57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法令依據</w:t>
            </w:r>
          </w:p>
        </w:tc>
        <w:tc>
          <w:tcPr>
            <w:tcW w:w="73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國民年金法</w:t>
            </w:r>
          </w:p>
        </w:tc>
        <w:tc>
          <w:tcPr>
            <w:tcW w:w="71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國民年金法</w:t>
            </w:r>
          </w:p>
        </w:tc>
        <w:tc>
          <w:tcPr>
            <w:tcW w:w="74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老年農民福利津貼暫行條例</w:t>
            </w:r>
          </w:p>
        </w:tc>
        <w:tc>
          <w:tcPr>
            <w:tcW w:w="811"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中低收入老人生活津貼發給辦法</w:t>
            </w:r>
          </w:p>
        </w:tc>
        <w:tc>
          <w:tcPr>
            <w:tcW w:w="803"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國軍退除役官兵就養安置辦法</w:t>
            </w:r>
          </w:p>
        </w:tc>
        <w:tc>
          <w:tcPr>
            <w:tcW w:w="614" w:type="pct"/>
            <w:vMerge/>
            <w:shd w:val="clear" w:color="auto" w:fill="auto"/>
            <w:tcMar>
              <w:top w:w="28" w:type="dxa"/>
              <w:left w:w="57" w:type="dxa"/>
              <w:bottom w:w="28" w:type="dxa"/>
              <w:right w:w="57" w:type="dxa"/>
            </w:tcMar>
            <w:vAlign w:val="center"/>
          </w:tcPr>
          <w:p w:rsidR="00F61575" w:rsidRPr="00D02849" w:rsidRDefault="00F61575" w:rsidP="00574CCA">
            <w:pPr>
              <w:spacing w:line="300" w:lineRule="exact"/>
              <w:rPr>
                <w:rFonts w:ascii="微軟正黑體" w:eastAsia="微軟正黑體" w:hAnsi="微軟正黑體"/>
                <w:sz w:val="22"/>
                <w:szCs w:val="22"/>
              </w:rPr>
            </w:pPr>
          </w:p>
        </w:tc>
      </w:tr>
      <w:tr w:rsidR="00F61575" w:rsidRPr="00D02849" w:rsidTr="00F61575">
        <w:trPr>
          <w:trHeight w:val="365"/>
        </w:trPr>
        <w:tc>
          <w:tcPr>
            <w:tcW w:w="57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主管機關</w:t>
            </w:r>
          </w:p>
        </w:tc>
        <w:tc>
          <w:tcPr>
            <w:tcW w:w="73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衛生福利部</w:t>
            </w:r>
          </w:p>
        </w:tc>
        <w:tc>
          <w:tcPr>
            <w:tcW w:w="71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衛生福利部</w:t>
            </w:r>
          </w:p>
        </w:tc>
        <w:tc>
          <w:tcPr>
            <w:tcW w:w="74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hint="eastAsia"/>
                <w:sz w:val="22"/>
                <w:szCs w:val="22"/>
              </w:rPr>
              <w:t>行政院</w:t>
            </w:r>
            <w:r w:rsidRPr="00D02849">
              <w:rPr>
                <w:rFonts w:ascii="微軟正黑體" w:eastAsia="微軟正黑體" w:hAnsi="微軟正黑體"/>
                <w:sz w:val="22"/>
                <w:szCs w:val="22"/>
              </w:rPr>
              <w:t>農業委員會</w:t>
            </w:r>
          </w:p>
        </w:tc>
        <w:tc>
          <w:tcPr>
            <w:tcW w:w="811"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衛生福利部、各縣市政府</w:t>
            </w:r>
          </w:p>
        </w:tc>
        <w:tc>
          <w:tcPr>
            <w:tcW w:w="803"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國軍退除役官兵輔導委員會</w:t>
            </w:r>
          </w:p>
        </w:tc>
        <w:tc>
          <w:tcPr>
            <w:tcW w:w="614" w:type="pct"/>
            <w:vMerge/>
            <w:shd w:val="clear" w:color="auto" w:fill="auto"/>
            <w:tcMar>
              <w:top w:w="28" w:type="dxa"/>
              <w:left w:w="57" w:type="dxa"/>
              <w:bottom w:w="28" w:type="dxa"/>
              <w:right w:w="57" w:type="dxa"/>
            </w:tcMar>
            <w:vAlign w:val="center"/>
          </w:tcPr>
          <w:p w:rsidR="00F61575" w:rsidRPr="00D02849" w:rsidRDefault="00F61575" w:rsidP="00574CCA">
            <w:pPr>
              <w:spacing w:line="300" w:lineRule="exact"/>
              <w:rPr>
                <w:rFonts w:ascii="微軟正黑體" w:eastAsia="微軟正黑體" w:hAnsi="微軟正黑體"/>
                <w:sz w:val="22"/>
                <w:szCs w:val="22"/>
              </w:rPr>
            </w:pPr>
          </w:p>
        </w:tc>
      </w:tr>
      <w:tr w:rsidR="00F61575" w:rsidRPr="00D02849" w:rsidTr="00574CCA">
        <w:trPr>
          <w:trHeight w:val="3467"/>
        </w:trPr>
        <w:tc>
          <w:tcPr>
            <w:tcW w:w="57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適用對象</w:t>
            </w:r>
          </w:p>
        </w:tc>
        <w:tc>
          <w:tcPr>
            <w:tcW w:w="737" w:type="pct"/>
            <w:shd w:val="clear" w:color="auto" w:fill="auto"/>
            <w:tcMar>
              <w:top w:w="28" w:type="dxa"/>
              <w:left w:w="57" w:type="dxa"/>
              <w:bottom w:w="28" w:type="dxa"/>
              <w:right w:w="57" w:type="dxa"/>
            </w:tcMar>
          </w:tcPr>
          <w:p w:rsidR="00F61575" w:rsidRPr="00D02849" w:rsidRDefault="00F61575" w:rsidP="00F61575">
            <w:pPr>
              <w:pStyle w:val="af0"/>
              <w:numPr>
                <w:ilvl w:val="0"/>
                <w:numId w:val="4"/>
              </w:numPr>
              <w:spacing w:line="360" w:lineRule="exact"/>
              <w:ind w:leftChars="0" w:left="282" w:hanging="282"/>
              <w:jc w:val="both"/>
              <w:rPr>
                <w:rFonts w:ascii="微軟正黑體" w:eastAsia="微軟正黑體" w:hAnsi="微軟正黑體"/>
                <w:sz w:val="22"/>
                <w:szCs w:val="22"/>
              </w:rPr>
            </w:pPr>
            <w:r w:rsidRPr="00D02849">
              <w:rPr>
                <w:rFonts w:ascii="微軟正黑體" w:eastAsia="微軟正黑體" w:hAnsi="微軟正黑體"/>
                <w:sz w:val="22"/>
                <w:szCs w:val="22"/>
              </w:rPr>
              <w:t>年滿65歲在國內設有戶籍，且於最近3年每年居住超過183日，且未經政府補助收容安置，或領有各類退休給與或津貼之國民</w:t>
            </w:r>
          </w:p>
          <w:p w:rsidR="00F61575" w:rsidRPr="00D02849" w:rsidRDefault="00F61575" w:rsidP="00F61575">
            <w:pPr>
              <w:pStyle w:val="af0"/>
              <w:numPr>
                <w:ilvl w:val="0"/>
                <w:numId w:val="4"/>
              </w:numPr>
              <w:spacing w:line="360" w:lineRule="exact"/>
              <w:ind w:leftChars="0" w:left="282" w:hanging="282"/>
              <w:jc w:val="both"/>
              <w:rPr>
                <w:rFonts w:ascii="微軟正黑體" w:eastAsia="微軟正黑體" w:hAnsi="微軟正黑體"/>
                <w:sz w:val="22"/>
                <w:szCs w:val="22"/>
              </w:rPr>
            </w:pPr>
            <w:r w:rsidRPr="00D02849">
              <w:rPr>
                <w:rFonts w:ascii="微軟正黑體" w:eastAsia="微軟正黑體" w:hAnsi="微軟正黑體"/>
                <w:sz w:val="22"/>
                <w:szCs w:val="22"/>
              </w:rPr>
              <w:t>符合排富條款：</w:t>
            </w:r>
            <w:r w:rsidRPr="00D02849">
              <w:rPr>
                <w:rFonts w:ascii="微軟正黑體" w:eastAsia="微軟正黑體" w:hAnsi="微軟正黑體" w:hint="eastAsia"/>
                <w:sz w:val="22"/>
                <w:szCs w:val="22"/>
              </w:rPr>
              <w:t>財稅機關提供保險人公告年度之個人綜合所得稅各類所得總額合計未達新臺幣50萬元；個人所有之土地及房屋價值合計未達新臺幣500萬元</w:t>
            </w:r>
          </w:p>
        </w:tc>
        <w:tc>
          <w:tcPr>
            <w:tcW w:w="714" w:type="pct"/>
            <w:shd w:val="clear" w:color="auto" w:fill="auto"/>
            <w:tcMar>
              <w:top w:w="28" w:type="dxa"/>
              <w:left w:w="57" w:type="dxa"/>
              <w:bottom w:w="28" w:type="dxa"/>
              <w:right w:w="57" w:type="dxa"/>
            </w:tcMar>
          </w:tcPr>
          <w:p w:rsidR="00F61575" w:rsidRPr="00D02849" w:rsidRDefault="00F61575" w:rsidP="00F61575">
            <w:pPr>
              <w:pStyle w:val="af0"/>
              <w:numPr>
                <w:ilvl w:val="0"/>
                <w:numId w:val="6"/>
              </w:numPr>
              <w:spacing w:line="360" w:lineRule="exact"/>
              <w:ind w:leftChars="0"/>
              <w:jc w:val="both"/>
              <w:rPr>
                <w:rFonts w:ascii="微軟正黑體" w:eastAsia="微軟正黑體" w:hAnsi="微軟正黑體"/>
                <w:sz w:val="22"/>
                <w:szCs w:val="22"/>
              </w:rPr>
            </w:pPr>
            <w:r w:rsidRPr="00D02849">
              <w:rPr>
                <w:rFonts w:ascii="微軟正黑體" w:eastAsia="微軟正黑體" w:hAnsi="微軟正黑體"/>
                <w:sz w:val="22"/>
                <w:szCs w:val="22"/>
              </w:rPr>
              <w:t>年滿55歲至未滿65歲之原住民在國內設有戶籍，且未經政府補助收容安置，或領有各類退休給與或津貼之國民</w:t>
            </w:r>
          </w:p>
          <w:p w:rsidR="00F61575" w:rsidRPr="00D02849" w:rsidRDefault="00F61575" w:rsidP="00F61575">
            <w:pPr>
              <w:pStyle w:val="af0"/>
              <w:numPr>
                <w:ilvl w:val="0"/>
                <w:numId w:val="6"/>
              </w:numPr>
              <w:spacing w:line="360" w:lineRule="exact"/>
              <w:ind w:leftChars="0"/>
              <w:jc w:val="both"/>
              <w:rPr>
                <w:rFonts w:ascii="微軟正黑體" w:eastAsia="微軟正黑體" w:hAnsi="微軟正黑體"/>
                <w:sz w:val="22"/>
                <w:szCs w:val="22"/>
              </w:rPr>
            </w:pPr>
            <w:r w:rsidRPr="00D02849">
              <w:rPr>
                <w:rFonts w:ascii="微軟正黑體" w:eastAsia="微軟正黑體" w:hAnsi="微軟正黑體"/>
                <w:sz w:val="22"/>
                <w:szCs w:val="22"/>
              </w:rPr>
              <w:t>符合排富條款：</w:t>
            </w:r>
            <w:r w:rsidRPr="00D02849">
              <w:rPr>
                <w:rFonts w:ascii="微軟正黑體" w:eastAsia="微軟正黑體" w:hAnsi="微軟正黑體" w:hint="eastAsia"/>
                <w:sz w:val="22"/>
                <w:szCs w:val="22"/>
              </w:rPr>
              <w:t>財稅機關提供保險人公告年度之個人綜合所得稅各類所得總額合計未達新臺幣50萬元；個人所有之土地及房屋價值合計未達新臺幣500萬元</w:t>
            </w:r>
          </w:p>
        </w:tc>
        <w:tc>
          <w:tcPr>
            <w:tcW w:w="747" w:type="pct"/>
            <w:shd w:val="clear" w:color="auto" w:fill="auto"/>
            <w:tcMar>
              <w:top w:w="28" w:type="dxa"/>
              <w:left w:w="57" w:type="dxa"/>
              <w:bottom w:w="28" w:type="dxa"/>
              <w:right w:w="57" w:type="dxa"/>
            </w:tcMar>
          </w:tcPr>
          <w:p w:rsidR="00F61575" w:rsidRPr="00F76CB3" w:rsidRDefault="00F61575" w:rsidP="00F61575">
            <w:pPr>
              <w:pStyle w:val="af0"/>
              <w:numPr>
                <w:ilvl w:val="0"/>
                <w:numId w:val="5"/>
              </w:numPr>
              <w:spacing w:line="360" w:lineRule="exact"/>
              <w:ind w:leftChars="0"/>
              <w:jc w:val="both"/>
              <w:rPr>
                <w:rFonts w:ascii="微軟正黑體" w:eastAsia="微軟正黑體" w:hAnsi="微軟正黑體"/>
                <w:sz w:val="22"/>
                <w:szCs w:val="22"/>
              </w:rPr>
            </w:pPr>
            <w:r w:rsidRPr="00F76CB3">
              <w:rPr>
                <w:rFonts w:ascii="微軟正黑體" w:eastAsia="微軟正黑體" w:hAnsi="微軟正黑體" w:hint="eastAsia"/>
                <w:sz w:val="22"/>
                <w:szCs w:val="22"/>
              </w:rPr>
              <w:t>年滿65歲國民在國內設有戶籍，且於最近3年內每年居住超過183日</w:t>
            </w:r>
          </w:p>
          <w:p w:rsidR="00F61575" w:rsidRPr="00F76CB3" w:rsidRDefault="00F61575" w:rsidP="00F61575">
            <w:pPr>
              <w:pStyle w:val="af0"/>
              <w:numPr>
                <w:ilvl w:val="0"/>
                <w:numId w:val="5"/>
              </w:numPr>
              <w:spacing w:line="360" w:lineRule="exact"/>
              <w:ind w:leftChars="0"/>
              <w:jc w:val="both"/>
              <w:rPr>
                <w:rFonts w:ascii="微軟正黑體" w:eastAsia="微軟正黑體" w:hAnsi="微軟正黑體"/>
                <w:sz w:val="22"/>
                <w:szCs w:val="22"/>
              </w:rPr>
            </w:pPr>
            <w:r w:rsidRPr="00F76CB3">
              <w:rPr>
                <w:rFonts w:ascii="微軟正黑體" w:eastAsia="微軟正黑體" w:hAnsi="微軟正黑體" w:hint="eastAsia"/>
                <w:sz w:val="22"/>
                <w:szCs w:val="22"/>
              </w:rPr>
              <w:t>申領時參加農保之農民且加保年資合計15年以上者，或申領時已領取勞工保險老年給付之漁會甲類會員且會員年資合計15年以上</w:t>
            </w:r>
          </w:p>
          <w:p w:rsidR="00F61575" w:rsidRPr="00F76CB3" w:rsidRDefault="00F61575" w:rsidP="00F61575">
            <w:pPr>
              <w:pStyle w:val="af0"/>
              <w:numPr>
                <w:ilvl w:val="0"/>
                <w:numId w:val="5"/>
              </w:numPr>
              <w:spacing w:line="360" w:lineRule="exact"/>
              <w:ind w:leftChars="0"/>
              <w:jc w:val="both"/>
              <w:rPr>
                <w:rFonts w:ascii="微軟正黑體" w:eastAsia="微軟正黑體" w:hAnsi="微軟正黑體"/>
                <w:sz w:val="22"/>
                <w:szCs w:val="22"/>
              </w:rPr>
            </w:pPr>
            <w:r w:rsidRPr="00F76CB3">
              <w:rPr>
                <w:rFonts w:ascii="微軟正黑體" w:eastAsia="微軟正黑體" w:hAnsi="微軟正黑體" w:hint="eastAsia"/>
                <w:sz w:val="22"/>
                <w:szCs w:val="22"/>
              </w:rPr>
              <w:t>已領取社會保險老年給付者，於87年11月13日以後再加入農保者或加入勞工保險之漁會甲類會員，不得申領</w:t>
            </w:r>
          </w:p>
          <w:p w:rsidR="00F61575" w:rsidRPr="00F76CB3" w:rsidRDefault="00F61575" w:rsidP="00F61575">
            <w:pPr>
              <w:pStyle w:val="af0"/>
              <w:numPr>
                <w:ilvl w:val="0"/>
                <w:numId w:val="5"/>
              </w:numPr>
              <w:spacing w:line="360" w:lineRule="exact"/>
              <w:ind w:leftChars="0"/>
              <w:jc w:val="both"/>
              <w:rPr>
                <w:rFonts w:ascii="微軟正黑體" w:eastAsia="微軟正黑體" w:hAnsi="微軟正黑體"/>
                <w:sz w:val="18"/>
                <w:szCs w:val="18"/>
              </w:rPr>
            </w:pPr>
            <w:r w:rsidRPr="00F76CB3">
              <w:rPr>
                <w:rFonts w:ascii="微軟正黑體" w:eastAsia="微軟正黑體" w:hAnsi="微軟正黑體" w:hint="eastAsia"/>
                <w:sz w:val="22"/>
                <w:szCs w:val="22"/>
              </w:rPr>
              <w:t>自102年1月1日起，申請領取老農津貼之老年農民應符合排富條款</w:t>
            </w:r>
            <w:r w:rsidRPr="002C0ADC">
              <w:rPr>
                <w:rFonts w:ascii="微軟正黑體" w:eastAsia="微軟正黑體" w:hAnsi="微軟正黑體" w:hint="eastAsia"/>
                <w:sz w:val="22"/>
                <w:szCs w:val="22"/>
                <w:vertAlign w:val="superscript"/>
              </w:rPr>
              <w:t>(註3)</w:t>
            </w:r>
          </w:p>
          <w:p w:rsidR="00F61575" w:rsidRPr="00F76CB3" w:rsidRDefault="00F61575" w:rsidP="00F61575">
            <w:pPr>
              <w:pStyle w:val="af0"/>
              <w:numPr>
                <w:ilvl w:val="0"/>
                <w:numId w:val="5"/>
              </w:numPr>
              <w:spacing w:line="360" w:lineRule="exact"/>
              <w:ind w:leftChars="0"/>
              <w:jc w:val="both"/>
              <w:rPr>
                <w:rFonts w:ascii="微軟正黑體" w:eastAsia="微軟正黑體" w:hAnsi="微軟正黑體"/>
                <w:sz w:val="22"/>
                <w:szCs w:val="22"/>
              </w:rPr>
            </w:pPr>
            <w:r w:rsidRPr="00F76CB3">
              <w:rPr>
                <w:rFonts w:ascii="微軟正黑體" w:eastAsia="微軟正黑體" w:hAnsi="微軟正黑體" w:hint="eastAsia"/>
                <w:sz w:val="22"/>
                <w:szCs w:val="22"/>
              </w:rPr>
              <w:t>於103年7月18日前已參加農保，且持續加保，於申領時加保年資合計6個月以上未滿15年者，發給半額津貼</w:t>
            </w:r>
          </w:p>
        </w:tc>
        <w:tc>
          <w:tcPr>
            <w:tcW w:w="811" w:type="pct"/>
            <w:shd w:val="clear" w:color="auto" w:fill="auto"/>
            <w:tcMar>
              <w:top w:w="28" w:type="dxa"/>
              <w:left w:w="57" w:type="dxa"/>
              <w:bottom w:w="28" w:type="dxa"/>
              <w:right w:w="57" w:type="dxa"/>
            </w:tcMar>
          </w:tcPr>
          <w:p w:rsidR="00F61575" w:rsidRPr="00F76CB3" w:rsidRDefault="00F61575" w:rsidP="00F61575">
            <w:pPr>
              <w:pStyle w:val="af0"/>
              <w:numPr>
                <w:ilvl w:val="0"/>
                <w:numId w:val="68"/>
              </w:numPr>
              <w:spacing w:line="360" w:lineRule="exact"/>
              <w:ind w:leftChars="0"/>
              <w:jc w:val="both"/>
              <w:rPr>
                <w:rFonts w:ascii="微軟正黑體" w:eastAsia="微軟正黑體" w:hAnsi="微軟正黑體"/>
                <w:sz w:val="22"/>
                <w:szCs w:val="22"/>
              </w:rPr>
            </w:pPr>
            <w:r w:rsidRPr="00F76CB3">
              <w:rPr>
                <w:rFonts w:ascii="微軟正黑體" w:eastAsia="微軟正黑體" w:hAnsi="微軟正黑體"/>
                <w:sz w:val="22"/>
                <w:szCs w:val="22"/>
              </w:rPr>
              <w:t>年滿65歲，實際居住於戶籍所在地直轄市、縣(市)，且最近1年居住國內超過183日</w:t>
            </w:r>
          </w:p>
          <w:p w:rsidR="00F61575" w:rsidRPr="00F76CB3" w:rsidRDefault="00F61575" w:rsidP="00F61575">
            <w:pPr>
              <w:pStyle w:val="af0"/>
              <w:numPr>
                <w:ilvl w:val="0"/>
                <w:numId w:val="68"/>
              </w:numPr>
              <w:spacing w:line="360" w:lineRule="exact"/>
              <w:ind w:leftChars="0"/>
              <w:jc w:val="both"/>
              <w:rPr>
                <w:rFonts w:ascii="微軟正黑體" w:eastAsia="微軟正黑體" w:hAnsi="微軟正黑體"/>
                <w:sz w:val="22"/>
                <w:szCs w:val="22"/>
              </w:rPr>
            </w:pPr>
            <w:r w:rsidRPr="00F76CB3">
              <w:rPr>
                <w:rFonts w:ascii="微軟正黑體" w:eastAsia="微軟正黑體" w:hAnsi="微軟正黑體"/>
                <w:sz w:val="22"/>
                <w:szCs w:val="22"/>
              </w:rPr>
              <w:t>未接受政府公費收容安置</w:t>
            </w:r>
          </w:p>
          <w:p w:rsidR="00F61575" w:rsidRPr="00F76CB3" w:rsidRDefault="00F61575" w:rsidP="00F61575">
            <w:pPr>
              <w:pStyle w:val="af0"/>
              <w:numPr>
                <w:ilvl w:val="0"/>
                <w:numId w:val="68"/>
              </w:numPr>
              <w:spacing w:line="360" w:lineRule="exact"/>
              <w:ind w:leftChars="0"/>
              <w:jc w:val="both"/>
              <w:rPr>
                <w:rFonts w:ascii="微軟正黑體" w:eastAsia="微軟正黑體" w:hAnsi="微軟正黑體"/>
                <w:sz w:val="22"/>
                <w:szCs w:val="22"/>
              </w:rPr>
            </w:pPr>
            <w:r w:rsidRPr="00F76CB3">
              <w:rPr>
                <w:rFonts w:ascii="微軟正黑體" w:eastAsia="微軟正黑體" w:hAnsi="微軟正黑體"/>
                <w:sz w:val="22"/>
                <w:szCs w:val="22"/>
              </w:rPr>
              <w:t>家庭總收入按全家人口平均分配，每人每月未超過</w:t>
            </w:r>
            <w:r w:rsidRPr="00F76CB3">
              <w:rPr>
                <w:rFonts w:ascii="微軟正黑體" w:eastAsia="微軟正黑體" w:hAnsi="微軟正黑體" w:hint="eastAsia"/>
                <w:sz w:val="22"/>
                <w:szCs w:val="22"/>
              </w:rPr>
              <w:t>本</w:t>
            </w:r>
            <w:r w:rsidRPr="00F76CB3">
              <w:rPr>
                <w:rFonts w:ascii="微軟正黑體" w:eastAsia="微軟正黑體" w:hAnsi="微軟正黑體"/>
                <w:sz w:val="22"/>
                <w:szCs w:val="22"/>
              </w:rPr>
              <w:t>部或直轄市政府當年公布最低生活費標準</w:t>
            </w:r>
            <w:r w:rsidR="002C0ADC" w:rsidRPr="002C0ADC">
              <w:rPr>
                <w:rFonts w:ascii="微軟正黑體" w:eastAsia="微軟正黑體" w:hAnsi="微軟正黑體"/>
                <w:sz w:val="22"/>
                <w:szCs w:val="22"/>
                <w:vertAlign w:val="superscript"/>
              </w:rPr>
              <w:t>(註4)</w:t>
            </w:r>
            <w:r w:rsidRPr="00F76CB3">
              <w:rPr>
                <w:rFonts w:ascii="微軟正黑體" w:eastAsia="微軟正黑體" w:hAnsi="微軟正黑體"/>
                <w:sz w:val="22"/>
                <w:szCs w:val="22"/>
              </w:rPr>
              <w:t>之2.5倍，且未超過臺灣地區平均每人每月消費支出之1.5倍</w:t>
            </w:r>
          </w:p>
          <w:p w:rsidR="00F61575" w:rsidRPr="00F76CB3" w:rsidRDefault="00F61575" w:rsidP="00F61575">
            <w:pPr>
              <w:pStyle w:val="af0"/>
              <w:numPr>
                <w:ilvl w:val="0"/>
                <w:numId w:val="68"/>
              </w:numPr>
              <w:spacing w:line="360" w:lineRule="exact"/>
              <w:ind w:leftChars="0"/>
              <w:jc w:val="both"/>
              <w:rPr>
                <w:rFonts w:ascii="微軟正黑體" w:eastAsia="微軟正黑體" w:hAnsi="微軟正黑體"/>
                <w:sz w:val="22"/>
                <w:szCs w:val="22"/>
              </w:rPr>
            </w:pPr>
            <w:r w:rsidRPr="00F76CB3">
              <w:rPr>
                <w:rFonts w:ascii="微軟正黑體" w:eastAsia="微軟正黑體" w:hAnsi="微軟正黑體"/>
                <w:sz w:val="22"/>
                <w:szCs w:val="22"/>
              </w:rPr>
              <w:t>全家人口存款本金、投資及有價證券按面額計算之合計金額，未超過一定數額。</w:t>
            </w:r>
            <w:r w:rsidRPr="00F76CB3">
              <w:rPr>
                <w:rFonts w:ascii="微軟正黑體" w:eastAsia="微軟正黑體" w:hAnsi="微軟正黑體" w:hint="eastAsia"/>
                <w:sz w:val="22"/>
                <w:szCs w:val="22"/>
              </w:rPr>
              <w:t>(</w:t>
            </w:r>
            <w:r w:rsidRPr="00F76CB3">
              <w:rPr>
                <w:rFonts w:ascii="微軟正黑體" w:eastAsia="微軟正黑體" w:hAnsi="微軟正黑體"/>
                <w:sz w:val="22"/>
                <w:szCs w:val="22"/>
              </w:rPr>
              <w:t>1人為新臺幣250萬元，每增加1人，以增加25萬元為限</w:t>
            </w:r>
            <w:r w:rsidRPr="00F76CB3">
              <w:rPr>
                <w:rFonts w:ascii="微軟正黑體" w:eastAsia="微軟正黑體" w:hAnsi="微軟正黑體" w:hint="eastAsia"/>
                <w:sz w:val="22"/>
                <w:szCs w:val="22"/>
              </w:rPr>
              <w:t>)</w:t>
            </w:r>
          </w:p>
          <w:p w:rsidR="00F61575" w:rsidRPr="00F76CB3" w:rsidRDefault="00F61575" w:rsidP="00F61575">
            <w:pPr>
              <w:pStyle w:val="af0"/>
              <w:numPr>
                <w:ilvl w:val="0"/>
                <w:numId w:val="68"/>
              </w:numPr>
              <w:spacing w:line="360" w:lineRule="exact"/>
              <w:ind w:leftChars="0"/>
              <w:jc w:val="both"/>
              <w:rPr>
                <w:rFonts w:ascii="微軟正黑體" w:eastAsia="微軟正黑體" w:hAnsi="微軟正黑體"/>
                <w:sz w:val="22"/>
                <w:szCs w:val="22"/>
              </w:rPr>
            </w:pPr>
            <w:r w:rsidRPr="00F76CB3">
              <w:rPr>
                <w:rFonts w:ascii="微軟正黑體" w:eastAsia="微軟正黑體" w:hAnsi="微軟正黑體"/>
                <w:sz w:val="22"/>
                <w:szCs w:val="22"/>
              </w:rPr>
              <w:t>全家人口所有之土地或房屋未逾越合理之居住空間者。其評定基準，由直轄市、縣(市)政府定之</w:t>
            </w:r>
          </w:p>
          <w:p w:rsidR="00F61575" w:rsidRPr="00F76CB3" w:rsidRDefault="002C0ADC" w:rsidP="00F61575">
            <w:pPr>
              <w:pStyle w:val="af0"/>
              <w:numPr>
                <w:ilvl w:val="0"/>
                <w:numId w:val="5"/>
              </w:numPr>
              <w:spacing w:line="360" w:lineRule="exact"/>
              <w:ind w:leftChars="0"/>
              <w:jc w:val="both"/>
              <w:rPr>
                <w:rFonts w:ascii="微軟正黑體" w:eastAsia="微軟正黑體" w:hAnsi="微軟正黑體"/>
                <w:sz w:val="22"/>
                <w:szCs w:val="22"/>
              </w:rPr>
            </w:pPr>
            <w:r>
              <w:rPr>
                <w:rFonts w:ascii="微軟正黑體" w:eastAsia="微軟正黑體" w:hAnsi="微軟正黑體"/>
                <w:sz w:val="22"/>
                <w:szCs w:val="22"/>
              </w:rPr>
              <w:t>未入獄服刑、因案羈押或依法拘禁</w:t>
            </w:r>
          </w:p>
        </w:tc>
        <w:tc>
          <w:tcPr>
            <w:tcW w:w="803" w:type="pct"/>
            <w:shd w:val="clear" w:color="auto" w:fill="auto"/>
            <w:tcMar>
              <w:top w:w="28" w:type="dxa"/>
              <w:left w:w="57" w:type="dxa"/>
              <w:bottom w:w="28" w:type="dxa"/>
              <w:right w:w="57" w:type="dxa"/>
            </w:tcMar>
          </w:tcPr>
          <w:p w:rsidR="00F61575" w:rsidRPr="00D02849" w:rsidRDefault="00F61575" w:rsidP="00574CCA">
            <w:pPr>
              <w:spacing w:line="360" w:lineRule="exact"/>
              <w:jc w:val="both"/>
              <w:rPr>
                <w:rFonts w:ascii="微軟正黑體" w:eastAsia="微軟正黑體" w:hAnsi="微軟正黑體"/>
                <w:sz w:val="22"/>
                <w:szCs w:val="22"/>
              </w:rPr>
            </w:pPr>
            <w:r w:rsidRPr="00D02849">
              <w:rPr>
                <w:rFonts w:ascii="微軟正黑體" w:eastAsia="微軟正黑體" w:hAnsi="微軟正黑體" w:hint="eastAsia"/>
                <w:sz w:val="22"/>
                <w:szCs w:val="22"/>
              </w:rPr>
              <w:t>因作戰、因公或其他原因身心障礙，或年滿61歲</w:t>
            </w:r>
            <w:r w:rsidRPr="00D02849">
              <w:rPr>
                <w:rFonts w:ascii="微軟正黑體" w:eastAsia="微軟正黑體" w:hAnsi="微軟正黑體"/>
                <w:sz w:val="22"/>
                <w:szCs w:val="22"/>
              </w:rPr>
              <w:t>，且具一定條件及資產調查之榮民</w:t>
            </w:r>
          </w:p>
        </w:tc>
        <w:tc>
          <w:tcPr>
            <w:tcW w:w="614" w:type="pct"/>
            <w:vMerge/>
            <w:shd w:val="clear" w:color="auto" w:fill="auto"/>
            <w:tcMar>
              <w:top w:w="28" w:type="dxa"/>
              <w:left w:w="57" w:type="dxa"/>
              <w:bottom w:w="28" w:type="dxa"/>
              <w:right w:w="57" w:type="dxa"/>
            </w:tcMar>
            <w:vAlign w:val="center"/>
          </w:tcPr>
          <w:p w:rsidR="00F61575" w:rsidRPr="00D02849" w:rsidRDefault="00F61575" w:rsidP="00574CCA">
            <w:pPr>
              <w:spacing w:line="300" w:lineRule="exact"/>
              <w:rPr>
                <w:rFonts w:ascii="微軟正黑體" w:eastAsia="微軟正黑體" w:hAnsi="微軟正黑體"/>
                <w:sz w:val="22"/>
                <w:szCs w:val="22"/>
              </w:rPr>
            </w:pPr>
          </w:p>
        </w:tc>
      </w:tr>
      <w:tr w:rsidR="00F61575" w:rsidRPr="00D02849" w:rsidTr="00574CCA">
        <w:tc>
          <w:tcPr>
            <w:tcW w:w="57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給付額度(元/每月)</w:t>
            </w:r>
          </w:p>
        </w:tc>
        <w:tc>
          <w:tcPr>
            <w:tcW w:w="73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3,</w:t>
            </w:r>
            <w:r w:rsidRPr="00D02849">
              <w:rPr>
                <w:rFonts w:ascii="微軟正黑體" w:eastAsia="微軟正黑體" w:hAnsi="微軟正黑體" w:hint="eastAsia"/>
                <w:sz w:val="22"/>
                <w:szCs w:val="22"/>
              </w:rPr>
              <w:t>772</w:t>
            </w:r>
          </w:p>
        </w:tc>
        <w:tc>
          <w:tcPr>
            <w:tcW w:w="71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3,</w:t>
            </w:r>
            <w:r w:rsidRPr="00D02849">
              <w:rPr>
                <w:rFonts w:ascii="微軟正黑體" w:eastAsia="微軟正黑體" w:hAnsi="微軟正黑體" w:hint="eastAsia"/>
                <w:sz w:val="22"/>
                <w:szCs w:val="22"/>
              </w:rPr>
              <w:t>772</w:t>
            </w:r>
          </w:p>
        </w:tc>
        <w:tc>
          <w:tcPr>
            <w:tcW w:w="74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7,</w:t>
            </w:r>
            <w:r w:rsidRPr="00D02849">
              <w:rPr>
                <w:rFonts w:ascii="微軟正黑體" w:eastAsia="微軟正黑體" w:hAnsi="微軟正黑體" w:hint="eastAsia"/>
                <w:sz w:val="22"/>
                <w:szCs w:val="22"/>
              </w:rPr>
              <w:t>550</w:t>
            </w:r>
          </w:p>
        </w:tc>
        <w:tc>
          <w:tcPr>
            <w:tcW w:w="811" w:type="pct"/>
            <w:shd w:val="clear" w:color="auto" w:fill="auto"/>
            <w:tcMar>
              <w:top w:w="28" w:type="dxa"/>
              <w:left w:w="57" w:type="dxa"/>
              <w:bottom w:w="28" w:type="dxa"/>
              <w:right w:w="57" w:type="dxa"/>
            </w:tcMar>
            <w:vAlign w:val="center"/>
          </w:tcPr>
          <w:p w:rsidR="00F61575" w:rsidRPr="00F76CB3" w:rsidRDefault="00F61575" w:rsidP="00574CCA">
            <w:pPr>
              <w:spacing w:line="300" w:lineRule="exact"/>
              <w:rPr>
                <w:rFonts w:ascii="微軟正黑體" w:eastAsia="微軟正黑體" w:hAnsi="微軟正黑體"/>
                <w:sz w:val="22"/>
                <w:szCs w:val="22"/>
              </w:rPr>
            </w:pPr>
            <w:r w:rsidRPr="00F76CB3">
              <w:rPr>
                <w:rFonts w:ascii="微軟正黑體" w:eastAsia="微軟正黑體" w:hAnsi="微軟正黑體"/>
                <w:sz w:val="22"/>
                <w:szCs w:val="22"/>
              </w:rPr>
              <w:t>低收入(未達1.5倍)：7,</w:t>
            </w:r>
            <w:r w:rsidRPr="00F76CB3">
              <w:rPr>
                <w:rFonts w:ascii="微軟正黑體" w:eastAsia="微軟正黑體" w:hAnsi="微軟正黑體" w:hint="eastAsia"/>
                <w:sz w:val="22"/>
                <w:szCs w:val="22"/>
              </w:rPr>
              <w:t>759</w:t>
            </w:r>
          </w:p>
          <w:p w:rsidR="00F61575" w:rsidRPr="00850B40" w:rsidRDefault="00F61575" w:rsidP="00574CCA">
            <w:pPr>
              <w:spacing w:line="300" w:lineRule="exact"/>
              <w:rPr>
                <w:rFonts w:ascii="微軟正黑體" w:eastAsia="微軟正黑體" w:hAnsi="微軟正黑體"/>
                <w:color w:val="FF0000"/>
                <w:sz w:val="22"/>
                <w:szCs w:val="22"/>
              </w:rPr>
            </w:pPr>
            <w:r w:rsidRPr="00F76CB3">
              <w:rPr>
                <w:rFonts w:ascii="微軟正黑體" w:eastAsia="微軟正黑體" w:hAnsi="微軟正黑體"/>
                <w:sz w:val="22"/>
                <w:szCs w:val="22"/>
              </w:rPr>
              <w:t>中低收入(達1.5倍以上，未達2.5倍)：3,</w:t>
            </w:r>
            <w:r w:rsidRPr="00F76CB3">
              <w:rPr>
                <w:rFonts w:ascii="微軟正黑體" w:eastAsia="微軟正黑體" w:hAnsi="微軟正黑體" w:hint="eastAsia"/>
                <w:sz w:val="22"/>
                <w:szCs w:val="22"/>
              </w:rPr>
              <w:t>879</w:t>
            </w:r>
          </w:p>
        </w:tc>
        <w:tc>
          <w:tcPr>
            <w:tcW w:w="803"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14,</w:t>
            </w:r>
            <w:r w:rsidRPr="00D02849">
              <w:rPr>
                <w:rFonts w:ascii="微軟正黑體" w:eastAsia="微軟正黑體" w:hAnsi="微軟正黑體" w:hint="eastAsia"/>
                <w:sz w:val="22"/>
                <w:szCs w:val="22"/>
              </w:rPr>
              <w:t>558</w:t>
            </w:r>
          </w:p>
        </w:tc>
        <w:tc>
          <w:tcPr>
            <w:tcW w:w="614" w:type="pct"/>
            <w:vMerge/>
            <w:shd w:val="clear" w:color="auto" w:fill="D6E3BC" w:themeFill="accent3" w:themeFillTint="66"/>
            <w:tcMar>
              <w:top w:w="28" w:type="dxa"/>
              <w:left w:w="57" w:type="dxa"/>
              <w:bottom w:w="28" w:type="dxa"/>
              <w:right w:w="57" w:type="dxa"/>
            </w:tcMar>
            <w:vAlign w:val="center"/>
          </w:tcPr>
          <w:p w:rsidR="00F61575" w:rsidRPr="00D02849" w:rsidRDefault="00F61575" w:rsidP="00574CCA">
            <w:pPr>
              <w:spacing w:line="300" w:lineRule="exact"/>
              <w:rPr>
                <w:rFonts w:ascii="微軟正黑體" w:eastAsia="微軟正黑體" w:hAnsi="微軟正黑體"/>
                <w:sz w:val="22"/>
                <w:szCs w:val="22"/>
              </w:rPr>
            </w:pPr>
          </w:p>
        </w:tc>
      </w:tr>
      <w:tr w:rsidR="00F61575" w:rsidRPr="00D02849" w:rsidTr="00574CCA">
        <w:tc>
          <w:tcPr>
            <w:tcW w:w="574" w:type="pct"/>
            <w:shd w:val="clear" w:color="auto" w:fill="auto"/>
            <w:tcMar>
              <w:top w:w="28" w:type="dxa"/>
              <w:left w:w="57" w:type="dxa"/>
              <w:bottom w:w="28" w:type="dxa"/>
              <w:right w:w="57" w:type="dxa"/>
            </w:tcMar>
            <w:vAlign w:val="center"/>
          </w:tcPr>
          <w:p w:rsidR="00F61575" w:rsidRPr="00D02849" w:rsidRDefault="00F61575" w:rsidP="00574CCA">
            <w:pPr>
              <w:spacing w:line="300" w:lineRule="exact"/>
              <w:rPr>
                <w:rFonts w:ascii="微軟正黑體" w:eastAsia="微軟正黑體" w:hAnsi="微軟正黑體"/>
                <w:sz w:val="22"/>
                <w:szCs w:val="22"/>
              </w:rPr>
            </w:pPr>
            <w:r w:rsidRPr="00D02849">
              <w:rPr>
                <w:rFonts w:ascii="微軟正黑體" w:eastAsia="微軟正黑體" w:hAnsi="微軟正黑體"/>
                <w:sz w:val="22"/>
                <w:szCs w:val="22"/>
              </w:rPr>
              <w:t>10</w:t>
            </w:r>
            <w:r w:rsidRPr="00D02849">
              <w:rPr>
                <w:rFonts w:ascii="微軟正黑體" w:eastAsia="微軟正黑體" w:hAnsi="微軟正黑體" w:hint="eastAsia"/>
                <w:sz w:val="22"/>
                <w:szCs w:val="22"/>
              </w:rPr>
              <w:t>9</w:t>
            </w:r>
            <w:r w:rsidRPr="00D02849">
              <w:rPr>
                <w:rFonts w:ascii="微軟正黑體" w:eastAsia="微軟正黑體" w:hAnsi="微軟正黑體"/>
                <w:sz w:val="22"/>
                <w:szCs w:val="22"/>
              </w:rPr>
              <w:t>年度受益人數(人)</w:t>
            </w:r>
          </w:p>
        </w:tc>
        <w:tc>
          <w:tcPr>
            <w:tcW w:w="73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498,971</w:t>
            </w:r>
          </w:p>
        </w:tc>
        <w:tc>
          <w:tcPr>
            <w:tcW w:w="71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42,920</w:t>
            </w:r>
          </w:p>
        </w:tc>
        <w:tc>
          <w:tcPr>
            <w:tcW w:w="747"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577,548</w:t>
            </w:r>
          </w:p>
        </w:tc>
        <w:tc>
          <w:tcPr>
            <w:tcW w:w="811"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173,011</w:t>
            </w:r>
          </w:p>
        </w:tc>
        <w:tc>
          <w:tcPr>
            <w:tcW w:w="803" w:type="pct"/>
            <w:tcBorders>
              <w:bottom w:val="single" w:sz="4" w:space="0" w:color="auto"/>
            </w:tcBorders>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32,770</w:t>
            </w:r>
          </w:p>
        </w:tc>
        <w:tc>
          <w:tcPr>
            <w:tcW w:w="614" w:type="pct"/>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 xml:space="preserve">1,325,220 </w:t>
            </w:r>
          </w:p>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sz w:val="22"/>
                <w:szCs w:val="22"/>
              </w:rPr>
              <w:t>(占老年人口比率</w:t>
            </w:r>
            <w:r w:rsidRPr="00D02849">
              <w:rPr>
                <w:rFonts w:ascii="微軟正黑體" w:eastAsia="微軟正黑體" w:hAnsi="微軟正黑體" w:hint="eastAsia"/>
                <w:sz w:val="22"/>
                <w:szCs w:val="22"/>
              </w:rPr>
              <w:t>35.0</w:t>
            </w:r>
            <w:r w:rsidRPr="00D02849">
              <w:rPr>
                <w:rFonts w:ascii="微軟正黑體" w:eastAsia="微軟正黑體" w:hAnsi="微軟正黑體"/>
                <w:sz w:val="22"/>
                <w:szCs w:val="22"/>
              </w:rPr>
              <w:t>%)</w:t>
            </w:r>
          </w:p>
        </w:tc>
      </w:tr>
      <w:tr w:rsidR="00F61575" w:rsidRPr="00D02849" w:rsidTr="00574CCA">
        <w:tc>
          <w:tcPr>
            <w:tcW w:w="574" w:type="pct"/>
            <w:shd w:val="clear" w:color="auto" w:fill="auto"/>
            <w:tcMar>
              <w:top w:w="28" w:type="dxa"/>
              <w:left w:w="57" w:type="dxa"/>
              <w:bottom w:w="28" w:type="dxa"/>
              <w:right w:w="57" w:type="dxa"/>
            </w:tcMar>
            <w:vAlign w:val="center"/>
          </w:tcPr>
          <w:p w:rsidR="00F61575" w:rsidRPr="00D02849" w:rsidRDefault="00F61575" w:rsidP="00574CCA">
            <w:pPr>
              <w:spacing w:line="300" w:lineRule="exact"/>
              <w:rPr>
                <w:rFonts w:ascii="微軟正黑體" w:eastAsia="微軟正黑體" w:hAnsi="微軟正黑體"/>
                <w:sz w:val="22"/>
                <w:szCs w:val="22"/>
              </w:rPr>
            </w:pPr>
            <w:r w:rsidRPr="00D02849">
              <w:rPr>
                <w:rFonts w:ascii="微軟正黑體" w:eastAsia="微軟正黑體" w:hAnsi="微軟正黑體"/>
                <w:sz w:val="22"/>
                <w:szCs w:val="22"/>
              </w:rPr>
              <w:t>10</w:t>
            </w:r>
            <w:r w:rsidRPr="00D02849">
              <w:rPr>
                <w:rFonts w:ascii="微軟正黑體" w:eastAsia="微軟正黑體" w:hAnsi="微軟正黑體" w:hint="eastAsia"/>
                <w:sz w:val="22"/>
                <w:szCs w:val="22"/>
              </w:rPr>
              <w:t>9</w:t>
            </w:r>
            <w:r w:rsidRPr="00D02849">
              <w:rPr>
                <w:rFonts w:ascii="微軟正黑體" w:eastAsia="微軟正黑體" w:hAnsi="微軟正黑體"/>
                <w:sz w:val="22"/>
                <w:szCs w:val="22"/>
              </w:rPr>
              <w:t>年度給付總額(億元)</w:t>
            </w:r>
          </w:p>
        </w:tc>
        <w:tc>
          <w:tcPr>
            <w:tcW w:w="737" w:type="pct"/>
            <w:shd w:val="clear" w:color="auto" w:fill="auto"/>
            <w:tcMar>
              <w:top w:w="28" w:type="dxa"/>
              <w:left w:w="57" w:type="dxa"/>
              <w:bottom w:w="28" w:type="dxa"/>
              <w:right w:w="57" w:type="dxa"/>
            </w:tcMar>
            <w:vAlign w:val="center"/>
          </w:tcPr>
          <w:p w:rsidR="00F61575" w:rsidRPr="00D02849" w:rsidRDefault="00F61575" w:rsidP="00574CCA">
            <w:pPr>
              <w:jc w:val="center"/>
              <w:rPr>
                <w:rFonts w:ascii="微軟正黑體" w:eastAsia="微軟正黑體" w:hAnsi="微軟正黑體" w:cs="新細明體"/>
                <w:sz w:val="22"/>
                <w:szCs w:val="22"/>
              </w:rPr>
            </w:pPr>
            <w:r w:rsidRPr="00D02849">
              <w:rPr>
                <w:rFonts w:ascii="微軟正黑體" w:eastAsia="微軟正黑體" w:hAnsi="微軟正黑體" w:hint="eastAsia"/>
                <w:sz w:val="22"/>
                <w:szCs w:val="22"/>
              </w:rPr>
              <w:t>233</w:t>
            </w:r>
          </w:p>
        </w:tc>
        <w:tc>
          <w:tcPr>
            <w:tcW w:w="714" w:type="pct"/>
            <w:shd w:val="clear" w:color="auto" w:fill="auto"/>
            <w:tcMar>
              <w:top w:w="28" w:type="dxa"/>
              <w:left w:w="57" w:type="dxa"/>
              <w:bottom w:w="28" w:type="dxa"/>
              <w:right w:w="57" w:type="dxa"/>
            </w:tcMar>
            <w:vAlign w:val="center"/>
          </w:tcPr>
          <w:p w:rsidR="00F61575" w:rsidRPr="00D02849" w:rsidRDefault="00F61575" w:rsidP="00574CCA">
            <w:pPr>
              <w:jc w:val="center"/>
              <w:rPr>
                <w:rFonts w:ascii="微軟正黑體" w:eastAsia="微軟正黑體" w:hAnsi="微軟正黑體" w:cs="新細明體"/>
                <w:sz w:val="22"/>
                <w:szCs w:val="22"/>
              </w:rPr>
            </w:pPr>
            <w:r w:rsidRPr="00D02849">
              <w:rPr>
                <w:rFonts w:ascii="微軟正黑體" w:eastAsia="微軟正黑體" w:hAnsi="微軟正黑體" w:hint="eastAsia"/>
                <w:sz w:val="22"/>
                <w:szCs w:val="22"/>
              </w:rPr>
              <w:t>19</w:t>
            </w:r>
          </w:p>
        </w:tc>
        <w:tc>
          <w:tcPr>
            <w:tcW w:w="747" w:type="pct"/>
            <w:shd w:val="clear" w:color="auto" w:fill="auto"/>
            <w:tcMar>
              <w:top w:w="28" w:type="dxa"/>
              <w:left w:w="57" w:type="dxa"/>
              <w:bottom w:w="28" w:type="dxa"/>
              <w:right w:w="57" w:type="dxa"/>
            </w:tcMar>
            <w:vAlign w:val="center"/>
          </w:tcPr>
          <w:p w:rsidR="00F61575" w:rsidRPr="00D02849" w:rsidRDefault="00F61575" w:rsidP="00574CCA">
            <w:pPr>
              <w:jc w:val="center"/>
              <w:rPr>
                <w:rFonts w:ascii="微軟正黑體" w:eastAsia="微軟正黑體" w:hAnsi="微軟正黑體" w:cs="新細明體"/>
                <w:sz w:val="22"/>
                <w:szCs w:val="22"/>
              </w:rPr>
            </w:pPr>
            <w:r w:rsidRPr="00D02849">
              <w:rPr>
                <w:rFonts w:ascii="微軟正黑體" w:eastAsia="微軟正黑體" w:hAnsi="微軟正黑體" w:hint="eastAsia"/>
                <w:sz w:val="22"/>
                <w:szCs w:val="22"/>
              </w:rPr>
              <w:t>523</w:t>
            </w:r>
          </w:p>
        </w:tc>
        <w:tc>
          <w:tcPr>
            <w:tcW w:w="811" w:type="pct"/>
            <w:tcBorders>
              <w:right w:val="single" w:sz="4" w:space="0" w:color="auto"/>
            </w:tcBorders>
            <w:shd w:val="clear" w:color="auto" w:fill="auto"/>
            <w:tcMar>
              <w:top w:w="28" w:type="dxa"/>
              <w:left w:w="57" w:type="dxa"/>
              <w:bottom w:w="28" w:type="dxa"/>
              <w:right w:w="57" w:type="dxa"/>
            </w:tcMar>
            <w:vAlign w:val="center"/>
          </w:tcPr>
          <w:p w:rsidR="00F61575" w:rsidRPr="00D02849" w:rsidRDefault="00F61575" w:rsidP="00574CCA">
            <w:pPr>
              <w:jc w:val="center"/>
              <w:rPr>
                <w:rFonts w:ascii="微軟正黑體" w:eastAsia="微軟正黑體" w:hAnsi="微軟正黑體" w:cs="新細明體"/>
                <w:sz w:val="22"/>
                <w:szCs w:val="22"/>
              </w:rPr>
            </w:pPr>
            <w:r w:rsidRPr="00D02849">
              <w:rPr>
                <w:rFonts w:ascii="微軟正黑體" w:eastAsia="微軟正黑體" w:hAnsi="微軟正黑體" w:hint="eastAsia"/>
                <w:sz w:val="22"/>
                <w:szCs w:val="22"/>
              </w:rPr>
              <w:t>138</w:t>
            </w:r>
          </w:p>
        </w:tc>
        <w:tc>
          <w:tcPr>
            <w:tcW w:w="803" w:type="pct"/>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hint="eastAsia"/>
                <w:sz w:val="22"/>
                <w:szCs w:val="22"/>
              </w:rPr>
              <w:t>64</w:t>
            </w:r>
          </w:p>
        </w:tc>
        <w:tc>
          <w:tcPr>
            <w:tcW w:w="614" w:type="pct"/>
            <w:tcBorders>
              <w:left w:val="single" w:sz="4" w:space="0" w:color="auto"/>
            </w:tcBorders>
            <w:shd w:val="clear" w:color="auto" w:fill="auto"/>
            <w:tcMar>
              <w:top w:w="28" w:type="dxa"/>
              <w:left w:w="57" w:type="dxa"/>
              <w:bottom w:w="28" w:type="dxa"/>
              <w:right w:w="57" w:type="dxa"/>
            </w:tcMar>
            <w:vAlign w:val="center"/>
          </w:tcPr>
          <w:p w:rsidR="00F61575" w:rsidRPr="00D02849" w:rsidRDefault="00F61575" w:rsidP="00574CCA">
            <w:pPr>
              <w:spacing w:line="300" w:lineRule="exact"/>
              <w:jc w:val="center"/>
              <w:rPr>
                <w:rFonts w:ascii="微軟正黑體" w:eastAsia="微軟正黑體" w:hAnsi="微軟正黑體"/>
                <w:sz w:val="22"/>
                <w:szCs w:val="22"/>
              </w:rPr>
            </w:pPr>
            <w:r w:rsidRPr="00D02849">
              <w:rPr>
                <w:rFonts w:ascii="微軟正黑體" w:eastAsia="微軟正黑體" w:hAnsi="微軟正黑體" w:hint="eastAsia"/>
                <w:sz w:val="22"/>
                <w:szCs w:val="22"/>
              </w:rPr>
              <w:t>977</w:t>
            </w:r>
          </w:p>
        </w:tc>
      </w:tr>
    </w:tbl>
    <w:p w:rsidR="00F61575" w:rsidRPr="00B62D01" w:rsidRDefault="00F61575" w:rsidP="00F61575">
      <w:pPr>
        <w:tabs>
          <w:tab w:val="left" w:pos="19668"/>
        </w:tabs>
        <w:spacing w:line="240" w:lineRule="exact"/>
        <w:jc w:val="both"/>
        <w:rPr>
          <w:rFonts w:ascii="微軟正黑體" w:eastAsia="微軟正黑體" w:hAnsi="微軟正黑體"/>
          <w:sz w:val="20"/>
          <w:szCs w:val="20"/>
        </w:rPr>
      </w:pPr>
      <w:r w:rsidRPr="00B62D01">
        <w:rPr>
          <w:rFonts w:ascii="微軟正黑體" w:eastAsia="微軟正黑體" w:hAnsi="微軟正黑體"/>
          <w:sz w:val="20"/>
          <w:szCs w:val="20"/>
        </w:rPr>
        <w:t>註1：敬老福利生活津貼自91年1月實施，主管機關為內政部，法令依據為「敬老福利生活津貼暫行條例」，至97年10月國民年金開辦後，併入國民年金法第31條，改發老年基本保證年金，並逐步落日。</w:t>
      </w:r>
    </w:p>
    <w:p w:rsidR="00F61575" w:rsidRPr="00B62D01" w:rsidRDefault="00F61575" w:rsidP="00F61575">
      <w:pPr>
        <w:spacing w:line="240" w:lineRule="exact"/>
        <w:ind w:left="590" w:hangingChars="295" w:hanging="590"/>
        <w:jc w:val="both"/>
        <w:rPr>
          <w:rFonts w:ascii="微軟正黑體" w:eastAsia="微軟正黑體" w:hAnsi="微軟正黑體"/>
          <w:sz w:val="20"/>
          <w:szCs w:val="20"/>
        </w:rPr>
      </w:pPr>
      <w:r w:rsidRPr="00B62D01">
        <w:rPr>
          <w:rFonts w:ascii="微軟正黑體" w:eastAsia="微軟正黑體" w:hAnsi="微軟正黑體"/>
          <w:sz w:val="20"/>
          <w:szCs w:val="20"/>
        </w:rPr>
        <w:t>註2：原住民敬老福利生活津貼自91年1月實施，主管機關為原住民族委員會，法令依據為「原住民敬老福利生活津貼暫行條例」，</w:t>
      </w:r>
      <w:r w:rsidRPr="00B62D01">
        <w:rPr>
          <w:rFonts w:ascii="微軟正黑體" w:eastAsia="微軟正黑體" w:hAnsi="微軟正黑體" w:hint="eastAsia"/>
          <w:sz w:val="20"/>
          <w:szCs w:val="20"/>
        </w:rPr>
        <w:t>至97年10月國民年金開辦後，併入國民年金法第53條(仍由原住民族委員會編列預算)，改發原住民給付，並逐步落日。</w:t>
      </w:r>
    </w:p>
    <w:p w:rsidR="00F61575" w:rsidRPr="00B62D01" w:rsidRDefault="00F61575" w:rsidP="0072004D">
      <w:pPr>
        <w:spacing w:line="240" w:lineRule="exact"/>
        <w:ind w:left="560" w:hangingChars="280" w:hanging="560"/>
        <w:jc w:val="both"/>
        <w:rPr>
          <w:rFonts w:ascii="微軟正黑體" w:eastAsia="微軟正黑體" w:hAnsi="微軟正黑體"/>
          <w:sz w:val="20"/>
          <w:szCs w:val="20"/>
        </w:rPr>
      </w:pPr>
      <w:r w:rsidRPr="00B62D01">
        <w:rPr>
          <w:rFonts w:ascii="微軟正黑體" w:eastAsia="微軟正黑體" w:hAnsi="微軟正黑體"/>
          <w:sz w:val="20"/>
          <w:szCs w:val="20"/>
        </w:rPr>
        <w:t>註3：老農津貼之排富規定，自102年1月1日起，始申請領取老農津貼之老年農民</w:t>
      </w:r>
      <w:r w:rsidRPr="00B62D01">
        <w:rPr>
          <w:rFonts w:ascii="微軟正黑體" w:eastAsia="微軟正黑體" w:hAnsi="微軟正黑體" w:hint="eastAsia"/>
          <w:sz w:val="20"/>
          <w:szCs w:val="20"/>
        </w:rPr>
        <w:t>依財稅機關提供中央主管機關公告年度之</w:t>
      </w:r>
      <w:r w:rsidRPr="00B62D01">
        <w:rPr>
          <w:rFonts w:ascii="微軟正黑體" w:eastAsia="微軟正黑體" w:hAnsi="微軟正黑體"/>
          <w:sz w:val="20"/>
          <w:szCs w:val="20"/>
        </w:rPr>
        <w:t>農業所得以外之個人綜合所得總額合計新臺幣50萬元以上，或扣除農地、農舍</w:t>
      </w:r>
      <w:r w:rsidRPr="00B62D01">
        <w:rPr>
          <w:rFonts w:ascii="微軟正黑體" w:eastAsia="微軟正黑體" w:hAnsi="微軟正黑體" w:hint="eastAsia"/>
          <w:sz w:val="20"/>
          <w:szCs w:val="20"/>
        </w:rPr>
        <w:t>、尚未徵收及補償之公共設施保留地、未產生經濟效益之原住民保留地及未產生經濟效益具公用地役關係之現有道路</w:t>
      </w:r>
      <w:r w:rsidRPr="00B62D01">
        <w:rPr>
          <w:rFonts w:ascii="微軟正黑體" w:eastAsia="微軟正黑體" w:hAnsi="微軟正黑體"/>
          <w:sz w:val="20"/>
          <w:szCs w:val="20"/>
        </w:rPr>
        <w:t>後，個人所有之土地及房屋價值合計新臺幣500萬元以上者，不能領取老農津貼；惟沒有農舍者，</w:t>
      </w:r>
      <w:r w:rsidRPr="00B62D01">
        <w:rPr>
          <w:rFonts w:ascii="微軟正黑體" w:eastAsia="微軟正黑體" w:hAnsi="微軟正黑體" w:hint="eastAsia"/>
          <w:sz w:val="20"/>
          <w:szCs w:val="20"/>
        </w:rPr>
        <w:t>其個人所有實際居住之唯一房屋，</w:t>
      </w:r>
      <w:r w:rsidRPr="00B62D01">
        <w:rPr>
          <w:rFonts w:ascii="微軟正黑體" w:eastAsia="微軟正黑體" w:hAnsi="微軟正黑體"/>
          <w:sz w:val="20"/>
          <w:szCs w:val="20"/>
        </w:rPr>
        <w:t>該房屋評定標準價格及其土地公告現值合計未超過新臺幣400萬元者，得按其價值全數扣除；超過者，以扣除新臺幣400萬元為限</w:t>
      </w:r>
      <w:r w:rsidRPr="00B62D01">
        <w:rPr>
          <w:rFonts w:ascii="微軟正黑體" w:eastAsia="微軟正黑體" w:hAnsi="微軟正黑體" w:hint="eastAsia"/>
          <w:sz w:val="20"/>
          <w:szCs w:val="20"/>
        </w:rPr>
        <w:t>。另自107年1月1日起，對於已領取老農津貼者，於其個人所有之土地及房屋未新增下，因土地公告現值或房屋評定標準價格調升，得不受土地及房屋價值合計新臺幣500萬元之限制</w:t>
      </w:r>
      <w:r w:rsidRPr="00B62D01">
        <w:rPr>
          <w:rFonts w:ascii="微軟正黑體" w:eastAsia="微軟正黑體" w:hAnsi="微軟正黑體"/>
          <w:sz w:val="20"/>
          <w:szCs w:val="20"/>
        </w:rPr>
        <w:t>。</w:t>
      </w:r>
    </w:p>
    <w:p w:rsidR="00F61575" w:rsidRPr="00D02849" w:rsidRDefault="00F61575" w:rsidP="00F61575">
      <w:pPr>
        <w:spacing w:line="240" w:lineRule="exact"/>
        <w:ind w:left="590" w:hangingChars="295" w:hanging="590"/>
        <w:jc w:val="both"/>
        <w:rPr>
          <w:rFonts w:ascii="微軟正黑體" w:eastAsia="微軟正黑體" w:hAnsi="微軟正黑體"/>
          <w:sz w:val="20"/>
          <w:szCs w:val="20"/>
        </w:rPr>
      </w:pPr>
      <w:r w:rsidRPr="00D02849">
        <w:rPr>
          <w:rFonts w:eastAsia="微軟正黑體"/>
          <w:sz w:val="20"/>
          <w:szCs w:val="20"/>
        </w:rPr>
        <w:t>註</w:t>
      </w:r>
      <w:r w:rsidRPr="0072004D">
        <w:rPr>
          <w:rFonts w:ascii="微軟正黑體" w:eastAsia="微軟正黑體" w:hAnsi="微軟正黑體"/>
          <w:sz w:val="20"/>
          <w:szCs w:val="20"/>
        </w:rPr>
        <w:t>4</w:t>
      </w:r>
      <w:r w:rsidRPr="00D02849">
        <w:rPr>
          <w:rFonts w:eastAsia="微軟正黑體"/>
          <w:sz w:val="20"/>
          <w:szCs w:val="20"/>
        </w:rPr>
        <w:t>：</w:t>
      </w:r>
      <w:r w:rsidRPr="00D02849">
        <w:rPr>
          <w:rFonts w:ascii="微軟正黑體" w:eastAsia="微軟正黑體" w:hAnsi="微軟正黑體"/>
          <w:sz w:val="20"/>
          <w:szCs w:val="20"/>
        </w:rPr>
        <w:t>10</w:t>
      </w:r>
      <w:r w:rsidRPr="00D02849">
        <w:rPr>
          <w:rFonts w:ascii="微軟正黑體" w:eastAsia="微軟正黑體" w:hAnsi="微軟正黑體" w:hint="eastAsia"/>
          <w:sz w:val="20"/>
          <w:szCs w:val="20"/>
        </w:rPr>
        <w:t>9年</w:t>
      </w:r>
      <w:r w:rsidRPr="00D02849">
        <w:rPr>
          <w:rFonts w:ascii="微軟正黑體" w:eastAsia="微軟正黑體" w:hAnsi="微軟正黑體"/>
          <w:sz w:val="20"/>
          <w:szCs w:val="20"/>
        </w:rPr>
        <w:t>度</w:t>
      </w:r>
      <w:r w:rsidRPr="00D02849">
        <w:rPr>
          <w:rFonts w:ascii="微軟正黑體" w:eastAsia="微軟正黑體" w:hAnsi="微軟正黑體" w:hint="eastAsia"/>
          <w:sz w:val="20"/>
          <w:szCs w:val="20"/>
        </w:rPr>
        <w:t>各縣市</w:t>
      </w:r>
      <w:r w:rsidRPr="00D02849">
        <w:rPr>
          <w:rFonts w:ascii="微軟正黑體" w:eastAsia="微軟正黑體" w:hAnsi="微軟正黑體"/>
          <w:sz w:val="20"/>
          <w:szCs w:val="20"/>
        </w:rPr>
        <w:t>最低生活費用標準</w:t>
      </w:r>
      <w:r w:rsidRPr="00D02849">
        <w:rPr>
          <w:rFonts w:ascii="微軟正黑體" w:eastAsia="微軟正黑體" w:hAnsi="微軟正黑體" w:hint="eastAsia"/>
          <w:sz w:val="20"/>
          <w:szCs w:val="20"/>
        </w:rPr>
        <w:t>：</w:t>
      </w:r>
      <w:r w:rsidRPr="00D02849">
        <w:rPr>
          <w:rFonts w:ascii="微軟正黑體" w:eastAsia="微軟正黑體" w:hAnsi="微軟正黑體"/>
          <w:sz w:val="20"/>
          <w:szCs w:val="20"/>
        </w:rPr>
        <w:t>臺北市為1</w:t>
      </w:r>
      <w:r w:rsidRPr="00D02849">
        <w:rPr>
          <w:rFonts w:ascii="微軟正黑體" w:eastAsia="微軟正黑體" w:hAnsi="微軟正黑體" w:hint="eastAsia"/>
          <w:sz w:val="20"/>
          <w:szCs w:val="20"/>
        </w:rPr>
        <w:t>7</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005</w:t>
      </w:r>
      <w:r w:rsidRPr="00D02849">
        <w:rPr>
          <w:rFonts w:ascii="微軟正黑體" w:eastAsia="微軟正黑體" w:hAnsi="微軟正黑體"/>
          <w:sz w:val="20"/>
          <w:szCs w:val="20"/>
        </w:rPr>
        <w:t>元、新北市1</w:t>
      </w:r>
      <w:r w:rsidRPr="00D02849">
        <w:rPr>
          <w:rFonts w:ascii="微軟正黑體" w:eastAsia="微軟正黑體" w:hAnsi="微軟正黑體" w:hint="eastAsia"/>
          <w:sz w:val="20"/>
          <w:szCs w:val="20"/>
        </w:rPr>
        <w:t>5</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500</w:t>
      </w:r>
      <w:r w:rsidRPr="00D02849">
        <w:rPr>
          <w:rFonts w:ascii="微軟正黑體" w:eastAsia="微軟正黑體" w:hAnsi="微軟正黑體"/>
          <w:sz w:val="20"/>
          <w:szCs w:val="20"/>
        </w:rPr>
        <w:t>元、</w:t>
      </w:r>
      <w:r w:rsidRPr="00D02849">
        <w:rPr>
          <w:rFonts w:ascii="微軟正黑體" w:eastAsia="微軟正黑體" w:hAnsi="微軟正黑體" w:hint="eastAsia"/>
          <w:sz w:val="20"/>
          <w:szCs w:val="20"/>
        </w:rPr>
        <w:t>桃園市15,281元</w:t>
      </w:r>
      <w:r w:rsidRPr="00D02849">
        <w:rPr>
          <w:rFonts w:ascii="微軟正黑體" w:eastAsia="微軟正黑體" w:hAnsi="微軟正黑體"/>
          <w:sz w:val="20"/>
          <w:szCs w:val="20"/>
        </w:rPr>
        <w:t>、臺中市1</w:t>
      </w:r>
      <w:r w:rsidRPr="00D02849">
        <w:rPr>
          <w:rFonts w:ascii="微軟正黑體" w:eastAsia="微軟正黑體" w:hAnsi="微軟正黑體" w:hint="eastAsia"/>
          <w:sz w:val="20"/>
          <w:szCs w:val="20"/>
        </w:rPr>
        <w:t>4</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596</w:t>
      </w:r>
      <w:r w:rsidRPr="00D02849">
        <w:rPr>
          <w:rFonts w:ascii="微軟正黑體" w:eastAsia="微軟正黑體" w:hAnsi="微軟正黑體"/>
          <w:sz w:val="20"/>
          <w:szCs w:val="20"/>
        </w:rPr>
        <w:t>元、臺南市1</w:t>
      </w:r>
      <w:r w:rsidRPr="00D02849">
        <w:rPr>
          <w:rFonts w:ascii="微軟正黑體" w:eastAsia="微軟正黑體" w:hAnsi="微軟正黑體" w:hint="eastAsia"/>
          <w:sz w:val="20"/>
          <w:szCs w:val="20"/>
        </w:rPr>
        <w:t>2</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38</w:t>
      </w:r>
      <w:r w:rsidRPr="00D02849">
        <w:rPr>
          <w:rFonts w:ascii="微軟正黑體" w:eastAsia="微軟正黑體" w:hAnsi="微軟正黑體"/>
          <w:sz w:val="20"/>
          <w:szCs w:val="20"/>
        </w:rPr>
        <w:t>8元</w:t>
      </w:r>
      <w:r w:rsidRPr="00D02849">
        <w:rPr>
          <w:rFonts w:ascii="微軟正黑體" w:eastAsia="微軟正黑體" w:hAnsi="微軟正黑體" w:hint="eastAsia"/>
          <w:sz w:val="20"/>
          <w:szCs w:val="20"/>
        </w:rPr>
        <w:t>、</w:t>
      </w:r>
      <w:r w:rsidRPr="00D02849">
        <w:rPr>
          <w:rFonts w:ascii="微軟正黑體" w:eastAsia="微軟正黑體" w:hAnsi="微軟正黑體"/>
          <w:sz w:val="20"/>
          <w:szCs w:val="20"/>
        </w:rPr>
        <w:t>高雄市1</w:t>
      </w:r>
      <w:r w:rsidRPr="00D02849">
        <w:rPr>
          <w:rFonts w:ascii="微軟正黑體" w:eastAsia="微軟正黑體" w:hAnsi="微軟正黑體" w:hint="eastAsia"/>
          <w:sz w:val="20"/>
          <w:szCs w:val="20"/>
        </w:rPr>
        <w:t>3</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099</w:t>
      </w:r>
      <w:r w:rsidRPr="00D02849">
        <w:rPr>
          <w:rFonts w:ascii="微軟正黑體" w:eastAsia="微軟正黑體" w:hAnsi="微軟正黑體"/>
          <w:sz w:val="20"/>
          <w:szCs w:val="20"/>
        </w:rPr>
        <w:t>元、臺灣省1</w:t>
      </w:r>
      <w:r w:rsidRPr="00D02849">
        <w:rPr>
          <w:rFonts w:ascii="微軟正黑體" w:eastAsia="微軟正黑體" w:hAnsi="微軟正黑體" w:hint="eastAsia"/>
          <w:sz w:val="20"/>
          <w:szCs w:val="20"/>
        </w:rPr>
        <w:t>2</w:t>
      </w:r>
      <w:r w:rsidRPr="00D02849">
        <w:rPr>
          <w:rFonts w:ascii="微軟正黑體" w:eastAsia="微軟正黑體" w:hAnsi="微軟正黑體"/>
          <w:sz w:val="20"/>
          <w:szCs w:val="20"/>
        </w:rPr>
        <w:t>,</w:t>
      </w:r>
      <w:r w:rsidRPr="00D02849">
        <w:rPr>
          <w:rFonts w:ascii="微軟正黑體" w:eastAsia="微軟正黑體" w:hAnsi="微軟正黑體" w:hint="eastAsia"/>
          <w:sz w:val="20"/>
          <w:szCs w:val="20"/>
        </w:rPr>
        <w:t>38</w:t>
      </w:r>
      <w:r w:rsidRPr="00D02849">
        <w:rPr>
          <w:rFonts w:ascii="微軟正黑體" w:eastAsia="微軟正黑體" w:hAnsi="微軟正黑體"/>
          <w:sz w:val="20"/>
          <w:szCs w:val="20"/>
        </w:rPr>
        <w:t>8元</w:t>
      </w:r>
      <w:r w:rsidRPr="00D02849">
        <w:rPr>
          <w:rFonts w:ascii="微軟正黑體" w:eastAsia="微軟正黑體" w:hAnsi="微軟正黑體" w:hint="eastAsia"/>
          <w:sz w:val="20"/>
          <w:szCs w:val="20"/>
        </w:rPr>
        <w:t>、金門縣及連江縣11,648元。</w:t>
      </w:r>
    </w:p>
    <w:p w:rsidR="00930A4C" w:rsidRPr="00F61575" w:rsidRDefault="00F61575" w:rsidP="00F61575">
      <w:pPr>
        <w:spacing w:beforeLines="30" w:before="108" w:line="360" w:lineRule="exact"/>
        <w:ind w:left="944" w:hangingChars="472" w:hanging="944"/>
        <w:rPr>
          <w:rFonts w:eastAsia="微軟正黑體"/>
          <w:b/>
          <w:u w:val="single"/>
        </w:rPr>
      </w:pPr>
      <w:r w:rsidRPr="00D02849">
        <w:rPr>
          <w:rFonts w:eastAsia="微軟正黑體"/>
          <w:sz w:val="20"/>
          <w:szCs w:val="20"/>
        </w:rPr>
        <w:t>資料來源：各制度受益人數暨發放金額等，查閱各主管機關網站公布資料或洽承辦人員。</w:t>
      </w:r>
    </w:p>
    <w:p w:rsidR="00930A4C" w:rsidRDefault="00930A4C" w:rsidP="003B65F2">
      <w:pPr>
        <w:widowControl/>
        <w:spacing w:beforeLines="50" w:before="180" w:line="500" w:lineRule="exact"/>
        <w:jc w:val="center"/>
        <w:rPr>
          <w:rFonts w:ascii="微軟正黑體" w:eastAsia="微軟正黑體" w:hAnsi="微軟正黑體"/>
          <w:b/>
          <w:sz w:val="50"/>
          <w:szCs w:val="50"/>
        </w:rPr>
        <w:sectPr w:rsidR="00930A4C" w:rsidSect="00930A4C">
          <w:headerReference w:type="default" r:id="rId169"/>
          <w:pgSz w:w="23814" w:h="16839" w:orient="landscape" w:code="8"/>
          <w:pgMar w:top="426" w:right="851" w:bottom="426" w:left="851" w:header="454" w:footer="340" w:gutter="0"/>
          <w:cols w:space="425"/>
          <w:docGrid w:type="lines" w:linePitch="360"/>
        </w:sectPr>
      </w:pPr>
    </w:p>
    <w:p w:rsidR="00256A9F" w:rsidRPr="000B3DB8" w:rsidRDefault="00256A9F" w:rsidP="000B3DB8">
      <w:pPr>
        <w:widowControl/>
        <w:spacing w:line="500" w:lineRule="exact"/>
        <w:jc w:val="center"/>
        <w:rPr>
          <w:rFonts w:ascii="微軟正黑體" w:eastAsia="微軟正黑體" w:hAnsi="微軟正黑體"/>
          <w:b/>
          <w:sz w:val="40"/>
          <w:szCs w:val="40"/>
        </w:rPr>
      </w:pPr>
      <w:r w:rsidRPr="000B3DB8">
        <w:rPr>
          <w:rFonts w:ascii="微軟正黑體" w:eastAsia="微軟正黑體" w:hAnsi="微軟正黑體" w:hint="eastAsia"/>
          <w:b/>
          <w:sz w:val="40"/>
          <w:szCs w:val="40"/>
        </w:rPr>
        <w:lastRenderedPageBreak/>
        <w:t>國際比較資料</w:t>
      </w:r>
    </w:p>
    <w:bookmarkEnd w:id="59"/>
    <w:p w:rsidR="00256A9F" w:rsidRPr="00F0717A" w:rsidRDefault="00256A9F" w:rsidP="001F36C9">
      <w:pPr>
        <w:pStyle w:val="af0"/>
        <w:widowControl/>
        <w:numPr>
          <w:ilvl w:val="0"/>
          <w:numId w:val="7"/>
        </w:numPr>
        <w:spacing w:beforeLines="50" w:before="180" w:line="400" w:lineRule="exact"/>
        <w:ind w:leftChars="0"/>
        <w:rPr>
          <w:rFonts w:ascii="微軟正黑體" w:eastAsia="微軟正黑體" w:hAnsi="微軟正黑體"/>
          <w:b/>
          <w:sz w:val="28"/>
          <w:szCs w:val="28"/>
        </w:rPr>
      </w:pPr>
      <w:r w:rsidRPr="00F0717A">
        <w:rPr>
          <w:rFonts w:ascii="微軟正黑體" w:eastAsia="微軟正黑體" w:hAnsi="微軟正黑體"/>
          <w:b/>
          <w:sz w:val="28"/>
          <w:szCs w:val="28"/>
        </w:rPr>
        <w:t>OECD主要國家強制性年金制度類型</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961"/>
        <w:gridCol w:w="4111"/>
        <w:gridCol w:w="4111"/>
      </w:tblGrid>
      <w:tr w:rsidR="005D730E" w:rsidRPr="005D730E" w:rsidTr="00BF3A7F">
        <w:trPr>
          <w:trHeight w:val="383"/>
        </w:trPr>
        <w:tc>
          <w:tcPr>
            <w:tcW w:w="1985" w:type="dxa"/>
            <w:vMerge w:val="restart"/>
            <w:shd w:val="clear" w:color="auto" w:fill="EAF1DD" w:themeFill="accent3" w:themeFillTint="33"/>
            <w:vAlign w:val="center"/>
          </w:tcPr>
          <w:p w:rsidR="005D730E" w:rsidRPr="005D730E" w:rsidRDefault="005D730E" w:rsidP="005D730E">
            <w:pPr>
              <w:spacing w:line="320" w:lineRule="exact"/>
              <w:jc w:val="center"/>
              <w:rPr>
                <w:rFonts w:ascii="微軟正黑體" w:eastAsia="微軟正黑體" w:hAnsi="微軟正黑體"/>
                <w:b/>
                <w:sz w:val="22"/>
                <w:szCs w:val="22"/>
              </w:rPr>
            </w:pPr>
            <w:r w:rsidRPr="005D730E">
              <w:rPr>
                <w:rFonts w:ascii="微軟正黑體" w:eastAsia="微軟正黑體" w:hAnsi="微軟正黑體"/>
                <w:b/>
                <w:sz w:val="22"/>
                <w:szCs w:val="22"/>
              </w:rPr>
              <w:t>國家</w:t>
            </w:r>
          </w:p>
        </w:tc>
        <w:tc>
          <w:tcPr>
            <w:tcW w:w="4961" w:type="dxa"/>
            <w:vMerge w:val="restart"/>
            <w:shd w:val="clear" w:color="auto" w:fill="EAF1DD" w:themeFill="accent3" w:themeFillTint="33"/>
            <w:vAlign w:val="center"/>
          </w:tcPr>
          <w:p w:rsidR="005D730E" w:rsidRPr="005D730E" w:rsidRDefault="005D730E" w:rsidP="005D730E">
            <w:pPr>
              <w:spacing w:line="320" w:lineRule="exact"/>
              <w:jc w:val="center"/>
              <w:rPr>
                <w:rFonts w:ascii="微軟正黑體" w:eastAsia="微軟正黑體" w:hAnsi="微軟正黑體"/>
                <w:b/>
                <w:sz w:val="22"/>
                <w:szCs w:val="22"/>
              </w:rPr>
            </w:pPr>
            <w:r w:rsidRPr="005D730E">
              <w:rPr>
                <w:rFonts w:ascii="微軟正黑體" w:eastAsia="微軟正黑體" w:hAnsi="微軟正黑體"/>
                <w:b/>
                <w:sz w:val="22"/>
                <w:szCs w:val="22"/>
              </w:rPr>
              <w:t>第一層年金</w:t>
            </w:r>
          </w:p>
        </w:tc>
        <w:tc>
          <w:tcPr>
            <w:tcW w:w="8222" w:type="dxa"/>
            <w:gridSpan w:val="2"/>
            <w:shd w:val="clear" w:color="auto" w:fill="EAF1DD" w:themeFill="accent3" w:themeFillTint="33"/>
            <w:vAlign w:val="center"/>
          </w:tcPr>
          <w:p w:rsidR="005D730E" w:rsidRPr="005D730E" w:rsidRDefault="005D730E" w:rsidP="005D730E">
            <w:pPr>
              <w:spacing w:line="320" w:lineRule="exact"/>
              <w:jc w:val="center"/>
              <w:rPr>
                <w:rFonts w:ascii="微軟正黑體" w:eastAsia="微軟正黑體" w:hAnsi="微軟正黑體"/>
                <w:b/>
                <w:sz w:val="22"/>
                <w:szCs w:val="22"/>
              </w:rPr>
            </w:pPr>
            <w:r w:rsidRPr="005D730E">
              <w:rPr>
                <w:rFonts w:ascii="微軟正黑體" w:eastAsia="微軟正黑體" w:hAnsi="微軟正黑體"/>
                <w:b/>
                <w:sz w:val="22"/>
                <w:szCs w:val="22"/>
              </w:rPr>
              <w:t>第二層年金</w:t>
            </w:r>
          </w:p>
        </w:tc>
      </w:tr>
      <w:tr w:rsidR="005D730E" w:rsidRPr="005D730E" w:rsidTr="00BF3A7F">
        <w:trPr>
          <w:trHeight w:val="416"/>
        </w:trPr>
        <w:tc>
          <w:tcPr>
            <w:tcW w:w="1985" w:type="dxa"/>
            <w:vMerge/>
            <w:shd w:val="clear" w:color="auto" w:fill="EAF1DD" w:themeFill="accent3" w:themeFillTint="33"/>
            <w:vAlign w:val="center"/>
          </w:tcPr>
          <w:p w:rsidR="005D730E" w:rsidRPr="005D730E" w:rsidRDefault="005D730E" w:rsidP="005D730E">
            <w:pPr>
              <w:spacing w:line="320" w:lineRule="exact"/>
              <w:jc w:val="center"/>
              <w:rPr>
                <w:rFonts w:ascii="微軟正黑體" w:eastAsia="微軟正黑體" w:hAnsi="微軟正黑體"/>
                <w:b/>
                <w:sz w:val="22"/>
                <w:szCs w:val="22"/>
              </w:rPr>
            </w:pPr>
          </w:p>
        </w:tc>
        <w:tc>
          <w:tcPr>
            <w:tcW w:w="4961" w:type="dxa"/>
            <w:vMerge/>
            <w:shd w:val="clear" w:color="auto" w:fill="EAF1DD" w:themeFill="accent3" w:themeFillTint="33"/>
            <w:vAlign w:val="center"/>
          </w:tcPr>
          <w:p w:rsidR="005D730E" w:rsidRPr="005D730E" w:rsidRDefault="005D730E" w:rsidP="005D730E">
            <w:pPr>
              <w:spacing w:line="320" w:lineRule="exact"/>
              <w:jc w:val="center"/>
              <w:rPr>
                <w:rFonts w:ascii="微軟正黑體" w:eastAsia="微軟正黑體" w:hAnsi="微軟正黑體"/>
                <w:b/>
                <w:sz w:val="22"/>
                <w:szCs w:val="22"/>
              </w:rPr>
            </w:pPr>
          </w:p>
        </w:tc>
        <w:tc>
          <w:tcPr>
            <w:tcW w:w="4111" w:type="dxa"/>
            <w:shd w:val="clear" w:color="auto" w:fill="EAF1DD" w:themeFill="accent3" w:themeFillTint="33"/>
            <w:vAlign w:val="center"/>
          </w:tcPr>
          <w:p w:rsidR="005D730E" w:rsidRPr="005D730E" w:rsidRDefault="005D730E" w:rsidP="005D730E">
            <w:pPr>
              <w:spacing w:line="320" w:lineRule="exact"/>
              <w:jc w:val="center"/>
              <w:rPr>
                <w:rFonts w:ascii="微軟正黑體" w:eastAsia="微軟正黑體" w:hAnsi="微軟正黑體"/>
                <w:b/>
                <w:sz w:val="22"/>
                <w:szCs w:val="22"/>
              </w:rPr>
            </w:pPr>
            <w:r w:rsidRPr="005D730E">
              <w:rPr>
                <w:rFonts w:ascii="微軟正黑體" w:eastAsia="微軟正黑體" w:hAnsi="微軟正黑體"/>
                <w:b/>
                <w:sz w:val="22"/>
                <w:szCs w:val="22"/>
              </w:rPr>
              <w:t>公共年金</w:t>
            </w:r>
          </w:p>
        </w:tc>
        <w:tc>
          <w:tcPr>
            <w:tcW w:w="4111" w:type="dxa"/>
            <w:shd w:val="clear" w:color="auto" w:fill="EAF1DD" w:themeFill="accent3" w:themeFillTint="33"/>
            <w:vAlign w:val="center"/>
          </w:tcPr>
          <w:p w:rsidR="005D730E" w:rsidRPr="005D730E" w:rsidRDefault="005D730E" w:rsidP="005D730E">
            <w:pPr>
              <w:spacing w:line="320" w:lineRule="exact"/>
              <w:jc w:val="center"/>
              <w:rPr>
                <w:rFonts w:ascii="微軟正黑體" w:eastAsia="微軟正黑體" w:hAnsi="微軟正黑體"/>
                <w:b/>
                <w:sz w:val="22"/>
                <w:szCs w:val="22"/>
              </w:rPr>
            </w:pPr>
            <w:r w:rsidRPr="005D730E">
              <w:rPr>
                <w:rFonts w:ascii="微軟正黑體" w:eastAsia="微軟正黑體" w:hAnsi="微軟正黑體"/>
                <w:b/>
                <w:sz w:val="22"/>
                <w:szCs w:val="22"/>
              </w:rPr>
              <w:t>私人年金</w:t>
            </w:r>
          </w:p>
        </w:tc>
      </w:tr>
      <w:tr w:rsidR="00B87A5C" w:rsidRPr="005D730E" w:rsidTr="00BF3A7F">
        <w:trPr>
          <w:trHeight w:val="422"/>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澳洲</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標的給付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提存式確定提撥制</w:t>
            </w:r>
          </w:p>
        </w:tc>
      </w:tr>
      <w:tr w:rsidR="00B87A5C" w:rsidRPr="005D730E" w:rsidTr="00BF3A7F">
        <w:trPr>
          <w:trHeight w:val="414"/>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加拿大</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基礎年金(以居住為條件)+標的給付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確定給付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5D730E" w:rsidTr="00BF3A7F">
        <w:trPr>
          <w:trHeight w:val="408"/>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智利</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標的給付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提存式確定提撥制</w:t>
            </w:r>
          </w:p>
        </w:tc>
      </w:tr>
      <w:tr w:rsidR="00B87A5C" w:rsidRPr="005D730E" w:rsidTr="00BF3A7F">
        <w:trPr>
          <w:trHeight w:val="415"/>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法國</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最低年金</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確定給付+點數方案</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5D730E" w:rsidTr="00BF3A7F">
        <w:trPr>
          <w:trHeight w:val="420"/>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德國</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點數方案</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5D730E" w:rsidTr="00BF3A7F">
        <w:trPr>
          <w:trHeight w:val="412"/>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希臘</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基礎年金(以居住為條件)</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確定給付</w:t>
            </w:r>
            <w:r w:rsidRPr="00F13900">
              <w:rPr>
                <w:rFonts w:ascii="微軟正黑體" w:eastAsia="微軟正黑體" w:hAnsi="微軟正黑體" w:hint="eastAsia"/>
                <w:sz w:val="22"/>
                <w:szCs w:val="22"/>
              </w:rPr>
              <w:t>+</w:t>
            </w:r>
            <w:r w:rsidRPr="00F13900">
              <w:rPr>
                <w:rFonts w:ascii="微軟正黑體" w:eastAsia="微軟正黑體" w:hAnsi="微軟正黑體"/>
                <w:sz w:val="22"/>
                <w:szCs w:val="22"/>
              </w:rPr>
              <w:t>名義上確定提撥制</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5D730E" w:rsidTr="00BF3A7F">
        <w:trPr>
          <w:trHeight w:val="419"/>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義大利</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名義上確定提撥制</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5D730E" w:rsidTr="00BF3A7F">
        <w:trPr>
          <w:trHeight w:val="411"/>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日本</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基礎</w:t>
            </w:r>
            <w:r w:rsidRPr="00F13900">
              <w:rPr>
                <w:rFonts w:ascii="微軟正黑體" w:eastAsia="微軟正黑體" w:hAnsi="微軟正黑體" w:hint="eastAsia"/>
                <w:sz w:val="22"/>
                <w:szCs w:val="22"/>
              </w:rPr>
              <w:t>年金(以繳費為條件)</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確定給付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5D730E" w:rsidTr="00BF3A7F">
        <w:trPr>
          <w:trHeight w:val="417"/>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韓國</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基礎年金(以繳費為條件)</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確定給付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5D730E" w:rsidTr="00BF3A7F">
        <w:trPr>
          <w:trHeight w:val="422"/>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葡萄牙</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最低年金</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確定給付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5D730E" w:rsidTr="00BF3A7F">
        <w:trPr>
          <w:trHeight w:val="414"/>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西班牙</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最低年金</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確定給付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5D730E" w:rsidTr="00BF3A7F">
        <w:trPr>
          <w:trHeight w:val="421"/>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瑞典</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標的給付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名義上確定提撥制</w:t>
            </w:r>
            <w:r w:rsidRPr="00F13900">
              <w:rPr>
                <w:rFonts w:ascii="微軟正黑體" w:eastAsia="微軟正黑體" w:hAnsi="微軟正黑體" w:hint="eastAsia"/>
                <w:sz w:val="22"/>
                <w:szCs w:val="22"/>
              </w:rPr>
              <w:t>+提存式確定提撥制</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提存式確定提撥制</w:t>
            </w:r>
          </w:p>
        </w:tc>
      </w:tr>
      <w:tr w:rsidR="00B87A5C" w:rsidRPr="005D730E" w:rsidTr="00BF3A7F">
        <w:trPr>
          <w:trHeight w:val="399"/>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英國</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基礎年金(以繳費為條件)</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提存式確定提撥制</w:t>
            </w:r>
          </w:p>
        </w:tc>
      </w:tr>
      <w:tr w:rsidR="00B87A5C" w:rsidRPr="005D730E" w:rsidTr="00BF3A7F">
        <w:trPr>
          <w:trHeight w:val="432"/>
        </w:trPr>
        <w:tc>
          <w:tcPr>
            <w:tcW w:w="1985" w:type="dxa"/>
            <w:vAlign w:val="center"/>
          </w:tcPr>
          <w:p w:rsidR="00B87A5C" w:rsidRPr="00F13900" w:rsidRDefault="00B87A5C" w:rsidP="00B87A5C">
            <w:pPr>
              <w:tabs>
                <w:tab w:val="left" w:pos="709"/>
              </w:tabs>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美國</w:t>
            </w:r>
          </w:p>
        </w:tc>
        <w:tc>
          <w:tcPr>
            <w:tcW w:w="496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確定給付</w:t>
            </w:r>
          </w:p>
        </w:tc>
        <w:tc>
          <w:tcPr>
            <w:tcW w:w="4111" w:type="dxa"/>
            <w:vAlign w:val="center"/>
          </w:tcPr>
          <w:p w:rsidR="00B87A5C" w:rsidRPr="00F13900" w:rsidRDefault="00B87A5C" w:rsidP="00B87A5C">
            <w:pPr>
              <w:spacing w:line="32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bl>
    <w:p w:rsidR="00B87A5C" w:rsidRPr="00F13900" w:rsidRDefault="00B87A5C" w:rsidP="00FD6FE4">
      <w:pPr>
        <w:spacing w:line="260" w:lineRule="exact"/>
        <w:ind w:leftChars="11" w:left="586" w:rightChars="-12" w:right="-29" w:hangingChars="280" w:hanging="560"/>
        <w:rPr>
          <w:rFonts w:ascii="微軟正黑體" w:eastAsia="微軟正黑體" w:hAnsi="微軟正黑體"/>
          <w:sz w:val="20"/>
          <w:szCs w:val="20"/>
        </w:rPr>
      </w:pPr>
      <w:r w:rsidRPr="00F13900">
        <w:rPr>
          <w:rFonts w:ascii="微軟正黑體" w:eastAsia="微軟正黑體" w:hAnsi="微軟正黑體"/>
          <w:sz w:val="20"/>
          <w:szCs w:val="20"/>
        </w:rPr>
        <w:t>註</w:t>
      </w:r>
      <w:r w:rsidR="008D2591">
        <w:rPr>
          <w:rFonts w:ascii="微軟正黑體" w:eastAsia="微軟正黑體" w:hAnsi="微軟正黑體" w:hint="eastAsia"/>
          <w:sz w:val="20"/>
          <w:szCs w:val="20"/>
        </w:rPr>
        <w:t>1：</w:t>
      </w:r>
      <w:r w:rsidRPr="00F13900">
        <w:rPr>
          <w:rFonts w:ascii="微軟正黑體" w:eastAsia="微軟正黑體" w:hAnsi="微軟正黑體"/>
          <w:sz w:val="20"/>
          <w:szCs w:val="20"/>
        </w:rPr>
        <w:t>第一層年金</w:t>
      </w:r>
      <w:r w:rsidRPr="00F13900">
        <w:rPr>
          <w:rFonts w:ascii="微軟正黑體" w:eastAsia="微軟正黑體" w:hAnsi="微軟正黑體" w:hint="eastAsia"/>
          <w:sz w:val="20"/>
          <w:szCs w:val="20"/>
        </w:rPr>
        <w:t>通常提供某種絕對、最低的退休生活保障</w:t>
      </w:r>
      <w:r w:rsidRPr="00F13900">
        <w:rPr>
          <w:rFonts w:ascii="微軟正黑體" w:eastAsia="微軟正黑體" w:hAnsi="微軟正黑體"/>
          <w:sz w:val="20"/>
          <w:szCs w:val="20"/>
        </w:rPr>
        <w:t>，</w:t>
      </w:r>
      <w:r w:rsidRPr="00F13900">
        <w:rPr>
          <w:rFonts w:ascii="微軟正黑體" w:eastAsia="微軟正黑體" w:hAnsi="微軟正黑體" w:hint="eastAsia"/>
          <w:sz w:val="20"/>
          <w:szCs w:val="20"/>
        </w:rPr>
        <w:t>其給付額度與在職時的所得無關，</w:t>
      </w:r>
      <w:r w:rsidRPr="00F13900">
        <w:rPr>
          <w:rFonts w:ascii="微軟正黑體" w:eastAsia="微軟正黑體" w:hAnsi="微軟正黑體"/>
          <w:sz w:val="20"/>
          <w:szCs w:val="20"/>
        </w:rPr>
        <w:t>包括</w:t>
      </w:r>
      <w:r w:rsidRPr="00F13900">
        <w:rPr>
          <w:rFonts w:ascii="微軟正黑體" w:eastAsia="微軟正黑體" w:hAnsi="微軟正黑體" w:hint="eastAsia"/>
          <w:sz w:val="20"/>
          <w:szCs w:val="20"/>
        </w:rPr>
        <w:t>：(1)</w:t>
      </w:r>
      <w:r w:rsidRPr="00F13900">
        <w:rPr>
          <w:rFonts w:ascii="微軟正黑體" w:eastAsia="微軟正黑體" w:hAnsi="微軟正黑體"/>
          <w:sz w:val="20"/>
          <w:szCs w:val="20"/>
        </w:rPr>
        <w:t>基礎</w:t>
      </w:r>
      <w:r w:rsidRPr="00F13900">
        <w:rPr>
          <w:rFonts w:ascii="微軟正黑體" w:eastAsia="微軟正黑體" w:hAnsi="微軟正黑體" w:hint="eastAsia"/>
          <w:sz w:val="20"/>
          <w:szCs w:val="20"/>
        </w:rPr>
        <w:t>年金</w:t>
      </w:r>
      <w:r w:rsidRPr="00F13900">
        <w:rPr>
          <w:rFonts w:ascii="微軟正黑體" w:eastAsia="微軟正黑體" w:hAnsi="微軟正黑體"/>
          <w:sz w:val="20"/>
          <w:szCs w:val="20"/>
        </w:rPr>
        <w:t>(basic)</w:t>
      </w:r>
      <w:r w:rsidRPr="00F13900">
        <w:rPr>
          <w:rFonts w:ascii="微軟正黑體" w:eastAsia="微軟正黑體" w:hAnsi="微軟正黑體" w:hint="eastAsia"/>
          <w:sz w:val="20"/>
          <w:szCs w:val="20"/>
        </w:rPr>
        <w:t>：分為以居住為條件(residence-based)及以繳費為條件(contribution-based)的給付等2類，分別依據居住年數及繳費年資提供不同額度的給付；(2)標的給付</w:t>
      </w:r>
      <w:r w:rsidRPr="00F13900">
        <w:rPr>
          <w:rFonts w:ascii="微軟正黑體" w:eastAsia="微軟正黑體" w:hAnsi="微軟正黑體"/>
          <w:sz w:val="20"/>
          <w:szCs w:val="20"/>
        </w:rPr>
        <w:t>(</w:t>
      </w:r>
      <w:r w:rsidRPr="00F13900">
        <w:rPr>
          <w:rFonts w:ascii="微軟正黑體" w:eastAsia="微軟正黑體" w:hAnsi="微軟正黑體" w:hint="eastAsia"/>
          <w:sz w:val="20"/>
          <w:szCs w:val="20"/>
        </w:rPr>
        <w:t>targeted</w:t>
      </w:r>
      <w:r w:rsidRPr="00F13900">
        <w:rPr>
          <w:rFonts w:ascii="微軟正黑體" w:eastAsia="微軟正黑體" w:hAnsi="微軟正黑體"/>
          <w:sz w:val="20"/>
          <w:szCs w:val="20"/>
        </w:rPr>
        <w:t>)</w:t>
      </w:r>
      <w:r w:rsidRPr="00F13900">
        <w:rPr>
          <w:rFonts w:ascii="微軟正黑體" w:eastAsia="微軟正黑體" w:hAnsi="微軟正黑體" w:hint="eastAsia"/>
          <w:sz w:val="20"/>
          <w:szCs w:val="20"/>
        </w:rPr>
        <w:t>：提供符合居住年數要求，且經濟狀況較差的退休者較高額度給付，亦即須經所得或資產調查的年金給付；(3)</w:t>
      </w:r>
      <w:r w:rsidRPr="00F13900">
        <w:rPr>
          <w:rFonts w:ascii="微軟正黑體" w:eastAsia="微軟正黑體" w:hAnsi="微軟正黑體"/>
          <w:sz w:val="20"/>
          <w:szCs w:val="20"/>
        </w:rPr>
        <w:t>最低年金(minimum)</w:t>
      </w:r>
      <w:r w:rsidRPr="00F13900">
        <w:rPr>
          <w:rFonts w:ascii="微軟正黑體" w:eastAsia="微軟正黑體" w:hAnsi="微軟正黑體" w:hint="eastAsia"/>
          <w:sz w:val="20"/>
          <w:szCs w:val="20"/>
        </w:rPr>
        <w:t>：提供繳費式年金或所有年金方案合計後的最低給付額度。</w:t>
      </w:r>
    </w:p>
    <w:p w:rsidR="00B87A5C" w:rsidRPr="00F13900" w:rsidRDefault="008D2591" w:rsidP="00FD6FE4">
      <w:pPr>
        <w:spacing w:line="260" w:lineRule="exact"/>
        <w:ind w:leftChars="11" w:left="586" w:rightChars="-12" w:right="-29" w:hangingChars="280" w:hanging="560"/>
        <w:rPr>
          <w:rFonts w:ascii="微軟正黑體" w:eastAsia="微軟正黑體" w:hAnsi="微軟正黑體"/>
          <w:sz w:val="20"/>
          <w:szCs w:val="20"/>
        </w:rPr>
      </w:pPr>
      <w:r>
        <w:rPr>
          <w:rFonts w:ascii="微軟正黑體" w:eastAsia="微軟正黑體" w:hAnsi="微軟正黑體" w:hint="eastAsia"/>
          <w:sz w:val="20"/>
          <w:szCs w:val="20"/>
        </w:rPr>
        <w:t>註2：</w:t>
      </w:r>
      <w:r w:rsidR="00B87A5C" w:rsidRPr="00F13900">
        <w:rPr>
          <w:rFonts w:ascii="微軟正黑體" w:eastAsia="微軟正黑體" w:hAnsi="微軟正黑體"/>
          <w:sz w:val="20"/>
          <w:szCs w:val="20"/>
        </w:rPr>
        <w:t>第二層年金</w:t>
      </w:r>
      <w:r w:rsidR="00B87A5C" w:rsidRPr="00F13900">
        <w:rPr>
          <w:rFonts w:ascii="微軟正黑體" w:eastAsia="微軟正黑體" w:hAnsi="微軟正黑體" w:hint="eastAsia"/>
          <w:sz w:val="20"/>
          <w:szCs w:val="20"/>
        </w:rPr>
        <w:t>為所得相關年金，主要在維持退休後的生活水準與在職時不會落差太大，</w:t>
      </w:r>
      <w:r w:rsidR="00B87A5C" w:rsidRPr="00F13900">
        <w:rPr>
          <w:rFonts w:ascii="微軟正黑體" w:eastAsia="微軟正黑體" w:hAnsi="微軟正黑體"/>
          <w:sz w:val="20"/>
          <w:szCs w:val="20"/>
        </w:rPr>
        <w:t>分為公共年金和私人年金2類，公共年金包括確定給付(</w:t>
      </w:r>
      <w:r w:rsidR="00B87A5C" w:rsidRPr="00F13900">
        <w:rPr>
          <w:rFonts w:ascii="微軟正黑體" w:eastAsia="微軟正黑體" w:hAnsi="微軟正黑體" w:hint="eastAsia"/>
          <w:sz w:val="20"/>
          <w:szCs w:val="20"/>
        </w:rPr>
        <w:t xml:space="preserve">DB, </w:t>
      </w:r>
      <w:r w:rsidR="00B87A5C" w:rsidRPr="00F13900">
        <w:rPr>
          <w:rFonts w:ascii="微軟正黑體" w:eastAsia="微軟正黑體" w:hAnsi="微軟正黑體"/>
          <w:sz w:val="20"/>
          <w:szCs w:val="20"/>
        </w:rPr>
        <w:t>defined</w:t>
      </w:r>
      <w:r w:rsidR="00B87A5C" w:rsidRPr="00F13900">
        <w:rPr>
          <w:rFonts w:ascii="微軟正黑體" w:eastAsia="微軟正黑體" w:hAnsi="微軟正黑體" w:hint="eastAsia"/>
          <w:sz w:val="20"/>
          <w:szCs w:val="20"/>
        </w:rPr>
        <w:t xml:space="preserve"> </w:t>
      </w:r>
      <w:r w:rsidR="00B87A5C" w:rsidRPr="00F13900">
        <w:rPr>
          <w:rFonts w:ascii="微軟正黑體" w:eastAsia="微軟正黑體" w:hAnsi="微軟正黑體"/>
          <w:sz w:val="20"/>
          <w:szCs w:val="20"/>
        </w:rPr>
        <w:t>benefit)、點數方案(points)</w:t>
      </w:r>
      <w:r w:rsidR="00B87A5C" w:rsidRPr="00F13900">
        <w:rPr>
          <w:rFonts w:ascii="微軟正黑體" w:eastAsia="微軟正黑體" w:hAnsi="微軟正黑體" w:hint="eastAsia"/>
          <w:sz w:val="20"/>
          <w:szCs w:val="20"/>
        </w:rPr>
        <w:t>、提存式</w:t>
      </w:r>
      <w:r w:rsidR="00B87A5C" w:rsidRPr="00F13900">
        <w:rPr>
          <w:rFonts w:ascii="微軟正黑體" w:eastAsia="微軟正黑體" w:hAnsi="微軟正黑體"/>
          <w:sz w:val="20"/>
          <w:szCs w:val="20"/>
        </w:rPr>
        <w:t>確定提撥</w:t>
      </w:r>
      <w:r w:rsidR="00B87A5C" w:rsidRPr="00F13900">
        <w:rPr>
          <w:rFonts w:ascii="微軟正黑體" w:eastAsia="微軟正黑體" w:hAnsi="微軟正黑體" w:hint="eastAsia"/>
          <w:sz w:val="20"/>
          <w:szCs w:val="20"/>
        </w:rPr>
        <w:t>制</w:t>
      </w:r>
      <w:r w:rsidR="00B87A5C" w:rsidRPr="00F13900">
        <w:rPr>
          <w:rFonts w:ascii="微軟正黑體" w:eastAsia="微軟正黑體" w:hAnsi="微軟正黑體"/>
          <w:sz w:val="20"/>
          <w:szCs w:val="20"/>
        </w:rPr>
        <w:t>(</w:t>
      </w:r>
      <w:r w:rsidR="00B87A5C" w:rsidRPr="00F13900">
        <w:rPr>
          <w:rFonts w:ascii="微軟正黑體" w:eastAsia="微軟正黑體" w:hAnsi="微軟正黑體" w:hint="eastAsia"/>
          <w:sz w:val="20"/>
          <w:szCs w:val="20"/>
        </w:rPr>
        <w:t xml:space="preserve">FDC, funded </w:t>
      </w:r>
      <w:r w:rsidR="00B87A5C" w:rsidRPr="00F13900">
        <w:rPr>
          <w:rFonts w:ascii="微軟正黑體" w:eastAsia="微軟正黑體" w:hAnsi="微軟正黑體"/>
          <w:sz w:val="20"/>
          <w:szCs w:val="20"/>
        </w:rPr>
        <w:t>defined</w:t>
      </w:r>
      <w:r w:rsidR="00B87A5C" w:rsidRPr="00F13900">
        <w:rPr>
          <w:rFonts w:ascii="微軟正黑體" w:eastAsia="微軟正黑體" w:hAnsi="微軟正黑體" w:hint="eastAsia"/>
          <w:sz w:val="20"/>
          <w:szCs w:val="20"/>
        </w:rPr>
        <w:t xml:space="preserve"> </w:t>
      </w:r>
      <w:r w:rsidR="00B87A5C" w:rsidRPr="00F13900">
        <w:rPr>
          <w:rFonts w:ascii="微軟正黑體" w:eastAsia="微軟正黑體" w:hAnsi="微軟正黑體"/>
          <w:sz w:val="20"/>
          <w:szCs w:val="20"/>
        </w:rPr>
        <w:t>contribution)</w:t>
      </w:r>
      <w:r w:rsidR="00B87A5C" w:rsidRPr="00F13900">
        <w:rPr>
          <w:rFonts w:ascii="微軟正黑體" w:eastAsia="微軟正黑體" w:hAnsi="微軟正黑體" w:hint="eastAsia"/>
          <w:sz w:val="20"/>
          <w:szCs w:val="20"/>
        </w:rPr>
        <w:t>及</w:t>
      </w:r>
      <w:r w:rsidR="00B87A5C" w:rsidRPr="00F13900">
        <w:rPr>
          <w:rFonts w:ascii="微軟正黑體" w:eastAsia="微軟正黑體" w:hAnsi="微軟正黑體"/>
          <w:sz w:val="20"/>
          <w:szCs w:val="20"/>
        </w:rPr>
        <w:t xml:space="preserve">名義上確定提撥制(NDC, notional </w:t>
      </w:r>
      <w:r w:rsidR="00B87A5C" w:rsidRPr="00F13900">
        <w:rPr>
          <w:rFonts w:ascii="微軟正黑體" w:eastAsia="微軟正黑體" w:hAnsi="微軟正黑體" w:hint="eastAsia"/>
          <w:sz w:val="20"/>
          <w:szCs w:val="20"/>
        </w:rPr>
        <w:t>defined contribution</w:t>
      </w:r>
      <w:r w:rsidR="00B87A5C" w:rsidRPr="00F13900">
        <w:rPr>
          <w:rFonts w:ascii="微軟正黑體" w:eastAsia="微軟正黑體" w:hAnsi="微軟正黑體"/>
          <w:sz w:val="20"/>
          <w:szCs w:val="20"/>
        </w:rPr>
        <w:t>)等4類；私人年金包括確定給付及</w:t>
      </w:r>
      <w:r w:rsidR="00B87A5C" w:rsidRPr="00F13900">
        <w:rPr>
          <w:rFonts w:ascii="微軟正黑體" w:eastAsia="微軟正黑體" w:hAnsi="微軟正黑體" w:hint="eastAsia"/>
          <w:sz w:val="20"/>
          <w:szCs w:val="20"/>
        </w:rPr>
        <w:t>提存式</w:t>
      </w:r>
      <w:r w:rsidR="00B87A5C" w:rsidRPr="00F13900">
        <w:rPr>
          <w:rFonts w:ascii="微軟正黑體" w:eastAsia="微軟正黑體" w:hAnsi="微軟正黑體"/>
          <w:sz w:val="20"/>
          <w:szCs w:val="20"/>
        </w:rPr>
        <w:t>確定提撥等2類。</w:t>
      </w:r>
    </w:p>
    <w:p w:rsidR="00B87A5C" w:rsidRPr="00F13900" w:rsidRDefault="008D2591" w:rsidP="00FD6FE4">
      <w:pPr>
        <w:spacing w:line="260" w:lineRule="exact"/>
        <w:ind w:leftChars="11" w:left="586" w:rightChars="-12" w:right="-29" w:hangingChars="280" w:hanging="560"/>
        <w:rPr>
          <w:rFonts w:ascii="微軟正黑體" w:eastAsia="微軟正黑體" w:hAnsi="微軟正黑體"/>
          <w:sz w:val="20"/>
          <w:szCs w:val="20"/>
        </w:rPr>
      </w:pPr>
      <w:r>
        <w:rPr>
          <w:rFonts w:ascii="微軟正黑體" w:eastAsia="微軟正黑體" w:hAnsi="微軟正黑體" w:hint="eastAsia"/>
          <w:sz w:val="20"/>
          <w:szCs w:val="20"/>
        </w:rPr>
        <w:t>註3：</w:t>
      </w:r>
      <w:r w:rsidR="00B87A5C" w:rsidRPr="00F13900">
        <w:rPr>
          <w:rFonts w:ascii="微軟正黑體" w:eastAsia="微軟正黑體" w:hAnsi="微軟正黑體" w:hint="eastAsia"/>
          <w:sz w:val="20"/>
          <w:szCs w:val="20"/>
        </w:rPr>
        <w:t>瑞典及英國第二層年金中的私人年金為半強制性(quasi-mandatory)方案，係建立在集體協議的基礎上，且具有相當高的涵蓋率。</w:t>
      </w:r>
    </w:p>
    <w:p w:rsidR="00B87A5C" w:rsidRPr="00F13900" w:rsidRDefault="00FD6FE4" w:rsidP="00FD6FE4">
      <w:pPr>
        <w:spacing w:line="260" w:lineRule="exact"/>
        <w:ind w:leftChars="11" w:left="810" w:rightChars="-12" w:right="-29" w:hangingChars="280" w:hanging="784"/>
        <w:rPr>
          <w:rFonts w:ascii="微軟正黑體" w:eastAsia="微軟正黑體" w:hAnsi="微軟正黑體"/>
          <w:sz w:val="20"/>
          <w:szCs w:val="20"/>
        </w:rPr>
      </w:pPr>
      <w:r w:rsidRPr="00BF1A62">
        <w:rPr>
          <w:rFonts w:ascii="微軟正黑體" w:eastAsia="微軟正黑體" w:hAnsi="微軟正黑體"/>
          <w:b/>
          <w:noProof/>
          <w:sz w:val="28"/>
          <w:szCs w:val="28"/>
        </w:rPr>
        <mc:AlternateContent>
          <mc:Choice Requires="wps">
            <w:drawing>
              <wp:anchor distT="0" distB="0" distL="114300" distR="114300" simplePos="0" relativeHeight="252673024" behindDoc="0" locked="0" layoutInCell="1" allowOverlap="1" wp14:anchorId="26CF1FDC" wp14:editId="7305F9A2">
                <wp:simplePos x="0" y="0"/>
                <wp:positionH relativeFrom="column">
                  <wp:posOffset>-76835</wp:posOffset>
                </wp:positionH>
                <wp:positionV relativeFrom="paragraph">
                  <wp:posOffset>102447</wp:posOffset>
                </wp:positionV>
                <wp:extent cx="8898255" cy="397510"/>
                <wp:effectExtent l="0" t="0" r="0" b="254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8255" cy="397510"/>
                        </a:xfrm>
                        <a:prstGeom prst="rect">
                          <a:avLst/>
                        </a:prstGeom>
                        <a:noFill/>
                        <a:ln w="9525">
                          <a:noFill/>
                          <a:miter lim="800000"/>
                          <a:headEnd/>
                          <a:tailEnd/>
                        </a:ln>
                      </wps:spPr>
                      <wps:txbx>
                        <w:txbxContent>
                          <w:p w:rsidR="00745375" w:rsidRDefault="00745375" w:rsidP="00FD6FE4">
                            <w:r w:rsidRPr="00F13900">
                              <w:rPr>
                                <w:rFonts w:ascii="微軟正黑體" w:eastAsia="微軟正黑體" w:hAnsi="微軟正黑體"/>
                                <w:sz w:val="20"/>
                                <w:szCs w:val="20"/>
                              </w:rPr>
                              <w:t>資料來源：OECD(20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 Pensions at a Glance 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：OECD and G20 Indicators, OECD Publishing</w:t>
                            </w:r>
                            <w:r w:rsidRPr="00F13900">
                              <w:rPr>
                                <w:rFonts w:ascii="微軟正黑體" w:eastAsia="微軟正黑體" w:hAnsi="微軟正黑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6.05pt;margin-top:8.05pt;width:700.65pt;height:31.3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" filled="f" stroked="f">
                <v:textbox>
                  <w:txbxContent>
                    <w:p w:rsidR="00745375" w:rsidRDefault="00745375" w:rsidP="00FD6FE4">
                      <w:r w:rsidRPr="00F13900">
                        <w:rPr>
                          <w:rFonts w:ascii="微軟正黑體" w:eastAsia="微軟正黑體" w:hAnsi="微軟正黑體"/>
                          <w:sz w:val="20"/>
                          <w:szCs w:val="20"/>
                        </w:rPr>
                        <w:t>資料來源：OECD(20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 Pensions at a Glance 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：OECD and G20 Indicators, OECD Publishing</w:t>
                      </w:r>
                      <w:r w:rsidRPr="00F13900">
                        <w:rPr>
                          <w:rFonts w:ascii="微軟正黑體" w:eastAsia="微軟正黑體" w:hAnsi="微軟正黑體" w:hint="eastAsia"/>
                          <w:sz w:val="20"/>
                          <w:szCs w:val="20"/>
                        </w:rPr>
                        <w:t>。</w:t>
                      </w:r>
                    </w:p>
                  </w:txbxContent>
                </v:textbox>
              </v:shape>
            </w:pict>
          </mc:Fallback>
        </mc:AlternateContent>
      </w:r>
      <w:r w:rsidR="008D2591">
        <w:rPr>
          <w:rFonts w:ascii="微軟正黑體" w:eastAsia="微軟正黑體" w:hAnsi="微軟正黑體" w:hint="eastAsia"/>
          <w:sz w:val="20"/>
          <w:szCs w:val="20"/>
        </w:rPr>
        <w:t>註4：</w:t>
      </w:r>
      <w:r w:rsidR="00B87A5C" w:rsidRPr="00F13900">
        <w:rPr>
          <w:rFonts w:ascii="微軟正黑體" w:eastAsia="微軟正黑體" w:hAnsi="微軟正黑體" w:hint="eastAsia"/>
          <w:sz w:val="20"/>
          <w:szCs w:val="20"/>
        </w:rPr>
        <w:t>本表係呈現各國最新立法狀況(適用於2018年進入職場的22歲工作者)。</w:t>
      </w:r>
    </w:p>
    <w:p w:rsidR="00256A9F" w:rsidRPr="00F0717A" w:rsidRDefault="00B87A5C" w:rsidP="00406B9F">
      <w:pPr>
        <w:spacing w:beforeLines="30" w:before="108" w:line="300" w:lineRule="exact"/>
        <w:ind w:leftChars="-118" w:left="-283"/>
        <w:rPr>
          <w:rFonts w:ascii="微軟正黑體" w:eastAsia="微軟正黑體" w:hAnsi="微軟正黑體"/>
          <w:b/>
          <w:sz w:val="28"/>
          <w:szCs w:val="28"/>
        </w:rPr>
      </w:pPr>
      <w:r>
        <w:rPr>
          <w:rFonts w:ascii="微軟正黑體" w:eastAsia="微軟正黑體" w:hAnsi="微軟正黑體" w:hint="eastAsia"/>
          <w:b/>
          <w:sz w:val="28"/>
          <w:szCs w:val="28"/>
        </w:rPr>
        <w:lastRenderedPageBreak/>
        <w:t>二、</w:t>
      </w:r>
      <w:r w:rsidR="00256A9F" w:rsidRPr="00F0717A">
        <w:rPr>
          <w:rFonts w:ascii="微軟正黑體" w:eastAsia="微軟正黑體" w:hAnsi="微軟正黑體"/>
          <w:b/>
          <w:sz w:val="28"/>
          <w:szCs w:val="28"/>
        </w:rPr>
        <w:t>OECD主要國家年金</w:t>
      </w:r>
      <w:r>
        <w:rPr>
          <w:rFonts w:ascii="微軟正黑體" w:eastAsia="微軟正黑體" w:hAnsi="微軟正黑體" w:hint="eastAsia"/>
          <w:b/>
          <w:sz w:val="28"/>
          <w:szCs w:val="28"/>
        </w:rPr>
        <w:t>制度</w:t>
      </w:r>
      <w:r w:rsidR="00256A9F" w:rsidRPr="00F0717A">
        <w:rPr>
          <w:rFonts w:ascii="微軟正黑體" w:eastAsia="微軟正黑體" w:hAnsi="微軟正黑體"/>
          <w:b/>
          <w:sz w:val="28"/>
          <w:szCs w:val="28"/>
        </w:rPr>
        <w:t>概況(1)</w:t>
      </w:r>
    </w:p>
    <w:tbl>
      <w:tblPr>
        <w:tblW w:w="15877"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20"/>
        <w:gridCol w:w="992"/>
        <w:gridCol w:w="1417"/>
        <w:gridCol w:w="993"/>
        <w:gridCol w:w="1275"/>
        <w:gridCol w:w="1134"/>
        <w:gridCol w:w="1092"/>
        <w:gridCol w:w="966"/>
        <w:gridCol w:w="1330"/>
        <w:gridCol w:w="1385"/>
        <w:gridCol w:w="1358"/>
        <w:gridCol w:w="1064"/>
        <w:gridCol w:w="1651"/>
      </w:tblGrid>
      <w:tr w:rsidR="00B87A5C" w:rsidRPr="00F13900" w:rsidTr="00BF1A62">
        <w:trPr>
          <w:trHeight w:val="244"/>
        </w:trPr>
        <w:tc>
          <w:tcPr>
            <w:tcW w:w="1220" w:type="dxa"/>
            <w:vMerge w:val="restart"/>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國家</w:t>
            </w:r>
          </w:p>
        </w:tc>
        <w:tc>
          <w:tcPr>
            <w:tcW w:w="3402" w:type="dxa"/>
            <w:gridSpan w:val="3"/>
            <w:vMerge w:val="restart"/>
            <w:shd w:val="clear" w:color="auto" w:fill="EAF1DD" w:themeFill="accent3" w:themeFillTint="33"/>
            <w:vAlign w:val="center"/>
          </w:tcPr>
          <w:p w:rsidR="00B87A5C" w:rsidRPr="00F13900" w:rsidRDefault="00B87A5C" w:rsidP="00B87A5C">
            <w:pPr>
              <w:spacing w:line="26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年金毛所得替代率</w:t>
            </w:r>
          </w:p>
          <w:p w:rsidR="00B87A5C" w:rsidRPr="00F13900" w:rsidRDefault="00B87A5C" w:rsidP="00B87A5C">
            <w:pPr>
              <w:spacing w:line="260" w:lineRule="exact"/>
              <w:ind w:leftChars="-28" w:left="-67" w:rightChars="-24" w:right="-58"/>
              <w:jc w:val="center"/>
              <w:rPr>
                <w:rFonts w:ascii="微軟正黑體" w:eastAsia="微軟正黑體" w:hAnsi="微軟正黑體"/>
                <w:b/>
                <w:sz w:val="20"/>
                <w:szCs w:val="20"/>
              </w:rPr>
            </w:pPr>
            <w:r w:rsidRPr="00F13900">
              <w:rPr>
                <w:rFonts w:ascii="微軟正黑體" w:eastAsia="微軟正黑體" w:hAnsi="微軟正黑體"/>
                <w:b/>
                <w:sz w:val="20"/>
                <w:szCs w:val="20"/>
              </w:rPr>
              <w:t>(以收入在全國平均水準者為例)(%</w:t>
            </w:r>
            <w:r w:rsidRPr="00F13900">
              <w:rPr>
                <w:rFonts w:ascii="微軟正黑體" w:eastAsia="微軟正黑體" w:hAnsi="微軟正黑體" w:hint="eastAsia"/>
                <w:b/>
                <w:sz w:val="20"/>
                <w:szCs w:val="20"/>
              </w:rPr>
              <w:t>)</w:t>
            </w:r>
            <w:r w:rsidRPr="00F13900">
              <w:rPr>
                <w:rFonts w:ascii="微軟正黑體" w:eastAsia="微軟正黑體" w:hAnsi="微軟正黑體" w:hint="eastAsia"/>
                <w:b/>
                <w:sz w:val="20"/>
                <w:szCs w:val="20"/>
                <w:vertAlign w:val="superscript"/>
              </w:rPr>
              <w:t>(註1)</w:t>
            </w:r>
          </w:p>
        </w:tc>
        <w:tc>
          <w:tcPr>
            <w:tcW w:w="11255" w:type="dxa"/>
            <w:gridSpan w:val="9"/>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公共年金制度內涵</w:t>
            </w:r>
          </w:p>
        </w:tc>
      </w:tr>
      <w:tr w:rsidR="00B87A5C" w:rsidRPr="00F13900" w:rsidTr="00BF1A62">
        <w:trPr>
          <w:trHeight w:val="230"/>
        </w:trPr>
        <w:tc>
          <w:tcPr>
            <w:tcW w:w="1220" w:type="dxa"/>
            <w:vMerge/>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p>
        </w:tc>
        <w:tc>
          <w:tcPr>
            <w:tcW w:w="3402" w:type="dxa"/>
            <w:gridSpan w:val="3"/>
            <w:vMerge/>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p>
        </w:tc>
        <w:tc>
          <w:tcPr>
            <w:tcW w:w="3501" w:type="dxa"/>
            <w:gridSpan w:val="3"/>
            <w:vMerge w:val="restart"/>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第一層</w:t>
            </w:r>
            <w:r w:rsidRPr="00F13900">
              <w:rPr>
                <w:rFonts w:ascii="微軟正黑體" w:eastAsia="微軟正黑體" w:hAnsi="微軟正黑體"/>
                <w:b/>
                <w:sz w:val="22"/>
                <w:szCs w:val="22"/>
              </w:rPr>
              <w:t>年金額度占</w:t>
            </w:r>
            <w:r w:rsidRPr="00F13900">
              <w:rPr>
                <w:rFonts w:ascii="微軟正黑體" w:eastAsia="微軟正黑體" w:hAnsi="微軟正黑體" w:hint="eastAsia"/>
                <w:b/>
                <w:sz w:val="22"/>
                <w:szCs w:val="22"/>
              </w:rPr>
              <w:t>毛</w:t>
            </w:r>
            <w:r w:rsidRPr="00F13900">
              <w:rPr>
                <w:rFonts w:ascii="微軟正黑體" w:eastAsia="微軟正黑體" w:hAnsi="微軟正黑體"/>
                <w:b/>
                <w:sz w:val="22"/>
                <w:szCs w:val="22"/>
              </w:rPr>
              <w:t>平均薪資比率</w:t>
            </w:r>
            <w:r w:rsidRPr="00F13900">
              <w:rPr>
                <w:rFonts w:ascii="微軟正黑體" w:eastAsia="微軟正黑體" w:hAnsi="微軟正黑體" w:hint="eastAsia"/>
                <w:b/>
                <w:sz w:val="20"/>
                <w:szCs w:val="20"/>
              </w:rPr>
              <w:t xml:space="preserve">(2020) </w:t>
            </w:r>
            <w:r w:rsidRPr="00F13900">
              <w:rPr>
                <w:rFonts w:ascii="微軟正黑體" w:eastAsia="微軟正黑體" w:hAnsi="微軟正黑體"/>
                <w:b/>
                <w:sz w:val="20"/>
                <w:szCs w:val="20"/>
              </w:rPr>
              <w:t>(%)</w:t>
            </w:r>
          </w:p>
        </w:tc>
        <w:tc>
          <w:tcPr>
            <w:tcW w:w="2296" w:type="dxa"/>
            <w:gridSpan w:val="2"/>
            <w:vMerge w:val="restart"/>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年金繳費率</w:t>
            </w:r>
            <w:r w:rsidRPr="00F13900">
              <w:rPr>
                <w:rFonts w:ascii="微軟正黑體" w:eastAsia="微軟正黑體" w:hAnsi="微軟正黑體"/>
                <w:b/>
                <w:sz w:val="20"/>
                <w:szCs w:val="20"/>
              </w:rPr>
              <w:t>(20</w:t>
            </w:r>
            <w:r w:rsidRPr="00F13900">
              <w:rPr>
                <w:rFonts w:ascii="微軟正黑體" w:eastAsia="微軟正黑體" w:hAnsi="微軟正黑體" w:hint="eastAsia"/>
                <w:b/>
                <w:sz w:val="20"/>
                <w:szCs w:val="20"/>
              </w:rPr>
              <w:t>20</w:t>
            </w:r>
            <w:r w:rsidRPr="00F13900">
              <w:rPr>
                <w:rFonts w:ascii="微軟正黑體" w:eastAsia="微軟正黑體" w:hAnsi="微軟正黑體"/>
                <w:b/>
                <w:sz w:val="20"/>
                <w:szCs w:val="20"/>
              </w:rPr>
              <w:t xml:space="preserve">) </w:t>
            </w:r>
          </w:p>
          <w:p w:rsidR="00B87A5C" w:rsidRPr="00F13900" w:rsidRDefault="00B87A5C" w:rsidP="00B87A5C">
            <w:pPr>
              <w:spacing w:line="230" w:lineRule="exact"/>
              <w:jc w:val="center"/>
              <w:rPr>
                <w:rFonts w:ascii="微軟正黑體" w:eastAsia="微軟正黑體" w:hAnsi="微軟正黑體"/>
                <w:b/>
                <w:sz w:val="20"/>
                <w:szCs w:val="20"/>
              </w:rPr>
            </w:pPr>
            <w:r w:rsidRPr="00F13900">
              <w:rPr>
                <w:rFonts w:ascii="微軟正黑體" w:eastAsia="微軟正黑體" w:hAnsi="微軟正黑體"/>
                <w:b/>
                <w:sz w:val="20"/>
                <w:szCs w:val="20"/>
              </w:rPr>
              <w:t>(以收入在全國平均水準者為例) (%)</w:t>
            </w:r>
          </w:p>
        </w:tc>
        <w:tc>
          <w:tcPr>
            <w:tcW w:w="2743" w:type="dxa"/>
            <w:gridSpan w:val="2"/>
            <w:vMerge w:val="restart"/>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法定</w:t>
            </w:r>
            <w:r w:rsidRPr="00F13900">
              <w:rPr>
                <w:rFonts w:ascii="微軟正黑體" w:eastAsia="微軟正黑體" w:hAnsi="微軟正黑體" w:hint="eastAsia"/>
                <w:b/>
                <w:sz w:val="22"/>
                <w:szCs w:val="22"/>
              </w:rPr>
              <w:t>退休</w:t>
            </w:r>
            <w:r w:rsidRPr="00F13900">
              <w:rPr>
                <w:rFonts w:ascii="微軟正黑體" w:eastAsia="微軟正黑體" w:hAnsi="微軟正黑體"/>
                <w:b/>
                <w:sz w:val="22"/>
                <w:szCs w:val="22"/>
              </w:rPr>
              <w:t>年齡</w:t>
            </w:r>
          </w:p>
          <w:p w:rsidR="00B87A5C" w:rsidRPr="00F13900" w:rsidRDefault="00B87A5C" w:rsidP="00B87A5C">
            <w:pPr>
              <w:spacing w:line="230" w:lineRule="exact"/>
              <w:jc w:val="center"/>
              <w:rPr>
                <w:rFonts w:ascii="微軟正黑體" w:eastAsia="微軟正黑體" w:hAnsi="微軟正黑體"/>
                <w:b/>
                <w:sz w:val="20"/>
                <w:szCs w:val="20"/>
              </w:rPr>
            </w:pPr>
            <w:r w:rsidRPr="00F13900">
              <w:rPr>
                <w:rFonts w:ascii="微軟正黑體" w:eastAsia="微軟正黑體" w:hAnsi="微軟正黑體"/>
                <w:b/>
                <w:sz w:val="20"/>
                <w:szCs w:val="20"/>
              </w:rPr>
              <w:t>(歲，男/女)</w:t>
            </w:r>
          </w:p>
        </w:tc>
        <w:tc>
          <w:tcPr>
            <w:tcW w:w="1064" w:type="dxa"/>
            <w:vMerge w:val="restart"/>
            <w:shd w:val="clear" w:color="auto" w:fill="EAF1DD" w:themeFill="accent3" w:themeFillTint="33"/>
            <w:tcMar>
              <w:left w:w="57" w:type="dxa"/>
              <w:right w:w="57" w:type="dxa"/>
            </w:tcMar>
            <w:vAlign w:val="center"/>
          </w:tcPr>
          <w:p w:rsidR="00B87A5C" w:rsidRPr="00F13900" w:rsidRDefault="00B87A5C" w:rsidP="00B87A5C">
            <w:pPr>
              <w:spacing w:line="26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年資給付率</w:t>
            </w:r>
            <w:r w:rsidRPr="00F13900">
              <w:rPr>
                <w:rFonts w:ascii="微軟正黑體" w:eastAsia="微軟正黑體" w:hAnsi="微軟正黑體" w:hint="eastAsia"/>
                <w:b/>
                <w:sz w:val="20"/>
                <w:szCs w:val="20"/>
              </w:rPr>
              <w:t>(%)</w:t>
            </w:r>
            <w:r w:rsidRPr="00F13900">
              <w:rPr>
                <w:rFonts w:ascii="微軟正黑體" w:eastAsia="微軟正黑體" w:hAnsi="微軟正黑體" w:hint="eastAsia"/>
                <w:b/>
                <w:sz w:val="20"/>
                <w:szCs w:val="20"/>
                <w:vertAlign w:val="superscript"/>
              </w:rPr>
              <w:t>(註1)</w:t>
            </w:r>
          </w:p>
        </w:tc>
        <w:tc>
          <w:tcPr>
            <w:tcW w:w="1651" w:type="dxa"/>
            <w:vMerge w:val="restart"/>
            <w:shd w:val="clear" w:color="auto" w:fill="EAF1DD" w:themeFill="accent3" w:themeFillTint="33"/>
            <w:vAlign w:val="center"/>
          </w:tcPr>
          <w:p w:rsidR="00B87A5C" w:rsidRPr="00F13900" w:rsidRDefault="00B87A5C" w:rsidP="00B87A5C">
            <w:pPr>
              <w:spacing w:line="26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給付計算基準</w:t>
            </w:r>
          </w:p>
          <w:p w:rsidR="00B87A5C" w:rsidRPr="00F13900" w:rsidRDefault="00B87A5C" w:rsidP="00B87A5C">
            <w:pPr>
              <w:spacing w:line="260" w:lineRule="exact"/>
              <w:jc w:val="center"/>
              <w:rPr>
                <w:rFonts w:ascii="微軟正黑體" w:eastAsia="微軟正黑體" w:hAnsi="微軟正黑體"/>
                <w:b/>
                <w:sz w:val="22"/>
                <w:szCs w:val="22"/>
              </w:rPr>
            </w:pPr>
            <w:r w:rsidRPr="00F13900">
              <w:rPr>
                <w:rFonts w:ascii="微軟正黑體" w:eastAsia="微軟正黑體" w:hAnsi="微軟正黑體"/>
                <w:b/>
                <w:sz w:val="20"/>
                <w:szCs w:val="20"/>
              </w:rPr>
              <w:t>(平均薪資)</w:t>
            </w:r>
            <w:r w:rsidRPr="00F13900">
              <w:rPr>
                <w:rFonts w:ascii="微軟正黑體" w:eastAsia="微軟正黑體" w:hAnsi="微軟正黑體" w:hint="eastAsia"/>
                <w:b/>
                <w:sz w:val="20"/>
                <w:szCs w:val="20"/>
                <w:vertAlign w:val="superscript"/>
              </w:rPr>
              <w:t xml:space="preserve"> (註1)</w:t>
            </w:r>
          </w:p>
        </w:tc>
      </w:tr>
      <w:tr w:rsidR="00B87A5C" w:rsidRPr="00F13900" w:rsidTr="00BF1A62">
        <w:trPr>
          <w:trHeight w:val="230"/>
        </w:trPr>
        <w:tc>
          <w:tcPr>
            <w:tcW w:w="1220" w:type="dxa"/>
            <w:vMerge/>
            <w:shd w:val="clear" w:color="auto" w:fill="D9D9D9" w:themeFill="background1" w:themeFillShade="D9"/>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sz w:val="22"/>
                <w:szCs w:val="22"/>
              </w:rPr>
            </w:pPr>
          </w:p>
        </w:tc>
        <w:tc>
          <w:tcPr>
            <w:tcW w:w="992" w:type="dxa"/>
            <w:vMerge w:val="restart"/>
            <w:shd w:val="clear" w:color="auto" w:fill="EAF1DD" w:themeFill="accent3" w:themeFillTint="33"/>
            <w:vAlign w:val="center"/>
          </w:tcPr>
          <w:p w:rsidR="00B87A5C" w:rsidRPr="00F13900" w:rsidRDefault="00B87A5C" w:rsidP="00B87A5C">
            <w:pPr>
              <w:spacing w:line="230" w:lineRule="exact"/>
              <w:ind w:leftChars="-24" w:left="-56" w:rightChars="-23" w:right="-55" w:hanging="2"/>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強制性</w:t>
            </w:r>
          </w:p>
          <w:p w:rsidR="00B87A5C" w:rsidRPr="00F13900" w:rsidRDefault="00B87A5C" w:rsidP="00B87A5C">
            <w:pPr>
              <w:spacing w:line="230" w:lineRule="exact"/>
              <w:ind w:leftChars="-24" w:left="-56" w:rightChars="-23" w:right="-55" w:hanging="2"/>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公共年金</w:t>
            </w:r>
          </w:p>
        </w:tc>
        <w:tc>
          <w:tcPr>
            <w:tcW w:w="1417" w:type="dxa"/>
            <w:vMerge w:val="restart"/>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強制性公共年金+強制性私人年金</w:t>
            </w:r>
          </w:p>
        </w:tc>
        <w:tc>
          <w:tcPr>
            <w:tcW w:w="993" w:type="dxa"/>
            <w:vMerge w:val="restart"/>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志願性年金</w:t>
            </w:r>
          </w:p>
        </w:tc>
        <w:tc>
          <w:tcPr>
            <w:tcW w:w="3501" w:type="dxa"/>
            <w:gridSpan w:val="3"/>
            <w:vMerge/>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p>
        </w:tc>
        <w:tc>
          <w:tcPr>
            <w:tcW w:w="2296" w:type="dxa"/>
            <w:gridSpan w:val="2"/>
            <w:vMerge/>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p>
        </w:tc>
        <w:tc>
          <w:tcPr>
            <w:tcW w:w="2743" w:type="dxa"/>
            <w:gridSpan w:val="2"/>
            <w:vMerge/>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p>
        </w:tc>
        <w:tc>
          <w:tcPr>
            <w:tcW w:w="1064" w:type="dxa"/>
            <w:vMerge/>
            <w:shd w:val="clear" w:color="auto" w:fill="D9D9D9" w:themeFill="background1" w:themeFillShade="D9"/>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sz w:val="22"/>
                <w:szCs w:val="22"/>
              </w:rPr>
            </w:pPr>
          </w:p>
        </w:tc>
        <w:tc>
          <w:tcPr>
            <w:tcW w:w="1651" w:type="dxa"/>
            <w:vMerge/>
            <w:shd w:val="clear" w:color="auto" w:fill="D9D9D9" w:themeFill="background1" w:themeFillShade="D9"/>
            <w:vAlign w:val="center"/>
          </w:tcPr>
          <w:p w:rsidR="00B87A5C" w:rsidRPr="00F13900" w:rsidRDefault="00B87A5C" w:rsidP="00B87A5C">
            <w:pPr>
              <w:spacing w:line="230" w:lineRule="exact"/>
              <w:jc w:val="center"/>
              <w:rPr>
                <w:rFonts w:ascii="微軟正黑體" w:eastAsia="微軟正黑體" w:hAnsi="微軟正黑體"/>
                <w:sz w:val="22"/>
                <w:szCs w:val="22"/>
              </w:rPr>
            </w:pPr>
          </w:p>
        </w:tc>
      </w:tr>
      <w:tr w:rsidR="00B87A5C" w:rsidRPr="00F13900" w:rsidTr="00BF1A62">
        <w:trPr>
          <w:trHeight w:val="89"/>
        </w:trPr>
        <w:tc>
          <w:tcPr>
            <w:tcW w:w="1220" w:type="dxa"/>
            <w:vMerge/>
            <w:tcBorders>
              <w:bottom w:val="single" w:sz="4" w:space="0" w:color="auto"/>
            </w:tcBorders>
            <w:shd w:val="clear" w:color="auto" w:fill="D9D9D9" w:themeFill="background1" w:themeFillShade="D9"/>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sz w:val="22"/>
                <w:szCs w:val="22"/>
              </w:rPr>
            </w:pPr>
          </w:p>
        </w:tc>
        <w:tc>
          <w:tcPr>
            <w:tcW w:w="992" w:type="dxa"/>
            <w:vMerge/>
            <w:tcBorders>
              <w:bottom w:val="single" w:sz="4" w:space="0" w:color="auto"/>
            </w:tcBorders>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p>
        </w:tc>
        <w:tc>
          <w:tcPr>
            <w:tcW w:w="1417" w:type="dxa"/>
            <w:vMerge/>
            <w:tcBorders>
              <w:bottom w:val="single" w:sz="4" w:space="0" w:color="auto"/>
            </w:tcBorders>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p>
        </w:tc>
        <w:tc>
          <w:tcPr>
            <w:tcW w:w="993" w:type="dxa"/>
            <w:vMerge/>
            <w:tcBorders>
              <w:bottom w:val="single" w:sz="4" w:space="0" w:color="auto"/>
            </w:tcBorders>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p>
        </w:tc>
        <w:tc>
          <w:tcPr>
            <w:tcW w:w="1275" w:type="dxa"/>
            <w:tcBorders>
              <w:bottom w:val="single" w:sz="4" w:space="0" w:color="auto"/>
            </w:tcBorders>
            <w:shd w:val="clear" w:color="auto" w:fill="EAF1DD" w:themeFill="accent3" w:themeFillTint="33"/>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基礎</w:t>
            </w:r>
            <w:r w:rsidRPr="00F13900">
              <w:rPr>
                <w:rFonts w:ascii="微軟正黑體" w:eastAsia="微軟正黑體" w:hAnsi="微軟正黑體" w:hint="eastAsia"/>
                <w:b/>
                <w:sz w:val="22"/>
                <w:szCs w:val="22"/>
              </w:rPr>
              <w:t>年金</w:t>
            </w:r>
          </w:p>
        </w:tc>
        <w:tc>
          <w:tcPr>
            <w:tcW w:w="1134" w:type="dxa"/>
            <w:tcBorders>
              <w:bottom w:val="single" w:sz="4" w:space="0" w:color="auto"/>
            </w:tcBorders>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標的給付</w:t>
            </w:r>
          </w:p>
        </w:tc>
        <w:tc>
          <w:tcPr>
            <w:tcW w:w="1092" w:type="dxa"/>
            <w:tcBorders>
              <w:bottom w:val="single" w:sz="4" w:space="0" w:color="auto"/>
            </w:tcBorders>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最低年金</w:t>
            </w:r>
          </w:p>
        </w:tc>
        <w:tc>
          <w:tcPr>
            <w:tcW w:w="966" w:type="dxa"/>
            <w:tcBorders>
              <w:bottom w:val="single" w:sz="4" w:space="0" w:color="auto"/>
            </w:tcBorders>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總費率</w:t>
            </w:r>
          </w:p>
        </w:tc>
        <w:tc>
          <w:tcPr>
            <w:tcW w:w="1330" w:type="dxa"/>
            <w:tcBorders>
              <w:bottom w:val="single" w:sz="4" w:space="0" w:color="auto"/>
            </w:tcBorders>
            <w:shd w:val="clear" w:color="auto" w:fill="EAF1DD" w:themeFill="accent3" w:themeFillTint="33"/>
            <w:vAlign w:val="center"/>
          </w:tcPr>
          <w:p w:rsidR="00B87A5C" w:rsidRPr="00F13900" w:rsidRDefault="00B87A5C" w:rsidP="00B87A5C">
            <w:pPr>
              <w:spacing w:line="23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受僱者/雇主</w:t>
            </w:r>
          </w:p>
        </w:tc>
        <w:tc>
          <w:tcPr>
            <w:tcW w:w="1385" w:type="dxa"/>
            <w:tcBorders>
              <w:bottom w:val="single" w:sz="4" w:space="0" w:color="auto"/>
            </w:tcBorders>
            <w:shd w:val="clear" w:color="auto" w:fill="EAF1DD" w:themeFill="accent3" w:themeFillTint="33"/>
            <w:vAlign w:val="center"/>
          </w:tcPr>
          <w:p w:rsidR="00B87A5C" w:rsidRPr="00F13900" w:rsidRDefault="00B87A5C" w:rsidP="00B87A5C">
            <w:pPr>
              <w:spacing w:line="260" w:lineRule="exact"/>
              <w:ind w:leftChars="-16" w:left="-38" w:rightChars="-20" w:right="-48"/>
              <w:jc w:val="center"/>
              <w:rPr>
                <w:rFonts w:ascii="微軟正黑體" w:eastAsia="微軟正黑體" w:hAnsi="微軟正黑體"/>
                <w:b/>
                <w:sz w:val="22"/>
                <w:szCs w:val="22"/>
              </w:rPr>
            </w:pPr>
            <w:r w:rsidRPr="00F13900">
              <w:rPr>
                <w:rFonts w:ascii="微軟正黑體" w:eastAsia="微軟正黑體" w:hAnsi="微軟正黑體"/>
                <w:b/>
                <w:sz w:val="22"/>
                <w:szCs w:val="22"/>
              </w:rPr>
              <w:t>現況</w:t>
            </w:r>
            <w:r w:rsidRPr="00F13900">
              <w:rPr>
                <w:rFonts w:ascii="微軟正黑體" w:eastAsia="微軟正黑體" w:hAnsi="微軟正黑體" w:hint="eastAsia"/>
                <w:b/>
                <w:sz w:val="20"/>
                <w:szCs w:val="20"/>
                <w:vertAlign w:val="superscript"/>
              </w:rPr>
              <w:t>(註2)</w:t>
            </w:r>
          </w:p>
        </w:tc>
        <w:tc>
          <w:tcPr>
            <w:tcW w:w="1358" w:type="dxa"/>
            <w:tcBorders>
              <w:bottom w:val="single" w:sz="4" w:space="0" w:color="auto"/>
            </w:tcBorders>
            <w:shd w:val="clear" w:color="auto" w:fill="EAF1DD" w:themeFill="accent3" w:themeFillTint="33"/>
            <w:vAlign w:val="center"/>
          </w:tcPr>
          <w:p w:rsidR="00B87A5C" w:rsidRPr="00F13900" w:rsidRDefault="00B87A5C" w:rsidP="00B87A5C">
            <w:pPr>
              <w:spacing w:line="260" w:lineRule="exact"/>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未來</w:t>
            </w:r>
            <w:r w:rsidRPr="00F13900">
              <w:rPr>
                <w:rFonts w:ascii="微軟正黑體" w:eastAsia="微軟正黑體" w:hAnsi="微軟正黑體" w:hint="eastAsia"/>
                <w:b/>
                <w:sz w:val="20"/>
                <w:szCs w:val="20"/>
                <w:vertAlign w:val="superscript"/>
              </w:rPr>
              <w:t>(註1)</w:t>
            </w:r>
          </w:p>
        </w:tc>
        <w:tc>
          <w:tcPr>
            <w:tcW w:w="1064" w:type="dxa"/>
            <w:vMerge/>
            <w:tcBorders>
              <w:bottom w:val="single" w:sz="4" w:space="0" w:color="auto"/>
            </w:tcBorders>
            <w:shd w:val="clear" w:color="auto" w:fill="D9D9D9" w:themeFill="background1" w:themeFillShade="D9"/>
            <w:tcMar>
              <w:left w:w="57" w:type="dxa"/>
              <w:right w:w="57" w:type="dxa"/>
            </w:tcMar>
            <w:vAlign w:val="center"/>
          </w:tcPr>
          <w:p w:rsidR="00B87A5C" w:rsidRPr="00F13900" w:rsidRDefault="00B87A5C" w:rsidP="00B87A5C">
            <w:pPr>
              <w:spacing w:line="230" w:lineRule="exact"/>
              <w:jc w:val="center"/>
              <w:rPr>
                <w:rFonts w:ascii="微軟正黑體" w:eastAsia="微軟正黑體" w:hAnsi="微軟正黑體"/>
                <w:sz w:val="22"/>
                <w:szCs w:val="22"/>
              </w:rPr>
            </w:pPr>
          </w:p>
        </w:tc>
        <w:tc>
          <w:tcPr>
            <w:tcW w:w="1651" w:type="dxa"/>
            <w:vMerge/>
            <w:tcBorders>
              <w:bottom w:val="single" w:sz="4" w:space="0" w:color="auto"/>
            </w:tcBorders>
            <w:shd w:val="clear" w:color="auto" w:fill="D9D9D9" w:themeFill="background1" w:themeFillShade="D9"/>
            <w:vAlign w:val="center"/>
          </w:tcPr>
          <w:p w:rsidR="00B87A5C" w:rsidRPr="00F13900" w:rsidRDefault="00B87A5C" w:rsidP="00B87A5C">
            <w:pPr>
              <w:spacing w:line="230" w:lineRule="exact"/>
              <w:jc w:val="center"/>
              <w:rPr>
                <w:rFonts w:ascii="微軟正黑體" w:eastAsia="微軟正黑體" w:hAnsi="微軟正黑體"/>
                <w:sz w:val="22"/>
                <w:szCs w:val="22"/>
              </w:rPr>
            </w:pPr>
          </w:p>
        </w:tc>
      </w:tr>
      <w:tr w:rsidR="00B87A5C" w:rsidRPr="00F13900" w:rsidTr="00BF1A62">
        <w:trPr>
          <w:trHeight w:val="170"/>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澳洲</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0.0</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31.3</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27.0</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w:t>
            </w:r>
            <w:r w:rsidRPr="00F13900">
              <w:rPr>
                <w:rFonts w:ascii="微軟正黑體" w:eastAsia="微軟正黑體" w:hAnsi="微軟正黑體" w:hint="eastAsia"/>
                <w:sz w:val="22"/>
                <w:szCs w:val="22"/>
              </w:rPr>
              <w:t>6</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67</w:t>
            </w:r>
          </w:p>
        </w:tc>
        <w:tc>
          <w:tcPr>
            <w:tcW w:w="1064"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F13900" w:rsidTr="00BF1A62">
        <w:trPr>
          <w:trHeight w:val="373"/>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加拿大</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38.8</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38.8</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24.5</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23" w:left="-55"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12.9</w:t>
            </w:r>
          </w:p>
          <w:p w:rsidR="00B87A5C" w:rsidRPr="009C28C3" w:rsidRDefault="00B87A5C" w:rsidP="00471D9F">
            <w:pPr>
              <w:tabs>
                <w:tab w:val="left" w:pos="709"/>
              </w:tabs>
              <w:spacing w:line="234" w:lineRule="exact"/>
              <w:ind w:leftChars="-23" w:left="-55" w:rightChars="-23" w:right="-55"/>
              <w:jc w:val="center"/>
              <w:rPr>
                <w:rFonts w:ascii="微軟正黑體" w:eastAsia="微軟正黑體" w:hAnsi="微軟正黑體"/>
                <w:sz w:val="18"/>
                <w:szCs w:val="18"/>
              </w:rPr>
            </w:pPr>
            <w:r w:rsidRPr="009C28C3">
              <w:rPr>
                <w:rFonts w:ascii="微軟正黑體" w:eastAsia="微軟正黑體" w:hAnsi="微軟正黑體" w:hint="eastAsia"/>
                <w:sz w:val="18"/>
                <w:szCs w:val="18"/>
              </w:rPr>
              <w:t>(以居住為條件)</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19.2</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10.5</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5.25</w:t>
            </w:r>
            <w:r w:rsidRPr="00F13900">
              <w:rPr>
                <w:rFonts w:ascii="微軟正黑體" w:eastAsia="微軟正黑體" w:hAnsi="微軟正黑體"/>
                <w:sz w:val="22"/>
                <w:szCs w:val="22"/>
              </w:rPr>
              <w:t>/</w:t>
            </w:r>
            <w:r w:rsidRPr="00F13900">
              <w:rPr>
                <w:rFonts w:ascii="微軟正黑體" w:eastAsia="微軟正黑體" w:hAnsi="微軟正黑體" w:hint="eastAsia"/>
                <w:sz w:val="22"/>
                <w:szCs w:val="22"/>
              </w:rPr>
              <w:t>5.25</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65</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w:t>
            </w:r>
            <w:r w:rsidRPr="00F13900">
              <w:rPr>
                <w:rFonts w:ascii="微軟正黑體" w:eastAsia="微軟正黑體" w:hAnsi="微軟正黑體" w:hint="eastAsia"/>
                <w:sz w:val="22"/>
                <w:szCs w:val="22"/>
              </w:rPr>
              <w:t>5</w:t>
            </w:r>
          </w:p>
        </w:tc>
        <w:tc>
          <w:tcPr>
            <w:tcW w:w="1064"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0.83</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終身</w:t>
            </w:r>
          </w:p>
        </w:tc>
      </w:tr>
      <w:tr w:rsidR="00B87A5C" w:rsidRPr="00F13900" w:rsidTr="00BF1A62">
        <w:trPr>
          <w:trHeight w:val="637"/>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智利</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0.0</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31.2</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16.5</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17.7</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385" w:type="dxa"/>
            <w:shd w:val="clear" w:color="auto" w:fill="auto"/>
            <w:tcMar>
              <w:left w:w="57" w:type="dxa"/>
              <w:right w:w="57" w:type="dxa"/>
            </w:tcMar>
            <w:vAlign w:val="center"/>
          </w:tcPr>
          <w:p w:rsidR="00B87A5C" w:rsidRPr="00F13900" w:rsidRDefault="00B87A5C" w:rsidP="00471D9F">
            <w:pPr>
              <w:spacing w:line="234" w:lineRule="exact"/>
              <w:ind w:leftChars="5" w:left="12" w:rightChars="-23" w:right="-55"/>
              <w:rPr>
                <w:rFonts w:ascii="微軟正黑體" w:eastAsia="微軟正黑體" w:hAnsi="微軟正黑體"/>
                <w:sz w:val="22"/>
                <w:szCs w:val="22"/>
              </w:rPr>
            </w:pPr>
            <w:r w:rsidRPr="00F13900">
              <w:rPr>
                <w:rFonts w:ascii="微軟正黑體" w:eastAsia="微軟正黑體" w:hAnsi="微軟正黑體" w:hint="eastAsia"/>
                <w:sz w:val="22"/>
                <w:szCs w:val="22"/>
              </w:rPr>
              <w:t>65</w:t>
            </w:r>
            <w:r w:rsidR="00BB633E" w:rsidRPr="009C28C3">
              <w:rPr>
                <w:rFonts w:ascii="微軟正黑體" w:eastAsia="微軟正黑體" w:hAnsi="微軟正黑體" w:hint="eastAsia"/>
                <w:sz w:val="18"/>
                <w:szCs w:val="18"/>
              </w:rPr>
              <w:t xml:space="preserve"> </w:t>
            </w:r>
            <w:r w:rsidRPr="009C28C3">
              <w:rPr>
                <w:rFonts w:ascii="微軟正黑體" w:eastAsia="微軟正黑體" w:hAnsi="微軟正黑體" w:hint="eastAsia"/>
                <w:sz w:val="18"/>
                <w:szCs w:val="18"/>
              </w:rPr>
              <w:t>(最低年金、</w:t>
            </w:r>
            <w:r w:rsidR="00BB633E" w:rsidRPr="009C28C3">
              <w:rPr>
                <w:rFonts w:ascii="微軟正黑體" w:eastAsia="微軟正黑體" w:hAnsi="微軟正黑體" w:hint="eastAsia"/>
                <w:sz w:val="18"/>
                <w:szCs w:val="18"/>
              </w:rPr>
              <w:t xml:space="preserve"> </w:t>
            </w:r>
            <w:r w:rsidRPr="009C28C3">
              <w:rPr>
                <w:rFonts w:ascii="微軟正黑體" w:eastAsia="微軟正黑體" w:hAnsi="微軟正黑體" w:hint="eastAsia"/>
                <w:sz w:val="18"/>
                <w:szCs w:val="18"/>
              </w:rPr>
              <w:t>標的給付)</w:t>
            </w:r>
          </w:p>
          <w:p w:rsidR="00B87A5C" w:rsidRPr="00F13900" w:rsidRDefault="00B87A5C" w:rsidP="00471D9F">
            <w:pPr>
              <w:spacing w:line="234" w:lineRule="exact"/>
              <w:ind w:leftChars="5" w:left="12" w:rightChars="-23" w:right="-55"/>
              <w:rPr>
                <w:rFonts w:ascii="微軟正黑體" w:eastAsia="微軟正黑體" w:hAnsi="微軟正黑體"/>
                <w:sz w:val="22"/>
                <w:szCs w:val="22"/>
              </w:rPr>
            </w:pPr>
            <w:r w:rsidRPr="00F13900">
              <w:rPr>
                <w:rFonts w:ascii="微軟正黑體" w:eastAsia="微軟正黑體" w:hAnsi="微軟正黑體"/>
                <w:sz w:val="22"/>
                <w:szCs w:val="22"/>
              </w:rPr>
              <w:t>65/60</w:t>
            </w:r>
            <w:r w:rsidR="00BB633E">
              <w:rPr>
                <w:rFonts w:ascii="微軟正黑體" w:eastAsia="微軟正黑體" w:hAnsi="微軟正黑體" w:hint="eastAsia"/>
                <w:sz w:val="22"/>
                <w:szCs w:val="22"/>
              </w:rPr>
              <w:t xml:space="preserve"> </w:t>
            </w:r>
            <w:r w:rsidRPr="009C28C3">
              <w:rPr>
                <w:rFonts w:ascii="微軟正黑體" w:eastAsia="微軟正黑體" w:hAnsi="微軟正黑體" w:hint="eastAsia"/>
                <w:sz w:val="18"/>
                <w:szCs w:val="18"/>
              </w:rPr>
              <w:t>(提存式確定提撥制)</w:t>
            </w:r>
          </w:p>
        </w:tc>
        <w:tc>
          <w:tcPr>
            <w:tcW w:w="1358" w:type="dxa"/>
            <w:shd w:val="clear" w:color="auto" w:fill="auto"/>
            <w:vAlign w:val="center"/>
          </w:tcPr>
          <w:p w:rsidR="00B87A5C" w:rsidRPr="00F13900" w:rsidRDefault="00B87A5C" w:rsidP="009C28C3">
            <w:pPr>
              <w:spacing w:line="234" w:lineRule="exact"/>
              <w:ind w:leftChars="19" w:left="46" w:rightChars="-32" w:right="-77"/>
              <w:rPr>
                <w:rFonts w:ascii="微軟正黑體" w:eastAsia="微軟正黑體" w:hAnsi="微軟正黑體"/>
                <w:sz w:val="22"/>
                <w:szCs w:val="22"/>
              </w:rPr>
            </w:pPr>
            <w:r w:rsidRPr="00F13900">
              <w:rPr>
                <w:rFonts w:ascii="微軟正黑體" w:eastAsia="微軟正黑體" w:hAnsi="微軟正黑體" w:hint="eastAsia"/>
                <w:sz w:val="22"/>
                <w:szCs w:val="22"/>
              </w:rPr>
              <w:t>65</w:t>
            </w:r>
            <w:r w:rsidR="00BB633E">
              <w:rPr>
                <w:rFonts w:ascii="微軟正黑體" w:eastAsia="微軟正黑體" w:hAnsi="微軟正黑體" w:hint="eastAsia"/>
                <w:sz w:val="22"/>
                <w:szCs w:val="22"/>
              </w:rPr>
              <w:t xml:space="preserve"> </w:t>
            </w:r>
            <w:r w:rsidRPr="009C28C3">
              <w:rPr>
                <w:rFonts w:ascii="微軟正黑體" w:eastAsia="微軟正黑體" w:hAnsi="微軟正黑體" w:hint="eastAsia"/>
                <w:sz w:val="18"/>
                <w:szCs w:val="18"/>
              </w:rPr>
              <w:t>(最低年金、標的給付)</w:t>
            </w:r>
          </w:p>
          <w:p w:rsidR="00B87A5C" w:rsidRPr="00F13900" w:rsidRDefault="00B87A5C" w:rsidP="00471D9F">
            <w:pPr>
              <w:spacing w:line="234" w:lineRule="exact"/>
              <w:ind w:leftChars="19" w:left="46" w:rightChars="-23" w:right="-55"/>
              <w:rPr>
                <w:rFonts w:ascii="微軟正黑體" w:eastAsia="微軟正黑體" w:hAnsi="微軟正黑體"/>
                <w:sz w:val="22"/>
                <w:szCs w:val="22"/>
              </w:rPr>
            </w:pPr>
            <w:r w:rsidRPr="00F13900">
              <w:rPr>
                <w:rFonts w:ascii="微軟正黑體" w:eastAsia="微軟正黑體" w:hAnsi="微軟正黑體"/>
                <w:sz w:val="22"/>
                <w:szCs w:val="22"/>
              </w:rPr>
              <w:t>65/60</w:t>
            </w:r>
            <w:r w:rsidR="009C28C3">
              <w:rPr>
                <w:rFonts w:ascii="微軟正黑體" w:eastAsia="微軟正黑體" w:hAnsi="微軟正黑體" w:hint="eastAsia"/>
                <w:sz w:val="22"/>
                <w:szCs w:val="22"/>
              </w:rPr>
              <w:t xml:space="preserve"> </w:t>
            </w:r>
            <w:r w:rsidRPr="009C28C3">
              <w:rPr>
                <w:rFonts w:ascii="微軟正黑體" w:eastAsia="微軟正黑體" w:hAnsi="微軟正黑體" w:hint="eastAsia"/>
                <w:sz w:val="18"/>
                <w:szCs w:val="18"/>
              </w:rPr>
              <w:t>(提存式確定提撥制)</w:t>
            </w:r>
          </w:p>
        </w:tc>
        <w:tc>
          <w:tcPr>
            <w:tcW w:w="1064"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r w:rsidR="00B87A5C" w:rsidRPr="00F13900" w:rsidTr="00BF1A62">
        <w:trPr>
          <w:trHeight w:val="447"/>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法國</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60.2</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60.2</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28.4</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20.2</w:t>
            </w:r>
          </w:p>
        </w:tc>
        <w:tc>
          <w:tcPr>
            <w:tcW w:w="966" w:type="dxa"/>
            <w:shd w:val="clear" w:color="auto" w:fill="auto"/>
            <w:vAlign w:val="center"/>
          </w:tcPr>
          <w:p w:rsidR="00B87A5C" w:rsidRPr="00F13900" w:rsidRDefault="00B87A5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27.8</w:t>
            </w:r>
            <w:r w:rsidRPr="00F13900">
              <w:rPr>
                <w:rFonts w:ascii="微軟正黑體" w:eastAsia="微軟正黑體" w:hAnsi="微軟正黑體" w:hint="eastAsia"/>
                <w:sz w:val="20"/>
                <w:szCs w:val="20"/>
                <w:vertAlign w:val="superscript"/>
              </w:rPr>
              <w:t>(註3)</w:t>
            </w:r>
          </w:p>
        </w:tc>
        <w:tc>
          <w:tcPr>
            <w:tcW w:w="1330" w:type="dxa"/>
            <w:shd w:val="clear" w:color="auto" w:fill="auto"/>
            <w:vAlign w:val="center"/>
          </w:tcPr>
          <w:p w:rsidR="00B87A5C" w:rsidRPr="00F13900" w:rsidRDefault="00B87A5C" w:rsidP="009C28C3">
            <w:pPr>
              <w:spacing w:line="240" w:lineRule="exact"/>
              <w:ind w:leftChars="-30" w:left="-72"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11.3</w:t>
            </w:r>
            <w:r w:rsidRPr="00F13900">
              <w:rPr>
                <w:rFonts w:ascii="微軟正黑體" w:eastAsia="微軟正黑體" w:hAnsi="微軟正黑體"/>
                <w:sz w:val="22"/>
                <w:szCs w:val="22"/>
              </w:rPr>
              <w:t>/</w:t>
            </w:r>
            <w:r w:rsidRPr="00F13900">
              <w:rPr>
                <w:rFonts w:ascii="微軟正黑體" w:eastAsia="微軟正黑體" w:hAnsi="微軟正黑體" w:hint="eastAsia"/>
                <w:sz w:val="22"/>
                <w:szCs w:val="22"/>
              </w:rPr>
              <w:t>16.5</w:t>
            </w:r>
            <w:r w:rsidRPr="00F13900">
              <w:rPr>
                <w:rFonts w:ascii="微軟正黑體" w:eastAsia="微軟正黑體" w:hAnsi="微軟正黑體" w:hint="eastAsia"/>
                <w:sz w:val="20"/>
                <w:szCs w:val="20"/>
                <w:vertAlign w:val="superscript"/>
              </w:rPr>
              <w:t>(註3)</w:t>
            </w:r>
          </w:p>
        </w:tc>
        <w:tc>
          <w:tcPr>
            <w:tcW w:w="1385" w:type="dxa"/>
            <w:shd w:val="clear" w:color="auto" w:fill="auto"/>
            <w:tcMar>
              <w:left w:w="57" w:type="dxa"/>
              <w:right w:w="57" w:type="dxa"/>
            </w:tcMar>
            <w:vAlign w:val="center"/>
          </w:tcPr>
          <w:p w:rsidR="00B87A5C" w:rsidRPr="00F13900" w:rsidRDefault="00B87A5C" w:rsidP="009C28C3">
            <w:pPr>
              <w:spacing w:line="234" w:lineRule="exact"/>
              <w:ind w:leftChars="5" w:left="12" w:rightChars="-7" w:right="-17"/>
              <w:rPr>
                <w:rFonts w:ascii="微軟正黑體" w:eastAsia="微軟正黑體" w:hAnsi="微軟正黑體"/>
                <w:sz w:val="18"/>
                <w:szCs w:val="18"/>
              </w:rPr>
            </w:pPr>
            <w:r w:rsidRPr="00F13900">
              <w:rPr>
                <w:rFonts w:ascii="微軟正黑體" w:eastAsia="微軟正黑體" w:hAnsi="微軟正黑體" w:hint="eastAsia"/>
                <w:sz w:val="22"/>
                <w:szCs w:val="22"/>
              </w:rPr>
              <w:t>63.5</w:t>
            </w:r>
            <w:r w:rsidR="00BB633E" w:rsidRPr="009C28C3">
              <w:rPr>
                <w:rFonts w:ascii="微軟正黑體" w:eastAsia="微軟正黑體" w:hAnsi="微軟正黑體" w:hint="eastAsia"/>
                <w:sz w:val="18"/>
                <w:szCs w:val="18"/>
              </w:rPr>
              <w:t xml:space="preserve"> </w:t>
            </w:r>
            <w:r w:rsidRPr="009C28C3">
              <w:rPr>
                <w:rFonts w:ascii="微軟正黑體" w:eastAsia="微軟正黑體" w:hAnsi="微軟正黑體" w:hint="eastAsia"/>
                <w:sz w:val="18"/>
                <w:szCs w:val="18"/>
              </w:rPr>
              <w:t>(確定給付、最低年金)</w:t>
            </w:r>
          </w:p>
          <w:p w:rsidR="00B87A5C" w:rsidRPr="00F13900" w:rsidRDefault="00B87A5C" w:rsidP="00471D9F">
            <w:pPr>
              <w:spacing w:line="234" w:lineRule="exact"/>
              <w:ind w:leftChars="5" w:left="12" w:rightChars="-23" w:right="-55"/>
              <w:rPr>
                <w:rFonts w:ascii="微軟正黑體" w:eastAsia="微軟正黑體" w:hAnsi="微軟正黑體"/>
                <w:sz w:val="18"/>
                <w:szCs w:val="18"/>
              </w:rPr>
            </w:pPr>
            <w:r w:rsidRPr="00F13900">
              <w:rPr>
                <w:rFonts w:ascii="微軟正黑體" w:eastAsia="微軟正黑體" w:hAnsi="微軟正黑體" w:hint="eastAsia"/>
                <w:sz w:val="22"/>
                <w:szCs w:val="22"/>
              </w:rPr>
              <w:t>64.5</w:t>
            </w:r>
            <w:r w:rsidRPr="009C28C3">
              <w:rPr>
                <w:rFonts w:ascii="微軟正黑體" w:eastAsia="微軟正黑體" w:hAnsi="微軟正黑體" w:hint="eastAsia"/>
                <w:sz w:val="18"/>
                <w:szCs w:val="18"/>
              </w:rPr>
              <w:t>(點數方案)</w:t>
            </w:r>
          </w:p>
        </w:tc>
        <w:tc>
          <w:tcPr>
            <w:tcW w:w="1358" w:type="dxa"/>
            <w:shd w:val="clear" w:color="auto" w:fill="auto"/>
            <w:vAlign w:val="center"/>
          </w:tcPr>
          <w:p w:rsidR="00B87A5C" w:rsidRPr="00F13900" w:rsidRDefault="00B87A5C" w:rsidP="009C28C3">
            <w:pPr>
              <w:spacing w:line="234" w:lineRule="exact"/>
              <w:ind w:leftChars="19" w:left="46" w:rightChars="-32" w:right="-77"/>
              <w:rPr>
                <w:rFonts w:ascii="微軟正黑體" w:eastAsia="微軟正黑體" w:hAnsi="微軟正黑體"/>
                <w:sz w:val="20"/>
                <w:szCs w:val="20"/>
              </w:rPr>
            </w:pPr>
            <w:r w:rsidRPr="00F13900">
              <w:rPr>
                <w:rFonts w:ascii="微軟正黑體" w:eastAsia="微軟正黑體" w:hAnsi="微軟正黑體"/>
                <w:sz w:val="22"/>
                <w:szCs w:val="22"/>
              </w:rPr>
              <w:t>6</w:t>
            </w:r>
            <w:r w:rsidRPr="00F13900">
              <w:rPr>
                <w:rFonts w:ascii="微軟正黑體" w:eastAsia="微軟正黑體" w:hAnsi="微軟正黑體" w:hint="eastAsia"/>
                <w:sz w:val="22"/>
                <w:szCs w:val="22"/>
              </w:rPr>
              <w:t>5</w:t>
            </w:r>
            <w:r w:rsidR="00BB633E">
              <w:rPr>
                <w:rFonts w:ascii="微軟正黑體" w:eastAsia="微軟正黑體" w:hAnsi="微軟正黑體" w:hint="eastAsia"/>
                <w:sz w:val="22"/>
                <w:szCs w:val="22"/>
              </w:rPr>
              <w:t xml:space="preserve"> </w:t>
            </w:r>
            <w:r w:rsidRPr="009C28C3">
              <w:rPr>
                <w:rFonts w:ascii="微軟正黑體" w:eastAsia="微軟正黑體" w:hAnsi="微軟正黑體" w:hint="eastAsia"/>
                <w:sz w:val="18"/>
                <w:szCs w:val="18"/>
              </w:rPr>
              <w:t>(確定給付、最低年金)</w:t>
            </w:r>
          </w:p>
          <w:p w:rsidR="00B87A5C" w:rsidRPr="00F13900" w:rsidRDefault="00B87A5C" w:rsidP="00471D9F">
            <w:pPr>
              <w:spacing w:line="234" w:lineRule="exact"/>
              <w:ind w:leftChars="19" w:left="46" w:rightChars="-23" w:right="-55"/>
              <w:rPr>
                <w:rFonts w:ascii="微軟正黑體" w:eastAsia="微軟正黑體" w:hAnsi="微軟正黑體"/>
                <w:sz w:val="22"/>
                <w:szCs w:val="22"/>
              </w:rPr>
            </w:pPr>
            <w:r w:rsidRPr="00F13900">
              <w:rPr>
                <w:rFonts w:ascii="微軟正黑體" w:eastAsia="微軟正黑體" w:hAnsi="微軟正黑體" w:hint="eastAsia"/>
                <w:sz w:val="22"/>
                <w:szCs w:val="22"/>
              </w:rPr>
              <w:t>66</w:t>
            </w:r>
            <w:r w:rsidR="00C35AC6">
              <w:rPr>
                <w:rFonts w:ascii="微軟正黑體" w:eastAsia="微軟正黑體" w:hAnsi="微軟正黑體" w:hint="eastAsia"/>
                <w:sz w:val="22"/>
                <w:szCs w:val="22"/>
              </w:rPr>
              <w:t xml:space="preserve"> </w:t>
            </w:r>
            <w:r w:rsidRPr="009C28C3">
              <w:rPr>
                <w:rFonts w:ascii="微軟正黑體" w:eastAsia="微軟正黑體" w:hAnsi="微軟正黑體" w:hint="eastAsia"/>
                <w:sz w:val="18"/>
                <w:szCs w:val="18"/>
              </w:rPr>
              <w:t>(點數方案)</w:t>
            </w:r>
          </w:p>
        </w:tc>
        <w:tc>
          <w:tcPr>
            <w:tcW w:w="1064" w:type="dxa"/>
            <w:shd w:val="clear" w:color="auto" w:fill="auto"/>
            <w:tcMar>
              <w:left w:w="57" w:type="dxa"/>
              <w:right w:w="57" w:type="dxa"/>
            </w:tcMar>
            <w:vAlign w:val="center"/>
          </w:tcPr>
          <w:p w:rsidR="00B87A5C" w:rsidRPr="00F13900" w:rsidRDefault="00B87A5C" w:rsidP="00471D9F">
            <w:pPr>
              <w:spacing w:line="234" w:lineRule="exact"/>
              <w:ind w:leftChars="-22" w:left="-53" w:rightChars="-23" w:right="-55" w:firstLineChars="24" w:firstLine="53"/>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1.16</w:t>
            </w:r>
          </w:p>
        </w:tc>
        <w:tc>
          <w:tcPr>
            <w:tcW w:w="1651" w:type="dxa"/>
            <w:shd w:val="clear" w:color="auto" w:fill="auto"/>
            <w:vAlign w:val="center"/>
          </w:tcPr>
          <w:p w:rsidR="00BB633E"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最佳25年</w:t>
            </w:r>
          </w:p>
          <w:p w:rsidR="00B87A5C" w:rsidRPr="009C28C3" w:rsidRDefault="00B87A5C" w:rsidP="00471D9F">
            <w:pPr>
              <w:spacing w:line="234" w:lineRule="exact"/>
              <w:jc w:val="center"/>
              <w:rPr>
                <w:rFonts w:ascii="微軟正黑體" w:eastAsia="微軟正黑體" w:hAnsi="微軟正黑體"/>
                <w:sz w:val="18"/>
                <w:szCs w:val="18"/>
              </w:rPr>
            </w:pPr>
            <w:r w:rsidRPr="009C28C3">
              <w:rPr>
                <w:rFonts w:ascii="微軟正黑體" w:eastAsia="微軟正黑體" w:hAnsi="微軟正黑體" w:hint="eastAsia"/>
                <w:sz w:val="18"/>
                <w:szCs w:val="18"/>
              </w:rPr>
              <w:t>(確定給付制)</w:t>
            </w:r>
          </w:p>
          <w:p w:rsidR="00B87A5C" w:rsidRPr="00F13900" w:rsidRDefault="00B87A5C" w:rsidP="00C35AC6">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終身</w:t>
            </w:r>
            <w:r w:rsidR="00C35AC6">
              <w:rPr>
                <w:rFonts w:ascii="微軟正黑體" w:eastAsia="微軟正黑體" w:hAnsi="微軟正黑體" w:hint="eastAsia"/>
                <w:sz w:val="18"/>
                <w:szCs w:val="18"/>
              </w:rPr>
              <w:t>(</w:t>
            </w:r>
            <w:r w:rsidRPr="009C28C3">
              <w:rPr>
                <w:rFonts w:ascii="微軟正黑體" w:eastAsia="微軟正黑體" w:hAnsi="微軟正黑體" w:hint="eastAsia"/>
                <w:sz w:val="18"/>
                <w:szCs w:val="18"/>
              </w:rPr>
              <w:t>點數方案)</w:t>
            </w:r>
          </w:p>
        </w:tc>
      </w:tr>
      <w:tr w:rsidR="00B87A5C" w:rsidRPr="00F13900" w:rsidTr="00BF1A62">
        <w:trPr>
          <w:trHeight w:val="34"/>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德國</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41.5</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41.5</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14.1</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19.3</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18.6</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9.</w:t>
            </w:r>
            <w:r w:rsidRPr="00F13900">
              <w:rPr>
                <w:rFonts w:ascii="微軟正黑體" w:eastAsia="微軟正黑體" w:hAnsi="微軟正黑體" w:hint="eastAsia"/>
                <w:sz w:val="22"/>
                <w:szCs w:val="22"/>
              </w:rPr>
              <w:t>3</w:t>
            </w:r>
            <w:r w:rsidRPr="00F13900">
              <w:rPr>
                <w:rFonts w:ascii="微軟正黑體" w:eastAsia="微軟正黑體" w:hAnsi="微軟正黑體"/>
                <w:sz w:val="22"/>
                <w:szCs w:val="22"/>
              </w:rPr>
              <w:t>/9.</w:t>
            </w:r>
            <w:r w:rsidRPr="00F13900">
              <w:rPr>
                <w:rFonts w:ascii="微軟正黑體" w:eastAsia="微軟正黑體" w:hAnsi="微軟正黑體" w:hint="eastAsia"/>
                <w:sz w:val="22"/>
                <w:szCs w:val="22"/>
              </w:rPr>
              <w:t>3</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65</w:t>
            </w:r>
            <w:r w:rsidRPr="00F13900">
              <w:rPr>
                <w:rFonts w:ascii="微軟正黑體" w:eastAsia="微軟正黑體" w:hAnsi="微軟正黑體" w:hint="eastAsia"/>
                <w:sz w:val="22"/>
                <w:szCs w:val="22"/>
              </w:rPr>
              <w:t>.7</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67</w:t>
            </w:r>
          </w:p>
        </w:tc>
        <w:tc>
          <w:tcPr>
            <w:tcW w:w="1064"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終身</w:t>
            </w:r>
          </w:p>
        </w:tc>
      </w:tr>
      <w:tr w:rsidR="00B87A5C" w:rsidRPr="00F13900" w:rsidTr="00BF1A62">
        <w:trPr>
          <w:trHeight w:val="102"/>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希臘</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72.6</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72.6</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21.8</w:t>
            </w:r>
          </w:p>
          <w:p w:rsidR="00B87A5C" w:rsidRPr="009C28C3" w:rsidRDefault="00B87A5C" w:rsidP="00471D9F">
            <w:pPr>
              <w:tabs>
                <w:tab w:val="left" w:pos="709"/>
              </w:tabs>
              <w:spacing w:line="234" w:lineRule="exact"/>
              <w:ind w:leftChars="-17" w:left="-41" w:rightChars="-23" w:right="-55"/>
              <w:jc w:val="center"/>
              <w:rPr>
                <w:rFonts w:ascii="微軟正黑體" w:eastAsia="微軟正黑體" w:hAnsi="微軟正黑體"/>
                <w:sz w:val="18"/>
                <w:szCs w:val="18"/>
              </w:rPr>
            </w:pPr>
            <w:r w:rsidRPr="009C28C3">
              <w:rPr>
                <w:rFonts w:ascii="微軟正黑體" w:eastAsia="微軟正黑體" w:hAnsi="微軟正黑體" w:hint="eastAsia"/>
                <w:sz w:val="18"/>
                <w:szCs w:val="18"/>
              </w:rPr>
              <w:t>(以居住為條件)</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26.5</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w:t>
            </w:r>
            <w:r w:rsidRPr="00F13900">
              <w:rPr>
                <w:rFonts w:ascii="微軟正黑體" w:eastAsia="微軟正黑體" w:hAnsi="微軟正黑體" w:hint="eastAsia"/>
                <w:sz w:val="22"/>
                <w:szCs w:val="22"/>
              </w:rPr>
              <w:t>7</w:t>
            </w:r>
            <w:r w:rsidRPr="00F13900">
              <w:rPr>
                <w:rFonts w:ascii="微軟正黑體" w:eastAsia="微軟正黑體" w:hAnsi="微軟正黑體"/>
                <w:sz w:val="22"/>
                <w:szCs w:val="22"/>
              </w:rPr>
              <w:t>/</w:t>
            </w:r>
            <w:r w:rsidRPr="00F13900">
              <w:rPr>
                <w:rFonts w:ascii="微軟正黑體" w:eastAsia="微軟正黑體" w:hAnsi="微軟正黑體" w:hint="eastAsia"/>
                <w:sz w:val="22"/>
                <w:szCs w:val="22"/>
              </w:rPr>
              <w:t>19.8</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w:t>
            </w:r>
            <w:r w:rsidRPr="00F13900">
              <w:rPr>
                <w:rFonts w:ascii="微軟正黑體" w:eastAsia="微軟正黑體" w:hAnsi="微軟正黑體" w:hint="eastAsia"/>
                <w:sz w:val="22"/>
                <w:szCs w:val="22"/>
              </w:rPr>
              <w:t>2</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66</w:t>
            </w:r>
          </w:p>
        </w:tc>
        <w:tc>
          <w:tcPr>
            <w:tcW w:w="1064" w:type="dxa"/>
            <w:shd w:val="clear" w:color="auto" w:fill="auto"/>
            <w:tcMar>
              <w:left w:w="57" w:type="dxa"/>
              <w:right w:w="57" w:type="dxa"/>
            </w:tcMar>
            <w:vAlign w:val="center"/>
          </w:tcPr>
          <w:p w:rsidR="00B87A5C" w:rsidRPr="00F13900" w:rsidRDefault="00B87A5C" w:rsidP="009C28C3">
            <w:pPr>
              <w:spacing w:line="28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1.14</w:t>
            </w:r>
            <w:r w:rsidRPr="00F13900">
              <w:rPr>
                <w:rFonts w:ascii="微軟正黑體" w:eastAsia="微軟正黑體" w:hAnsi="微軟正黑體" w:hint="eastAsia"/>
                <w:sz w:val="22"/>
                <w:szCs w:val="22"/>
                <w:vertAlign w:val="superscript"/>
              </w:rPr>
              <w:t>(註5)</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終身</w:t>
            </w:r>
          </w:p>
        </w:tc>
      </w:tr>
      <w:tr w:rsidR="00B87A5C" w:rsidRPr="00F13900" w:rsidTr="00BF1A62">
        <w:trPr>
          <w:trHeight w:val="20"/>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義大利</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74.6</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74.6</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134"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19.8</w:t>
            </w:r>
          </w:p>
        </w:tc>
        <w:tc>
          <w:tcPr>
            <w:tcW w:w="10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22.7</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33</w:t>
            </w:r>
            <w:r w:rsidRPr="00F13900">
              <w:rPr>
                <w:rFonts w:ascii="微軟正黑體" w:eastAsia="微軟正黑體" w:hAnsi="微軟正黑體" w:hint="eastAsia"/>
                <w:sz w:val="22"/>
                <w:szCs w:val="22"/>
              </w:rPr>
              <w:t>.0</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9.</w:t>
            </w:r>
            <w:r w:rsidRPr="00F13900">
              <w:rPr>
                <w:rFonts w:ascii="微軟正黑體" w:eastAsia="微軟正黑體" w:hAnsi="微軟正黑體" w:hint="eastAsia"/>
                <w:sz w:val="22"/>
                <w:szCs w:val="22"/>
              </w:rPr>
              <w:t>19</w:t>
            </w:r>
            <w:r w:rsidRPr="00F13900">
              <w:rPr>
                <w:rFonts w:ascii="微軟正黑體" w:eastAsia="微軟正黑體" w:hAnsi="微軟正黑體"/>
                <w:sz w:val="22"/>
                <w:szCs w:val="22"/>
              </w:rPr>
              <w:t>/23.8</w:t>
            </w:r>
            <w:r w:rsidRPr="00F13900">
              <w:rPr>
                <w:rFonts w:ascii="微軟正黑體" w:eastAsia="微軟正黑體" w:hAnsi="微軟正黑體" w:hint="eastAsia"/>
                <w:sz w:val="22"/>
                <w:szCs w:val="22"/>
              </w:rPr>
              <w:t>1</w:t>
            </w:r>
          </w:p>
        </w:tc>
        <w:tc>
          <w:tcPr>
            <w:tcW w:w="1385" w:type="dxa"/>
            <w:shd w:val="clear" w:color="auto" w:fill="auto"/>
            <w:tcMar>
              <w:left w:w="57" w:type="dxa"/>
              <w:right w:w="57" w:type="dxa"/>
            </w:tcMar>
            <w:vAlign w:val="center"/>
          </w:tcPr>
          <w:p w:rsidR="00B87A5C" w:rsidRPr="00F13900" w:rsidRDefault="00B87A5C" w:rsidP="00471D9F">
            <w:pPr>
              <w:spacing w:line="234" w:lineRule="exact"/>
              <w:ind w:leftChars="-22" w:left="-53" w:rightChars="-20" w:right="-48"/>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62</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71</w:t>
            </w:r>
          </w:p>
        </w:tc>
        <w:tc>
          <w:tcPr>
            <w:tcW w:w="1064"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終身</w:t>
            </w:r>
          </w:p>
        </w:tc>
      </w:tr>
      <w:tr w:rsidR="00B87A5C" w:rsidRPr="00F13900" w:rsidTr="00BF1A62">
        <w:trPr>
          <w:trHeight w:val="329"/>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日本</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32.4</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32.4</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23.1</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15.1</w:t>
            </w:r>
          </w:p>
          <w:p w:rsidR="00B87A5C" w:rsidRPr="009C28C3" w:rsidRDefault="00B87A5C" w:rsidP="00471D9F">
            <w:pPr>
              <w:tabs>
                <w:tab w:val="left" w:pos="709"/>
              </w:tabs>
              <w:spacing w:line="234" w:lineRule="exact"/>
              <w:ind w:leftChars="-17" w:left="-41" w:rightChars="-23" w:right="-55"/>
              <w:jc w:val="center"/>
              <w:rPr>
                <w:rFonts w:ascii="微軟正黑體" w:eastAsia="微軟正黑體" w:hAnsi="微軟正黑體"/>
                <w:sz w:val="18"/>
                <w:szCs w:val="18"/>
              </w:rPr>
            </w:pPr>
            <w:r w:rsidRPr="009C28C3">
              <w:rPr>
                <w:rFonts w:ascii="微軟正黑體" w:eastAsia="微軟正黑體" w:hAnsi="微軟正黑體" w:hint="eastAsia"/>
                <w:sz w:val="18"/>
                <w:szCs w:val="18"/>
              </w:rPr>
              <w:t>(以繳費為條件)</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18.0</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18.3</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9.15</w:t>
            </w:r>
            <w:r w:rsidRPr="00F13900">
              <w:rPr>
                <w:rFonts w:ascii="微軟正黑體" w:eastAsia="微軟正黑體" w:hAnsi="微軟正黑體"/>
                <w:sz w:val="22"/>
                <w:szCs w:val="22"/>
              </w:rPr>
              <w:t>/</w:t>
            </w:r>
            <w:r w:rsidRPr="00F13900">
              <w:rPr>
                <w:rFonts w:ascii="微軟正黑體" w:eastAsia="微軟正黑體" w:hAnsi="微軟正黑體" w:hint="eastAsia"/>
                <w:sz w:val="22"/>
                <w:szCs w:val="22"/>
              </w:rPr>
              <w:t>9.15</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65</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65</w:t>
            </w:r>
          </w:p>
        </w:tc>
        <w:tc>
          <w:tcPr>
            <w:tcW w:w="1064"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0.55</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終身</w:t>
            </w:r>
          </w:p>
        </w:tc>
      </w:tr>
      <w:tr w:rsidR="00B87A5C" w:rsidRPr="00F13900" w:rsidTr="00BF1A62">
        <w:trPr>
          <w:trHeight w:val="375"/>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韓國</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31,2</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31.2</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11.9</w:t>
            </w:r>
          </w:p>
          <w:p w:rsidR="00B87A5C" w:rsidRPr="009C28C3" w:rsidRDefault="00B87A5C" w:rsidP="00471D9F">
            <w:pPr>
              <w:tabs>
                <w:tab w:val="left" w:pos="709"/>
              </w:tabs>
              <w:spacing w:line="234" w:lineRule="exact"/>
              <w:ind w:leftChars="-17" w:left="-41" w:rightChars="-23" w:right="-55"/>
              <w:jc w:val="center"/>
              <w:rPr>
                <w:rFonts w:ascii="微軟正黑體" w:eastAsia="微軟正黑體" w:hAnsi="微軟正黑體"/>
                <w:sz w:val="18"/>
                <w:szCs w:val="18"/>
              </w:rPr>
            </w:pPr>
            <w:r w:rsidRPr="009C28C3">
              <w:rPr>
                <w:rFonts w:ascii="微軟正黑體" w:eastAsia="微軟正黑體" w:hAnsi="微軟正黑體" w:hint="eastAsia"/>
                <w:sz w:val="18"/>
                <w:szCs w:val="18"/>
              </w:rPr>
              <w:t>(以繳費為條件)</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7.8</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9.0</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4.5/4.5</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w:t>
            </w:r>
            <w:r w:rsidRPr="00F13900">
              <w:rPr>
                <w:rFonts w:ascii="微軟正黑體" w:eastAsia="微軟正黑體" w:hAnsi="微軟正黑體" w:hint="eastAsia"/>
                <w:sz w:val="22"/>
                <w:szCs w:val="22"/>
              </w:rPr>
              <w:t>2</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65</w:t>
            </w:r>
          </w:p>
        </w:tc>
        <w:tc>
          <w:tcPr>
            <w:tcW w:w="1064"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0.51</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終身</w:t>
            </w:r>
          </w:p>
        </w:tc>
      </w:tr>
      <w:tr w:rsidR="00B87A5C" w:rsidRPr="00F13900" w:rsidTr="00BF1A62">
        <w:trPr>
          <w:trHeight w:val="156"/>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葡萄牙</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74.9</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74.9</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134"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27.0</w:t>
            </w:r>
          </w:p>
        </w:tc>
        <w:tc>
          <w:tcPr>
            <w:tcW w:w="10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28.6</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22.7</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7.2</w:t>
            </w:r>
            <w:r w:rsidRPr="00F13900">
              <w:rPr>
                <w:rFonts w:ascii="微軟正黑體" w:eastAsia="微軟正黑體" w:hAnsi="微軟正黑體"/>
                <w:sz w:val="22"/>
                <w:szCs w:val="22"/>
              </w:rPr>
              <w:t>/</w:t>
            </w:r>
            <w:r w:rsidRPr="00F13900">
              <w:rPr>
                <w:rFonts w:ascii="微軟正黑體" w:eastAsia="微軟正黑體" w:hAnsi="微軟正黑體" w:hint="eastAsia"/>
                <w:sz w:val="22"/>
                <w:szCs w:val="22"/>
              </w:rPr>
              <w:t>15.5</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65.3</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68</w:t>
            </w:r>
          </w:p>
        </w:tc>
        <w:tc>
          <w:tcPr>
            <w:tcW w:w="1064" w:type="dxa"/>
            <w:shd w:val="clear" w:color="auto" w:fill="auto"/>
            <w:tcMar>
              <w:left w:w="57" w:type="dxa"/>
              <w:right w:w="57" w:type="dxa"/>
            </w:tcMar>
            <w:vAlign w:val="center"/>
          </w:tcPr>
          <w:p w:rsidR="00B87A5C" w:rsidRPr="00F13900" w:rsidRDefault="00B87A5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2.13</w:t>
            </w:r>
            <w:r w:rsidRPr="00F13900">
              <w:rPr>
                <w:rFonts w:ascii="微軟正黑體" w:eastAsia="微軟正黑體" w:hAnsi="微軟正黑體" w:hint="eastAsia"/>
                <w:sz w:val="20"/>
                <w:szCs w:val="20"/>
                <w:vertAlign w:val="superscript"/>
              </w:rPr>
              <w:t>(註3)</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最佳40年</w:t>
            </w:r>
          </w:p>
        </w:tc>
      </w:tr>
      <w:tr w:rsidR="00B87A5C" w:rsidRPr="00F13900" w:rsidTr="00BF1A62">
        <w:trPr>
          <w:trHeight w:val="162"/>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西班牙</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73.9</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73.9</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20.4</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35.5</w:t>
            </w:r>
          </w:p>
        </w:tc>
        <w:tc>
          <w:tcPr>
            <w:tcW w:w="966" w:type="dxa"/>
            <w:shd w:val="clear" w:color="auto" w:fill="auto"/>
            <w:vAlign w:val="center"/>
          </w:tcPr>
          <w:p w:rsidR="00B87A5C" w:rsidRPr="00F13900" w:rsidRDefault="00B87A5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28.3</w:t>
            </w:r>
            <w:r w:rsidRPr="00F13900">
              <w:rPr>
                <w:rFonts w:ascii="微軟正黑體" w:eastAsia="微軟正黑體" w:hAnsi="微軟正黑體" w:hint="eastAsia"/>
                <w:sz w:val="20"/>
                <w:szCs w:val="20"/>
                <w:vertAlign w:val="superscript"/>
              </w:rPr>
              <w:t>(註4)</w:t>
            </w:r>
          </w:p>
        </w:tc>
        <w:tc>
          <w:tcPr>
            <w:tcW w:w="1330" w:type="dxa"/>
            <w:shd w:val="clear" w:color="auto" w:fill="auto"/>
            <w:vAlign w:val="center"/>
          </w:tcPr>
          <w:p w:rsidR="00B87A5C" w:rsidRPr="00F13900" w:rsidRDefault="00B87A5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4.7/23.6</w:t>
            </w:r>
            <w:r w:rsidRPr="00F13900">
              <w:rPr>
                <w:rFonts w:ascii="微軟正黑體" w:eastAsia="微軟正黑體" w:hAnsi="微軟正黑體" w:hint="eastAsia"/>
                <w:sz w:val="20"/>
                <w:szCs w:val="20"/>
                <w:vertAlign w:val="superscript"/>
              </w:rPr>
              <w:t>(註4)</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65</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w:t>
            </w:r>
            <w:r w:rsidRPr="00F13900">
              <w:rPr>
                <w:rFonts w:ascii="微軟正黑體" w:eastAsia="微軟正黑體" w:hAnsi="微軟正黑體" w:hint="eastAsia"/>
                <w:sz w:val="22"/>
                <w:szCs w:val="22"/>
              </w:rPr>
              <w:t>5</w:t>
            </w:r>
          </w:p>
        </w:tc>
        <w:tc>
          <w:tcPr>
            <w:tcW w:w="1064" w:type="dxa"/>
            <w:shd w:val="clear" w:color="auto" w:fill="auto"/>
            <w:tcMar>
              <w:left w:w="57" w:type="dxa"/>
              <w:right w:w="57" w:type="dxa"/>
            </w:tcMar>
            <w:vAlign w:val="center"/>
          </w:tcPr>
          <w:p w:rsidR="00B87A5C" w:rsidRPr="00F13900" w:rsidRDefault="00B87A5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2.70</w:t>
            </w:r>
            <w:r w:rsidRPr="00F13900">
              <w:rPr>
                <w:rFonts w:ascii="微軟正黑體" w:eastAsia="微軟正黑體" w:hAnsi="微軟正黑體" w:hint="eastAsia"/>
                <w:sz w:val="20"/>
                <w:szCs w:val="20"/>
                <w:vertAlign w:val="superscript"/>
              </w:rPr>
              <w:t>(註5)</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最後25年</w:t>
            </w:r>
          </w:p>
        </w:tc>
      </w:tr>
      <w:tr w:rsidR="00B87A5C" w:rsidRPr="00F13900" w:rsidTr="00BF1A62">
        <w:trPr>
          <w:trHeight w:val="168"/>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瑞典</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41.3</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53.3</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22.2</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17.</w:t>
            </w:r>
            <w:r w:rsidRPr="00F13900">
              <w:rPr>
                <w:rFonts w:ascii="微軟正黑體" w:eastAsia="微軟正黑體" w:hAnsi="微軟正黑體" w:hint="eastAsia"/>
                <w:sz w:val="22"/>
                <w:szCs w:val="22"/>
              </w:rPr>
              <w:t>8</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7.0/</w:t>
            </w:r>
            <w:r w:rsidRPr="00F13900">
              <w:rPr>
                <w:rFonts w:ascii="微軟正黑體" w:eastAsia="微軟正黑體" w:hAnsi="微軟正黑體" w:hint="eastAsia"/>
                <w:sz w:val="22"/>
                <w:szCs w:val="22"/>
              </w:rPr>
              <w:t>10.8</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65</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65</w:t>
            </w:r>
          </w:p>
        </w:tc>
        <w:tc>
          <w:tcPr>
            <w:tcW w:w="1064"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終身</w:t>
            </w:r>
          </w:p>
        </w:tc>
      </w:tr>
      <w:tr w:rsidR="00B87A5C" w:rsidRPr="00F13900" w:rsidTr="00BF1A62">
        <w:trPr>
          <w:trHeight w:val="150"/>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英國</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21.6</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49.0</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16.7</w:t>
            </w:r>
          </w:p>
          <w:p w:rsidR="00B87A5C" w:rsidRPr="009C28C3" w:rsidRDefault="00B87A5C" w:rsidP="00471D9F">
            <w:pPr>
              <w:tabs>
                <w:tab w:val="left" w:pos="709"/>
              </w:tabs>
              <w:spacing w:line="234" w:lineRule="exact"/>
              <w:ind w:leftChars="-17" w:left="-41" w:rightChars="-23" w:right="-55"/>
              <w:jc w:val="center"/>
              <w:rPr>
                <w:rFonts w:ascii="微軟正黑體" w:eastAsia="微軟正黑體" w:hAnsi="微軟正黑體"/>
                <w:sz w:val="18"/>
                <w:szCs w:val="18"/>
              </w:rPr>
            </w:pPr>
            <w:r w:rsidRPr="009C28C3">
              <w:rPr>
                <w:rFonts w:ascii="微軟正黑體" w:eastAsia="微軟正黑體" w:hAnsi="微軟正黑體" w:hint="eastAsia"/>
                <w:sz w:val="18"/>
                <w:szCs w:val="18"/>
              </w:rPr>
              <w:t>(以繳費為條件)</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21.6</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auto"/>
            <w:vAlign w:val="center"/>
          </w:tcPr>
          <w:p w:rsidR="00B87A5C" w:rsidRPr="00F13900" w:rsidRDefault="00B87A5C" w:rsidP="009C28C3">
            <w:pPr>
              <w:spacing w:line="240" w:lineRule="exact"/>
              <w:ind w:leftChars="-23" w:left="-55" w:rightChars="-23" w:right="-55"/>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25.8</w:t>
            </w:r>
            <w:r w:rsidRPr="009C28C3">
              <w:rPr>
                <w:rFonts w:ascii="微軟正黑體" w:eastAsia="微軟正黑體" w:hAnsi="微軟正黑體" w:hint="eastAsia"/>
                <w:spacing w:val="-8"/>
                <w:sz w:val="20"/>
                <w:szCs w:val="20"/>
                <w:vertAlign w:val="superscript"/>
              </w:rPr>
              <w:t>(註3</w:t>
            </w:r>
            <w:r w:rsidR="009C28C3" w:rsidRPr="009C28C3">
              <w:rPr>
                <w:rFonts w:ascii="微軟正黑體" w:eastAsia="微軟正黑體" w:hAnsi="微軟正黑體" w:hint="eastAsia"/>
                <w:spacing w:val="-8"/>
                <w:sz w:val="20"/>
                <w:szCs w:val="20"/>
                <w:vertAlign w:val="superscript"/>
              </w:rPr>
              <w:t>、</w:t>
            </w:r>
            <w:r w:rsidRPr="009C28C3">
              <w:rPr>
                <w:rFonts w:ascii="微軟正黑體" w:eastAsia="微軟正黑體" w:hAnsi="微軟正黑體" w:hint="eastAsia"/>
                <w:spacing w:val="-8"/>
                <w:sz w:val="20"/>
                <w:szCs w:val="20"/>
                <w:vertAlign w:val="superscript"/>
              </w:rPr>
              <w:t>4</w:t>
            </w:r>
            <w:r w:rsidRPr="00F13900">
              <w:rPr>
                <w:rFonts w:ascii="微軟正黑體" w:eastAsia="微軟正黑體" w:hAnsi="微軟正黑體" w:hint="eastAsia"/>
                <w:sz w:val="20"/>
                <w:szCs w:val="20"/>
                <w:vertAlign w:val="superscript"/>
              </w:rPr>
              <w:t>)</w:t>
            </w:r>
          </w:p>
        </w:tc>
        <w:tc>
          <w:tcPr>
            <w:tcW w:w="1330" w:type="dxa"/>
            <w:shd w:val="clear" w:color="auto" w:fill="auto"/>
            <w:vAlign w:val="center"/>
          </w:tcPr>
          <w:p w:rsidR="00B87A5C" w:rsidRPr="00F13900" w:rsidRDefault="00B87A5C" w:rsidP="009C28C3">
            <w:pPr>
              <w:spacing w:line="240" w:lineRule="exact"/>
              <w:ind w:leftChars="-23" w:left="-55" w:rightChars="-29" w:right="-70"/>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12</w:t>
            </w:r>
            <w:r w:rsidRPr="00F13900">
              <w:rPr>
                <w:rFonts w:ascii="微軟正黑體" w:eastAsia="微軟正黑體" w:hAnsi="微軟正黑體"/>
                <w:sz w:val="22"/>
                <w:szCs w:val="22"/>
              </w:rPr>
              <w:t>/1</w:t>
            </w:r>
            <w:r w:rsidRPr="00F13900">
              <w:rPr>
                <w:rFonts w:ascii="微軟正黑體" w:eastAsia="微軟正黑體" w:hAnsi="微軟正黑體" w:hint="eastAsia"/>
                <w:sz w:val="22"/>
                <w:szCs w:val="22"/>
              </w:rPr>
              <w:t>3</w:t>
            </w:r>
            <w:r w:rsidRPr="00F13900">
              <w:rPr>
                <w:rFonts w:ascii="微軟正黑體" w:eastAsia="微軟正黑體" w:hAnsi="微軟正黑體"/>
                <w:sz w:val="22"/>
                <w:szCs w:val="22"/>
              </w:rPr>
              <w:t>.</w:t>
            </w:r>
            <w:r w:rsidRPr="00F13900">
              <w:rPr>
                <w:rFonts w:ascii="微軟正黑體" w:eastAsia="微軟正黑體" w:hAnsi="微軟正黑體" w:hint="eastAsia"/>
                <w:sz w:val="22"/>
                <w:szCs w:val="22"/>
              </w:rPr>
              <w:t>8</w:t>
            </w:r>
            <w:r w:rsidRPr="009C28C3">
              <w:rPr>
                <w:rFonts w:ascii="微軟正黑體" w:eastAsia="微軟正黑體" w:hAnsi="微軟正黑體" w:hint="eastAsia"/>
                <w:spacing w:val="-8"/>
                <w:sz w:val="20"/>
                <w:szCs w:val="20"/>
                <w:vertAlign w:val="superscript"/>
              </w:rPr>
              <w:t>(註3、4</w:t>
            </w:r>
            <w:r w:rsidRPr="00F13900">
              <w:rPr>
                <w:rFonts w:ascii="微軟正黑體" w:eastAsia="微軟正黑體" w:hAnsi="微軟正黑體" w:hint="eastAsia"/>
                <w:sz w:val="20"/>
                <w:szCs w:val="20"/>
                <w:vertAlign w:val="superscript"/>
              </w:rPr>
              <w:t>)</w:t>
            </w:r>
          </w:p>
        </w:tc>
        <w:tc>
          <w:tcPr>
            <w:tcW w:w="1385" w:type="dxa"/>
            <w:shd w:val="clear" w:color="auto" w:fill="auto"/>
            <w:tcMar>
              <w:left w:w="57" w:type="dxa"/>
              <w:right w:w="57" w:type="dxa"/>
            </w:tcMar>
            <w:vAlign w:val="center"/>
          </w:tcPr>
          <w:p w:rsidR="00B87A5C" w:rsidRPr="00F13900" w:rsidRDefault="00B87A5C" w:rsidP="00471D9F">
            <w:pPr>
              <w:spacing w:line="234" w:lineRule="exact"/>
              <w:ind w:leftChars="-22" w:left="-53" w:rightChars="-20" w:right="-48"/>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66</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w:t>
            </w:r>
            <w:r w:rsidRPr="00F13900">
              <w:rPr>
                <w:rFonts w:ascii="微軟正黑體" w:eastAsia="微軟正黑體" w:hAnsi="微軟正黑體" w:hint="eastAsia"/>
                <w:sz w:val="22"/>
                <w:szCs w:val="22"/>
              </w:rPr>
              <w:t>7</w:t>
            </w:r>
          </w:p>
        </w:tc>
        <w:tc>
          <w:tcPr>
            <w:tcW w:w="1064"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r>
      <w:tr w:rsidR="00B87A5C" w:rsidRPr="00F13900" w:rsidTr="00BF1A62">
        <w:trPr>
          <w:trHeight w:val="28"/>
        </w:trPr>
        <w:tc>
          <w:tcPr>
            <w:tcW w:w="1220"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美國</w:t>
            </w:r>
          </w:p>
        </w:tc>
        <w:tc>
          <w:tcPr>
            <w:tcW w:w="992"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39.2</w:t>
            </w:r>
          </w:p>
        </w:tc>
        <w:tc>
          <w:tcPr>
            <w:tcW w:w="1417"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39.2</w:t>
            </w:r>
          </w:p>
        </w:tc>
        <w:tc>
          <w:tcPr>
            <w:tcW w:w="993"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42.1</w:t>
            </w:r>
          </w:p>
        </w:tc>
        <w:tc>
          <w:tcPr>
            <w:tcW w:w="1275" w:type="dxa"/>
            <w:shd w:val="clear" w:color="auto" w:fill="auto"/>
            <w:tcMar>
              <w:left w:w="57" w:type="dxa"/>
              <w:right w:w="57" w:type="dxa"/>
            </w:tcMar>
            <w:vAlign w:val="center"/>
          </w:tcPr>
          <w:p w:rsidR="00B87A5C" w:rsidRPr="00F13900" w:rsidRDefault="00B87A5C" w:rsidP="00471D9F">
            <w:pPr>
              <w:tabs>
                <w:tab w:val="left" w:pos="709"/>
              </w:tabs>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134"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15.6</w:t>
            </w:r>
          </w:p>
        </w:tc>
        <w:tc>
          <w:tcPr>
            <w:tcW w:w="1092" w:type="dxa"/>
            <w:shd w:val="clear" w:color="auto" w:fill="auto"/>
            <w:vAlign w:val="center"/>
          </w:tcPr>
          <w:p w:rsidR="00B87A5C" w:rsidRPr="00F13900" w:rsidRDefault="00B87A5C" w:rsidP="00471D9F">
            <w:pPr>
              <w:tabs>
                <w:tab w:val="left" w:pos="709"/>
              </w:tabs>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10.6</w:t>
            </w:r>
          </w:p>
        </w:tc>
        <w:tc>
          <w:tcPr>
            <w:tcW w:w="1330"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5.3/5.3</w:t>
            </w:r>
          </w:p>
        </w:tc>
        <w:tc>
          <w:tcPr>
            <w:tcW w:w="1385" w:type="dxa"/>
            <w:shd w:val="clear" w:color="auto" w:fill="auto"/>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66</w:t>
            </w:r>
          </w:p>
        </w:tc>
        <w:tc>
          <w:tcPr>
            <w:tcW w:w="1358"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67</w:t>
            </w:r>
          </w:p>
        </w:tc>
        <w:tc>
          <w:tcPr>
            <w:tcW w:w="1064" w:type="dxa"/>
            <w:shd w:val="clear" w:color="auto" w:fill="auto"/>
            <w:tcMar>
              <w:left w:w="57" w:type="dxa"/>
              <w:right w:w="57" w:type="dxa"/>
            </w:tcMar>
            <w:vAlign w:val="center"/>
          </w:tcPr>
          <w:p w:rsidR="00B87A5C" w:rsidRPr="00F13900" w:rsidRDefault="00B87A5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1.23</w:t>
            </w:r>
            <w:r w:rsidRPr="00F13900">
              <w:rPr>
                <w:rFonts w:ascii="微軟正黑體" w:eastAsia="微軟正黑體" w:hAnsi="微軟正黑體" w:hint="eastAsia"/>
                <w:sz w:val="20"/>
                <w:szCs w:val="20"/>
                <w:vertAlign w:val="superscript"/>
              </w:rPr>
              <w:t>(註3)</w:t>
            </w:r>
          </w:p>
        </w:tc>
        <w:tc>
          <w:tcPr>
            <w:tcW w:w="1651" w:type="dxa"/>
            <w:shd w:val="clear" w:color="auto" w:fill="auto"/>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最佳35年</w:t>
            </w:r>
          </w:p>
        </w:tc>
      </w:tr>
      <w:tr w:rsidR="00B87A5C" w:rsidRPr="00F13900" w:rsidTr="00BF1A62">
        <w:trPr>
          <w:trHeight w:val="227"/>
        </w:trPr>
        <w:tc>
          <w:tcPr>
            <w:tcW w:w="1220" w:type="dxa"/>
            <w:shd w:val="clear" w:color="auto" w:fill="EEECE1" w:themeFill="background2"/>
            <w:tcMar>
              <w:left w:w="57" w:type="dxa"/>
              <w:right w:w="57" w:type="dxa"/>
            </w:tcMar>
            <w:vAlign w:val="center"/>
          </w:tcPr>
          <w:p w:rsidR="00B87A5C" w:rsidRPr="00BF1A62" w:rsidRDefault="00B87A5C" w:rsidP="00471D9F">
            <w:pPr>
              <w:spacing w:line="234" w:lineRule="exact"/>
              <w:jc w:val="center"/>
              <w:rPr>
                <w:rFonts w:ascii="微軟正黑體" w:eastAsia="微軟正黑體" w:hAnsi="微軟正黑體"/>
                <w:spacing w:val="-14"/>
                <w:sz w:val="22"/>
                <w:szCs w:val="22"/>
              </w:rPr>
            </w:pPr>
            <w:r w:rsidRPr="00BF1A62">
              <w:rPr>
                <w:rFonts w:ascii="微軟正黑體" w:eastAsia="微軟正黑體" w:hAnsi="微軟正黑體"/>
                <w:spacing w:val="-14"/>
                <w:sz w:val="22"/>
                <w:szCs w:val="22"/>
              </w:rPr>
              <w:t>OECD</w:t>
            </w:r>
            <w:r w:rsidR="00BF1A62" w:rsidRPr="00BF1A62">
              <w:rPr>
                <w:rFonts w:ascii="微軟正黑體" w:eastAsia="微軟正黑體" w:hAnsi="微軟正黑體" w:hint="eastAsia"/>
                <w:spacing w:val="-14"/>
                <w:sz w:val="22"/>
                <w:szCs w:val="22"/>
              </w:rPr>
              <w:t>平均</w:t>
            </w:r>
          </w:p>
        </w:tc>
        <w:tc>
          <w:tcPr>
            <w:tcW w:w="992" w:type="dxa"/>
            <w:shd w:val="clear" w:color="auto" w:fill="EEECE1" w:themeFill="background2"/>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42.2</w:t>
            </w:r>
          </w:p>
        </w:tc>
        <w:tc>
          <w:tcPr>
            <w:tcW w:w="1417" w:type="dxa"/>
            <w:shd w:val="clear" w:color="auto" w:fill="EEECE1" w:themeFill="background2"/>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51.8</w:t>
            </w:r>
          </w:p>
        </w:tc>
        <w:tc>
          <w:tcPr>
            <w:tcW w:w="993" w:type="dxa"/>
            <w:shd w:val="clear" w:color="auto" w:fill="EEECE1" w:themeFill="background2"/>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275" w:type="dxa"/>
            <w:shd w:val="clear" w:color="auto" w:fill="EEECE1" w:themeFill="background2"/>
            <w:tcMar>
              <w:left w:w="57" w:type="dxa"/>
              <w:right w:w="57" w:type="dxa"/>
            </w:tcMar>
            <w:vAlign w:val="center"/>
          </w:tcPr>
          <w:p w:rsidR="00B87A5C" w:rsidRPr="00F13900" w:rsidRDefault="00B87A5C" w:rsidP="00471D9F">
            <w:pPr>
              <w:spacing w:line="234" w:lineRule="exact"/>
              <w:ind w:leftChars="-17" w:left="-41" w:rightChars="-23" w:right="-55"/>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134" w:type="dxa"/>
            <w:shd w:val="clear" w:color="auto" w:fill="EEECE1" w:themeFill="background2"/>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092" w:type="dxa"/>
            <w:shd w:val="clear" w:color="auto" w:fill="EEECE1" w:themeFill="background2"/>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966" w:type="dxa"/>
            <w:shd w:val="clear" w:color="auto" w:fill="EEECE1" w:themeFill="background2"/>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330" w:type="dxa"/>
            <w:shd w:val="clear" w:color="auto" w:fill="EEECE1" w:themeFill="background2"/>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385" w:type="dxa"/>
            <w:shd w:val="clear" w:color="auto" w:fill="EEECE1" w:themeFill="background2"/>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358" w:type="dxa"/>
            <w:shd w:val="clear" w:color="auto" w:fill="EEECE1" w:themeFill="background2"/>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064" w:type="dxa"/>
            <w:shd w:val="clear" w:color="auto" w:fill="EEECE1" w:themeFill="background2"/>
            <w:tcMar>
              <w:left w:w="57" w:type="dxa"/>
              <w:right w:w="57" w:type="dxa"/>
            </w:tcMar>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c>
          <w:tcPr>
            <w:tcW w:w="1651" w:type="dxa"/>
            <w:shd w:val="clear" w:color="auto" w:fill="EEECE1" w:themeFill="background2"/>
            <w:vAlign w:val="center"/>
          </w:tcPr>
          <w:p w:rsidR="00B87A5C" w:rsidRPr="00F13900" w:rsidRDefault="00B87A5C" w:rsidP="00471D9F">
            <w:pPr>
              <w:spacing w:line="234"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w:t>
            </w:r>
          </w:p>
        </w:tc>
      </w:tr>
    </w:tbl>
    <w:p w:rsidR="00B87A5C" w:rsidRPr="00F13900" w:rsidRDefault="00B87A5C" w:rsidP="00B378BC">
      <w:pPr>
        <w:widowControl/>
        <w:spacing w:beforeLines="10" w:before="36" w:line="230" w:lineRule="exact"/>
        <w:ind w:leftChars="-118" w:left="-283"/>
        <w:rPr>
          <w:rFonts w:ascii="微軟正黑體" w:eastAsia="微軟正黑體" w:hAnsi="微軟正黑體"/>
          <w:sz w:val="20"/>
          <w:szCs w:val="20"/>
        </w:rPr>
      </w:pPr>
      <w:r w:rsidRPr="00F13900">
        <w:rPr>
          <w:rFonts w:ascii="微軟正黑體" w:eastAsia="微軟正黑體" w:hAnsi="微軟正黑體" w:hint="eastAsia"/>
          <w:sz w:val="20"/>
          <w:szCs w:val="20"/>
        </w:rPr>
        <w:t>註1</w:t>
      </w:r>
      <w:r w:rsidRPr="00F13900">
        <w:rPr>
          <w:rFonts w:ascii="微軟正黑體" w:eastAsia="微軟正黑體" w:hAnsi="微軟正黑體"/>
          <w:sz w:val="20"/>
          <w:szCs w:val="20"/>
        </w:rPr>
        <w:t>：</w:t>
      </w:r>
      <w:r w:rsidRPr="00F13900">
        <w:rPr>
          <w:rFonts w:ascii="微軟正黑體" w:eastAsia="微軟正黑體" w:hAnsi="微軟正黑體" w:hint="eastAsia"/>
          <w:sz w:val="20"/>
          <w:szCs w:val="20"/>
        </w:rPr>
        <w:t>指2020年進入職場且持續工作之22歲工作者，其未來的一般退休年齡、年資給付率、給付計算基準，以及於一般退休年齡退休時的年金所得替代率。</w:t>
      </w:r>
    </w:p>
    <w:p w:rsidR="00B87A5C" w:rsidRPr="00F13900" w:rsidRDefault="00B87A5C" w:rsidP="00B378BC">
      <w:pPr>
        <w:widowControl/>
        <w:spacing w:line="230" w:lineRule="exact"/>
        <w:ind w:leftChars="-118" w:left="-283"/>
        <w:rPr>
          <w:rFonts w:ascii="微軟正黑體" w:eastAsia="微軟正黑體" w:hAnsi="微軟正黑體"/>
          <w:sz w:val="20"/>
          <w:szCs w:val="20"/>
        </w:rPr>
      </w:pPr>
      <w:r w:rsidRPr="00F13900">
        <w:rPr>
          <w:rFonts w:ascii="微軟正黑體" w:eastAsia="微軟正黑體" w:hAnsi="微軟正黑體" w:hint="eastAsia"/>
          <w:sz w:val="20"/>
          <w:szCs w:val="20"/>
        </w:rPr>
        <w:t>註2：指22歲進入職場，持續工作而於2020年退休者之一般退休年齡。</w:t>
      </w:r>
      <w:r w:rsidR="00C25451">
        <w:rPr>
          <w:rFonts w:ascii="微軟正黑體" w:eastAsia="微軟正黑體" w:hAnsi="微軟正黑體" w:hint="eastAsia"/>
          <w:sz w:val="20"/>
          <w:szCs w:val="20"/>
        </w:rPr>
        <w:t xml:space="preserve">   </w:t>
      </w:r>
      <w:r w:rsidRPr="00F13900">
        <w:rPr>
          <w:rFonts w:ascii="微軟正黑體" w:eastAsia="微軟正黑體" w:hAnsi="微軟正黑體" w:hint="eastAsia"/>
          <w:sz w:val="20"/>
          <w:szCs w:val="20"/>
        </w:rPr>
        <w:t>註3：繳費率或年資給付率隨收入而有不同。</w:t>
      </w:r>
    </w:p>
    <w:p w:rsidR="00474536" w:rsidRPr="00474536" w:rsidRDefault="00BF1A62" w:rsidP="00B378BC">
      <w:pPr>
        <w:widowControl/>
        <w:spacing w:line="230" w:lineRule="exact"/>
        <w:ind w:leftChars="-118" w:left="-283"/>
        <w:rPr>
          <w:rFonts w:ascii="微軟正黑體" w:eastAsia="微軟正黑體" w:hAnsi="微軟正黑體"/>
          <w:sz w:val="20"/>
          <w:szCs w:val="20"/>
        </w:rPr>
      </w:pPr>
      <w:r w:rsidRPr="00BF1A62">
        <w:rPr>
          <w:rFonts w:ascii="微軟正黑體" w:eastAsia="微軟正黑體" w:hAnsi="微軟正黑體"/>
          <w:b/>
          <w:noProof/>
          <w:sz w:val="28"/>
          <w:szCs w:val="28"/>
        </w:rPr>
        <mc:AlternateContent>
          <mc:Choice Requires="wps">
            <w:drawing>
              <wp:anchor distT="0" distB="0" distL="114300" distR="114300" simplePos="0" relativeHeight="252670976" behindDoc="0" locked="0" layoutInCell="1" allowOverlap="1" wp14:anchorId="3DC3A1CB" wp14:editId="1522BAF2">
                <wp:simplePos x="0" y="0"/>
                <wp:positionH relativeFrom="column">
                  <wp:posOffset>-272203</wp:posOffset>
                </wp:positionH>
                <wp:positionV relativeFrom="paragraph">
                  <wp:posOffset>75565</wp:posOffset>
                </wp:positionV>
                <wp:extent cx="8898255" cy="397934"/>
                <wp:effectExtent l="0" t="0" r="0" b="254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8255" cy="397934"/>
                        </a:xfrm>
                        <a:prstGeom prst="rect">
                          <a:avLst/>
                        </a:prstGeom>
                        <a:noFill/>
                        <a:ln w="9525">
                          <a:noFill/>
                          <a:miter lim="800000"/>
                          <a:headEnd/>
                          <a:tailEnd/>
                        </a:ln>
                      </wps:spPr>
                      <wps:txbx>
                        <w:txbxContent>
                          <w:p w:rsidR="00745375" w:rsidRDefault="00745375">
                            <w:r w:rsidRPr="00F13900">
                              <w:rPr>
                                <w:rFonts w:ascii="微軟正黑體" w:eastAsia="微軟正黑體" w:hAnsi="微軟正黑體"/>
                                <w:sz w:val="20"/>
                                <w:szCs w:val="20"/>
                              </w:rPr>
                              <w:t>資料來源：OECD(20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 Pensions at a Glance 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：OECD and G20 Indicators, OECD Publishing，本文自行製表</w:t>
                            </w:r>
                            <w:r w:rsidRPr="00F13900">
                              <w:rPr>
                                <w:rFonts w:ascii="微軟正黑體" w:eastAsia="微軟正黑體" w:hAnsi="微軟正黑體"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1.45pt;margin-top:5.95pt;width:700.65pt;height:31.3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" filled="f" stroked="f">
                <v:textbox>
                  <w:txbxContent>
                    <w:p w:rsidR="00745375" w:rsidRDefault="00745375">
                      <w:r w:rsidRPr="00F13900">
                        <w:rPr>
                          <w:rFonts w:ascii="微軟正黑體" w:eastAsia="微軟正黑體" w:hAnsi="微軟正黑體"/>
                          <w:sz w:val="20"/>
                          <w:szCs w:val="20"/>
                        </w:rPr>
                        <w:t>資料來源：OECD(20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 Pensions at a Glance 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：OECD and G20 Indicators, OECD Publishing，本文自行製表</w:t>
                      </w:r>
                      <w:r w:rsidRPr="00F13900">
                        <w:rPr>
                          <w:rFonts w:ascii="微軟正黑體" w:eastAsia="微軟正黑體" w:hAnsi="微軟正黑體" w:hint="eastAsia"/>
                          <w:sz w:val="20"/>
                          <w:szCs w:val="20"/>
                        </w:rPr>
                        <w:t>。</w:t>
                      </w:r>
                    </w:p>
                  </w:txbxContent>
                </v:textbox>
              </v:shape>
            </w:pict>
          </mc:Fallback>
        </mc:AlternateContent>
      </w:r>
      <w:r w:rsidR="00B87A5C" w:rsidRPr="00F13900">
        <w:rPr>
          <w:rFonts w:ascii="微軟正黑體" w:eastAsia="微軟正黑體" w:hAnsi="微軟正黑體" w:hint="eastAsia"/>
          <w:sz w:val="20"/>
          <w:szCs w:val="20"/>
        </w:rPr>
        <w:t>註4：西班牙及英國係涵蓋2020年該國不同社會安全制度之費率。</w:t>
      </w:r>
      <w:r w:rsidR="00C25451">
        <w:rPr>
          <w:rFonts w:ascii="微軟正黑體" w:eastAsia="微軟正黑體" w:hAnsi="微軟正黑體" w:hint="eastAsia"/>
          <w:sz w:val="20"/>
          <w:szCs w:val="20"/>
        </w:rPr>
        <w:t xml:space="preserve">  </w:t>
      </w:r>
      <w:r w:rsidR="00C25451" w:rsidRPr="00C25451">
        <w:rPr>
          <w:rFonts w:ascii="微軟正黑體" w:eastAsia="微軟正黑體" w:hAnsi="微軟正黑體" w:hint="eastAsia"/>
          <w:spacing w:val="-6"/>
          <w:sz w:val="20"/>
          <w:szCs w:val="20"/>
        </w:rPr>
        <w:t xml:space="preserve">      </w:t>
      </w:r>
      <w:r w:rsidR="00C25451">
        <w:rPr>
          <w:rFonts w:ascii="微軟正黑體" w:eastAsia="微軟正黑體" w:hAnsi="微軟正黑體" w:hint="eastAsia"/>
          <w:sz w:val="20"/>
          <w:szCs w:val="20"/>
        </w:rPr>
        <w:t xml:space="preserve"> </w:t>
      </w:r>
      <w:r w:rsidR="00B87A5C" w:rsidRPr="00F13900">
        <w:rPr>
          <w:rFonts w:ascii="微軟正黑體" w:eastAsia="微軟正黑體" w:hAnsi="微軟正黑體" w:hint="eastAsia"/>
          <w:sz w:val="20"/>
          <w:szCs w:val="20"/>
        </w:rPr>
        <w:t>註5：年資給付率隨服務年資而有不同。</w:t>
      </w:r>
    </w:p>
    <w:p w:rsidR="00256A9F" w:rsidRPr="00B87A5C" w:rsidRDefault="00B87A5C" w:rsidP="00B87A5C">
      <w:pPr>
        <w:spacing w:beforeLines="50" w:before="180" w:line="400" w:lineRule="exact"/>
        <w:rPr>
          <w:rFonts w:ascii="微軟正黑體" w:eastAsia="微軟正黑體" w:hAnsi="微軟正黑體"/>
          <w:sz w:val="28"/>
          <w:szCs w:val="28"/>
        </w:rPr>
      </w:pPr>
      <w:r>
        <w:rPr>
          <w:rFonts w:ascii="微軟正黑體" w:eastAsia="微軟正黑體" w:hAnsi="微軟正黑體" w:hint="eastAsia"/>
          <w:b/>
          <w:bCs/>
          <w:sz w:val="28"/>
          <w:szCs w:val="28"/>
        </w:rPr>
        <w:lastRenderedPageBreak/>
        <w:t>三、</w:t>
      </w:r>
      <w:r w:rsidR="00256A9F" w:rsidRPr="00B87A5C">
        <w:rPr>
          <w:rFonts w:ascii="微軟正黑體" w:eastAsia="微軟正黑體" w:hAnsi="微軟正黑體"/>
          <w:b/>
          <w:bCs/>
          <w:sz w:val="28"/>
          <w:szCs w:val="28"/>
        </w:rPr>
        <w:t>OECD主要國家年金制度概況(2)</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1424"/>
        <w:gridCol w:w="1559"/>
        <w:gridCol w:w="3685"/>
        <w:gridCol w:w="1560"/>
        <w:gridCol w:w="1718"/>
        <w:gridCol w:w="1967"/>
        <w:gridCol w:w="1985"/>
      </w:tblGrid>
      <w:tr w:rsidR="00C520DC" w:rsidRPr="00F13900" w:rsidTr="00FD36FA">
        <w:trPr>
          <w:trHeight w:val="868"/>
        </w:trPr>
        <w:tc>
          <w:tcPr>
            <w:tcW w:w="1270" w:type="dxa"/>
            <w:vMerge w:val="restart"/>
            <w:shd w:val="clear" w:color="auto" w:fill="EAF1DD" w:themeFill="accent3" w:themeFillTint="33"/>
            <w:vAlign w:val="center"/>
          </w:tcPr>
          <w:p w:rsidR="00C520DC" w:rsidRPr="00F13900" w:rsidRDefault="00C520DC" w:rsidP="009C28C3">
            <w:pPr>
              <w:spacing w:line="240" w:lineRule="exact"/>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國家</w:t>
            </w:r>
          </w:p>
        </w:tc>
        <w:tc>
          <w:tcPr>
            <w:tcW w:w="2983" w:type="dxa"/>
            <w:gridSpan w:val="2"/>
            <w:shd w:val="clear" w:color="auto" w:fill="EAF1DD" w:themeFill="accent3" w:themeFillTint="33"/>
            <w:vAlign w:val="center"/>
          </w:tcPr>
          <w:p w:rsidR="00C520DC" w:rsidRPr="00F13900" w:rsidRDefault="00C520DC" w:rsidP="009C28C3">
            <w:pPr>
              <w:spacing w:line="260" w:lineRule="exact"/>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扶老比</w:t>
            </w:r>
          </w:p>
          <w:p w:rsidR="00FD36FA" w:rsidRPr="00FD36FA" w:rsidRDefault="00C520DC" w:rsidP="00FD36FA">
            <w:pPr>
              <w:spacing w:line="260" w:lineRule="exact"/>
              <w:jc w:val="center"/>
              <w:rPr>
                <w:rFonts w:ascii="微軟正黑體" w:eastAsia="微軟正黑體" w:hAnsi="微軟正黑體"/>
                <w:b/>
                <w:sz w:val="20"/>
                <w:szCs w:val="20"/>
              </w:rPr>
            </w:pPr>
            <w:r w:rsidRPr="00F13900">
              <w:rPr>
                <w:rFonts w:ascii="微軟正黑體" w:eastAsia="微軟正黑體" w:hAnsi="微軟正黑體" w:hint="eastAsia"/>
                <w:b/>
                <w:sz w:val="20"/>
                <w:szCs w:val="20"/>
              </w:rPr>
              <w:t>(</w:t>
            </w:r>
            <w:r w:rsidRPr="00F13900">
              <w:rPr>
                <w:rFonts w:ascii="微軟正黑體" w:eastAsia="微軟正黑體" w:hAnsi="微軟正黑體"/>
                <w:b/>
                <w:sz w:val="20"/>
                <w:szCs w:val="20"/>
              </w:rPr>
              <w:t>老年人口</w:t>
            </w:r>
            <w:r w:rsidRPr="00F13900">
              <w:rPr>
                <w:rFonts w:ascii="微軟正黑體" w:eastAsia="微軟正黑體" w:hAnsi="微軟正黑體" w:hint="eastAsia"/>
                <w:b/>
                <w:sz w:val="20"/>
                <w:szCs w:val="20"/>
              </w:rPr>
              <w:t>/</w:t>
            </w:r>
            <w:r w:rsidRPr="00F13900">
              <w:rPr>
                <w:rFonts w:ascii="微軟正黑體" w:eastAsia="微軟正黑體" w:hAnsi="微軟正黑體"/>
                <w:b/>
                <w:sz w:val="20"/>
                <w:szCs w:val="20"/>
              </w:rPr>
              <w:t>工作</w:t>
            </w:r>
            <w:r w:rsidRPr="00F13900">
              <w:rPr>
                <w:rFonts w:ascii="微軟正黑體" w:eastAsia="微軟正黑體" w:hAnsi="微軟正黑體" w:hint="eastAsia"/>
                <w:b/>
                <w:sz w:val="20"/>
                <w:szCs w:val="20"/>
              </w:rPr>
              <w:t>年齡</w:t>
            </w:r>
            <w:r w:rsidRPr="00F13900">
              <w:rPr>
                <w:rFonts w:ascii="微軟正黑體" w:eastAsia="微軟正黑體" w:hAnsi="微軟正黑體"/>
                <w:b/>
                <w:sz w:val="20"/>
                <w:szCs w:val="20"/>
              </w:rPr>
              <w:t>人口</w:t>
            </w:r>
            <w:r w:rsidRPr="00F13900">
              <w:rPr>
                <w:rFonts w:ascii="微軟正黑體" w:eastAsia="微軟正黑體" w:hAnsi="微軟正黑體" w:hint="eastAsia"/>
                <w:b/>
                <w:sz w:val="20"/>
                <w:szCs w:val="20"/>
              </w:rPr>
              <w:t>,</w:t>
            </w:r>
            <w:r w:rsidRPr="00F13900">
              <w:rPr>
                <w:rFonts w:ascii="微軟正黑體" w:eastAsia="微軟正黑體" w:hAnsi="微軟正黑體"/>
                <w:b/>
                <w:sz w:val="20"/>
                <w:szCs w:val="20"/>
              </w:rPr>
              <w:t>%)</w:t>
            </w:r>
          </w:p>
        </w:tc>
        <w:tc>
          <w:tcPr>
            <w:tcW w:w="3685" w:type="dxa"/>
            <w:shd w:val="clear" w:color="auto" w:fill="EAF1DD" w:themeFill="accent3" w:themeFillTint="33"/>
            <w:vAlign w:val="center"/>
          </w:tcPr>
          <w:p w:rsidR="00C520DC" w:rsidRPr="00F13900" w:rsidRDefault="00C520DC" w:rsidP="009C28C3">
            <w:pPr>
              <w:spacing w:line="26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老年貧窮率</w:t>
            </w:r>
          </w:p>
          <w:p w:rsidR="00C520DC" w:rsidRPr="00FD36FA" w:rsidRDefault="00C520DC" w:rsidP="00FD36FA">
            <w:pPr>
              <w:spacing w:line="260" w:lineRule="exact"/>
              <w:ind w:rightChars="-45" w:right="-108"/>
              <w:jc w:val="center"/>
              <w:rPr>
                <w:rFonts w:ascii="微軟正黑體" w:eastAsia="微軟正黑體" w:hAnsi="微軟正黑體"/>
                <w:b/>
                <w:sz w:val="20"/>
                <w:szCs w:val="20"/>
              </w:rPr>
            </w:pPr>
            <w:r w:rsidRPr="004A44A7">
              <w:rPr>
                <w:rFonts w:ascii="微軟正黑體" w:eastAsia="微軟正黑體" w:hAnsi="微軟正黑體"/>
                <w:b/>
                <w:sz w:val="20"/>
                <w:szCs w:val="20"/>
              </w:rPr>
              <w:t>(</w:t>
            </w:r>
            <w:r w:rsidR="00FD36FA">
              <w:rPr>
                <w:rFonts w:ascii="微軟正黑體" w:eastAsia="微軟正黑體" w:hAnsi="微軟正黑體" w:hint="eastAsia"/>
                <w:b/>
                <w:sz w:val="20"/>
                <w:szCs w:val="20"/>
              </w:rPr>
              <w:t>老年人口之</w:t>
            </w:r>
            <w:r w:rsidRPr="004A44A7">
              <w:rPr>
                <w:rFonts w:ascii="微軟正黑體" w:eastAsia="微軟正黑體" w:hAnsi="微軟正黑體" w:hint="eastAsia"/>
                <w:b/>
                <w:sz w:val="20"/>
                <w:szCs w:val="20"/>
              </w:rPr>
              <w:t>所得低於等值化家戶可支配所得中位數</w:t>
            </w:r>
            <w:r>
              <w:rPr>
                <w:rFonts w:ascii="微軟正黑體" w:eastAsia="微軟正黑體" w:hAnsi="微軟正黑體" w:hint="eastAsia"/>
                <w:b/>
                <w:sz w:val="20"/>
                <w:szCs w:val="20"/>
              </w:rPr>
              <w:t>50%的</w:t>
            </w:r>
            <w:r w:rsidRPr="004A44A7">
              <w:rPr>
                <w:rFonts w:ascii="微軟正黑體" w:eastAsia="微軟正黑體" w:hAnsi="微軟正黑體" w:hint="eastAsia"/>
                <w:b/>
                <w:sz w:val="20"/>
                <w:szCs w:val="20"/>
              </w:rPr>
              <w:t>比率</w:t>
            </w:r>
            <w:r>
              <w:rPr>
                <w:rFonts w:ascii="微軟正黑體" w:eastAsia="微軟正黑體" w:hAnsi="微軟正黑體" w:hint="eastAsia"/>
                <w:b/>
                <w:sz w:val="20"/>
                <w:szCs w:val="20"/>
              </w:rPr>
              <w:t>,</w:t>
            </w:r>
            <w:r w:rsidRPr="004A44A7">
              <w:rPr>
                <w:rFonts w:ascii="微軟正黑體" w:eastAsia="微軟正黑體" w:hAnsi="微軟正黑體"/>
                <w:b/>
                <w:sz w:val="20"/>
                <w:szCs w:val="20"/>
              </w:rPr>
              <w:t>%)</w:t>
            </w:r>
          </w:p>
        </w:tc>
        <w:tc>
          <w:tcPr>
            <w:tcW w:w="3278" w:type="dxa"/>
            <w:gridSpan w:val="2"/>
            <w:shd w:val="clear" w:color="auto" w:fill="EAF1DD" w:themeFill="accent3" w:themeFillTint="33"/>
            <w:vAlign w:val="center"/>
          </w:tcPr>
          <w:p w:rsidR="00C520DC" w:rsidRPr="00F13900" w:rsidRDefault="00C520DC" w:rsidP="009C28C3">
            <w:pPr>
              <w:spacing w:line="26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年金</w:t>
            </w:r>
            <w:r w:rsidRPr="00F13900">
              <w:rPr>
                <w:rFonts w:ascii="微軟正黑體" w:eastAsia="微軟正黑體" w:hAnsi="微軟正黑體" w:hint="eastAsia"/>
                <w:b/>
                <w:sz w:val="22"/>
                <w:szCs w:val="22"/>
              </w:rPr>
              <w:t>公共</w:t>
            </w:r>
            <w:r w:rsidRPr="00F13900">
              <w:rPr>
                <w:rFonts w:ascii="微軟正黑體" w:eastAsia="微軟正黑體" w:hAnsi="微軟正黑體"/>
                <w:b/>
                <w:sz w:val="22"/>
                <w:szCs w:val="22"/>
              </w:rPr>
              <w:t>支出占GDP比率</w:t>
            </w:r>
          </w:p>
          <w:p w:rsidR="00FD36FA" w:rsidRPr="00FD36FA" w:rsidRDefault="00C520DC" w:rsidP="00FD36FA">
            <w:pPr>
              <w:spacing w:line="260" w:lineRule="exact"/>
              <w:jc w:val="center"/>
              <w:rPr>
                <w:rFonts w:ascii="微軟正黑體" w:eastAsia="微軟正黑體" w:hAnsi="微軟正黑體"/>
                <w:b/>
                <w:sz w:val="20"/>
                <w:szCs w:val="20"/>
              </w:rPr>
            </w:pPr>
            <w:r w:rsidRPr="00F13900">
              <w:rPr>
                <w:rFonts w:ascii="微軟正黑體" w:eastAsia="微軟正黑體" w:hAnsi="微軟正黑體"/>
                <w:b/>
                <w:sz w:val="20"/>
                <w:szCs w:val="20"/>
              </w:rPr>
              <w:t>(%)</w:t>
            </w:r>
          </w:p>
        </w:tc>
        <w:tc>
          <w:tcPr>
            <w:tcW w:w="3952" w:type="dxa"/>
            <w:gridSpan w:val="2"/>
            <w:shd w:val="clear" w:color="auto" w:fill="EAF1DD" w:themeFill="accent3" w:themeFillTint="33"/>
            <w:vAlign w:val="center"/>
          </w:tcPr>
          <w:p w:rsidR="00C520DC" w:rsidRPr="00F13900" w:rsidRDefault="00C520DC" w:rsidP="009C28C3">
            <w:pPr>
              <w:spacing w:line="26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公共年金基金規模</w:t>
            </w:r>
          </w:p>
          <w:p w:rsidR="00FD36FA" w:rsidRPr="00FD36FA" w:rsidRDefault="00C520DC" w:rsidP="00FD36FA">
            <w:pPr>
              <w:spacing w:line="260" w:lineRule="exact"/>
              <w:jc w:val="center"/>
              <w:rPr>
                <w:rFonts w:ascii="微軟正黑體" w:eastAsia="微軟正黑體" w:hAnsi="微軟正黑體"/>
                <w:b/>
                <w:sz w:val="20"/>
                <w:szCs w:val="20"/>
              </w:rPr>
            </w:pPr>
            <w:r w:rsidRPr="00F13900">
              <w:rPr>
                <w:rFonts w:ascii="微軟正黑體" w:eastAsia="微軟正黑體" w:hAnsi="微軟正黑體"/>
                <w:b/>
                <w:sz w:val="20"/>
                <w:szCs w:val="20"/>
              </w:rPr>
              <w:t>(20</w:t>
            </w:r>
            <w:r w:rsidRPr="00F13900">
              <w:rPr>
                <w:rFonts w:ascii="微軟正黑體" w:eastAsia="微軟正黑體" w:hAnsi="微軟正黑體" w:hint="eastAsia"/>
                <w:b/>
                <w:sz w:val="20"/>
                <w:szCs w:val="20"/>
              </w:rPr>
              <w:t>20或最近年度</w:t>
            </w:r>
            <w:r w:rsidRPr="00F13900">
              <w:rPr>
                <w:rFonts w:ascii="微軟正黑體" w:eastAsia="微軟正黑體" w:hAnsi="微軟正黑體"/>
                <w:b/>
                <w:sz w:val="20"/>
                <w:szCs w:val="20"/>
              </w:rPr>
              <w:t>)</w:t>
            </w:r>
          </w:p>
        </w:tc>
      </w:tr>
      <w:tr w:rsidR="00C520DC" w:rsidRPr="00F13900" w:rsidTr="00FD36FA">
        <w:trPr>
          <w:trHeight w:val="572"/>
        </w:trPr>
        <w:tc>
          <w:tcPr>
            <w:tcW w:w="1270" w:type="dxa"/>
            <w:vMerge/>
            <w:shd w:val="clear" w:color="auto" w:fill="EAF1DD" w:themeFill="accent3" w:themeFillTint="33"/>
            <w:vAlign w:val="center"/>
          </w:tcPr>
          <w:p w:rsidR="00C520DC" w:rsidRPr="00F13900" w:rsidRDefault="00C520DC" w:rsidP="009C28C3">
            <w:pPr>
              <w:spacing w:line="240" w:lineRule="exact"/>
              <w:jc w:val="center"/>
              <w:rPr>
                <w:rFonts w:ascii="微軟正黑體" w:eastAsia="微軟正黑體" w:hAnsi="微軟正黑體"/>
                <w:sz w:val="22"/>
                <w:szCs w:val="22"/>
              </w:rPr>
            </w:pPr>
          </w:p>
        </w:tc>
        <w:tc>
          <w:tcPr>
            <w:tcW w:w="1424" w:type="dxa"/>
            <w:shd w:val="clear" w:color="auto" w:fill="EAF1DD" w:themeFill="accent3" w:themeFillTint="33"/>
            <w:vAlign w:val="center"/>
          </w:tcPr>
          <w:p w:rsidR="00C520DC" w:rsidRPr="00F13900" w:rsidRDefault="00C520DC" w:rsidP="009C28C3">
            <w:pPr>
              <w:spacing w:line="24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20</w:t>
            </w:r>
            <w:r w:rsidRPr="00F13900">
              <w:rPr>
                <w:rFonts w:ascii="微軟正黑體" w:eastAsia="微軟正黑體" w:hAnsi="微軟正黑體" w:hint="eastAsia"/>
                <w:b/>
                <w:sz w:val="22"/>
                <w:szCs w:val="22"/>
              </w:rPr>
              <w:t>20</w:t>
            </w:r>
          </w:p>
        </w:tc>
        <w:tc>
          <w:tcPr>
            <w:tcW w:w="1559" w:type="dxa"/>
            <w:shd w:val="clear" w:color="auto" w:fill="EAF1DD" w:themeFill="accent3" w:themeFillTint="33"/>
            <w:vAlign w:val="center"/>
          </w:tcPr>
          <w:p w:rsidR="00C520DC" w:rsidRPr="00F13900" w:rsidRDefault="00C520DC" w:rsidP="009C28C3">
            <w:pPr>
              <w:spacing w:line="24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2050</w:t>
            </w:r>
          </w:p>
        </w:tc>
        <w:tc>
          <w:tcPr>
            <w:tcW w:w="3685" w:type="dxa"/>
            <w:shd w:val="clear" w:color="auto" w:fill="EAF1DD" w:themeFill="accent3" w:themeFillTint="33"/>
            <w:vAlign w:val="center"/>
          </w:tcPr>
          <w:p w:rsidR="00C520DC" w:rsidRPr="00F13900" w:rsidRDefault="00C520DC" w:rsidP="009C28C3">
            <w:pPr>
              <w:spacing w:line="240" w:lineRule="exact"/>
              <w:jc w:val="center"/>
              <w:rPr>
                <w:rFonts w:ascii="微軟正黑體" w:eastAsia="微軟正黑體" w:hAnsi="微軟正黑體"/>
                <w:b/>
                <w:sz w:val="22"/>
                <w:szCs w:val="22"/>
              </w:rPr>
            </w:pPr>
            <w:r w:rsidRPr="00F13900">
              <w:rPr>
                <w:rFonts w:ascii="微軟正黑體" w:eastAsia="微軟正黑體" w:hAnsi="微軟正黑體" w:hint="eastAsia"/>
                <w:b/>
                <w:sz w:val="22"/>
                <w:szCs w:val="22"/>
              </w:rPr>
              <w:t>最近資料年度</w:t>
            </w:r>
          </w:p>
        </w:tc>
        <w:tc>
          <w:tcPr>
            <w:tcW w:w="1560" w:type="dxa"/>
            <w:shd w:val="clear" w:color="auto" w:fill="EAF1DD" w:themeFill="accent3" w:themeFillTint="33"/>
            <w:vAlign w:val="center"/>
          </w:tcPr>
          <w:p w:rsidR="00C520DC" w:rsidRPr="00F13900" w:rsidRDefault="00C520DC" w:rsidP="009C28C3">
            <w:pPr>
              <w:spacing w:line="24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201</w:t>
            </w:r>
            <w:r w:rsidRPr="00F13900">
              <w:rPr>
                <w:rFonts w:ascii="微軟正黑體" w:eastAsia="微軟正黑體" w:hAnsi="微軟正黑體" w:hint="eastAsia"/>
                <w:b/>
                <w:sz w:val="22"/>
                <w:szCs w:val="22"/>
              </w:rPr>
              <w:t>8-2020</w:t>
            </w:r>
          </w:p>
        </w:tc>
        <w:tc>
          <w:tcPr>
            <w:tcW w:w="1718" w:type="dxa"/>
            <w:shd w:val="clear" w:color="auto" w:fill="EAF1DD" w:themeFill="accent3" w:themeFillTint="33"/>
            <w:vAlign w:val="center"/>
          </w:tcPr>
          <w:p w:rsidR="00C520DC" w:rsidRPr="00F13900" w:rsidRDefault="00C520DC" w:rsidP="009C28C3">
            <w:pPr>
              <w:spacing w:line="240" w:lineRule="exact"/>
              <w:jc w:val="center"/>
              <w:rPr>
                <w:rFonts w:ascii="微軟正黑體" w:eastAsia="微軟正黑體" w:hAnsi="微軟正黑體"/>
                <w:b/>
                <w:sz w:val="22"/>
                <w:szCs w:val="22"/>
              </w:rPr>
            </w:pPr>
            <w:r w:rsidRPr="00F13900">
              <w:rPr>
                <w:rFonts w:ascii="微軟正黑體" w:eastAsia="微軟正黑體" w:hAnsi="微軟正黑體"/>
                <w:b/>
                <w:sz w:val="22"/>
                <w:szCs w:val="22"/>
              </w:rPr>
              <w:t>20</w:t>
            </w:r>
            <w:r w:rsidRPr="00F13900">
              <w:rPr>
                <w:rFonts w:ascii="微軟正黑體" w:eastAsia="微軟正黑體" w:hAnsi="微軟正黑體" w:hint="eastAsia"/>
                <w:b/>
                <w:sz w:val="22"/>
                <w:szCs w:val="22"/>
              </w:rPr>
              <w:t>50</w:t>
            </w:r>
          </w:p>
        </w:tc>
        <w:tc>
          <w:tcPr>
            <w:tcW w:w="1967" w:type="dxa"/>
            <w:shd w:val="clear" w:color="auto" w:fill="EAF1DD" w:themeFill="accent3" w:themeFillTint="33"/>
            <w:vAlign w:val="center"/>
          </w:tcPr>
          <w:p w:rsidR="00C520DC" w:rsidRPr="00752047" w:rsidRDefault="00C520DC" w:rsidP="009C28C3">
            <w:pPr>
              <w:spacing w:line="240" w:lineRule="exact"/>
              <w:jc w:val="center"/>
              <w:rPr>
                <w:rFonts w:ascii="微軟正黑體" w:eastAsia="微軟正黑體" w:hAnsi="微軟正黑體"/>
                <w:b/>
                <w:sz w:val="22"/>
                <w:szCs w:val="22"/>
              </w:rPr>
            </w:pPr>
            <w:r w:rsidRPr="00752047">
              <w:rPr>
                <w:rFonts w:ascii="微軟正黑體" w:eastAsia="微軟正黑體" w:hAnsi="微軟正黑體" w:hint="eastAsia"/>
                <w:b/>
                <w:sz w:val="22"/>
                <w:szCs w:val="22"/>
              </w:rPr>
              <w:t>公共年金基金占GDP比率(%)</w:t>
            </w:r>
          </w:p>
        </w:tc>
        <w:tc>
          <w:tcPr>
            <w:tcW w:w="1985" w:type="dxa"/>
            <w:shd w:val="clear" w:color="auto" w:fill="EAF1DD" w:themeFill="accent3" w:themeFillTint="33"/>
            <w:vAlign w:val="center"/>
          </w:tcPr>
          <w:p w:rsidR="00C520DC" w:rsidRPr="00752047" w:rsidRDefault="00C520DC" w:rsidP="009C28C3">
            <w:pPr>
              <w:spacing w:line="240" w:lineRule="exact"/>
              <w:jc w:val="center"/>
              <w:rPr>
                <w:rFonts w:ascii="微軟正黑體" w:eastAsia="微軟正黑體" w:hAnsi="微軟正黑體"/>
                <w:b/>
                <w:sz w:val="22"/>
                <w:szCs w:val="22"/>
              </w:rPr>
            </w:pPr>
            <w:r w:rsidRPr="00752047">
              <w:rPr>
                <w:rFonts w:ascii="微軟正黑體" w:eastAsia="微軟正黑體" w:hAnsi="微軟正黑體" w:hint="eastAsia"/>
                <w:b/>
                <w:sz w:val="22"/>
                <w:szCs w:val="22"/>
              </w:rPr>
              <w:t>公共年金基金金額(百萬美元)</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澳洲</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27.7</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41.6</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23.7</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2.6</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2.3</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8.2</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110,571</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加拿大</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29.8</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44.9</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12.3</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5.3</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6.</w:t>
            </w:r>
            <w:r w:rsidRPr="00F13900">
              <w:rPr>
                <w:rFonts w:ascii="微軟正黑體" w:eastAsia="微軟正黑體" w:hAnsi="微軟正黑體" w:hint="eastAsia"/>
                <w:sz w:val="22"/>
                <w:szCs w:val="22"/>
              </w:rPr>
              <w:t>2</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25.6</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438,314</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智利</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19.7</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44.6</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17.6</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4.4</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10,787</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法國</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37.3</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54.5</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4.4</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14.8</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14.3</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6.7</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186,400</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德國</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36.5</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58.1</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9.1</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10.3</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12.2</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1.2</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45,492</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希臘</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37.8</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75.0</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7.5</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15.7</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13.6</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義大利</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39.5</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74.4</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11.3</w:t>
            </w:r>
          </w:p>
        </w:tc>
        <w:tc>
          <w:tcPr>
            <w:tcW w:w="156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15.4</w:t>
            </w:r>
          </w:p>
        </w:tc>
        <w:tc>
          <w:tcPr>
            <w:tcW w:w="1718"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16.2</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5.4</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107,828</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日本</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52.0</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80.7</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20.0</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10.1</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9.3(2040)</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33.0</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1,714,783</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韓國</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23.6</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78.8</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43.4</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1.3</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5.9</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45.1</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795,652</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葡萄牙</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38.6</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71.4</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9.0</w:t>
            </w:r>
          </w:p>
        </w:tc>
        <w:tc>
          <w:tcPr>
            <w:tcW w:w="156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12.7</w:t>
            </w:r>
          </w:p>
        </w:tc>
        <w:tc>
          <w:tcPr>
            <w:tcW w:w="1718"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12.6</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8.5</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19,898</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西班牙</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32.8</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78.4</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10.2</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12.3</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13.0</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0.2</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2,419</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瑞典</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35.9</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45.5</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11.4</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7.6</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7.0</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31.8</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171,626</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英國</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32.0</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47.1</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15.5</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7.7</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8.3</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1.8</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47,282</w:t>
            </w:r>
          </w:p>
        </w:tc>
      </w:tr>
      <w:tr w:rsidR="00C520DC" w:rsidRPr="00F13900" w:rsidTr="00FD36FA">
        <w:trPr>
          <w:trHeight w:val="454"/>
        </w:trPr>
        <w:tc>
          <w:tcPr>
            <w:tcW w:w="1270"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美國</w:t>
            </w:r>
          </w:p>
        </w:tc>
        <w:tc>
          <w:tcPr>
            <w:tcW w:w="1424"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28.4</w:t>
            </w:r>
          </w:p>
        </w:tc>
        <w:tc>
          <w:tcPr>
            <w:tcW w:w="1559"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40.4</w:t>
            </w:r>
          </w:p>
        </w:tc>
        <w:tc>
          <w:tcPr>
            <w:tcW w:w="3685"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23.1</w:t>
            </w:r>
          </w:p>
        </w:tc>
        <w:tc>
          <w:tcPr>
            <w:tcW w:w="1560"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5.0</w:t>
            </w:r>
          </w:p>
        </w:tc>
        <w:tc>
          <w:tcPr>
            <w:tcW w:w="1718" w:type="dxa"/>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5.8</w:t>
            </w:r>
          </w:p>
        </w:tc>
        <w:tc>
          <w:tcPr>
            <w:tcW w:w="1967" w:type="dxa"/>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13.4</w:t>
            </w:r>
          </w:p>
        </w:tc>
        <w:tc>
          <w:tcPr>
            <w:tcW w:w="1985" w:type="dxa"/>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2,811,716</w:t>
            </w:r>
          </w:p>
        </w:tc>
      </w:tr>
      <w:tr w:rsidR="00C520DC" w:rsidRPr="00F13900" w:rsidTr="00FD36FA">
        <w:trPr>
          <w:trHeight w:val="576"/>
        </w:trPr>
        <w:tc>
          <w:tcPr>
            <w:tcW w:w="1270" w:type="dxa"/>
            <w:shd w:val="clear" w:color="auto" w:fill="DDD9C3" w:themeFill="background2" w:themeFillShade="E6"/>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OECD</w:t>
            </w:r>
          </w:p>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sz w:val="22"/>
                <w:szCs w:val="22"/>
              </w:rPr>
              <w:t>平均</w:t>
            </w:r>
          </w:p>
        </w:tc>
        <w:tc>
          <w:tcPr>
            <w:tcW w:w="1424" w:type="dxa"/>
            <w:shd w:val="clear" w:color="auto" w:fill="DDD9C3" w:themeFill="background2" w:themeFillShade="E6"/>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30.4</w:t>
            </w:r>
          </w:p>
        </w:tc>
        <w:tc>
          <w:tcPr>
            <w:tcW w:w="1559" w:type="dxa"/>
            <w:shd w:val="clear" w:color="auto" w:fill="DDD9C3" w:themeFill="background2" w:themeFillShade="E6"/>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52.7</w:t>
            </w:r>
          </w:p>
        </w:tc>
        <w:tc>
          <w:tcPr>
            <w:tcW w:w="3685" w:type="dxa"/>
            <w:shd w:val="clear" w:color="auto" w:fill="DDD9C3" w:themeFill="background2" w:themeFillShade="E6"/>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13.1</w:t>
            </w:r>
          </w:p>
        </w:tc>
        <w:tc>
          <w:tcPr>
            <w:tcW w:w="1560" w:type="dxa"/>
            <w:shd w:val="clear" w:color="auto" w:fill="DDD9C3" w:themeFill="background2" w:themeFillShade="E6"/>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9.0</w:t>
            </w:r>
            <w:r w:rsidRPr="00F13900">
              <w:rPr>
                <w:rFonts w:ascii="微軟正黑體" w:eastAsia="微軟正黑體" w:hAnsi="微軟正黑體" w:hint="eastAsia"/>
                <w:b/>
                <w:sz w:val="20"/>
                <w:szCs w:val="20"/>
                <w:vertAlign w:val="superscript"/>
              </w:rPr>
              <w:t>(註</w:t>
            </w:r>
            <w:r>
              <w:rPr>
                <w:rFonts w:ascii="微軟正黑體" w:eastAsia="微軟正黑體" w:hAnsi="微軟正黑體" w:hint="eastAsia"/>
                <w:b/>
                <w:sz w:val="20"/>
                <w:szCs w:val="20"/>
                <w:vertAlign w:val="superscript"/>
              </w:rPr>
              <w:t>1</w:t>
            </w:r>
            <w:r w:rsidRPr="00F13900">
              <w:rPr>
                <w:rFonts w:ascii="微軟正黑體" w:eastAsia="微軟正黑體" w:hAnsi="微軟正黑體" w:hint="eastAsia"/>
                <w:b/>
                <w:sz w:val="20"/>
                <w:szCs w:val="20"/>
                <w:vertAlign w:val="superscript"/>
              </w:rPr>
              <w:t>)</w:t>
            </w:r>
          </w:p>
        </w:tc>
        <w:tc>
          <w:tcPr>
            <w:tcW w:w="1718" w:type="dxa"/>
            <w:shd w:val="clear" w:color="auto" w:fill="DDD9C3" w:themeFill="background2" w:themeFillShade="E6"/>
            <w:vAlign w:val="center"/>
          </w:tcPr>
          <w:p w:rsidR="00C520DC" w:rsidRPr="00F13900" w:rsidRDefault="00C520DC" w:rsidP="009C28C3">
            <w:pPr>
              <w:widowControl/>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10.4</w:t>
            </w:r>
            <w:r w:rsidRPr="00F13900">
              <w:rPr>
                <w:rFonts w:ascii="微軟正黑體" w:eastAsia="微軟正黑體" w:hAnsi="微軟正黑體" w:hint="eastAsia"/>
                <w:b/>
                <w:sz w:val="20"/>
                <w:szCs w:val="20"/>
                <w:vertAlign w:val="superscript"/>
              </w:rPr>
              <w:t>(註</w:t>
            </w:r>
            <w:r>
              <w:rPr>
                <w:rFonts w:ascii="微軟正黑體" w:eastAsia="微軟正黑體" w:hAnsi="微軟正黑體" w:hint="eastAsia"/>
                <w:b/>
                <w:sz w:val="20"/>
                <w:szCs w:val="20"/>
                <w:vertAlign w:val="superscript"/>
              </w:rPr>
              <w:t>1</w:t>
            </w:r>
            <w:r w:rsidRPr="00F13900">
              <w:rPr>
                <w:rFonts w:ascii="微軟正黑體" w:eastAsia="微軟正黑體" w:hAnsi="微軟正黑體" w:hint="eastAsia"/>
                <w:b/>
                <w:sz w:val="20"/>
                <w:szCs w:val="20"/>
                <w:vertAlign w:val="superscript"/>
              </w:rPr>
              <w:t>)</w:t>
            </w:r>
          </w:p>
        </w:tc>
        <w:tc>
          <w:tcPr>
            <w:tcW w:w="1967" w:type="dxa"/>
            <w:shd w:val="clear" w:color="auto" w:fill="DDD9C3" w:themeFill="background2" w:themeFillShade="E6"/>
            <w:vAlign w:val="center"/>
          </w:tcPr>
          <w:p w:rsidR="00C520DC" w:rsidRPr="00F13900" w:rsidRDefault="00C520DC" w:rsidP="009C28C3">
            <w:pPr>
              <w:spacing w:line="240" w:lineRule="exact"/>
              <w:jc w:val="center"/>
              <w:rPr>
                <w:rFonts w:ascii="微軟正黑體" w:eastAsia="微軟正黑體" w:hAnsi="微軟正黑體"/>
                <w:sz w:val="22"/>
                <w:szCs w:val="22"/>
              </w:rPr>
            </w:pPr>
            <w:r w:rsidRPr="00F13900">
              <w:rPr>
                <w:rFonts w:ascii="微軟正黑體" w:eastAsia="微軟正黑體" w:hAnsi="微軟正黑體" w:hint="eastAsia"/>
                <w:sz w:val="22"/>
                <w:szCs w:val="22"/>
              </w:rPr>
              <w:t>13.9</w:t>
            </w:r>
            <w:r w:rsidRPr="00F13900">
              <w:rPr>
                <w:rFonts w:ascii="微軟正黑體" w:eastAsia="微軟正黑體" w:hAnsi="微軟正黑體" w:hint="eastAsia"/>
                <w:b/>
                <w:sz w:val="20"/>
                <w:szCs w:val="20"/>
                <w:vertAlign w:val="superscript"/>
              </w:rPr>
              <w:t>(註</w:t>
            </w:r>
            <w:r>
              <w:rPr>
                <w:rFonts w:ascii="微軟正黑體" w:eastAsia="微軟正黑體" w:hAnsi="微軟正黑體" w:hint="eastAsia"/>
                <w:b/>
                <w:sz w:val="20"/>
                <w:szCs w:val="20"/>
                <w:vertAlign w:val="superscript"/>
              </w:rPr>
              <w:t>2</w:t>
            </w:r>
            <w:r w:rsidRPr="00F13900">
              <w:rPr>
                <w:rFonts w:ascii="微軟正黑體" w:eastAsia="微軟正黑體" w:hAnsi="微軟正黑體" w:hint="eastAsia"/>
                <w:b/>
                <w:sz w:val="20"/>
                <w:szCs w:val="20"/>
                <w:vertAlign w:val="superscript"/>
              </w:rPr>
              <w:t>)</w:t>
            </w:r>
          </w:p>
        </w:tc>
        <w:tc>
          <w:tcPr>
            <w:tcW w:w="1985" w:type="dxa"/>
            <w:shd w:val="clear" w:color="auto" w:fill="DDD9C3" w:themeFill="background2" w:themeFillShade="E6"/>
            <w:vAlign w:val="center"/>
          </w:tcPr>
          <w:p w:rsidR="00C520DC" w:rsidRPr="00F13900" w:rsidRDefault="00C520DC" w:rsidP="009C28C3">
            <w:pPr>
              <w:spacing w:line="240" w:lineRule="exact"/>
              <w:jc w:val="right"/>
              <w:rPr>
                <w:rFonts w:ascii="微軟正黑體" w:eastAsia="微軟正黑體" w:hAnsi="微軟正黑體"/>
                <w:sz w:val="22"/>
                <w:szCs w:val="22"/>
              </w:rPr>
            </w:pPr>
            <w:r w:rsidRPr="00F13900">
              <w:rPr>
                <w:rFonts w:ascii="微軟正黑體" w:eastAsia="微軟正黑體" w:hAnsi="微軟正黑體" w:hint="eastAsia"/>
                <w:sz w:val="22"/>
                <w:szCs w:val="22"/>
              </w:rPr>
              <w:t>6,777,376</w:t>
            </w:r>
            <w:r w:rsidRPr="00F13900">
              <w:rPr>
                <w:rFonts w:ascii="微軟正黑體" w:eastAsia="微軟正黑體" w:hAnsi="微軟正黑體" w:hint="eastAsia"/>
                <w:b/>
                <w:sz w:val="20"/>
                <w:szCs w:val="20"/>
                <w:vertAlign w:val="superscript"/>
              </w:rPr>
              <w:t>(註</w:t>
            </w:r>
            <w:r>
              <w:rPr>
                <w:rFonts w:ascii="微軟正黑體" w:eastAsia="微軟正黑體" w:hAnsi="微軟正黑體" w:hint="eastAsia"/>
                <w:b/>
                <w:sz w:val="20"/>
                <w:szCs w:val="20"/>
                <w:vertAlign w:val="superscript"/>
              </w:rPr>
              <w:t>2</w:t>
            </w:r>
            <w:r w:rsidRPr="00F13900">
              <w:rPr>
                <w:rFonts w:ascii="微軟正黑體" w:eastAsia="微軟正黑體" w:hAnsi="微軟正黑體" w:hint="eastAsia"/>
                <w:b/>
                <w:sz w:val="20"/>
                <w:szCs w:val="20"/>
                <w:vertAlign w:val="superscript"/>
              </w:rPr>
              <w:t>)</w:t>
            </w:r>
          </w:p>
        </w:tc>
      </w:tr>
    </w:tbl>
    <w:p w:rsidR="00C520DC" w:rsidRDefault="00C520DC" w:rsidP="00B378BC">
      <w:pPr>
        <w:widowControl/>
        <w:spacing w:line="260" w:lineRule="exact"/>
        <w:ind w:left="1030" w:hangingChars="515" w:hanging="1030"/>
        <w:rPr>
          <w:rFonts w:ascii="微軟正黑體" w:eastAsia="微軟正黑體" w:hAnsi="微軟正黑體"/>
          <w:sz w:val="20"/>
          <w:szCs w:val="20"/>
        </w:rPr>
      </w:pPr>
      <w:r>
        <w:rPr>
          <w:rFonts w:ascii="微軟正黑體" w:eastAsia="微軟正黑體" w:hAnsi="微軟正黑體" w:hint="eastAsia"/>
          <w:sz w:val="20"/>
          <w:szCs w:val="20"/>
        </w:rPr>
        <w:t>註1：指有完整時間序列資料的29個OECD國家平均。</w:t>
      </w:r>
    </w:p>
    <w:p w:rsidR="00C520DC" w:rsidRDefault="00C520DC" w:rsidP="00B378BC">
      <w:pPr>
        <w:widowControl/>
        <w:spacing w:line="260" w:lineRule="exact"/>
        <w:rPr>
          <w:rFonts w:ascii="微軟正黑體" w:eastAsia="微軟正黑體" w:hAnsi="微軟正黑體"/>
          <w:sz w:val="20"/>
          <w:szCs w:val="20"/>
        </w:rPr>
      </w:pPr>
      <w:r>
        <w:rPr>
          <w:rFonts w:ascii="微軟正黑體" w:eastAsia="微軟正黑體" w:hAnsi="微軟正黑體" w:hint="eastAsia"/>
          <w:sz w:val="20"/>
          <w:szCs w:val="20"/>
        </w:rPr>
        <w:t>註2：指有設立公共年金基金的OECD國家，其公共年金基金合計金額，以及該合計金額占總GDP之比率。</w:t>
      </w:r>
    </w:p>
    <w:p w:rsidR="00B93479" w:rsidRPr="00C35AC6" w:rsidRDefault="00C520DC" w:rsidP="00B378BC">
      <w:pPr>
        <w:widowControl/>
        <w:spacing w:line="260" w:lineRule="exact"/>
        <w:ind w:left="1030" w:hangingChars="515" w:hanging="1030"/>
        <w:rPr>
          <w:rFonts w:ascii="微軟正黑體" w:eastAsia="微軟正黑體" w:hAnsi="微軟正黑體"/>
          <w:sz w:val="20"/>
          <w:szCs w:val="20"/>
        </w:rPr>
      </w:pPr>
      <w:r w:rsidRPr="00F13900">
        <w:rPr>
          <w:rFonts w:ascii="微軟正黑體" w:eastAsia="微軟正黑體" w:hAnsi="微軟正黑體"/>
          <w:sz w:val="20"/>
          <w:szCs w:val="20"/>
        </w:rPr>
        <w:t>資料來源：OECD(20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 Pensions at a Glance 20</w:t>
      </w:r>
      <w:r w:rsidRPr="00F13900">
        <w:rPr>
          <w:rFonts w:ascii="微軟正黑體" w:eastAsia="微軟正黑體" w:hAnsi="微軟正黑體" w:hint="eastAsia"/>
          <w:sz w:val="20"/>
          <w:szCs w:val="20"/>
        </w:rPr>
        <w:t>21</w:t>
      </w:r>
      <w:r w:rsidRPr="00F13900">
        <w:rPr>
          <w:rFonts w:ascii="微軟正黑體" w:eastAsia="微軟正黑體" w:hAnsi="微軟正黑體"/>
          <w:sz w:val="20"/>
          <w:szCs w:val="20"/>
        </w:rPr>
        <w:t>：OECD and G20 Indicators, OECD Publishing，本文自行製表</w:t>
      </w:r>
      <w:r w:rsidRPr="00F13900">
        <w:rPr>
          <w:rFonts w:ascii="微軟正黑體" w:eastAsia="微軟正黑體" w:hAnsi="微軟正黑體" w:hint="eastAsia"/>
          <w:sz w:val="20"/>
          <w:szCs w:val="20"/>
        </w:rPr>
        <w:t>。</w:t>
      </w:r>
    </w:p>
    <w:p w:rsidR="008369A5" w:rsidRPr="00D3321B" w:rsidRDefault="008369A5" w:rsidP="00A46A52">
      <w:pPr>
        <w:spacing w:line="260" w:lineRule="exact"/>
        <w:rPr>
          <w:rFonts w:ascii="微軟正黑體" w:eastAsia="微軟正黑體" w:hAnsi="微軟正黑體"/>
        </w:rPr>
        <w:sectPr w:rsidR="008369A5" w:rsidRPr="00D3321B" w:rsidSect="00930A4C">
          <w:footerReference w:type="default" r:id="rId170"/>
          <w:pgSz w:w="16839" w:h="11907" w:orient="landscape" w:code="9"/>
          <w:pgMar w:top="426" w:right="851" w:bottom="426" w:left="851" w:header="454" w:footer="340" w:gutter="0"/>
          <w:cols w:space="425"/>
          <w:docGrid w:type="lines" w:linePitch="360"/>
        </w:sectPr>
      </w:pPr>
    </w:p>
    <w:p w:rsidR="00C36542" w:rsidRPr="00F0717A" w:rsidRDefault="00C36542" w:rsidP="00C36542">
      <w:pPr>
        <w:spacing w:line="400" w:lineRule="exact"/>
        <w:jc w:val="center"/>
        <w:rPr>
          <w:rFonts w:ascii="微軟正黑體" w:eastAsia="微軟正黑體" w:hAnsi="微軟正黑體"/>
          <w:b/>
          <w:sz w:val="32"/>
          <w:szCs w:val="32"/>
        </w:rPr>
      </w:pPr>
      <w:r w:rsidRPr="00F0717A">
        <w:rPr>
          <w:rFonts w:ascii="微軟正黑體" w:eastAsia="微軟正黑體" w:hAnsi="微軟正黑體"/>
          <w:b/>
          <w:sz w:val="32"/>
          <w:szCs w:val="32"/>
        </w:rPr>
        <w:lastRenderedPageBreak/>
        <w:t>老年經濟安全制度專刊</w:t>
      </w:r>
      <w:r w:rsidR="001E65CB">
        <w:rPr>
          <w:rFonts w:ascii="微軟正黑體" w:eastAsia="微軟正黑體" w:hAnsi="微軟正黑體" w:hint="eastAsia"/>
          <w:b/>
          <w:sz w:val="32"/>
          <w:szCs w:val="32"/>
        </w:rPr>
        <w:t>：第</w:t>
      </w:r>
      <w:r w:rsidR="00021084">
        <w:rPr>
          <w:rFonts w:ascii="微軟正黑體" w:eastAsia="微軟正黑體" w:hAnsi="微軟正黑體" w:hint="eastAsia"/>
          <w:b/>
          <w:sz w:val="32"/>
          <w:szCs w:val="32"/>
        </w:rPr>
        <w:t>5</w:t>
      </w:r>
      <w:r w:rsidR="001E65CB">
        <w:rPr>
          <w:rFonts w:ascii="微軟正黑體" w:eastAsia="微軟正黑體" w:hAnsi="微軟正黑體" w:hint="eastAsia"/>
          <w:b/>
          <w:sz w:val="32"/>
          <w:szCs w:val="32"/>
        </w:rPr>
        <w:t>期</w:t>
      </w:r>
    </w:p>
    <w:p w:rsidR="00C36542" w:rsidRPr="00F0717A" w:rsidRDefault="00C36542" w:rsidP="00A32FCC">
      <w:pPr>
        <w:pStyle w:val="a6"/>
        <w:spacing w:beforeLines="100" w:before="360" w:line="440" w:lineRule="exact"/>
        <w:jc w:val="both"/>
        <w:rPr>
          <w:rFonts w:ascii="微軟正黑體" w:eastAsia="微軟正黑體" w:hAnsi="微軟正黑體"/>
          <w:sz w:val="24"/>
          <w:szCs w:val="24"/>
        </w:rPr>
      </w:pPr>
      <w:r w:rsidRPr="00F0717A">
        <w:rPr>
          <w:rFonts w:ascii="微軟正黑體" w:eastAsia="微軟正黑體" w:hAnsi="微軟正黑體"/>
          <w:sz w:val="24"/>
          <w:szCs w:val="24"/>
        </w:rPr>
        <w:t>發 行 者：國家發展委員會 人力發展處</w:t>
      </w:r>
    </w:p>
    <w:p w:rsidR="00C36542" w:rsidRPr="00F0717A" w:rsidRDefault="00C36542" w:rsidP="00114511">
      <w:pPr>
        <w:pStyle w:val="a6"/>
        <w:spacing w:line="440" w:lineRule="exact"/>
        <w:jc w:val="both"/>
        <w:rPr>
          <w:rFonts w:ascii="微軟正黑體" w:eastAsia="微軟正黑體" w:hAnsi="微軟正黑體"/>
          <w:sz w:val="24"/>
          <w:szCs w:val="24"/>
        </w:rPr>
      </w:pPr>
      <w:r w:rsidRPr="00F0717A">
        <w:rPr>
          <w:rFonts w:ascii="微軟正黑體" w:eastAsia="微軟正黑體" w:hAnsi="微軟正黑體" w:hint="eastAsia"/>
          <w:sz w:val="24"/>
          <w:szCs w:val="24"/>
        </w:rPr>
        <w:t>編輯委員</w:t>
      </w:r>
      <w:r w:rsidRPr="00F0717A">
        <w:rPr>
          <w:rFonts w:ascii="微軟正黑體" w:eastAsia="微軟正黑體" w:hAnsi="微軟正黑體"/>
          <w:sz w:val="24"/>
          <w:szCs w:val="24"/>
        </w:rPr>
        <w:t xml:space="preserve">：林至美 </w:t>
      </w:r>
      <w:r w:rsidRPr="00F0717A">
        <w:rPr>
          <w:rFonts w:ascii="微軟正黑體" w:eastAsia="微軟正黑體" w:hAnsi="微軟正黑體" w:hint="eastAsia"/>
          <w:sz w:val="24"/>
          <w:szCs w:val="24"/>
        </w:rPr>
        <w:t xml:space="preserve"> 謝佳宜</w:t>
      </w:r>
    </w:p>
    <w:p w:rsidR="00C36542" w:rsidRPr="00F0717A" w:rsidRDefault="00C36542" w:rsidP="00114511">
      <w:pPr>
        <w:pStyle w:val="a6"/>
        <w:spacing w:line="440" w:lineRule="exact"/>
        <w:jc w:val="both"/>
        <w:rPr>
          <w:rFonts w:ascii="微軟正黑體" w:eastAsia="微軟正黑體" w:hAnsi="微軟正黑體"/>
          <w:sz w:val="24"/>
          <w:szCs w:val="24"/>
        </w:rPr>
      </w:pPr>
      <w:r w:rsidRPr="00F0717A">
        <w:rPr>
          <w:rFonts w:ascii="微軟正黑體" w:eastAsia="微軟正黑體" w:hAnsi="微軟正黑體" w:hint="eastAsia"/>
          <w:sz w:val="24"/>
          <w:szCs w:val="24"/>
        </w:rPr>
        <w:t>責任編輯：</w:t>
      </w:r>
      <w:r w:rsidR="00021084">
        <w:rPr>
          <w:rFonts w:ascii="微軟正黑體" w:eastAsia="微軟正黑體" w:hAnsi="微軟正黑體" w:hint="eastAsia"/>
          <w:sz w:val="24"/>
          <w:szCs w:val="24"/>
        </w:rPr>
        <w:t>沈志勳</w:t>
      </w:r>
      <w:r w:rsidRPr="00F0717A">
        <w:rPr>
          <w:rFonts w:ascii="微軟正黑體" w:eastAsia="微軟正黑體" w:hAnsi="微軟正黑體" w:hint="eastAsia"/>
          <w:sz w:val="24"/>
          <w:szCs w:val="24"/>
        </w:rPr>
        <w:t xml:space="preserve">  賴宜櫻</w:t>
      </w:r>
    </w:p>
    <w:p w:rsidR="00C36542" w:rsidRPr="00F0717A" w:rsidRDefault="00C36542" w:rsidP="00114511">
      <w:pPr>
        <w:pStyle w:val="a6"/>
        <w:spacing w:line="440" w:lineRule="exact"/>
        <w:jc w:val="both"/>
        <w:rPr>
          <w:rFonts w:ascii="微軟正黑體" w:eastAsia="微軟正黑體" w:hAnsi="微軟正黑體"/>
          <w:sz w:val="24"/>
          <w:szCs w:val="24"/>
        </w:rPr>
      </w:pPr>
      <w:r w:rsidRPr="00F0717A">
        <w:rPr>
          <w:rFonts w:ascii="微軟正黑體" w:eastAsia="微軟正黑體" w:hAnsi="微軟正黑體" w:hint="eastAsia"/>
          <w:sz w:val="24"/>
          <w:szCs w:val="24"/>
        </w:rPr>
        <w:t>編撰人員：</w:t>
      </w:r>
      <w:r w:rsidRPr="00F0717A">
        <w:rPr>
          <w:rFonts w:ascii="微軟正黑體" w:eastAsia="微軟正黑體" w:hAnsi="微軟正黑體"/>
          <w:sz w:val="24"/>
          <w:szCs w:val="24"/>
        </w:rPr>
        <w:t xml:space="preserve"> </w:t>
      </w:r>
    </w:p>
    <w:tbl>
      <w:tblPr>
        <w:tblW w:w="9072" w:type="dxa"/>
        <w:tblInd w:w="250" w:type="dxa"/>
        <w:tblLook w:val="04A0" w:firstRow="1" w:lastRow="0" w:firstColumn="1" w:lastColumn="0" w:noHBand="0" w:noVBand="1"/>
      </w:tblPr>
      <w:tblGrid>
        <w:gridCol w:w="7229"/>
        <w:gridCol w:w="1843"/>
      </w:tblGrid>
      <w:tr w:rsidR="00F0717A" w:rsidRPr="00F0717A" w:rsidTr="00E2253F">
        <w:trPr>
          <w:trHeight w:val="397"/>
        </w:trPr>
        <w:tc>
          <w:tcPr>
            <w:tcW w:w="7229" w:type="dxa"/>
            <w:shd w:val="clear" w:color="auto" w:fill="D9D9D9"/>
            <w:vAlign w:val="center"/>
          </w:tcPr>
          <w:p w:rsidR="00C36542"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制度概況</w:t>
            </w:r>
          </w:p>
        </w:tc>
        <w:tc>
          <w:tcPr>
            <w:tcW w:w="1843" w:type="dxa"/>
            <w:shd w:val="clear" w:color="auto" w:fill="D9D9D9"/>
            <w:vAlign w:val="center"/>
          </w:tcPr>
          <w:p w:rsidR="00C36542" w:rsidRPr="00F0717A" w:rsidRDefault="00C36542" w:rsidP="0072004D">
            <w:pPr>
              <w:pStyle w:val="a6"/>
              <w:spacing w:line="500" w:lineRule="exact"/>
              <w:jc w:val="center"/>
              <w:rPr>
                <w:rFonts w:ascii="微軟正黑體" w:eastAsia="微軟正黑體" w:hAnsi="微軟正黑體"/>
                <w:sz w:val="24"/>
                <w:szCs w:val="24"/>
              </w:rPr>
            </w:pPr>
          </w:p>
        </w:tc>
      </w:tr>
      <w:tr w:rsidR="003B65F2" w:rsidRPr="00F0717A" w:rsidTr="00E2253F">
        <w:trPr>
          <w:trHeight w:val="397"/>
        </w:trPr>
        <w:tc>
          <w:tcPr>
            <w:tcW w:w="7229" w:type="dxa"/>
            <w:shd w:val="clear" w:color="auto" w:fill="auto"/>
            <w:vAlign w:val="center"/>
          </w:tcPr>
          <w:p w:rsidR="003B65F2"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Pr="00F0717A">
              <w:rPr>
                <w:rFonts w:ascii="微軟正黑體" w:eastAsia="微軟正黑體" w:hAnsi="微軟正黑體" w:hint="eastAsia"/>
                <w:sz w:val="24"/>
                <w:szCs w:val="24"/>
              </w:rPr>
              <w:t>我國老年經濟安全制度現況</w:t>
            </w:r>
            <w:r>
              <w:rPr>
                <w:rFonts w:ascii="微軟正黑體" w:eastAsia="微軟正黑體" w:hAnsi="微軟正黑體" w:hint="eastAsia"/>
                <w:sz w:val="24"/>
                <w:szCs w:val="24"/>
              </w:rPr>
              <w:t>(10</w:t>
            </w:r>
            <w:r w:rsidR="00021084">
              <w:rPr>
                <w:rFonts w:ascii="微軟正黑體" w:eastAsia="微軟正黑體" w:hAnsi="微軟正黑體" w:hint="eastAsia"/>
                <w:sz w:val="24"/>
                <w:szCs w:val="24"/>
              </w:rPr>
              <w:t>9</w:t>
            </w:r>
            <w:r w:rsidRPr="00F0717A">
              <w:rPr>
                <w:rFonts w:ascii="微軟正黑體" w:eastAsia="微軟正黑體" w:hAnsi="微軟正黑體" w:hint="eastAsia"/>
                <w:sz w:val="24"/>
                <w:szCs w:val="24"/>
              </w:rPr>
              <w:t>年)</w:t>
            </w:r>
          </w:p>
        </w:tc>
        <w:tc>
          <w:tcPr>
            <w:tcW w:w="1843" w:type="dxa"/>
            <w:shd w:val="clear" w:color="auto" w:fill="auto"/>
            <w:vAlign w:val="center"/>
          </w:tcPr>
          <w:p w:rsidR="003B65F2" w:rsidRDefault="003B65F2" w:rsidP="0072004D">
            <w:pPr>
              <w:pStyle w:val="a6"/>
              <w:spacing w:line="500" w:lineRule="exact"/>
              <w:jc w:val="both"/>
              <w:rPr>
                <w:rFonts w:ascii="微軟正黑體" w:eastAsia="微軟正黑體" w:hAnsi="微軟正黑體"/>
                <w:sz w:val="24"/>
                <w:szCs w:val="24"/>
              </w:rPr>
            </w:pPr>
          </w:p>
        </w:tc>
      </w:tr>
      <w:tr w:rsidR="00F0717A" w:rsidRPr="00F0717A" w:rsidTr="00E2253F">
        <w:trPr>
          <w:trHeight w:val="397"/>
        </w:trPr>
        <w:tc>
          <w:tcPr>
            <w:tcW w:w="7229" w:type="dxa"/>
            <w:shd w:val="clear" w:color="auto" w:fill="auto"/>
            <w:vAlign w:val="center"/>
          </w:tcPr>
          <w:p w:rsidR="00C36542"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 xml:space="preserve">    壹、</w:t>
            </w:r>
            <w:r w:rsidR="00C36542" w:rsidRPr="00F0717A">
              <w:rPr>
                <w:rFonts w:ascii="微軟正黑體" w:eastAsia="微軟正黑體" w:hAnsi="微軟正黑體" w:hint="eastAsia"/>
                <w:sz w:val="24"/>
                <w:szCs w:val="24"/>
              </w:rPr>
              <w:t>概論</w:t>
            </w:r>
          </w:p>
        </w:tc>
        <w:tc>
          <w:tcPr>
            <w:tcW w:w="1843" w:type="dxa"/>
            <w:shd w:val="clear" w:color="auto" w:fill="auto"/>
            <w:vAlign w:val="center"/>
          </w:tcPr>
          <w:p w:rsidR="00C36542" w:rsidRPr="00F0717A" w:rsidRDefault="003B65F2" w:rsidP="0072004D">
            <w:pPr>
              <w:pStyle w:val="a6"/>
              <w:spacing w:line="500" w:lineRule="exact"/>
              <w:jc w:val="center"/>
              <w:rPr>
                <w:rFonts w:ascii="微軟正黑體" w:eastAsia="微軟正黑體" w:hAnsi="微軟正黑體"/>
                <w:sz w:val="24"/>
                <w:szCs w:val="24"/>
              </w:rPr>
            </w:pPr>
            <w:r>
              <w:rPr>
                <w:rFonts w:ascii="微軟正黑體" w:eastAsia="微軟正黑體" w:hAnsi="微軟正黑體" w:hint="eastAsia"/>
                <w:sz w:val="24"/>
                <w:szCs w:val="24"/>
              </w:rPr>
              <w:t>邱雅芳</w:t>
            </w:r>
          </w:p>
        </w:tc>
      </w:tr>
      <w:tr w:rsidR="00F0717A" w:rsidRPr="00F0717A" w:rsidTr="00E2253F">
        <w:trPr>
          <w:trHeight w:val="397"/>
        </w:trPr>
        <w:tc>
          <w:tcPr>
            <w:tcW w:w="7229" w:type="dxa"/>
            <w:shd w:val="clear" w:color="auto" w:fill="auto"/>
            <w:vAlign w:val="center"/>
          </w:tcPr>
          <w:p w:rsidR="00C36542"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 xml:space="preserve">    貳、</w:t>
            </w:r>
            <w:r w:rsidR="00C36542" w:rsidRPr="00F0717A">
              <w:rPr>
                <w:rFonts w:ascii="微軟正黑體" w:eastAsia="微軟正黑體" w:hAnsi="微軟正黑體" w:hint="eastAsia"/>
                <w:sz w:val="24"/>
                <w:szCs w:val="24"/>
              </w:rPr>
              <w:t>社會保險</w:t>
            </w:r>
          </w:p>
        </w:tc>
        <w:tc>
          <w:tcPr>
            <w:tcW w:w="1843" w:type="dxa"/>
            <w:shd w:val="clear" w:color="auto" w:fill="auto"/>
            <w:vAlign w:val="center"/>
          </w:tcPr>
          <w:p w:rsidR="00C36542" w:rsidRPr="00F0717A" w:rsidRDefault="00C36542" w:rsidP="0072004D">
            <w:pPr>
              <w:pStyle w:val="a6"/>
              <w:spacing w:line="500" w:lineRule="exact"/>
              <w:jc w:val="center"/>
              <w:rPr>
                <w:rFonts w:ascii="微軟正黑體" w:eastAsia="微軟正黑體" w:hAnsi="微軟正黑體"/>
                <w:sz w:val="24"/>
                <w:szCs w:val="24"/>
              </w:rPr>
            </w:pPr>
            <w:r w:rsidRPr="00F0717A">
              <w:rPr>
                <w:rFonts w:ascii="微軟正黑體" w:eastAsia="微軟正黑體" w:hAnsi="微軟正黑體" w:hint="eastAsia"/>
                <w:sz w:val="24"/>
                <w:szCs w:val="24"/>
              </w:rPr>
              <w:t>賴宜櫻</w:t>
            </w:r>
          </w:p>
        </w:tc>
      </w:tr>
      <w:tr w:rsidR="00F0717A" w:rsidRPr="00F0717A" w:rsidTr="00E2253F">
        <w:trPr>
          <w:trHeight w:val="397"/>
        </w:trPr>
        <w:tc>
          <w:tcPr>
            <w:tcW w:w="7229" w:type="dxa"/>
            <w:shd w:val="clear" w:color="auto" w:fill="auto"/>
            <w:vAlign w:val="center"/>
          </w:tcPr>
          <w:p w:rsidR="00C36542"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 xml:space="preserve">    參、職業別退休金</w:t>
            </w:r>
          </w:p>
        </w:tc>
        <w:tc>
          <w:tcPr>
            <w:tcW w:w="1843" w:type="dxa"/>
            <w:shd w:val="clear" w:color="auto" w:fill="auto"/>
            <w:vAlign w:val="center"/>
          </w:tcPr>
          <w:p w:rsidR="00C36542" w:rsidRPr="00F0717A" w:rsidRDefault="003B65F2" w:rsidP="0072004D">
            <w:pPr>
              <w:pStyle w:val="a6"/>
              <w:spacing w:line="500" w:lineRule="exact"/>
              <w:jc w:val="center"/>
              <w:rPr>
                <w:rFonts w:ascii="微軟正黑體" w:eastAsia="微軟正黑體" w:hAnsi="微軟正黑體"/>
                <w:sz w:val="24"/>
                <w:szCs w:val="24"/>
              </w:rPr>
            </w:pPr>
            <w:r>
              <w:rPr>
                <w:rFonts w:ascii="微軟正黑體" w:eastAsia="微軟正黑體" w:hAnsi="微軟正黑體" w:hint="eastAsia"/>
                <w:sz w:val="24"/>
                <w:szCs w:val="24"/>
              </w:rPr>
              <w:t>蔡宜縉</w:t>
            </w:r>
          </w:p>
        </w:tc>
      </w:tr>
      <w:tr w:rsidR="00F0717A" w:rsidRPr="00F0717A" w:rsidTr="00E2253F">
        <w:trPr>
          <w:trHeight w:val="397"/>
        </w:trPr>
        <w:tc>
          <w:tcPr>
            <w:tcW w:w="7229" w:type="dxa"/>
            <w:shd w:val="clear" w:color="auto" w:fill="auto"/>
            <w:vAlign w:val="center"/>
          </w:tcPr>
          <w:p w:rsidR="00C36542"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 xml:space="preserve">    肆、高齡化商業保險</w:t>
            </w:r>
          </w:p>
        </w:tc>
        <w:tc>
          <w:tcPr>
            <w:tcW w:w="1843" w:type="dxa"/>
            <w:shd w:val="clear" w:color="auto" w:fill="auto"/>
            <w:vAlign w:val="center"/>
          </w:tcPr>
          <w:p w:rsidR="00C36542" w:rsidRPr="00F0717A" w:rsidRDefault="003B65F2" w:rsidP="0072004D">
            <w:pPr>
              <w:pStyle w:val="a6"/>
              <w:spacing w:line="500" w:lineRule="exact"/>
              <w:jc w:val="center"/>
              <w:rPr>
                <w:rFonts w:ascii="微軟正黑體" w:eastAsia="微軟正黑體" w:hAnsi="微軟正黑體"/>
                <w:sz w:val="24"/>
                <w:szCs w:val="24"/>
              </w:rPr>
            </w:pPr>
            <w:r>
              <w:rPr>
                <w:rFonts w:ascii="微軟正黑體" w:eastAsia="微軟正黑體" w:hAnsi="微軟正黑體" w:hint="eastAsia"/>
                <w:sz w:val="24"/>
                <w:szCs w:val="24"/>
              </w:rPr>
              <w:t>阮玥慈</w:t>
            </w:r>
          </w:p>
        </w:tc>
      </w:tr>
      <w:tr w:rsidR="00F0717A" w:rsidRPr="00F0717A" w:rsidTr="00E2253F">
        <w:trPr>
          <w:trHeight w:val="397"/>
        </w:trPr>
        <w:tc>
          <w:tcPr>
            <w:tcW w:w="7229" w:type="dxa"/>
            <w:shd w:val="clear" w:color="auto" w:fill="D9D9D9"/>
            <w:vAlign w:val="center"/>
          </w:tcPr>
          <w:p w:rsidR="00C36542"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國際情勢</w:t>
            </w:r>
          </w:p>
        </w:tc>
        <w:tc>
          <w:tcPr>
            <w:tcW w:w="1843" w:type="dxa"/>
            <w:shd w:val="clear" w:color="auto" w:fill="D9D9D9"/>
            <w:vAlign w:val="center"/>
          </w:tcPr>
          <w:p w:rsidR="00C36542" w:rsidRPr="00F0717A" w:rsidRDefault="00C36542" w:rsidP="0072004D">
            <w:pPr>
              <w:pStyle w:val="a6"/>
              <w:spacing w:line="500" w:lineRule="exact"/>
              <w:jc w:val="center"/>
              <w:rPr>
                <w:rFonts w:ascii="微軟正黑體" w:eastAsia="微軟正黑體" w:hAnsi="微軟正黑體"/>
                <w:sz w:val="24"/>
                <w:szCs w:val="24"/>
              </w:rPr>
            </w:pPr>
          </w:p>
        </w:tc>
      </w:tr>
      <w:tr w:rsidR="00F0717A" w:rsidRPr="00F0717A" w:rsidTr="0072004D">
        <w:trPr>
          <w:trHeight w:val="397"/>
        </w:trPr>
        <w:tc>
          <w:tcPr>
            <w:tcW w:w="7229" w:type="dxa"/>
            <w:shd w:val="clear" w:color="auto" w:fill="auto"/>
            <w:vAlign w:val="center"/>
          </w:tcPr>
          <w:p w:rsidR="00B74AC5"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00021084" w:rsidRPr="00021084">
              <w:rPr>
                <w:rFonts w:ascii="微軟正黑體" w:eastAsia="微軟正黑體" w:hAnsi="微軟正黑體" w:hint="eastAsia"/>
                <w:sz w:val="24"/>
                <w:szCs w:val="24"/>
              </w:rPr>
              <w:t>跨國工作者之老年經濟安全保障</w:t>
            </w:r>
          </w:p>
        </w:tc>
        <w:tc>
          <w:tcPr>
            <w:tcW w:w="1843" w:type="dxa"/>
            <w:shd w:val="clear" w:color="auto" w:fill="auto"/>
            <w:vAlign w:val="center"/>
          </w:tcPr>
          <w:p w:rsidR="00B74AC5" w:rsidRPr="00F0717A" w:rsidRDefault="00021084" w:rsidP="0072004D">
            <w:pPr>
              <w:pStyle w:val="a6"/>
              <w:spacing w:line="500" w:lineRule="exact"/>
              <w:jc w:val="center"/>
              <w:rPr>
                <w:rFonts w:ascii="微軟正黑體" w:eastAsia="微軟正黑體" w:hAnsi="微軟正黑體"/>
                <w:sz w:val="24"/>
                <w:szCs w:val="24"/>
              </w:rPr>
            </w:pPr>
            <w:r>
              <w:rPr>
                <w:rFonts w:ascii="微軟正黑體" w:eastAsia="微軟正黑體" w:hAnsi="微軟正黑體" w:hint="eastAsia"/>
                <w:sz w:val="24"/>
                <w:szCs w:val="24"/>
              </w:rPr>
              <w:t>吳啟新</w:t>
            </w:r>
          </w:p>
        </w:tc>
      </w:tr>
      <w:tr w:rsidR="00F0717A" w:rsidRPr="00F0717A" w:rsidTr="0072004D">
        <w:trPr>
          <w:trHeight w:val="397"/>
        </w:trPr>
        <w:tc>
          <w:tcPr>
            <w:tcW w:w="7229" w:type="dxa"/>
            <w:shd w:val="clear" w:color="auto" w:fill="auto"/>
            <w:vAlign w:val="center"/>
          </w:tcPr>
          <w:p w:rsidR="00B74AC5"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008C37D2">
              <w:rPr>
                <w:rFonts w:ascii="微軟正黑體" w:eastAsia="微軟正黑體" w:hAnsi="微軟正黑體" w:hint="eastAsia"/>
                <w:sz w:val="24"/>
                <w:szCs w:val="24"/>
              </w:rPr>
              <w:t>數位時代下電傳工作者勞動與</w:t>
            </w:r>
            <w:r w:rsidR="00021084" w:rsidRPr="00021084">
              <w:rPr>
                <w:rFonts w:ascii="微軟正黑體" w:eastAsia="微軟正黑體" w:hAnsi="微軟正黑體" w:hint="eastAsia"/>
                <w:sz w:val="24"/>
                <w:szCs w:val="24"/>
              </w:rPr>
              <w:t>社會保障之探討</w:t>
            </w:r>
          </w:p>
        </w:tc>
        <w:tc>
          <w:tcPr>
            <w:tcW w:w="1843" w:type="dxa"/>
            <w:shd w:val="clear" w:color="auto" w:fill="auto"/>
            <w:vAlign w:val="center"/>
          </w:tcPr>
          <w:p w:rsidR="00B74AC5" w:rsidRPr="00F0717A" w:rsidRDefault="00021084" w:rsidP="0072004D">
            <w:pPr>
              <w:pStyle w:val="a6"/>
              <w:spacing w:line="500" w:lineRule="exact"/>
              <w:jc w:val="center"/>
              <w:rPr>
                <w:rFonts w:ascii="微軟正黑體" w:eastAsia="微軟正黑體" w:hAnsi="微軟正黑體"/>
                <w:sz w:val="24"/>
                <w:szCs w:val="24"/>
              </w:rPr>
            </w:pPr>
            <w:r>
              <w:rPr>
                <w:rFonts w:ascii="微軟正黑體" w:eastAsia="微軟正黑體" w:hAnsi="微軟正黑體" w:hint="eastAsia"/>
                <w:sz w:val="24"/>
                <w:szCs w:val="24"/>
              </w:rPr>
              <w:t>成之約</w:t>
            </w:r>
          </w:p>
        </w:tc>
      </w:tr>
      <w:tr w:rsidR="00F0717A" w:rsidRPr="00F0717A" w:rsidTr="00E2253F">
        <w:trPr>
          <w:trHeight w:val="397"/>
        </w:trPr>
        <w:tc>
          <w:tcPr>
            <w:tcW w:w="7229" w:type="dxa"/>
            <w:shd w:val="clear" w:color="auto" w:fill="D9D9D9"/>
            <w:vAlign w:val="center"/>
          </w:tcPr>
          <w:p w:rsidR="00B74AC5"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名家觀點</w:t>
            </w:r>
          </w:p>
        </w:tc>
        <w:tc>
          <w:tcPr>
            <w:tcW w:w="1843" w:type="dxa"/>
            <w:shd w:val="clear" w:color="auto" w:fill="D9D9D9"/>
            <w:vAlign w:val="center"/>
          </w:tcPr>
          <w:p w:rsidR="00B74AC5" w:rsidRPr="00F0717A" w:rsidRDefault="00B74AC5" w:rsidP="0072004D">
            <w:pPr>
              <w:pStyle w:val="a6"/>
              <w:spacing w:line="500" w:lineRule="exact"/>
              <w:jc w:val="center"/>
              <w:rPr>
                <w:rFonts w:ascii="微軟正黑體" w:eastAsia="微軟正黑體" w:hAnsi="微軟正黑體"/>
                <w:sz w:val="24"/>
                <w:szCs w:val="24"/>
              </w:rPr>
            </w:pPr>
          </w:p>
        </w:tc>
      </w:tr>
      <w:tr w:rsidR="003B65F2" w:rsidRPr="00F0717A" w:rsidTr="0072004D">
        <w:trPr>
          <w:trHeight w:val="685"/>
        </w:trPr>
        <w:tc>
          <w:tcPr>
            <w:tcW w:w="7229" w:type="dxa"/>
            <w:shd w:val="clear" w:color="auto" w:fill="auto"/>
            <w:vAlign w:val="center"/>
          </w:tcPr>
          <w:p w:rsidR="003B65F2" w:rsidRPr="00F0717A" w:rsidRDefault="003B65F2" w:rsidP="001D20A0">
            <w:pPr>
              <w:pStyle w:val="a6"/>
              <w:spacing w:line="500" w:lineRule="exact"/>
              <w:ind w:left="240" w:hangingChars="100" w:hanging="240"/>
              <w:jc w:val="both"/>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00021084" w:rsidRPr="00021084">
              <w:rPr>
                <w:rFonts w:ascii="微軟正黑體" w:eastAsia="微軟正黑體" w:hAnsi="微軟正黑體" w:hint="eastAsia"/>
                <w:sz w:val="24"/>
                <w:szCs w:val="24"/>
              </w:rPr>
              <w:t>高齡化趨勢下的勞保老年年金財務規劃：借鏡</w:t>
            </w:r>
            <w:r w:rsidR="001D20A0" w:rsidRPr="00021084">
              <w:rPr>
                <w:rFonts w:ascii="微軟正黑體" w:eastAsia="微軟正黑體" w:hAnsi="微軟正黑體" w:hint="eastAsia"/>
                <w:sz w:val="24"/>
                <w:szCs w:val="24"/>
              </w:rPr>
              <w:t>德國</w:t>
            </w:r>
            <w:r w:rsidR="00021084" w:rsidRPr="00021084">
              <w:rPr>
                <w:rFonts w:ascii="微軟正黑體" w:eastAsia="微軟正黑體" w:hAnsi="微軟正黑體" w:hint="eastAsia"/>
                <w:sz w:val="24"/>
                <w:szCs w:val="24"/>
              </w:rPr>
              <w:t>與</w:t>
            </w:r>
            <w:r w:rsidR="001D20A0" w:rsidRPr="00021084">
              <w:rPr>
                <w:rFonts w:ascii="微軟正黑體" w:eastAsia="微軟正黑體" w:hAnsi="微軟正黑體" w:hint="eastAsia"/>
                <w:sz w:val="24"/>
                <w:szCs w:val="24"/>
              </w:rPr>
              <w:t>日本</w:t>
            </w:r>
          </w:p>
        </w:tc>
        <w:tc>
          <w:tcPr>
            <w:tcW w:w="1843" w:type="dxa"/>
            <w:shd w:val="clear" w:color="auto" w:fill="auto"/>
            <w:vAlign w:val="center"/>
          </w:tcPr>
          <w:p w:rsidR="00021084" w:rsidRPr="00F0717A" w:rsidRDefault="00021084" w:rsidP="0072004D">
            <w:pPr>
              <w:pStyle w:val="a6"/>
              <w:spacing w:line="500" w:lineRule="exact"/>
              <w:jc w:val="center"/>
              <w:rPr>
                <w:rFonts w:ascii="微軟正黑體" w:eastAsia="微軟正黑體" w:hAnsi="微軟正黑體"/>
                <w:sz w:val="24"/>
                <w:szCs w:val="24"/>
              </w:rPr>
            </w:pPr>
            <w:r>
              <w:rPr>
                <w:rFonts w:ascii="微軟正黑體" w:eastAsia="微軟正黑體" w:hAnsi="微軟正黑體" w:hint="eastAsia"/>
                <w:sz w:val="24"/>
                <w:szCs w:val="24"/>
              </w:rPr>
              <w:t>王靜怡</w:t>
            </w:r>
            <w:r w:rsidR="00D9093B">
              <w:rPr>
                <w:rFonts w:ascii="微軟正黑體" w:eastAsia="微軟正黑體" w:hAnsi="微軟正黑體" w:hint="eastAsia"/>
                <w:sz w:val="24"/>
                <w:szCs w:val="24"/>
              </w:rPr>
              <w:t>、</w:t>
            </w:r>
            <w:r>
              <w:rPr>
                <w:rFonts w:ascii="微軟正黑體" w:eastAsia="微軟正黑體" w:hAnsi="微軟正黑體" w:hint="eastAsia"/>
                <w:sz w:val="24"/>
                <w:szCs w:val="24"/>
              </w:rPr>
              <w:t>鄭清霞</w:t>
            </w:r>
          </w:p>
        </w:tc>
      </w:tr>
      <w:tr w:rsidR="003B65F2" w:rsidRPr="00F0717A" w:rsidTr="0072004D">
        <w:trPr>
          <w:trHeight w:val="837"/>
        </w:trPr>
        <w:tc>
          <w:tcPr>
            <w:tcW w:w="7229" w:type="dxa"/>
            <w:shd w:val="clear" w:color="auto" w:fill="auto"/>
            <w:vAlign w:val="center"/>
          </w:tcPr>
          <w:p w:rsidR="001A6D24" w:rsidRDefault="003B65F2" w:rsidP="0072004D">
            <w:pPr>
              <w:pStyle w:val="a6"/>
              <w:spacing w:line="400" w:lineRule="exact"/>
              <w:ind w:left="240" w:hangingChars="100" w:hanging="240"/>
              <w:jc w:val="both"/>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00021084" w:rsidRPr="00021084">
              <w:rPr>
                <w:rFonts w:ascii="微軟正黑體" w:eastAsia="微軟正黑體" w:hAnsi="微軟正黑體" w:hint="eastAsia"/>
                <w:sz w:val="24"/>
                <w:szCs w:val="24"/>
              </w:rPr>
              <w:t>全球化與高齡化浪潮下的台灣銀髮與高齡就業及老年經濟安全：</w:t>
            </w:r>
            <w:r w:rsidR="001A6D24">
              <w:rPr>
                <w:rFonts w:ascii="微軟正黑體" w:eastAsia="微軟正黑體" w:hAnsi="微軟正黑體" w:hint="eastAsia"/>
                <w:sz w:val="24"/>
                <w:szCs w:val="24"/>
              </w:rPr>
              <w:t xml:space="preserve"> </w:t>
            </w:r>
          </w:p>
          <w:p w:rsidR="003B65F2" w:rsidRPr="00F0717A" w:rsidRDefault="001A6D24" w:rsidP="0072004D">
            <w:pPr>
              <w:pStyle w:val="a6"/>
              <w:spacing w:line="360" w:lineRule="exact"/>
              <w:ind w:left="240" w:hangingChars="100" w:hanging="240"/>
              <w:jc w:val="both"/>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00021084" w:rsidRPr="00021084">
              <w:rPr>
                <w:rFonts w:ascii="微軟正黑體" w:eastAsia="微軟正黑體" w:hAnsi="微軟正黑體" w:hint="eastAsia"/>
                <w:sz w:val="24"/>
                <w:szCs w:val="24"/>
              </w:rPr>
              <w:t>催生社會團結經濟與融合性就業政策</w:t>
            </w:r>
          </w:p>
        </w:tc>
        <w:tc>
          <w:tcPr>
            <w:tcW w:w="1843" w:type="dxa"/>
            <w:shd w:val="clear" w:color="auto" w:fill="auto"/>
          </w:tcPr>
          <w:p w:rsidR="003B65F2" w:rsidRPr="00F0717A" w:rsidRDefault="00021084" w:rsidP="0072004D">
            <w:pPr>
              <w:pStyle w:val="a6"/>
              <w:spacing w:line="440" w:lineRule="exact"/>
              <w:jc w:val="center"/>
              <w:rPr>
                <w:rFonts w:ascii="微軟正黑體" w:eastAsia="微軟正黑體" w:hAnsi="微軟正黑體"/>
                <w:sz w:val="24"/>
                <w:szCs w:val="24"/>
              </w:rPr>
            </w:pPr>
            <w:r>
              <w:rPr>
                <w:rFonts w:ascii="微軟正黑體" w:eastAsia="微軟正黑體" w:hAnsi="微軟正黑體" w:hint="eastAsia"/>
                <w:sz w:val="24"/>
                <w:szCs w:val="24"/>
              </w:rPr>
              <w:t>周玟琪</w:t>
            </w:r>
          </w:p>
        </w:tc>
      </w:tr>
      <w:tr w:rsidR="003B65F2" w:rsidRPr="00F0717A" w:rsidTr="00E2253F">
        <w:trPr>
          <w:trHeight w:val="397"/>
        </w:trPr>
        <w:tc>
          <w:tcPr>
            <w:tcW w:w="7229" w:type="dxa"/>
            <w:shd w:val="clear" w:color="auto" w:fill="D9D9D9"/>
            <w:vAlign w:val="center"/>
          </w:tcPr>
          <w:p w:rsidR="003B65F2" w:rsidRPr="00F0717A" w:rsidRDefault="003B65F2" w:rsidP="0072004D">
            <w:pPr>
              <w:pStyle w:val="a6"/>
              <w:spacing w:line="500" w:lineRule="exact"/>
              <w:jc w:val="both"/>
              <w:rPr>
                <w:rFonts w:ascii="微軟正黑體" w:eastAsia="微軟正黑體" w:hAnsi="微軟正黑體"/>
                <w:sz w:val="24"/>
                <w:szCs w:val="24"/>
              </w:rPr>
            </w:pPr>
            <w:r>
              <w:rPr>
                <w:rFonts w:ascii="微軟正黑體" w:eastAsia="微軟正黑體" w:hAnsi="微軟正黑體" w:hint="eastAsia"/>
                <w:sz w:val="24"/>
                <w:szCs w:val="24"/>
              </w:rPr>
              <w:t>制度動態</w:t>
            </w:r>
          </w:p>
        </w:tc>
        <w:tc>
          <w:tcPr>
            <w:tcW w:w="1843" w:type="dxa"/>
            <w:shd w:val="clear" w:color="auto" w:fill="D9D9D9"/>
            <w:vAlign w:val="center"/>
          </w:tcPr>
          <w:p w:rsidR="003B65F2" w:rsidRPr="00F0717A" w:rsidRDefault="003B65F2" w:rsidP="0072004D">
            <w:pPr>
              <w:pStyle w:val="a6"/>
              <w:spacing w:line="500" w:lineRule="exact"/>
              <w:jc w:val="center"/>
              <w:rPr>
                <w:rFonts w:ascii="微軟正黑體" w:eastAsia="微軟正黑體" w:hAnsi="微軟正黑體"/>
                <w:sz w:val="24"/>
                <w:szCs w:val="24"/>
              </w:rPr>
            </w:pPr>
          </w:p>
        </w:tc>
      </w:tr>
      <w:tr w:rsidR="003B65F2" w:rsidRPr="00F0717A" w:rsidTr="00E2253F">
        <w:trPr>
          <w:trHeight w:val="397"/>
        </w:trPr>
        <w:tc>
          <w:tcPr>
            <w:tcW w:w="7229" w:type="dxa"/>
            <w:shd w:val="clear" w:color="auto" w:fill="auto"/>
            <w:vAlign w:val="center"/>
          </w:tcPr>
          <w:p w:rsidR="003B65F2" w:rsidRPr="00F0717A" w:rsidRDefault="003B65F2" w:rsidP="0072004D">
            <w:pPr>
              <w:pStyle w:val="a6"/>
              <w:spacing w:line="500" w:lineRule="exact"/>
              <w:rPr>
                <w:rFonts w:ascii="微軟正黑體" w:eastAsia="微軟正黑體" w:hAnsi="微軟正黑體"/>
                <w:sz w:val="24"/>
                <w:szCs w:val="24"/>
              </w:rPr>
            </w:pPr>
            <w:r>
              <w:rPr>
                <w:rFonts w:ascii="微軟正黑體" w:eastAsia="微軟正黑體" w:hAnsi="微軟正黑體" w:hint="eastAsia"/>
                <w:sz w:val="24"/>
                <w:szCs w:val="24"/>
              </w:rPr>
              <w:t xml:space="preserve">  國內大事紀(</w:t>
            </w:r>
            <w:r w:rsidRPr="003B65F2">
              <w:rPr>
                <w:rFonts w:ascii="微軟正黑體" w:eastAsia="微軟正黑體" w:hAnsi="微軟正黑體" w:hint="eastAsia"/>
                <w:sz w:val="24"/>
                <w:szCs w:val="24"/>
              </w:rPr>
              <w:t>10</w:t>
            </w:r>
            <w:r w:rsidR="00021084">
              <w:rPr>
                <w:rFonts w:ascii="微軟正黑體" w:eastAsia="微軟正黑體" w:hAnsi="微軟正黑體" w:hint="eastAsia"/>
                <w:sz w:val="24"/>
                <w:szCs w:val="24"/>
              </w:rPr>
              <w:t>9</w:t>
            </w:r>
            <w:r w:rsidRPr="003B65F2">
              <w:rPr>
                <w:rFonts w:ascii="微軟正黑體" w:eastAsia="微軟正黑體" w:hAnsi="微軟正黑體" w:hint="eastAsia"/>
                <w:sz w:val="24"/>
                <w:szCs w:val="24"/>
              </w:rPr>
              <w:t>年1月至</w:t>
            </w:r>
            <w:r w:rsidR="00021084">
              <w:rPr>
                <w:rFonts w:ascii="微軟正黑體" w:eastAsia="微軟正黑體" w:hAnsi="微軟正黑體" w:hint="eastAsia"/>
                <w:sz w:val="24"/>
                <w:szCs w:val="24"/>
              </w:rPr>
              <w:t>110</w:t>
            </w:r>
            <w:r w:rsidRPr="003B65F2">
              <w:rPr>
                <w:rFonts w:ascii="微軟正黑體" w:eastAsia="微軟正黑體" w:hAnsi="微軟正黑體" w:hint="eastAsia"/>
                <w:sz w:val="24"/>
                <w:szCs w:val="24"/>
              </w:rPr>
              <w:t>年</w:t>
            </w:r>
            <w:r w:rsidR="00021084">
              <w:rPr>
                <w:rFonts w:ascii="微軟正黑體" w:eastAsia="微軟正黑體" w:hAnsi="微軟正黑體" w:hint="eastAsia"/>
                <w:sz w:val="24"/>
                <w:szCs w:val="24"/>
              </w:rPr>
              <w:t>12</w:t>
            </w:r>
            <w:r w:rsidRPr="003B65F2">
              <w:rPr>
                <w:rFonts w:ascii="微軟正黑體" w:eastAsia="微軟正黑體" w:hAnsi="微軟正黑體" w:hint="eastAsia"/>
                <w:sz w:val="24"/>
                <w:szCs w:val="24"/>
              </w:rPr>
              <w:t>月</w:t>
            </w:r>
            <w:r>
              <w:rPr>
                <w:rFonts w:ascii="微軟正黑體" w:eastAsia="微軟正黑體" w:hAnsi="微軟正黑體" w:hint="eastAsia"/>
                <w:sz w:val="24"/>
                <w:szCs w:val="24"/>
              </w:rPr>
              <w:t>)</w:t>
            </w:r>
          </w:p>
        </w:tc>
        <w:tc>
          <w:tcPr>
            <w:tcW w:w="1843" w:type="dxa"/>
            <w:shd w:val="clear" w:color="auto" w:fill="auto"/>
            <w:vAlign w:val="center"/>
          </w:tcPr>
          <w:p w:rsidR="003B65F2" w:rsidRPr="00F0717A" w:rsidRDefault="003B65F2" w:rsidP="0072004D">
            <w:pPr>
              <w:pStyle w:val="a6"/>
              <w:spacing w:line="500" w:lineRule="exact"/>
              <w:jc w:val="center"/>
              <w:rPr>
                <w:rFonts w:ascii="微軟正黑體" w:eastAsia="微軟正黑體" w:hAnsi="微軟正黑體"/>
                <w:sz w:val="24"/>
                <w:szCs w:val="24"/>
              </w:rPr>
            </w:pPr>
            <w:r>
              <w:rPr>
                <w:rFonts w:ascii="微軟正黑體" w:eastAsia="微軟正黑體" w:hAnsi="微軟正黑體" w:hint="eastAsia"/>
                <w:sz w:val="24"/>
                <w:szCs w:val="24"/>
              </w:rPr>
              <w:t>賴宜櫻</w:t>
            </w:r>
          </w:p>
        </w:tc>
      </w:tr>
      <w:tr w:rsidR="003B65F2" w:rsidRPr="00F0717A" w:rsidTr="00E2253F">
        <w:trPr>
          <w:trHeight w:val="397"/>
        </w:trPr>
        <w:tc>
          <w:tcPr>
            <w:tcW w:w="7229" w:type="dxa"/>
            <w:shd w:val="clear" w:color="auto" w:fill="auto"/>
            <w:vAlign w:val="center"/>
          </w:tcPr>
          <w:p w:rsidR="003B65F2" w:rsidRPr="00F0717A" w:rsidRDefault="003B65F2" w:rsidP="0072004D">
            <w:pPr>
              <w:pStyle w:val="a6"/>
              <w:spacing w:line="500" w:lineRule="exact"/>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Pr="00F0717A">
              <w:rPr>
                <w:rFonts w:ascii="微軟正黑體" w:eastAsia="微軟正黑體" w:hAnsi="微軟正黑體" w:hint="eastAsia"/>
                <w:sz w:val="24"/>
                <w:szCs w:val="24"/>
              </w:rPr>
              <w:t>國內制度簡表</w:t>
            </w:r>
          </w:p>
        </w:tc>
        <w:tc>
          <w:tcPr>
            <w:tcW w:w="1843" w:type="dxa"/>
            <w:shd w:val="clear" w:color="auto" w:fill="auto"/>
            <w:vAlign w:val="center"/>
          </w:tcPr>
          <w:p w:rsidR="003B65F2" w:rsidRPr="00F0717A" w:rsidRDefault="003B65F2" w:rsidP="0072004D">
            <w:pPr>
              <w:pStyle w:val="a6"/>
              <w:spacing w:line="500" w:lineRule="exact"/>
              <w:jc w:val="center"/>
              <w:rPr>
                <w:rFonts w:ascii="微軟正黑體" w:eastAsia="微軟正黑體" w:hAnsi="微軟正黑體"/>
                <w:sz w:val="24"/>
                <w:szCs w:val="24"/>
              </w:rPr>
            </w:pPr>
            <w:r>
              <w:rPr>
                <w:rFonts w:ascii="微軟正黑體" w:eastAsia="微軟正黑體" w:hAnsi="微軟正黑體" w:hint="eastAsia"/>
                <w:sz w:val="24"/>
                <w:szCs w:val="24"/>
              </w:rPr>
              <w:t>賴宜櫻</w:t>
            </w:r>
          </w:p>
        </w:tc>
      </w:tr>
      <w:tr w:rsidR="003B65F2" w:rsidRPr="00F0717A" w:rsidTr="00E2253F">
        <w:trPr>
          <w:trHeight w:val="397"/>
        </w:trPr>
        <w:tc>
          <w:tcPr>
            <w:tcW w:w="7229" w:type="dxa"/>
            <w:shd w:val="clear" w:color="auto" w:fill="auto"/>
            <w:vAlign w:val="center"/>
          </w:tcPr>
          <w:p w:rsidR="003B65F2" w:rsidRPr="00F0717A" w:rsidRDefault="003B65F2" w:rsidP="0072004D">
            <w:pPr>
              <w:pStyle w:val="a6"/>
              <w:spacing w:line="500" w:lineRule="exact"/>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Pr="00F0717A">
              <w:rPr>
                <w:rFonts w:ascii="微軟正黑體" w:eastAsia="微軟正黑體" w:hAnsi="微軟正黑體" w:hint="eastAsia"/>
                <w:sz w:val="24"/>
                <w:szCs w:val="24"/>
              </w:rPr>
              <w:t>國際比較資料</w:t>
            </w:r>
          </w:p>
        </w:tc>
        <w:tc>
          <w:tcPr>
            <w:tcW w:w="1843" w:type="dxa"/>
            <w:shd w:val="clear" w:color="auto" w:fill="auto"/>
            <w:vAlign w:val="center"/>
          </w:tcPr>
          <w:p w:rsidR="003B65F2" w:rsidRPr="00F0717A" w:rsidRDefault="003B65F2" w:rsidP="0072004D">
            <w:pPr>
              <w:pStyle w:val="a6"/>
              <w:spacing w:line="500" w:lineRule="exact"/>
              <w:jc w:val="center"/>
              <w:rPr>
                <w:rFonts w:ascii="微軟正黑體" w:eastAsia="微軟正黑體" w:hAnsi="微軟正黑體"/>
                <w:sz w:val="24"/>
                <w:szCs w:val="24"/>
              </w:rPr>
            </w:pPr>
            <w:r w:rsidRPr="00F0717A">
              <w:rPr>
                <w:rFonts w:ascii="微軟正黑體" w:eastAsia="微軟正黑體" w:hAnsi="微軟正黑體" w:hint="eastAsia"/>
                <w:sz w:val="24"/>
                <w:szCs w:val="24"/>
              </w:rPr>
              <w:t>蔡宜縉</w:t>
            </w:r>
          </w:p>
        </w:tc>
      </w:tr>
    </w:tbl>
    <w:p w:rsidR="009F7B18" w:rsidRDefault="009F7B18" w:rsidP="00C36542">
      <w:pPr>
        <w:spacing w:line="400" w:lineRule="exact"/>
        <w:rPr>
          <w:rFonts w:ascii="微軟正黑體" w:eastAsia="微軟正黑體" w:hAnsi="微軟正黑體"/>
          <w:b/>
          <w:kern w:val="0"/>
        </w:rPr>
      </w:pPr>
    </w:p>
    <w:p w:rsidR="00021084" w:rsidRDefault="00021084" w:rsidP="00C36542">
      <w:pPr>
        <w:spacing w:line="400" w:lineRule="exact"/>
        <w:rPr>
          <w:rFonts w:ascii="微軟正黑體" w:eastAsia="微軟正黑體" w:hAnsi="微軟正黑體"/>
          <w:b/>
          <w:kern w:val="0"/>
        </w:rPr>
      </w:pPr>
    </w:p>
    <w:p w:rsidR="00021084" w:rsidRDefault="00021084" w:rsidP="00C36542">
      <w:pPr>
        <w:spacing w:line="400" w:lineRule="exact"/>
        <w:rPr>
          <w:rFonts w:ascii="微軟正黑體" w:eastAsia="微軟正黑體" w:hAnsi="微軟正黑體"/>
          <w:b/>
          <w:kern w:val="0"/>
        </w:rPr>
      </w:pPr>
    </w:p>
    <w:p w:rsidR="00617CF8" w:rsidRDefault="00617CF8" w:rsidP="00C36542">
      <w:pPr>
        <w:spacing w:line="400" w:lineRule="exact"/>
        <w:rPr>
          <w:rFonts w:ascii="微軟正黑體" w:eastAsia="微軟正黑體" w:hAnsi="微軟正黑體"/>
          <w:b/>
          <w:kern w:val="0"/>
        </w:rPr>
        <w:sectPr w:rsidR="00617CF8" w:rsidSect="001D5C1C">
          <w:pgSz w:w="11907" w:h="16839" w:code="9"/>
          <w:pgMar w:top="1134" w:right="1418" w:bottom="1134" w:left="1418" w:header="454" w:footer="340" w:gutter="0"/>
          <w:cols w:space="425"/>
          <w:docGrid w:type="lines" w:linePitch="360"/>
        </w:sectPr>
      </w:pPr>
    </w:p>
    <w:p w:rsidR="00617CF8" w:rsidRDefault="00617CF8" w:rsidP="00617CF8">
      <w:pPr>
        <w:spacing w:line="400" w:lineRule="exact"/>
        <w:rPr>
          <w:rFonts w:ascii="微軟正黑體" w:eastAsia="微軟正黑體" w:hAnsi="微軟正黑體"/>
          <w:b/>
          <w:kern w:val="0"/>
        </w:rPr>
      </w:pPr>
      <w:r>
        <w:rPr>
          <w:rFonts w:ascii="微軟正黑體" w:eastAsia="微軟正黑體" w:hAnsi="微軟正黑體" w:hint="eastAsia"/>
          <w:b/>
          <w:kern w:val="0"/>
        </w:rPr>
        <w:lastRenderedPageBreak/>
        <w:t xml:space="preserve">國家圖書館出版品預行編目(CIP)資料 </w:t>
      </w:r>
    </w:p>
    <w:tbl>
      <w:tblPr>
        <w:tblpPr w:leftFromText="180" w:rightFromText="180" w:vertAnchor="text" w:tblpY="1"/>
        <w:tblOverlap w:val="neve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tblGrid>
      <w:tr w:rsidR="00617CF8" w:rsidTr="00617CF8">
        <w:trPr>
          <w:trHeight w:val="3141"/>
        </w:trPr>
        <w:tc>
          <w:tcPr>
            <w:tcW w:w="708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617CF8" w:rsidRDefault="00617CF8" w:rsidP="00617CF8">
            <w:pPr>
              <w:widowControl/>
              <w:spacing w:line="320" w:lineRule="exact"/>
              <w:ind w:rightChars="350" w:right="840"/>
              <w:jc w:val="both"/>
              <w:rPr>
                <w:rFonts w:ascii="微軟正黑體" w:eastAsia="微軟正黑體" w:hAnsi="微軟正黑體"/>
                <w:kern w:val="0"/>
              </w:rPr>
            </w:pPr>
          </w:p>
          <w:p w:rsidR="00617CF8" w:rsidRDefault="00617CF8" w:rsidP="00617CF8">
            <w:pPr>
              <w:widowControl/>
              <w:spacing w:line="360" w:lineRule="exact"/>
              <w:ind w:rightChars="350" w:right="840" w:firstLineChars="300" w:firstLine="720"/>
              <w:jc w:val="both"/>
              <w:rPr>
                <w:rFonts w:ascii="微軟正黑體" w:eastAsia="微軟正黑體" w:hAnsi="微軟正黑體"/>
                <w:kern w:val="0"/>
              </w:rPr>
            </w:pPr>
            <w:r>
              <w:rPr>
                <w:rFonts w:ascii="微軟正黑體" w:eastAsia="微軟正黑體" w:hAnsi="微軟正黑體" w:hint="eastAsia"/>
                <w:kern w:val="0"/>
              </w:rPr>
              <w:t>老年經濟安全制度專刊. 第5期</w:t>
            </w:r>
            <w:r w:rsidR="003656D8">
              <w:rPr>
                <w:rFonts w:ascii="微軟正黑體" w:eastAsia="微軟正黑體" w:hAnsi="微軟正黑體" w:hint="eastAsia"/>
                <w:kern w:val="0"/>
              </w:rPr>
              <w:t>/</w:t>
            </w:r>
            <w:r>
              <w:rPr>
                <w:rFonts w:ascii="微軟正黑體" w:eastAsia="微軟正黑體" w:hAnsi="微軟正黑體" w:hint="eastAsia"/>
                <w:kern w:val="0"/>
              </w:rPr>
              <w:t>國家發展委員會</w:t>
            </w:r>
            <w:r w:rsidR="003656D8">
              <w:rPr>
                <w:rFonts w:ascii="微軟正黑體" w:eastAsia="微軟正黑體" w:hAnsi="微軟正黑體" w:hint="eastAsia"/>
                <w:kern w:val="0"/>
              </w:rPr>
              <w:t>人力</w:t>
            </w:r>
          </w:p>
          <w:p w:rsidR="003656D8" w:rsidRDefault="00617CF8" w:rsidP="003656D8">
            <w:pPr>
              <w:widowControl/>
              <w:spacing w:line="360" w:lineRule="exact"/>
              <w:ind w:rightChars="350" w:right="840" w:firstLineChars="300" w:firstLine="720"/>
              <w:jc w:val="both"/>
              <w:rPr>
                <w:rFonts w:ascii="微軟正黑體" w:eastAsia="微軟正黑體" w:hAnsi="微軟正黑體"/>
                <w:kern w:val="0"/>
              </w:rPr>
            </w:pPr>
            <w:r>
              <w:rPr>
                <w:rFonts w:ascii="微軟正黑體" w:eastAsia="微軟正黑體" w:hAnsi="微軟正黑體" w:hint="eastAsia"/>
                <w:kern w:val="0"/>
              </w:rPr>
              <w:t xml:space="preserve">  發展處編著. -- 初版. -- 臺北市：</w:t>
            </w:r>
            <w:r w:rsidR="003656D8" w:rsidRPr="003656D8">
              <w:rPr>
                <w:rFonts w:ascii="微軟正黑體" w:eastAsia="微軟正黑體" w:hAnsi="微軟正黑體" w:hint="eastAsia"/>
                <w:kern w:val="0"/>
              </w:rPr>
              <w:t>國家發展委員會</w:t>
            </w:r>
          </w:p>
          <w:p w:rsidR="00617CF8" w:rsidRDefault="003656D8" w:rsidP="003656D8">
            <w:pPr>
              <w:widowControl/>
              <w:spacing w:line="360" w:lineRule="exact"/>
              <w:ind w:rightChars="350" w:right="840" w:firstLineChars="300" w:firstLine="720"/>
              <w:jc w:val="both"/>
              <w:rPr>
                <w:rFonts w:ascii="微軟正黑體" w:eastAsia="微軟正黑體" w:hAnsi="微軟正黑體"/>
                <w:kern w:val="0"/>
              </w:rPr>
            </w:pPr>
            <w:r>
              <w:rPr>
                <w:rFonts w:ascii="微軟正黑體" w:eastAsia="微軟正黑體" w:hAnsi="微軟正黑體" w:hint="eastAsia"/>
                <w:kern w:val="0"/>
              </w:rPr>
              <w:t xml:space="preserve">  </w:t>
            </w:r>
            <w:r w:rsidRPr="003656D8">
              <w:rPr>
                <w:rFonts w:ascii="微軟正黑體" w:eastAsia="微軟正黑體" w:hAnsi="微軟正黑體" w:hint="eastAsia"/>
                <w:kern w:val="0"/>
              </w:rPr>
              <w:t>人力</w:t>
            </w:r>
            <w:r w:rsidR="00617CF8">
              <w:rPr>
                <w:rFonts w:ascii="微軟正黑體" w:eastAsia="微軟正黑體" w:hAnsi="微軟正黑體" w:hint="eastAsia"/>
                <w:kern w:val="0"/>
              </w:rPr>
              <w:t>發展處, 民110.12</w:t>
            </w:r>
          </w:p>
          <w:p w:rsidR="00617CF8" w:rsidRDefault="00617CF8" w:rsidP="00617CF8">
            <w:pPr>
              <w:widowControl/>
              <w:spacing w:line="360" w:lineRule="exact"/>
              <w:ind w:rightChars="350" w:right="840" w:firstLineChars="300" w:firstLine="720"/>
              <w:jc w:val="both"/>
              <w:rPr>
                <w:rFonts w:ascii="微軟正黑體" w:eastAsia="微軟正黑體" w:hAnsi="微軟正黑體"/>
                <w:kern w:val="0"/>
              </w:rPr>
            </w:pPr>
            <w:r>
              <w:rPr>
                <w:rFonts w:ascii="微軟正黑體" w:eastAsia="微軟正黑體" w:hAnsi="微軟正黑體" w:hint="eastAsia"/>
                <w:kern w:val="0"/>
              </w:rPr>
              <w:t xml:space="preserve">    面 ; 　公分 </w:t>
            </w:r>
          </w:p>
          <w:p w:rsidR="00617CF8" w:rsidRPr="003656D8" w:rsidRDefault="00617CF8" w:rsidP="00617CF8">
            <w:pPr>
              <w:widowControl/>
              <w:spacing w:line="360" w:lineRule="exact"/>
              <w:ind w:rightChars="350" w:right="840"/>
              <w:jc w:val="both"/>
              <w:rPr>
                <w:rFonts w:ascii="微軟正黑體" w:eastAsia="微軟正黑體" w:hAnsi="微軟正黑體"/>
                <w:kern w:val="0"/>
              </w:rPr>
            </w:pPr>
            <w:r>
              <w:rPr>
                <w:rFonts w:ascii="微軟正黑體" w:eastAsia="微軟正黑體" w:hAnsi="微軟正黑體" w:hint="eastAsia"/>
                <w:kern w:val="0"/>
              </w:rPr>
              <w:t xml:space="preserve">   </w:t>
            </w:r>
            <w:r w:rsidRPr="00CB511B">
              <w:rPr>
                <w:rFonts w:ascii="微軟正黑體" w:eastAsia="微軟正黑體" w:hAnsi="微軟正黑體" w:hint="eastAsia"/>
                <w:color w:val="0070C0"/>
                <w:kern w:val="0"/>
              </w:rPr>
              <w:t xml:space="preserve">   </w:t>
            </w:r>
            <w:r w:rsidRPr="003656D8">
              <w:rPr>
                <w:rFonts w:ascii="微軟正黑體" w:eastAsia="微軟正黑體" w:hAnsi="微軟正黑體" w:hint="eastAsia"/>
                <w:kern w:val="0"/>
              </w:rPr>
              <w:t xml:space="preserve"> ISBN</w:t>
            </w:r>
            <w:r w:rsidR="003656D8" w:rsidRPr="003656D8">
              <w:rPr>
                <w:rFonts w:ascii="微軟正黑體" w:eastAsia="微軟正黑體" w:hAnsi="微軟正黑體" w:hint="eastAsia"/>
                <w:kern w:val="0"/>
              </w:rPr>
              <w:t xml:space="preserve"> </w:t>
            </w:r>
            <w:r w:rsidR="003656D8" w:rsidRPr="003656D8">
              <w:rPr>
                <w:rFonts w:ascii="微軟正黑體" w:eastAsia="微軟正黑體" w:hAnsi="微軟正黑體"/>
                <w:kern w:val="0"/>
              </w:rPr>
              <w:t>978-986-5467-77-7</w:t>
            </w:r>
            <w:r w:rsidRPr="003656D8">
              <w:rPr>
                <w:rFonts w:ascii="微軟正黑體" w:eastAsia="微軟正黑體" w:hAnsi="微軟正黑體" w:hint="eastAsia"/>
                <w:kern w:val="0"/>
              </w:rPr>
              <w:t>(平裝)</w:t>
            </w:r>
          </w:p>
          <w:p w:rsidR="00617CF8" w:rsidRDefault="00617CF8" w:rsidP="00617CF8">
            <w:pPr>
              <w:widowControl/>
              <w:spacing w:line="360" w:lineRule="exact"/>
              <w:ind w:leftChars="374" w:left="1138" w:rightChars="335" w:right="804" w:hangingChars="100" w:hanging="240"/>
              <w:jc w:val="both"/>
              <w:rPr>
                <w:rFonts w:ascii="微軟正黑體" w:eastAsia="微軟正黑體" w:hAnsi="微軟正黑體"/>
                <w:kern w:val="0"/>
              </w:rPr>
            </w:pPr>
          </w:p>
          <w:p w:rsidR="00617CF8" w:rsidRDefault="00617CF8" w:rsidP="00617CF8">
            <w:pPr>
              <w:widowControl/>
              <w:spacing w:line="360" w:lineRule="exact"/>
              <w:ind w:rightChars="350" w:right="840"/>
              <w:jc w:val="both"/>
              <w:rPr>
                <w:rFonts w:ascii="微軟正黑體" w:eastAsia="微軟正黑體" w:hAnsi="微軟正黑體"/>
                <w:kern w:val="0"/>
              </w:rPr>
            </w:pPr>
            <w:r>
              <w:rPr>
                <w:rFonts w:ascii="微軟正黑體" w:eastAsia="微軟正黑體" w:hAnsi="微軟正黑體" w:hint="eastAsia"/>
                <w:kern w:val="0"/>
              </w:rPr>
              <w:t xml:space="preserve">       </w:t>
            </w:r>
            <w:r w:rsidR="00162B19">
              <w:rPr>
                <w:rFonts w:ascii="微軟正黑體" w:eastAsia="微軟正黑體" w:hAnsi="微軟正黑體" w:hint="eastAsia"/>
                <w:kern w:val="0"/>
              </w:rPr>
              <w:t>1.CST：</w:t>
            </w:r>
            <w:r w:rsidR="003656D8" w:rsidRPr="003656D8">
              <w:rPr>
                <w:rFonts w:ascii="微軟正黑體" w:eastAsia="微軟正黑體" w:hAnsi="微軟正黑體" w:hint="eastAsia"/>
                <w:kern w:val="0"/>
              </w:rPr>
              <w:t>老人福利</w:t>
            </w:r>
            <w:r w:rsidR="00162B19">
              <w:rPr>
                <w:rFonts w:ascii="微軟正黑體" w:eastAsia="微軟正黑體" w:hAnsi="微軟正黑體" w:hint="eastAsia"/>
                <w:kern w:val="0"/>
              </w:rPr>
              <w:t xml:space="preserve"> 2.CST：</w:t>
            </w:r>
            <w:r w:rsidR="003656D8" w:rsidRPr="003656D8">
              <w:rPr>
                <w:rFonts w:ascii="微軟正黑體" w:eastAsia="微軟正黑體" w:hAnsi="微軟正黑體" w:hint="eastAsia"/>
                <w:kern w:val="0"/>
              </w:rPr>
              <w:t>社會安全</w:t>
            </w:r>
            <w:r w:rsidR="00162B19">
              <w:rPr>
                <w:rFonts w:ascii="微軟正黑體" w:eastAsia="微軟正黑體" w:hAnsi="微軟正黑體" w:hint="eastAsia"/>
                <w:kern w:val="0"/>
              </w:rPr>
              <w:t xml:space="preserve"> 3.CST：</w:t>
            </w:r>
            <w:r w:rsidR="003656D8" w:rsidRPr="003656D8">
              <w:rPr>
                <w:rFonts w:ascii="微軟正黑體" w:eastAsia="微軟正黑體" w:hAnsi="微軟正黑體" w:hint="eastAsia"/>
                <w:kern w:val="0"/>
              </w:rPr>
              <w:t>年金</w:t>
            </w:r>
            <w:r w:rsidR="00385566">
              <w:rPr>
                <w:rFonts w:ascii="微軟正黑體" w:eastAsia="微軟正黑體" w:hAnsi="微軟正黑體" w:hint="eastAsia"/>
                <w:kern w:val="0"/>
              </w:rPr>
              <w:t xml:space="preserve"> </w:t>
            </w:r>
            <w:r>
              <w:rPr>
                <w:rFonts w:ascii="微軟正黑體" w:eastAsia="微軟正黑體" w:hAnsi="微軟正黑體" w:hint="eastAsia"/>
                <w:kern w:val="0"/>
              </w:rPr>
              <w:t xml:space="preserve"> </w:t>
            </w:r>
          </w:p>
          <w:p w:rsidR="00617CF8" w:rsidRDefault="00617CF8" w:rsidP="00617CF8">
            <w:pPr>
              <w:widowControl/>
              <w:spacing w:line="360" w:lineRule="exact"/>
              <w:ind w:leftChars="374" w:left="1138" w:rightChars="335" w:right="804" w:hangingChars="100" w:hanging="240"/>
              <w:jc w:val="both"/>
              <w:rPr>
                <w:rFonts w:ascii="微軟正黑體" w:eastAsia="微軟正黑體" w:hAnsi="微軟正黑體"/>
                <w:kern w:val="0"/>
              </w:rPr>
            </w:pPr>
          </w:p>
          <w:tbl>
            <w:tblPr>
              <w:tblW w:w="5000" w:type="pct"/>
              <w:tblCellSpacing w:w="15" w:type="dxa"/>
              <w:tblLook w:val="04A0" w:firstRow="1" w:lastRow="0" w:firstColumn="1" w:lastColumn="0" w:noHBand="0" w:noVBand="1"/>
            </w:tblPr>
            <w:tblGrid>
              <w:gridCol w:w="720"/>
              <w:gridCol w:w="5492"/>
              <w:gridCol w:w="71"/>
              <w:gridCol w:w="795"/>
            </w:tblGrid>
            <w:tr w:rsidR="00617CF8" w:rsidTr="00617CF8">
              <w:trPr>
                <w:tblCellSpacing w:w="15" w:type="dxa"/>
              </w:trPr>
              <w:tc>
                <w:tcPr>
                  <w:tcW w:w="675" w:type="dxa"/>
                  <w:tcMar>
                    <w:top w:w="15" w:type="dxa"/>
                    <w:left w:w="15" w:type="dxa"/>
                    <w:bottom w:w="15" w:type="dxa"/>
                    <w:right w:w="15" w:type="dxa"/>
                  </w:tcMar>
                  <w:vAlign w:val="center"/>
                  <w:hideMark/>
                </w:tcPr>
                <w:p w:rsidR="00617CF8" w:rsidRPr="007712C9" w:rsidRDefault="00617CF8" w:rsidP="0004578D">
                  <w:pPr>
                    <w:framePr w:hSpace="180" w:wrap="around" w:vAnchor="text" w:hAnchor="text" w:y="1"/>
                    <w:widowControl/>
                    <w:spacing w:line="360" w:lineRule="exact"/>
                    <w:suppressOverlap/>
                    <w:rPr>
                      <w:rFonts w:ascii="微軟正黑體" w:eastAsia="微軟正黑體" w:hAnsi="微軟正黑體"/>
                      <w:kern w:val="0"/>
                      <w:sz w:val="20"/>
                      <w:szCs w:val="20"/>
                    </w:rPr>
                  </w:pPr>
                  <w:r w:rsidRPr="007712C9">
                    <w:rPr>
                      <w:rFonts w:ascii="微軟正黑體" w:eastAsia="微軟正黑體" w:hAnsi="微軟正黑體" w:hint="eastAsia"/>
                      <w:kern w:val="0"/>
                      <w:sz w:val="20"/>
                      <w:szCs w:val="20"/>
                    </w:rPr>
                    <w:t> </w:t>
                  </w:r>
                </w:p>
              </w:tc>
              <w:tc>
                <w:tcPr>
                  <w:tcW w:w="0" w:type="auto"/>
                  <w:tcMar>
                    <w:top w:w="15" w:type="dxa"/>
                    <w:left w:w="15" w:type="dxa"/>
                    <w:bottom w:w="15" w:type="dxa"/>
                    <w:right w:w="15" w:type="dxa"/>
                  </w:tcMar>
                  <w:vAlign w:val="center"/>
                  <w:hideMark/>
                </w:tcPr>
                <w:p w:rsidR="00617CF8" w:rsidRPr="007712C9" w:rsidRDefault="00617CF8" w:rsidP="0004578D">
                  <w:pPr>
                    <w:framePr w:hSpace="180" w:wrap="around" w:vAnchor="text" w:hAnchor="text" w:y="1"/>
                    <w:widowControl/>
                    <w:spacing w:line="360" w:lineRule="exact"/>
                    <w:ind w:leftChars="-17" w:left="-41" w:rightChars="-257" w:right="-617"/>
                    <w:suppressOverlap/>
                    <w:rPr>
                      <w:rFonts w:ascii="微軟正黑體" w:eastAsia="微軟正黑體" w:hAnsi="微軟正黑體"/>
                      <w:kern w:val="0"/>
                      <w:sz w:val="20"/>
                      <w:szCs w:val="20"/>
                    </w:rPr>
                  </w:pPr>
                  <w:r w:rsidRPr="00385566">
                    <w:rPr>
                      <w:rFonts w:ascii="微軟正黑體" w:eastAsia="微軟正黑體" w:hAnsi="微軟正黑體" w:hint="eastAsia"/>
                      <w:kern w:val="0"/>
                    </w:rPr>
                    <w:t>544.85</w:t>
                  </w:r>
                  <w:r w:rsidR="00385566">
                    <w:rPr>
                      <w:rFonts w:ascii="微軟正黑體" w:eastAsia="微軟正黑體" w:hAnsi="微軟正黑體" w:hint="eastAsia"/>
                      <w:kern w:val="0"/>
                      <w:sz w:val="20"/>
                      <w:szCs w:val="20"/>
                    </w:rPr>
                    <w:t xml:space="preserve">   </w:t>
                  </w:r>
                  <w:r w:rsidR="00C20281">
                    <w:rPr>
                      <w:rFonts w:ascii="微軟正黑體" w:eastAsia="微軟正黑體" w:hAnsi="微軟正黑體" w:hint="eastAsia"/>
                      <w:kern w:val="0"/>
                      <w:sz w:val="20"/>
                      <w:szCs w:val="20"/>
                    </w:rPr>
                    <w:t xml:space="preserve">                               </w:t>
                  </w:r>
                  <w:r w:rsidR="00385566" w:rsidRPr="00147E6E">
                    <w:rPr>
                      <w:rFonts w:ascii="微軟正黑體" w:eastAsia="微軟正黑體" w:hAnsi="微軟正黑體" w:cs="新細明體" w:hint="eastAsia"/>
                      <w:kern w:val="0"/>
                    </w:rPr>
                    <w:t>110022208</w:t>
                  </w:r>
                </w:p>
              </w:tc>
              <w:tc>
                <w:tcPr>
                  <w:tcW w:w="0" w:type="auto"/>
                  <w:tcMar>
                    <w:top w:w="15" w:type="dxa"/>
                    <w:left w:w="15" w:type="dxa"/>
                    <w:bottom w:w="15" w:type="dxa"/>
                    <w:right w:w="15" w:type="dxa"/>
                  </w:tcMar>
                  <w:vAlign w:val="center"/>
                  <w:hideMark/>
                </w:tcPr>
                <w:p w:rsidR="00617CF8" w:rsidRDefault="00617CF8" w:rsidP="0004578D">
                  <w:pPr>
                    <w:framePr w:hSpace="180" w:wrap="around" w:vAnchor="text" w:hAnchor="text" w:y="1"/>
                    <w:widowControl/>
                    <w:spacing w:line="360" w:lineRule="exact"/>
                    <w:suppressOverlap/>
                    <w:jc w:val="right"/>
                    <w:rPr>
                      <w:rFonts w:ascii="微軟正黑體" w:eastAsia="微軟正黑體" w:hAnsi="微軟正黑體"/>
                      <w:color w:val="0070C0"/>
                      <w:kern w:val="0"/>
                      <w:sz w:val="20"/>
                      <w:szCs w:val="20"/>
                    </w:rPr>
                  </w:pPr>
                </w:p>
              </w:tc>
              <w:tc>
                <w:tcPr>
                  <w:tcW w:w="750" w:type="dxa"/>
                  <w:tcMar>
                    <w:top w:w="15" w:type="dxa"/>
                    <w:left w:w="15" w:type="dxa"/>
                    <w:bottom w:w="15" w:type="dxa"/>
                    <w:right w:w="15" w:type="dxa"/>
                  </w:tcMar>
                  <w:vAlign w:val="center"/>
                  <w:hideMark/>
                </w:tcPr>
                <w:p w:rsidR="00617CF8" w:rsidRDefault="00617CF8" w:rsidP="0004578D">
                  <w:pPr>
                    <w:framePr w:hSpace="180" w:wrap="around" w:vAnchor="text" w:hAnchor="text" w:y="1"/>
                    <w:widowControl/>
                    <w:spacing w:line="360" w:lineRule="exact"/>
                    <w:suppressOverlap/>
                    <w:rPr>
                      <w:rFonts w:ascii="微軟正黑體" w:eastAsia="微軟正黑體" w:hAnsi="微軟正黑體"/>
                      <w:color w:val="0070C0"/>
                      <w:kern w:val="0"/>
                    </w:rPr>
                  </w:pPr>
                  <w:r>
                    <w:rPr>
                      <w:rFonts w:ascii="微軟正黑體" w:eastAsia="微軟正黑體" w:hAnsi="微軟正黑體" w:hint="eastAsia"/>
                      <w:color w:val="0070C0"/>
                      <w:kern w:val="0"/>
                    </w:rPr>
                    <w:t>  </w:t>
                  </w:r>
                </w:p>
              </w:tc>
            </w:tr>
          </w:tbl>
          <w:p w:rsidR="00617CF8" w:rsidRDefault="00617CF8" w:rsidP="00617CF8">
            <w:pPr>
              <w:widowControl/>
              <w:rPr>
                <w:rFonts w:eastAsia="新細明體"/>
                <w:szCs w:val="22"/>
              </w:rPr>
            </w:pPr>
          </w:p>
        </w:tc>
      </w:tr>
    </w:tbl>
    <w:p w:rsidR="00617CF8" w:rsidRDefault="00617CF8" w:rsidP="00617CF8">
      <w:pPr>
        <w:widowControl/>
        <w:spacing w:line="400" w:lineRule="exact"/>
        <w:rPr>
          <w:rFonts w:ascii="微軟正黑體" w:eastAsia="微軟正黑體" w:hAnsi="微軟正黑體"/>
        </w:rPr>
      </w:pPr>
      <w:r>
        <w:rPr>
          <w:rFonts w:ascii="微軟正黑體" w:eastAsia="微軟正黑體" w:hAnsi="微軟正黑體"/>
        </w:rPr>
        <w:br w:type="textWrapping" w:clear="all"/>
      </w:r>
    </w:p>
    <w:p w:rsidR="00617CF8" w:rsidRDefault="00617CF8" w:rsidP="00617CF8">
      <w:pPr>
        <w:widowControl/>
        <w:spacing w:line="400" w:lineRule="exact"/>
        <w:rPr>
          <w:rFonts w:ascii="微軟正黑體" w:eastAsia="微軟正黑體" w:hAnsi="微軟正黑體"/>
        </w:rPr>
      </w:pPr>
      <w:r>
        <w:rPr>
          <w:rFonts w:hint="eastAsia"/>
          <w:noProof/>
        </w:rPr>
        <mc:AlternateContent>
          <mc:Choice Requires="wps">
            <w:drawing>
              <wp:anchor distT="0" distB="0" distL="114300" distR="114300" simplePos="0" relativeHeight="252474368" behindDoc="0" locked="0" layoutInCell="1" allowOverlap="1" wp14:anchorId="6E5E26AB" wp14:editId="2CFE6389">
                <wp:simplePos x="0" y="0"/>
                <wp:positionH relativeFrom="column">
                  <wp:posOffset>-28575</wp:posOffset>
                </wp:positionH>
                <wp:positionV relativeFrom="paragraph">
                  <wp:posOffset>60960</wp:posOffset>
                </wp:positionV>
                <wp:extent cx="5706745" cy="5986145"/>
                <wp:effectExtent l="0" t="0" r="27305" b="1460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5985510"/>
                        </a:xfrm>
                        <a:prstGeom prst="rect">
                          <a:avLst/>
                        </a:prstGeom>
                        <a:solidFill>
                          <a:srgbClr val="FFFFFF"/>
                        </a:solidFill>
                        <a:ln w="9525">
                          <a:solidFill>
                            <a:srgbClr val="000000"/>
                          </a:solidFill>
                          <a:miter lim="800000"/>
                          <a:headEnd/>
                          <a:tailEnd/>
                        </a:ln>
                      </wps:spPr>
                      <wps:txbx>
                        <w:txbxContent>
                          <w:p w:rsidR="00745375" w:rsidRDefault="00745375" w:rsidP="00617CF8">
                            <w:pPr>
                              <w:spacing w:line="360" w:lineRule="exact"/>
                              <w:rPr>
                                <w:rFonts w:ascii="微軟正黑體" w:eastAsia="微軟正黑體" w:hAnsi="微軟正黑體"/>
                                <w:b/>
                                <w:sz w:val="28"/>
                                <w:szCs w:val="28"/>
                              </w:rPr>
                            </w:pPr>
                            <w:r>
                              <w:rPr>
                                <w:rFonts w:ascii="微軟正黑體" w:eastAsia="微軟正黑體" w:hAnsi="微軟正黑體" w:hint="eastAsia"/>
                                <w:b/>
                                <w:sz w:val="28"/>
                                <w:szCs w:val="28"/>
                              </w:rPr>
                              <w:t>老年經濟安全制度專刊 第5期</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編 著 者：國家發展委員會 人力發展處</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出版機關：國家發展委員會 人力發展處</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地    址：10020臺北市中正區寶慶路3號4樓</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電    話：02-23165300</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網    址：http://www.ndc.gov.tw/</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出版年月：中華民國110年12月</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版    次：初版    第1刷</w:t>
                            </w:r>
                          </w:p>
                          <w:p w:rsidR="00745375" w:rsidRDefault="00745375" w:rsidP="00617CF8">
                            <w:pPr>
                              <w:spacing w:beforeLines="30" w:before="108" w:line="360" w:lineRule="exact"/>
                              <w:rPr>
                                <w:rFonts w:ascii="微軟正黑體" w:eastAsia="微軟正黑體" w:hAnsi="微軟正黑體"/>
                              </w:rPr>
                            </w:pPr>
                            <w:r>
                              <w:rPr>
                                <w:rFonts w:ascii="微軟正黑體" w:eastAsia="微軟正黑體" w:hAnsi="微軟正黑體" w:hint="eastAsia"/>
                              </w:rPr>
                              <w:t>電子出版品：本書同時刊載於國家發展委員會網站，網址為</w:t>
                            </w:r>
                          </w:p>
                          <w:p w:rsidR="00745375" w:rsidRDefault="00745375" w:rsidP="00617CF8">
                            <w:pPr>
                              <w:spacing w:line="360" w:lineRule="exact"/>
                              <w:rPr>
                                <w:rFonts w:ascii="微軟正黑體" w:eastAsia="微軟正黑體" w:hAnsi="微軟正黑體"/>
                                <w:sz w:val="22"/>
                                <w:szCs w:val="22"/>
                              </w:rPr>
                            </w:pPr>
                            <w:r>
                              <w:rPr>
                                <w:rFonts w:ascii="微軟正黑體" w:eastAsia="微軟正黑體" w:hAnsi="微軟正黑體" w:hint="eastAsia"/>
                                <w:sz w:val="22"/>
                                <w:szCs w:val="22"/>
                              </w:rPr>
                              <w:t>https://www.ndc.gov.tw/cp.aspx?n=A76B7230ADF29736&amp;s=78D44431464E02FA</w:t>
                            </w:r>
                          </w:p>
                          <w:p w:rsidR="00745375" w:rsidRDefault="00745375" w:rsidP="00617CF8">
                            <w:pPr>
                              <w:spacing w:beforeLines="30" w:before="108" w:line="360" w:lineRule="exact"/>
                              <w:rPr>
                                <w:rFonts w:ascii="微軟正黑體" w:eastAsia="微軟正黑體" w:hAnsi="微軟正黑體"/>
                              </w:rPr>
                            </w:pPr>
                            <w:r>
                              <w:rPr>
                                <w:rFonts w:ascii="微軟正黑體" w:eastAsia="微軟正黑體" w:hAnsi="微軟正黑體" w:hint="eastAsia"/>
                              </w:rPr>
                              <w:t>定    價：新臺幣</w:t>
                            </w:r>
                            <w:r w:rsidRPr="00C911A6">
                              <w:rPr>
                                <w:rFonts w:ascii="微軟正黑體" w:eastAsia="微軟正黑體" w:hAnsi="微軟正黑體" w:hint="eastAsia"/>
                              </w:rPr>
                              <w:t>400元</w:t>
                            </w:r>
                            <w:r>
                              <w:rPr>
                                <w:rFonts w:ascii="微軟正黑體" w:eastAsia="微軟正黑體" w:hAnsi="微軟正黑體" w:hint="eastAsia"/>
                              </w:rPr>
                              <w:t xml:space="preserve"> </w:t>
                            </w:r>
                          </w:p>
                          <w:p w:rsidR="00745375" w:rsidRPr="00385566" w:rsidRDefault="00745375" w:rsidP="00385566">
                            <w:pPr>
                              <w:spacing w:line="360" w:lineRule="exact"/>
                              <w:rPr>
                                <w:rFonts w:ascii="微軟正黑體" w:eastAsia="微軟正黑體" w:hAnsi="微軟正黑體"/>
                              </w:rPr>
                            </w:pPr>
                            <w:r w:rsidRPr="00385566">
                              <w:rPr>
                                <w:rFonts w:ascii="微軟正黑體" w:eastAsia="微軟正黑體" w:hAnsi="微軟正黑體" w:hint="eastAsia"/>
                              </w:rPr>
                              <w:t>編    號：</w:t>
                            </w:r>
                            <w:r w:rsidRPr="00385566">
                              <w:rPr>
                                <w:rFonts w:ascii="微軟正黑體" w:eastAsia="微軟正黑體" w:hAnsi="微軟正黑體"/>
                              </w:rPr>
                              <w:t>(110)015.0803</w:t>
                            </w:r>
                          </w:p>
                          <w:p w:rsidR="00745375" w:rsidRPr="00385566" w:rsidRDefault="00745375" w:rsidP="00385566">
                            <w:pPr>
                              <w:spacing w:line="360" w:lineRule="exact"/>
                              <w:rPr>
                                <w:rFonts w:ascii="微軟正黑體" w:eastAsia="微軟正黑體" w:hAnsi="微軟正黑體"/>
                              </w:rPr>
                            </w:pPr>
                            <w:r w:rsidRPr="00385566">
                              <w:rPr>
                                <w:rFonts w:ascii="微軟正黑體" w:eastAsia="微軟正黑體" w:hAnsi="微軟正黑體" w:hint="eastAsia"/>
                              </w:rPr>
                              <w:t>Ｇ Ｐ Ｎ：1011002300</w:t>
                            </w:r>
                          </w:p>
                          <w:p w:rsidR="00745375" w:rsidRPr="00385566" w:rsidRDefault="00745375" w:rsidP="00385566">
                            <w:pPr>
                              <w:spacing w:line="360" w:lineRule="exact"/>
                              <w:rPr>
                                <w:rFonts w:ascii="微軟正黑體" w:eastAsia="微軟正黑體" w:hAnsi="微軟正黑體"/>
                              </w:rPr>
                            </w:pPr>
                            <w:r w:rsidRPr="00385566">
                              <w:rPr>
                                <w:rFonts w:ascii="微軟正黑體" w:eastAsia="微軟正黑體" w:hAnsi="微軟正黑體" w:hint="eastAsia"/>
                              </w:rPr>
                              <w:t>ＩＳＢＮ：</w:t>
                            </w:r>
                            <w:r w:rsidRPr="00385566">
                              <w:rPr>
                                <w:rFonts w:ascii="微軟正黑體" w:eastAsia="微軟正黑體" w:hAnsi="微軟正黑體"/>
                              </w:rPr>
                              <w:t>978-986-5467-77-7</w:t>
                            </w:r>
                            <w:r w:rsidRPr="00385566">
                              <w:rPr>
                                <w:rFonts w:ascii="微軟正黑體" w:eastAsia="微軟正黑體" w:hAnsi="微軟正黑體" w:hint="eastAsia"/>
                              </w:rPr>
                              <w:t>(平裝)</w:t>
                            </w:r>
                          </w:p>
                          <w:p w:rsidR="00745375" w:rsidRPr="00385566" w:rsidRDefault="00745375" w:rsidP="00617CF8">
                            <w:pPr>
                              <w:spacing w:line="360" w:lineRule="exact"/>
                              <w:rPr>
                                <w:rFonts w:ascii="微軟正黑體" w:eastAsia="微軟正黑體" w:hAnsi="微軟正黑體"/>
                                <w:color w:val="0070C0"/>
                              </w:rPr>
                            </w:pP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展 售 處：</w:t>
                            </w:r>
                          </w:p>
                          <w:p w:rsidR="00745375" w:rsidRPr="00701289" w:rsidRDefault="00745375" w:rsidP="00701289">
                            <w:pPr>
                              <w:spacing w:line="360" w:lineRule="exact"/>
                              <w:ind w:firstLineChars="100" w:firstLine="240"/>
                              <w:rPr>
                                <w:rFonts w:ascii="微軟正黑體" w:eastAsia="微軟正黑體" w:hAnsi="微軟正黑體"/>
                              </w:rPr>
                            </w:pPr>
                            <w:r w:rsidRPr="00701289">
                              <w:rPr>
                                <w:rFonts w:ascii="微軟正黑體" w:eastAsia="微軟正黑體" w:hAnsi="微軟正黑體" w:hint="eastAsia"/>
                              </w:rPr>
                              <w:t>三民書局：10045臺北市中正區重慶南路1段61號</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TEL：886-2-23617511  FAX：886-2-23613355</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http://www.sanmin.com.tw/</w:t>
                            </w:r>
                          </w:p>
                          <w:p w:rsidR="00745375" w:rsidRPr="00701289" w:rsidRDefault="00745375" w:rsidP="00701289">
                            <w:pPr>
                              <w:spacing w:line="360" w:lineRule="exact"/>
                              <w:ind w:firstLineChars="100" w:firstLine="240"/>
                              <w:rPr>
                                <w:rFonts w:ascii="微軟正黑體" w:eastAsia="微軟正黑體" w:hAnsi="微軟正黑體"/>
                              </w:rPr>
                            </w:pPr>
                            <w:r w:rsidRPr="00701289">
                              <w:rPr>
                                <w:rFonts w:ascii="微軟正黑體" w:eastAsia="微軟正黑體" w:hAnsi="微軟正黑體" w:hint="eastAsia"/>
                              </w:rPr>
                              <w:t>五南文化廣場</w:t>
                            </w:r>
                            <w:r w:rsidRPr="00485995">
                              <w:rPr>
                                <w:rFonts w:ascii="微軟正黑體" w:eastAsia="微軟正黑體" w:hAnsi="微軟正黑體" w:hint="eastAsia"/>
                              </w:rPr>
                              <w:t>臺中</w:t>
                            </w:r>
                            <w:r>
                              <w:rPr>
                                <w:rFonts w:ascii="微軟正黑體" w:eastAsia="微軟正黑體" w:hAnsi="微軟正黑體" w:hint="eastAsia"/>
                              </w:rPr>
                              <w:t>總店</w:t>
                            </w:r>
                            <w:r w:rsidRPr="00701289">
                              <w:rPr>
                                <w:rFonts w:ascii="微軟正黑體" w:eastAsia="微軟正黑體" w:hAnsi="微軟正黑體" w:hint="eastAsia"/>
                              </w:rPr>
                              <w:t>：40042臺中市中區中山路6號</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TEL：886-4-22260330  FAX：886-4-22258234</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http://www.wunan.com.tw/</w:t>
                            </w:r>
                          </w:p>
                          <w:p w:rsidR="00745375" w:rsidRPr="00701289" w:rsidRDefault="00745375" w:rsidP="00701289">
                            <w:pPr>
                              <w:spacing w:line="360" w:lineRule="exact"/>
                              <w:ind w:firstLineChars="100" w:firstLine="240"/>
                              <w:rPr>
                                <w:rFonts w:ascii="微軟正黑體" w:eastAsia="微軟正黑體" w:hAnsi="微軟正黑體"/>
                              </w:rPr>
                            </w:pPr>
                            <w:r w:rsidRPr="00701289">
                              <w:rPr>
                                <w:rFonts w:ascii="微軟正黑體" w:eastAsia="微軟正黑體" w:hAnsi="微軟正黑體" w:hint="eastAsia"/>
                              </w:rPr>
                              <w:t>國家書店松江門市：10485臺北市中山區松江路209號1樓</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TEL：886-2-25180207  FAX：886-2-25180778</w:t>
                            </w:r>
                          </w:p>
                          <w:p w:rsidR="00745375" w:rsidRPr="00701289" w:rsidRDefault="00745375" w:rsidP="00701289">
                            <w:pPr>
                              <w:spacing w:line="360" w:lineRule="exact"/>
                              <w:ind w:firstLineChars="100" w:firstLine="240"/>
                              <w:rPr>
                                <w:rFonts w:ascii="微軟正黑體" w:eastAsia="微軟正黑體" w:hAnsi="微軟正黑體"/>
                              </w:rPr>
                            </w:pPr>
                            <w:r w:rsidRPr="00701289">
                              <w:rPr>
                                <w:rFonts w:ascii="微軟正黑體" w:eastAsia="微軟正黑體" w:hAnsi="微軟正黑體" w:hint="eastAsia"/>
                              </w:rPr>
                              <w:t>國家網路書店：http://www.govbooks.com.tw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6" o:spid="_x0000_s1070" type="#_x0000_t202" style="position:absolute;margin-left:-2.25pt;margin-top:4.8pt;width:449.35pt;height:471.3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">
                <v:textbox>
                  <w:txbxContent>
                    <w:p w:rsidR="00745375" w:rsidRDefault="00745375" w:rsidP="00617CF8">
                      <w:pPr>
                        <w:spacing w:line="360" w:lineRule="exact"/>
                        <w:rPr>
                          <w:rFonts w:ascii="微軟正黑體" w:eastAsia="微軟正黑體" w:hAnsi="微軟正黑體"/>
                          <w:b/>
                          <w:sz w:val="28"/>
                          <w:szCs w:val="28"/>
                        </w:rPr>
                      </w:pPr>
                      <w:r>
                        <w:rPr>
                          <w:rFonts w:ascii="微軟正黑體" w:eastAsia="微軟正黑體" w:hAnsi="微軟正黑體" w:hint="eastAsia"/>
                          <w:b/>
                          <w:sz w:val="28"/>
                          <w:szCs w:val="28"/>
                        </w:rPr>
                        <w:t>老年經濟安全制度專刊 第5期</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編 著 者：國家發展委員會 人力發展處</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出版機關：國家發展委員會 人力發展處</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地    址：10020臺北市中正區寶慶路3號4樓</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電    話：02-23165300</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網    址：http://www.ndc.gov.tw/</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出版年月：中華民國110年12月</w:t>
                      </w: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版    次：初版    第1刷</w:t>
                      </w:r>
                    </w:p>
                    <w:p w:rsidR="00745375" w:rsidRDefault="00745375" w:rsidP="00617CF8">
                      <w:pPr>
                        <w:spacing w:beforeLines="30" w:before="108" w:line="360" w:lineRule="exact"/>
                        <w:rPr>
                          <w:rFonts w:ascii="微軟正黑體" w:eastAsia="微軟正黑體" w:hAnsi="微軟正黑體"/>
                        </w:rPr>
                      </w:pPr>
                      <w:r>
                        <w:rPr>
                          <w:rFonts w:ascii="微軟正黑體" w:eastAsia="微軟正黑體" w:hAnsi="微軟正黑體" w:hint="eastAsia"/>
                        </w:rPr>
                        <w:t>電子出版品：本書同時刊載於國家發展委員會網站，網址為</w:t>
                      </w:r>
                    </w:p>
                    <w:p w:rsidR="00745375" w:rsidRDefault="00745375" w:rsidP="00617CF8">
                      <w:pPr>
                        <w:spacing w:line="360" w:lineRule="exact"/>
                        <w:rPr>
                          <w:rFonts w:ascii="微軟正黑體" w:eastAsia="微軟正黑體" w:hAnsi="微軟正黑體"/>
                          <w:sz w:val="22"/>
                          <w:szCs w:val="22"/>
                        </w:rPr>
                      </w:pPr>
                      <w:r>
                        <w:rPr>
                          <w:rFonts w:ascii="微軟正黑體" w:eastAsia="微軟正黑體" w:hAnsi="微軟正黑體" w:hint="eastAsia"/>
                          <w:sz w:val="22"/>
                          <w:szCs w:val="22"/>
                        </w:rPr>
                        <w:t>https://www.ndc.gov.tw/cp.aspx?n=A76B7230ADF29736&amp;s=78D44431464E02FA</w:t>
                      </w:r>
                    </w:p>
                    <w:p w:rsidR="00745375" w:rsidRDefault="00745375" w:rsidP="00617CF8">
                      <w:pPr>
                        <w:spacing w:beforeLines="30" w:before="108" w:line="360" w:lineRule="exact"/>
                        <w:rPr>
                          <w:rFonts w:ascii="微軟正黑體" w:eastAsia="微軟正黑體" w:hAnsi="微軟正黑體"/>
                        </w:rPr>
                      </w:pPr>
                      <w:r>
                        <w:rPr>
                          <w:rFonts w:ascii="微軟正黑體" w:eastAsia="微軟正黑體" w:hAnsi="微軟正黑體" w:hint="eastAsia"/>
                        </w:rPr>
                        <w:t>定    價：新臺幣</w:t>
                      </w:r>
                      <w:r w:rsidRPr="00C911A6">
                        <w:rPr>
                          <w:rFonts w:ascii="微軟正黑體" w:eastAsia="微軟正黑體" w:hAnsi="微軟正黑體" w:hint="eastAsia"/>
                        </w:rPr>
                        <w:t>400元</w:t>
                      </w:r>
                      <w:r>
                        <w:rPr>
                          <w:rFonts w:ascii="微軟正黑體" w:eastAsia="微軟正黑體" w:hAnsi="微軟正黑體" w:hint="eastAsia"/>
                        </w:rPr>
                        <w:t xml:space="preserve"> </w:t>
                      </w:r>
                    </w:p>
                    <w:p w:rsidR="00745375" w:rsidRPr="00385566" w:rsidRDefault="00745375" w:rsidP="00385566">
                      <w:pPr>
                        <w:spacing w:line="360" w:lineRule="exact"/>
                        <w:rPr>
                          <w:rFonts w:ascii="微軟正黑體" w:eastAsia="微軟正黑體" w:hAnsi="微軟正黑體"/>
                        </w:rPr>
                      </w:pPr>
                      <w:r w:rsidRPr="00385566">
                        <w:rPr>
                          <w:rFonts w:ascii="微軟正黑體" w:eastAsia="微軟正黑體" w:hAnsi="微軟正黑體" w:hint="eastAsia"/>
                        </w:rPr>
                        <w:t>編    號：</w:t>
                      </w:r>
                      <w:r w:rsidRPr="00385566">
                        <w:rPr>
                          <w:rFonts w:ascii="微軟正黑體" w:eastAsia="微軟正黑體" w:hAnsi="微軟正黑體"/>
                        </w:rPr>
                        <w:t>(110)015.0803</w:t>
                      </w:r>
                    </w:p>
                    <w:p w:rsidR="00745375" w:rsidRPr="00385566" w:rsidRDefault="00745375" w:rsidP="00385566">
                      <w:pPr>
                        <w:spacing w:line="360" w:lineRule="exact"/>
                        <w:rPr>
                          <w:rFonts w:ascii="微軟正黑體" w:eastAsia="微軟正黑體" w:hAnsi="微軟正黑體"/>
                        </w:rPr>
                      </w:pPr>
                      <w:r w:rsidRPr="00385566">
                        <w:rPr>
                          <w:rFonts w:ascii="微軟正黑體" w:eastAsia="微軟正黑體" w:hAnsi="微軟正黑體" w:hint="eastAsia"/>
                        </w:rPr>
                        <w:t>Ｇ Ｐ Ｎ：1011002300</w:t>
                      </w:r>
                    </w:p>
                    <w:p w:rsidR="00745375" w:rsidRPr="00385566" w:rsidRDefault="00745375" w:rsidP="00385566">
                      <w:pPr>
                        <w:spacing w:line="360" w:lineRule="exact"/>
                        <w:rPr>
                          <w:rFonts w:ascii="微軟正黑體" w:eastAsia="微軟正黑體" w:hAnsi="微軟正黑體"/>
                        </w:rPr>
                      </w:pPr>
                      <w:r w:rsidRPr="00385566">
                        <w:rPr>
                          <w:rFonts w:ascii="微軟正黑體" w:eastAsia="微軟正黑體" w:hAnsi="微軟正黑體" w:hint="eastAsia"/>
                        </w:rPr>
                        <w:t>ＩＳＢＮ：</w:t>
                      </w:r>
                      <w:r w:rsidRPr="00385566">
                        <w:rPr>
                          <w:rFonts w:ascii="微軟正黑體" w:eastAsia="微軟正黑體" w:hAnsi="微軟正黑體"/>
                        </w:rPr>
                        <w:t>978-986-5467-77-7</w:t>
                      </w:r>
                      <w:r w:rsidRPr="00385566">
                        <w:rPr>
                          <w:rFonts w:ascii="微軟正黑體" w:eastAsia="微軟正黑體" w:hAnsi="微軟正黑體" w:hint="eastAsia"/>
                        </w:rPr>
                        <w:t>(平裝)</w:t>
                      </w:r>
                    </w:p>
                    <w:p w:rsidR="00745375" w:rsidRPr="00385566" w:rsidRDefault="00745375" w:rsidP="00617CF8">
                      <w:pPr>
                        <w:spacing w:line="360" w:lineRule="exact"/>
                        <w:rPr>
                          <w:rFonts w:ascii="微軟正黑體" w:eastAsia="微軟正黑體" w:hAnsi="微軟正黑體"/>
                          <w:color w:val="0070C0"/>
                        </w:rPr>
                      </w:pPr>
                    </w:p>
                    <w:p w:rsidR="00745375" w:rsidRDefault="00745375" w:rsidP="00617CF8">
                      <w:pPr>
                        <w:spacing w:line="360" w:lineRule="exact"/>
                        <w:rPr>
                          <w:rFonts w:ascii="微軟正黑體" w:eastAsia="微軟正黑體" w:hAnsi="微軟正黑體"/>
                        </w:rPr>
                      </w:pPr>
                      <w:r>
                        <w:rPr>
                          <w:rFonts w:ascii="微軟正黑體" w:eastAsia="微軟正黑體" w:hAnsi="微軟正黑體" w:hint="eastAsia"/>
                        </w:rPr>
                        <w:t>展 售 處：</w:t>
                      </w:r>
                    </w:p>
                    <w:p w:rsidR="00745375" w:rsidRPr="00701289" w:rsidRDefault="00745375" w:rsidP="00701289">
                      <w:pPr>
                        <w:spacing w:line="360" w:lineRule="exact"/>
                        <w:ind w:firstLineChars="100" w:firstLine="240"/>
                        <w:rPr>
                          <w:rFonts w:ascii="微軟正黑體" w:eastAsia="微軟正黑體" w:hAnsi="微軟正黑體"/>
                        </w:rPr>
                      </w:pPr>
                      <w:r w:rsidRPr="00701289">
                        <w:rPr>
                          <w:rFonts w:ascii="微軟正黑體" w:eastAsia="微軟正黑體" w:hAnsi="微軟正黑體" w:hint="eastAsia"/>
                        </w:rPr>
                        <w:t>三民書局：10045臺北市中正區重慶南路1段61號</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TEL：886-2-23617511  FAX：886-2-23613355</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http://www.sanmin.com.tw/</w:t>
                      </w:r>
                    </w:p>
                    <w:p w:rsidR="00745375" w:rsidRPr="00701289" w:rsidRDefault="00745375" w:rsidP="00701289">
                      <w:pPr>
                        <w:spacing w:line="360" w:lineRule="exact"/>
                        <w:ind w:firstLineChars="100" w:firstLine="240"/>
                        <w:rPr>
                          <w:rFonts w:ascii="微軟正黑體" w:eastAsia="微軟正黑體" w:hAnsi="微軟正黑體"/>
                        </w:rPr>
                      </w:pPr>
                      <w:r w:rsidRPr="00701289">
                        <w:rPr>
                          <w:rFonts w:ascii="微軟正黑體" w:eastAsia="微軟正黑體" w:hAnsi="微軟正黑體" w:hint="eastAsia"/>
                        </w:rPr>
                        <w:t>五南文化廣場</w:t>
                      </w:r>
                      <w:r w:rsidRPr="00485995">
                        <w:rPr>
                          <w:rFonts w:ascii="微軟正黑體" w:eastAsia="微軟正黑體" w:hAnsi="微軟正黑體" w:hint="eastAsia"/>
                        </w:rPr>
                        <w:t>臺中</w:t>
                      </w:r>
                      <w:r>
                        <w:rPr>
                          <w:rFonts w:ascii="微軟正黑體" w:eastAsia="微軟正黑體" w:hAnsi="微軟正黑體" w:hint="eastAsia"/>
                        </w:rPr>
                        <w:t>總店</w:t>
                      </w:r>
                      <w:r w:rsidRPr="00701289">
                        <w:rPr>
                          <w:rFonts w:ascii="微軟正黑體" w:eastAsia="微軟正黑體" w:hAnsi="微軟正黑體" w:hint="eastAsia"/>
                        </w:rPr>
                        <w:t>：40042臺中市中區中山路6號</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TEL：886-4-22260330  FAX：886-4-22258234</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http://www.wunan.com.tw/</w:t>
                      </w:r>
                    </w:p>
                    <w:p w:rsidR="00745375" w:rsidRPr="00701289" w:rsidRDefault="00745375" w:rsidP="00701289">
                      <w:pPr>
                        <w:spacing w:line="360" w:lineRule="exact"/>
                        <w:ind w:firstLineChars="100" w:firstLine="240"/>
                        <w:rPr>
                          <w:rFonts w:ascii="微軟正黑體" w:eastAsia="微軟正黑體" w:hAnsi="微軟正黑體"/>
                        </w:rPr>
                      </w:pPr>
                      <w:r w:rsidRPr="00701289">
                        <w:rPr>
                          <w:rFonts w:ascii="微軟正黑體" w:eastAsia="微軟正黑體" w:hAnsi="微軟正黑體" w:hint="eastAsia"/>
                        </w:rPr>
                        <w:t>國家書店松江門市：10485臺北市中山區松江路209號1樓</w:t>
                      </w:r>
                    </w:p>
                    <w:p w:rsidR="00745375" w:rsidRDefault="00745375" w:rsidP="00617CF8">
                      <w:pPr>
                        <w:pStyle w:val="af0"/>
                        <w:spacing w:line="360" w:lineRule="exact"/>
                        <w:ind w:leftChars="0" w:left="851"/>
                        <w:rPr>
                          <w:rFonts w:ascii="微軟正黑體" w:eastAsia="微軟正黑體" w:hAnsi="微軟正黑體"/>
                        </w:rPr>
                      </w:pPr>
                      <w:r>
                        <w:rPr>
                          <w:rFonts w:ascii="微軟正黑體" w:eastAsia="微軟正黑體" w:hAnsi="微軟正黑體" w:hint="eastAsia"/>
                        </w:rPr>
                        <w:t>TEL：886-2-25180207  FAX：886-2-25180778</w:t>
                      </w:r>
                    </w:p>
                    <w:p w:rsidR="00745375" w:rsidRPr="00701289" w:rsidRDefault="00745375" w:rsidP="00701289">
                      <w:pPr>
                        <w:spacing w:line="360" w:lineRule="exact"/>
                        <w:ind w:firstLineChars="100" w:firstLine="240"/>
                        <w:rPr>
                          <w:rFonts w:ascii="微軟正黑體" w:eastAsia="微軟正黑體" w:hAnsi="微軟正黑體"/>
                        </w:rPr>
                      </w:pPr>
                      <w:r w:rsidRPr="00701289">
                        <w:rPr>
                          <w:rFonts w:ascii="微軟正黑體" w:eastAsia="微軟正黑體" w:hAnsi="微軟正黑體" w:hint="eastAsia"/>
                        </w:rPr>
                        <w:t>國家網路書店：http://www.govbooks.com.tw</w:t>
                      </w:r>
                    </w:p>
                  </w:txbxContent>
                </v:textbox>
              </v:shape>
            </w:pict>
          </mc:Fallback>
        </mc:AlternateContent>
      </w: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617CF8" w:rsidRDefault="00617CF8" w:rsidP="00617CF8">
      <w:pPr>
        <w:widowControl/>
        <w:spacing w:line="400" w:lineRule="exact"/>
        <w:rPr>
          <w:rFonts w:ascii="微軟正黑體" w:eastAsia="微軟正黑體" w:hAnsi="微軟正黑體"/>
        </w:rPr>
      </w:pPr>
    </w:p>
    <w:p w:rsidR="008369A5" w:rsidRDefault="008369A5" w:rsidP="00665BCB">
      <w:pPr>
        <w:spacing w:line="400" w:lineRule="exact"/>
        <w:rPr>
          <w:rFonts w:ascii="微軟正黑體" w:eastAsia="微軟正黑體" w:hAnsi="微軟正黑體"/>
          <w:lang w:val="fr-FR"/>
        </w:rPr>
      </w:pPr>
    </w:p>
    <w:p w:rsidR="002464DD" w:rsidRDefault="002464DD" w:rsidP="00665BCB">
      <w:pPr>
        <w:spacing w:line="400" w:lineRule="exact"/>
        <w:rPr>
          <w:rFonts w:ascii="微軟正黑體" w:eastAsia="微軟正黑體" w:hAnsi="微軟正黑體"/>
          <w:lang w:val="fr-FR"/>
        </w:rPr>
      </w:pPr>
    </w:p>
    <w:p w:rsidR="002464DD" w:rsidRDefault="002464DD" w:rsidP="00665BCB">
      <w:pPr>
        <w:spacing w:line="400" w:lineRule="exact"/>
        <w:rPr>
          <w:rFonts w:ascii="微軟正黑體" w:eastAsia="微軟正黑體" w:hAnsi="微軟正黑體"/>
          <w:lang w:val="fr-FR"/>
        </w:rPr>
      </w:pPr>
    </w:p>
    <w:p w:rsidR="002464DD" w:rsidRDefault="002464DD" w:rsidP="00665BCB">
      <w:pPr>
        <w:spacing w:line="400" w:lineRule="exact"/>
        <w:rPr>
          <w:rFonts w:ascii="微軟正黑體" w:eastAsia="微軟正黑體" w:hAnsi="微軟正黑體"/>
          <w:lang w:val="fr-FR"/>
        </w:rPr>
      </w:pPr>
    </w:p>
    <w:p w:rsidR="002464DD" w:rsidRDefault="002464DD" w:rsidP="00665BCB">
      <w:pPr>
        <w:spacing w:line="400" w:lineRule="exact"/>
        <w:rPr>
          <w:rFonts w:ascii="微軟正黑體" w:eastAsia="微軟正黑體" w:hAnsi="微軟正黑體"/>
          <w:lang w:val="fr-FR"/>
        </w:rPr>
      </w:pPr>
    </w:p>
    <w:p w:rsidR="002464DD" w:rsidRPr="007712C9" w:rsidRDefault="00940432" w:rsidP="00665BCB">
      <w:pPr>
        <w:spacing w:line="400" w:lineRule="exact"/>
        <w:rPr>
          <w:rFonts w:ascii="微軟正黑體" w:eastAsia="微軟正黑體" w:hAnsi="微軟正黑體"/>
          <w:lang w:val="fr-FR"/>
        </w:rPr>
      </w:pPr>
      <w:r>
        <w:rPr>
          <w:noProof/>
        </w:rPr>
        <w:lastRenderedPageBreak/>
        <w:drawing>
          <wp:anchor distT="0" distB="0" distL="114300" distR="114300" simplePos="0" relativeHeight="252687360" behindDoc="0" locked="0" layoutInCell="1" allowOverlap="1" wp14:anchorId="781169D9" wp14:editId="4F169C52">
            <wp:simplePos x="0" y="0"/>
            <wp:positionH relativeFrom="column">
              <wp:posOffset>-900430</wp:posOffset>
            </wp:positionH>
            <wp:positionV relativeFrom="paragraph">
              <wp:posOffset>-718820</wp:posOffset>
            </wp:positionV>
            <wp:extent cx="7620000" cy="10718800"/>
            <wp:effectExtent l="0" t="0" r="0" b="6350"/>
            <wp:wrapNone/>
            <wp:docPr id="21510" name="圖片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extLst>
                        <a:ext uri="{28A0092B-C50C-407E-A947-70E740481C1C}">
                          <a14:useLocalDpi xmlns:a14="http://schemas.microsoft.com/office/drawing/2010/main" val="0"/>
                        </a:ext>
                      </a:extLst>
                    </a:blip>
                    <a:stretch>
                      <a:fillRect/>
                    </a:stretch>
                  </pic:blipFill>
                  <pic:spPr>
                    <a:xfrm>
                      <a:off x="0" y="0"/>
                      <a:ext cx="7620000" cy="10718800"/>
                    </a:xfrm>
                    <a:prstGeom prst="rect">
                      <a:avLst/>
                    </a:prstGeom>
                  </pic:spPr>
                </pic:pic>
              </a:graphicData>
            </a:graphic>
            <wp14:sizeRelH relativeFrom="page">
              <wp14:pctWidth>0</wp14:pctWidth>
            </wp14:sizeRelH>
            <wp14:sizeRelV relativeFrom="page">
              <wp14:pctHeight>0</wp14:pctHeight>
            </wp14:sizeRelV>
          </wp:anchor>
        </w:drawing>
      </w:r>
    </w:p>
    <w:sectPr w:rsidR="002464DD" w:rsidRPr="007712C9" w:rsidSect="00571306">
      <w:pgSz w:w="11906" w:h="16838"/>
      <w:pgMar w:top="1134" w:right="1418" w:bottom="1134" w:left="1418" w:header="851" w:footer="33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375" w:rsidRDefault="00745375" w:rsidP="00A14AE9">
      <w:r>
        <w:separator/>
      </w:r>
    </w:p>
  </w:endnote>
  <w:endnote w:type="continuationSeparator" w:id="0">
    <w:p w:rsidR="00745375" w:rsidRDefault="00745375" w:rsidP="00A14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calaOT-Regular">
    <w:altName w:val="新細明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dvTimes-i">
    <w:altName w:val="微軟正黑體"/>
    <w:panose1 w:val="00000000000000000000"/>
    <w:charset w:val="88"/>
    <w:family w:val="auto"/>
    <w:notTrueType/>
    <w:pitch w:val="default"/>
    <w:sig w:usb0="00000001" w:usb1="08080000" w:usb2="00000010" w:usb3="00000000" w:csb0="00100000" w:csb1="00000000"/>
  </w:font>
  <w:font w:name="AdvTimes-b">
    <w:altName w:val="微軟正黑體"/>
    <w:panose1 w:val="00000000000000000000"/>
    <w:charset w:val="88"/>
    <w:family w:val="auto"/>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өũ">
    <w:altName w:val="Times New Roman"/>
    <w:panose1 w:val="00000000000000000000"/>
    <w:charset w:val="00"/>
    <w:family w:val="roman"/>
    <w:notTrueType/>
    <w:pitch w:val="default"/>
  </w:font>
  <w:font w:name="AdvTimes">
    <w:altName w:val="Arial Unicode MS"/>
    <w:panose1 w:val="00000000000000000000"/>
    <w:charset w:val="81"/>
    <w:family w:val="auto"/>
    <w:notTrueType/>
    <w:pitch w:val="default"/>
    <w:sig w:usb0="00000001" w:usb1="09060000" w:usb2="00000010" w:usb3="00000000" w:csb0="00080000" w:csb1="00000000"/>
  </w:font>
  <w:font w:name="Caecilia-Roman">
    <w:altName w:val="Times New Roman"/>
    <w:panose1 w:val="00000000000000000000"/>
    <w:charset w:val="00"/>
    <w:family w:val="roman"/>
    <w:notTrueType/>
    <w:pitch w:val="default"/>
    <w:sig w:usb0="00000003" w:usb1="00000000" w:usb2="00000000" w:usb3="00000000" w:csb0="00000001" w:csb1="00000000"/>
  </w:font>
  <w:font w:name="華康隸書體W5">
    <w:altName w:val="Microsoft JhengHei UI Light"/>
    <w:charset w:val="88"/>
    <w:family w:val="script"/>
    <w:pitch w:val="fixed"/>
    <w:sig w:usb0="00000000" w:usb1="38CFFCFA"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UnicodeMS">
    <w:altName w:val="Arial Unicode MS"/>
    <w:panose1 w:val="00000000000000000000"/>
    <w:charset w:val="86"/>
    <w:family w:val="auto"/>
    <w:notTrueType/>
    <w:pitch w:val="default"/>
    <w:sig w:usb0="00000003" w:usb1="080E0000" w:usb2="00000010" w:usb3="00000000" w:csb0="00040001" w:csb1="00000000"/>
  </w:font>
  <w:font w:name="文鼎細圓">
    <w:altName w:val="Arial Unicode MS"/>
    <w:charset w:val="88"/>
    <w:family w:val="modern"/>
    <w:pitch w:val="fixed"/>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515502" w:rsidRDefault="00745375">
    <w:pPr>
      <w:pStyle w:val="ac"/>
      <w:rPr>
        <w:rFonts w:ascii="微軟正黑體" w:eastAsia="微軟正黑體" w:hAnsi="微軟正黑體"/>
      </w:rPr>
    </w:pPr>
    <w:r>
      <w:rPr>
        <w:rFonts w:ascii="微軟正黑體" w:eastAsia="微軟正黑體" w:hAnsi="微軟正黑體"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999308"/>
      <w:docPartObj>
        <w:docPartGallery w:val="Page Numbers (Bottom of Page)"/>
        <w:docPartUnique/>
      </w:docPartObj>
    </w:sdtPr>
    <w:sdtEndPr/>
    <w:sdtContent>
      <w:p w:rsidR="00745375" w:rsidRDefault="00745375" w:rsidP="00061D9C">
        <w:pPr>
          <w:pStyle w:val="ac"/>
        </w:pPr>
        <w:r>
          <w:rPr>
            <w:rFonts w:ascii="微軟正黑體" w:eastAsia="微軟正黑體" w:hAnsi="微軟正黑體"/>
            <w:noProof/>
          </w:rPr>
          <mc:AlternateContent>
            <mc:Choice Requires="wps">
              <w:drawing>
                <wp:anchor distT="0" distB="0" distL="114300" distR="114300" simplePos="0" relativeHeight="251659264" behindDoc="0" locked="0" layoutInCell="1" allowOverlap="1" wp14:anchorId="73C2786B" wp14:editId="0692A0B4">
                  <wp:simplePos x="0" y="0"/>
                  <wp:positionH relativeFrom="column">
                    <wp:posOffset>-33655</wp:posOffset>
                  </wp:positionH>
                  <wp:positionV relativeFrom="paragraph">
                    <wp:posOffset>-7620</wp:posOffset>
                  </wp:positionV>
                  <wp:extent cx="161925" cy="219075"/>
                  <wp:effectExtent l="0" t="0" r="0" b="0"/>
                  <wp:wrapNone/>
                  <wp:docPr id="21505" name="矩形 21505"/>
                  <wp:cNvGraphicFramePr/>
                  <a:graphic xmlns:a="http://schemas.openxmlformats.org/drawingml/2006/main">
                    <a:graphicData uri="http://schemas.microsoft.com/office/word/2010/wordprocessingShape">
                      <wps:wsp>
                        <wps:cNvSpPr/>
                        <wps:spPr>
                          <a:xfrm>
                            <a:off x="0" y="0"/>
                            <a:ext cx="161925" cy="219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21505" o:spid="_x0000_s1026" style="position:absolute;margin-left:-2.65pt;margin-top:-.6pt;width:12.75pt;height:1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" filled="f" stroked="f" strokeweight="2pt"/>
              </w:pict>
            </mc:Fallback>
          </mc:AlternateContent>
        </w:r>
        <w:r w:rsidRPr="00827E80">
          <w:rPr>
            <w:rFonts w:ascii="微軟正黑體" w:eastAsia="微軟正黑體" w:hAnsi="微軟正黑體"/>
          </w:rPr>
          <w:fldChar w:fldCharType="begin"/>
        </w:r>
        <w:r w:rsidRPr="00827E80">
          <w:rPr>
            <w:rFonts w:ascii="微軟正黑體" w:eastAsia="微軟正黑體" w:hAnsi="微軟正黑體"/>
          </w:rPr>
          <w:instrText>PAGE   \* MERGEFORMAT</w:instrText>
        </w:r>
        <w:r w:rsidRPr="00827E80">
          <w:rPr>
            <w:rFonts w:ascii="微軟正黑體" w:eastAsia="微軟正黑體" w:hAnsi="微軟正黑體"/>
          </w:rPr>
          <w:fldChar w:fldCharType="separate"/>
        </w:r>
        <w:r w:rsidR="0004578D" w:rsidRPr="0004578D">
          <w:rPr>
            <w:rFonts w:ascii="微軟正黑體" w:eastAsia="微軟正黑體" w:hAnsi="微軟正黑體"/>
            <w:noProof/>
            <w:lang w:val="zh-TW"/>
          </w:rPr>
          <w:t>194</w:t>
        </w:r>
        <w:r w:rsidRPr="00827E80">
          <w:rPr>
            <w:rFonts w:ascii="微軟正黑體" w:eastAsia="微軟正黑體" w:hAnsi="微軟正黑體"/>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D14C96" w:rsidRDefault="0004578D" w:rsidP="00515502">
    <w:pPr>
      <w:pStyle w:val="ac"/>
      <w:jc w:val="right"/>
      <w:rPr>
        <w:rFonts w:ascii="微軟正黑體" w:eastAsia="微軟正黑體" w:hAnsi="微軟正黑體"/>
      </w:rPr>
    </w:pPr>
    <w:sdt>
      <w:sdtPr>
        <w:id w:val="-461965830"/>
        <w:docPartObj>
          <w:docPartGallery w:val="Page Numbers (Bottom of Page)"/>
          <w:docPartUnique/>
        </w:docPartObj>
      </w:sdtPr>
      <w:sdtEndPr>
        <w:rPr>
          <w:rFonts w:ascii="微軟正黑體" w:eastAsia="微軟正黑體" w:hAnsi="微軟正黑體"/>
        </w:rPr>
      </w:sdtEndPr>
      <w:sdtContent>
        <w:r w:rsidR="00745375" w:rsidRPr="00A54622">
          <w:rPr>
            <w:rFonts w:ascii="微軟正黑體" w:eastAsia="微軟正黑體" w:hAnsi="微軟正黑體"/>
          </w:rPr>
          <w:fldChar w:fldCharType="begin"/>
        </w:r>
        <w:r w:rsidR="00745375" w:rsidRPr="00A54622">
          <w:rPr>
            <w:rFonts w:ascii="微軟正黑體" w:eastAsia="微軟正黑體" w:hAnsi="微軟正黑體"/>
          </w:rPr>
          <w:instrText>PAGE   \* MERGEFORMAT</w:instrText>
        </w:r>
        <w:r w:rsidR="00745375" w:rsidRPr="00A54622">
          <w:rPr>
            <w:rFonts w:ascii="微軟正黑體" w:eastAsia="微軟正黑體" w:hAnsi="微軟正黑體"/>
          </w:rPr>
          <w:fldChar w:fldCharType="separate"/>
        </w:r>
        <w:r w:rsidRPr="0004578D">
          <w:rPr>
            <w:rFonts w:ascii="微軟正黑體" w:eastAsia="微軟正黑體" w:hAnsi="微軟正黑體"/>
            <w:noProof/>
            <w:lang w:val="zh-TW"/>
          </w:rPr>
          <w:t>195</w:t>
        </w:r>
        <w:r w:rsidR="00745375" w:rsidRPr="00A54622">
          <w:rPr>
            <w:rFonts w:ascii="微軟正黑體" w:eastAsia="微軟正黑體" w:hAnsi="微軟正黑體"/>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552D40" w:rsidRDefault="0004578D" w:rsidP="00597522">
    <w:pPr>
      <w:pStyle w:val="ac"/>
      <w:jc w:val="right"/>
      <w:rPr>
        <w:rFonts w:ascii="微軟正黑體" w:eastAsia="微軟正黑體" w:hAnsi="微軟正黑體"/>
      </w:rPr>
    </w:pPr>
    <w:sdt>
      <w:sdtPr>
        <w:id w:val="-461965599"/>
        <w:docPartObj>
          <w:docPartGallery w:val="Page Numbers (Bottom of Page)"/>
          <w:docPartUnique/>
        </w:docPartObj>
      </w:sdtPr>
      <w:sdtEndPr>
        <w:rPr>
          <w:rFonts w:ascii="微軟正黑體" w:eastAsia="微軟正黑體" w:hAnsi="微軟正黑體"/>
        </w:rPr>
      </w:sdtEndPr>
      <w:sdtContent>
        <w:r w:rsidR="00745375" w:rsidRPr="00A54622">
          <w:rPr>
            <w:rFonts w:ascii="微軟正黑體" w:eastAsia="微軟正黑體" w:hAnsi="微軟正黑體"/>
          </w:rPr>
          <w:fldChar w:fldCharType="begin"/>
        </w:r>
        <w:r w:rsidR="00745375" w:rsidRPr="00A54622">
          <w:rPr>
            <w:rFonts w:ascii="微軟正黑體" w:eastAsia="微軟正黑體" w:hAnsi="微軟正黑體"/>
          </w:rPr>
          <w:instrText>PAGE   \* MERGEFORMAT</w:instrText>
        </w:r>
        <w:r w:rsidR="00745375" w:rsidRPr="00A54622">
          <w:rPr>
            <w:rFonts w:ascii="微軟正黑體" w:eastAsia="微軟正黑體" w:hAnsi="微軟正黑體"/>
          </w:rPr>
          <w:fldChar w:fldCharType="separate"/>
        </w:r>
        <w:r w:rsidRPr="0004578D">
          <w:rPr>
            <w:rFonts w:ascii="微軟正黑體" w:eastAsia="微軟正黑體" w:hAnsi="微軟正黑體"/>
            <w:noProof/>
            <w:lang w:val="zh-TW"/>
          </w:rPr>
          <w:t>131</w:t>
        </w:r>
        <w:r w:rsidR="00745375" w:rsidRPr="00A54622">
          <w:rPr>
            <w:rFonts w:ascii="微軟正黑體" w:eastAsia="微軟正黑體" w:hAnsi="微軟正黑體"/>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552D40" w:rsidRDefault="0004578D" w:rsidP="001F157F">
    <w:pPr>
      <w:pStyle w:val="ac"/>
      <w:jc w:val="right"/>
      <w:rPr>
        <w:rFonts w:ascii="微軟正黑體" w:eastAsia="微軟正黑體" w:hAnsi="微軟正黑體"/>
      </w:rPr>
    </w:pPr>
    <w:sdt>
      <w:sdtPr>
        <w:id w:val="1723319709"/>
        <w:docPartObj>
          <w:docPartGallery w:val="Page Numbers (Bottom of Page)"/>
          <w:docPartUnique/>
        </w:docPartObj>
      </w:sdtPr>
      <w:sdtEndPr>
        <w:rPr>
          <w:rFonts w:ascii="微軟正黑體" w:eastAsia="微軟正黑體" w:hAnsi="微軟正黑體"/>
        </w:rPr>
      </w:sdtEndPr>
      <w:sdtContent>
        <w:r w:rsidR="00745375" w:rsidRPr="00A54622">
          <w:rPr>
            <w:rFonts w:ascii="微軟正黑體" w:eastAsia="微軟正黑體" w:hAnsi="微軟正黑體"/>
          </w:rPr>
          <w:fldChar w:fldCharType="begin"/>
        </w:r>
        <w:r w:rsidR="00745375" w:rsidRPr="00A54622">
          <w:rPr>
            <w:rFonts w:ascii="微軟正黑體" w:eastAsia="微軟正黑體" w:hAnsi="微軟正黑體"/>
          </w:rPr>
          <w:instrText>PAGE   \* MERGEFORMAT</w:instrText>
        </w:r>
        <w:r w:rsidR="00745375" w:rsidRPr="00A54622">
          <w:rPr>
            <w:rFonts w:ascii="微軟正黑體" w:eastAsia="微軟正黑體" w:hAnsi="微軟正黑體"/>
          </w:rPr>
          <w:fldChar w:fldCharType="separate"/>
        </w:r>
        <w:r w:rsidRPr="0004578D">
          <w:rPr>
            <w:rFonts w:ascii="微軟正黑體" w:eastAsia="微軟正黑體" w:hAnsi="微軟正黑體"/>
            <w:noProof/>
            <w:lang w:val="zh-TW"/>
          </w:rPr>
          <w:t>192</w:t>
        </w:r>
        <w:r w:rsidR="00745375" w:rsidRPr="00A54622">
          <w:rPr>
            <w:rFonts w:ascii="微軟正黑體" w:eastAsia="微軟正黑體" w:hAnsi="微軟正黑體"/>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849664"/>
      <w:docPartObj>
        <w:docPartGallery w:val="Page Numbers (Bottom of Page)"/>
        <w:docPartUnique/>
      </w:docPartObj>
    </w:sdtPr>
    <w:sdtEndPr/>
    <w:sdtContent>
      <w:p w:rsidR="00745375" w:rsidRDefault="00745375" w:rsidP="00571306">
        <w:pPr>
          <w:pStyle w:val="ac"/>
        </w:pPr>
        <w:r w:rsidRPr="00827E80">
          <w:rPr>
            <w:rFonts w:ascii="微軟正黑體" w:eastAsia="微軟正黑體" w:hAnsi="微軟正黑體"/>
          </w:rPr>
          <w:fldChar w:fldCharType="begin"/>
        </w:r>
        <w:r w:rsidRPr="00827E80">
          <w:rPr>
            <w:rFonts w:ascii="微軟正黑體" w:eastAsia="微軟正黑體" w:hAnsi="微軟正黑體"/>
          </w:rPr>
          <w:instrText>PAGE   \* MERGEFORMAT</w:instrText>
        </w:r>
        <w:r w:rsidRPr="00827E80">
          <w:rPr>
            <w:rFonts w:ascii="微軟正黑體" w:eastAsia="微軟正黑體" w:hAnsi="微軟正黑體"/>
          </w:rPr>
          <w:fldChar w:fldCharType="separate"/>
        </w:r>
        <w:r w:rsidR="0004578D" w:rsidRPr="0004578D">
          <w:rPr>
            <w:rFonts w:ascii="微軟正黑體" w:eastAsia="微軟正黑體" w:hAnsi="微軟正黑體"/>
            <w:noProof/>
            <w:lang w:val="zh-TW"/>
          </w:rPr>
          <w:t>204</w:t>
        </w:r>
        <w:r w:rsidRPr="00827E80">
          <w:rPr>
            <w:rFonts w:ascii="微軟正黑體" w:eastAsia="微軟正黑體" w:hAnsi="微軟正黑體"/>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552D40" w:rsidRDefault="0004578D" w:rsidP="001F157F">
    <w:pPr>
      <w:pStyle w:val="ac"/>
      <w:jc w:val="right"/>
      <w:rPr>
        <w:rFonts w:ascii="微軟正黑體" w:eastAsia="微軟正黑體" w:hAnsi="微軟正黑體"/>
      </w:rPr>
    </w:pPr>
    <w:sdt>
      <w:sdtPr>
        <w:id w:val="-1003274820"/>
        <w:docPartObj>
          <w:docPartGallery w:val="Page Numbers (Bottom of Page)"/>
          <w:docPartUnique/>
        </w:docPartObj>
      </w:sdtPr>
      <w:sdtEndPr>
        <w:rPr>
          <w:rFonts w:ascii="微軟正黑體" w:eastAsia="微軟正黑體" w:hAnsi="微軟正黑體"/>
        </w:rPr>
      </w:sdtEndPr>
      <w:sdtContent>
        <w:r w:rsidR="00745375" w:rsidRPr="00A54622">
          <w:rPr>
            <w:rFonts w:ascii="微軟正黑體" w:eastAsia="微軟正黑體" w:hAnsi="微軟正黑體"/>
          </w:rPr>
          <w:fldChar w:fldCharType="begin"/>
        </w:r>
        <w:r w:rsidR="00745375" w:rsidRPr="00A54622">
          <w:rPr>
            <w:rFonts w:ascii="微軟正黑體" w:eastAsia="微軟正黑體" w:hAnsi="微軟正黑體"/>
          </w:rPr>
          <w:instrText>PAGE   \* MERGEFORMAT</w:instrText>
        </w:r>
        <w:r w:rsidR="00745375" w:rsidRPr="00A54622">
          <w:rPr>
            <w:rFonts w:ascii="微軟正黑體" w:eastAsia="微軟正黑體" w:hAnsi="微軟正黑體"/>
          </w:rPr>
          <w:fldChar w:fldCharType="separate"/>
        </w:r>
        <w:r w:rsidRPr="0004578D">
          <w:rPr>
            <w:rFonts w:ascii="微軟正黑體" w:eastAsia="微軟正黑體" w:hAnsi="微軟正黑體"/>
            <w:noProof/>
            <w:lang w:val="zh-TW"/>
          </w:rPr>
          <w:t>205</w:t>
        </w:r>
        <w:r w:rsidR="00745375" w:rsidRPr="00A54622">
          <w:rPr>
            <w:rFonts w:ascii="微軟正黑體" w:eastAsia="微軟正黑體" w:hAnsi="微軟正黑體"/>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375" w:rsidRDefault="00745375" w:rsidP="00A14AE9">
      <w:r>
        <w:separator/>
      </w:r>
    </w:p>
  </w:footnote>
  <w:footnote w:type="continuationSeparator" w:id="0">
    <w:p w:rsidR="00745375" w:rsidRDefault="00745375" w:rsidP="00A14AE9">
      <w:r>
        <w:continuationSeparator/>
      </w:r>
    </w:p>
  </w:footnote>
  <w:footnote w:id="1">
    <w:p w:rsidR="00745375" w:rsidRDefault="00745375" w:rsidP="00F1005C">
      <w:pPr>
        <w:pStyle w:val="af2"/>
        <w:spacing w:line="240" w:lineRule="exact"/>
        <w:ind w:left="142" w:hangingChars="71" w:hanging="142"/>
        <w:rPr>
          <w:szCs w:val="18"/>
        </w:rPr>
      </w:pPr>
      <w:r>
        <w:rPr>
          <w:rStyle w:val="af4"/>
          <w:rFonts w:ascii="微軟正黑體" w:eastAsia="微軟正黑體" w:hAnsi="微軟正黑體"/>
        </w:rPr>
        <w:footnoteRef/>
      </w:r>
      <w:r>
        <w:rPr>
          <w:rFonts w:ascii="微軟正黑體" w:eastAsia="微軟正黑體" w:hAnsi="微軟正黑體" w:hint="eastAsia"/>
          <w:sz w:val="12"/>
          <w:szCs w:val="12"/>
        </w:rPr>
        <w:t xml:space="preserve"> </w:t>
      </w:r>
      <w:r>
        <w:rPr>
          <w:rFonts w:ascii="微軟正黑體" w:eastAsia="微軟正黑體" w:hAnsi="微軟正黑體" w:hint="eastAsia"/>
          <w:szCs w:val="18"/>
        </w:rPr>
        <w:t>勞退新制月退休金為勞工個人之退休金專戶本金及累積收益，依據年金生命表，以平均餘命及利率等基礎計算所得之金額，作為定期發給之退休金。</w:t>
      </w:r>
    </w:p>
  </w:footnote>
  <w:footnote w:id="2">
    <w:p w:rsidR="00745375" w:rsidRPr="00637DEA" w:rsidRDefault="00745375" w:rsidP="00FB2640">
      <w:pPr>
        <w:pStyle w:val="af2"/>
        <w:spacing w:line="240" w:lineRule="exact"/>
        <w:ind w:left="200" w:hangingChars="100" w:hanging="200"/>
        <w:rPr>
          <w:rFonts w:ascii="微軟正黑體" w:eastAsia="微軟正黑體" w:hAnsi="微軟正黑體"/>
          <w:color w:val="FF0000"/>
        </w:rPr>
      </w:pPr>
      <w:r w:rsidRPr="00CD19DB">
        <w:rPr>
          <w:rStyle w:val="af4"/>
          <w:rFonts w:ascii="微軟正黑體" w:eastAsia="微軟正黑體" w:hAnsi="微軟正黑體"/>
        </w:rPr>
        <w:footnoteRef/>
      </w:r>
      <w:r w:rsidRPr="00CD19DB">
        <w:rPr>
          <w:rFonts w:ascii="微軟正黑體" w:eastAsia="微軟正黑體" w:hAnsi="微軟正黑體"/>
        </w:rPr>
        <w:t xml:space="preserve"> </w:t>
      </w:r>
      <w:r w:rsidRPr="00CD19DB">
        <w:rPr>
          <w:rFonts w:ascii="微軟正黑體" w:eastAsia="微軟正黑體" w:hAnsi="微軟正黑體" w:hint="eastAsia"/>
        </w:rPr>
        <w:t>100年因新北市(原臺北縣)、臺中市(併入原臺中縣)、臺南市(併入原臺南縣)及高雄市(併入原高雄縣)改制為直轄市，造成「直轄市級機關」人數增加約11.9萬人，「縣市級機關」相對減少約11.2萬人；104年因桃園市(原桃園縣)改制為直轄市，造成「直轄市級機關」增加約2.5萬人，「縣市級機關」相對減少約2.5萬人，變動幅度小於100年。</w:t>
      </w:r>
    </w:p>
  </w:footnote>
  <w:footnote w:id="3">
    <w:p w:rsidR="00745375" w:rsidRPr="005E5009" w:rsidRDefault="00745375" w:rsidP="00BD50E5">
      <w:pPr>
        <w:pStyle w:val="af2"/>
        <w:spacing w:line="240" w:lineRule="exact"/>
        <w:ind w:left="168" w:hangingChars="84" w:hanging="168"/>
        <w:rPr>
          <w:rFonts w:ascii="微軟正黑體" w:eastAsia="微軟正黑體" w:hAnsi="微軟正黑體"/>
          <w:color w:val="000000" w:themeColor="text1"/>
        </w:rPr>
      </w:pPr>
      <w:r w:rsidRPr="004A06CC">
        <w:rPr>
          <w:rStyle w:val="af4"/>
          <w:rFonts w:ascii="微軟正黑體" w:eastAsia="微軟正黑體" w:hAnsi="微軟正黑體"/>
        </w:rPr>
        <w:footnoteRef/>
      </w:r>
      <w:r>
        <w:rPr>
          <w:rFonts w:ascii="微軟正黑體" w:eastAsia="微軟正黑體" w:hAnsi="微軟正黑體" w:hint="eastAsia"/>
        </w:rPr>
        <w:t xml:space="preserve"> </w:t>
      </w:r>
      <w:r w:rsidRPr="005E5009">
        <w:rPr>
          <w:rFonts w:ascii="微軟正黑體" w:eastAsia="微軟正黑體" w:hAnsi="微軟正黑體" w:hint="eastAsia"/>
          <w:color w:val="000000" w:themeColor="text1"/>
        </w:rPr>
        <w:t>勞工退休金為強制雇主應給付勞工退休金的制度，舊制依「勞動基準法」辦理，為確定給付制；新制依「勞工退休金條例」辦理，自94年7月1日施行，為確定提撥制(個人退休金專戶)。</w:t>
      </w:r>
    </w:p>
  </w:footnote>
  <w:footnote w:id="4">
    <w:p w:rsidR="00745375" w:rsidRPr="005E5009" w:rsidRDefault="00745375" w:rsidP="00BD50E5">
      <w:pPr>
        <w:pStyle w:val="af2"/>
        <w:spacing w:line="240" w:lineRule="exact"/>
        <w:ind w:left="142" w:hangingChars="71" w:hanging="142"/>
        <w:rPr>
          <w:rFonts w:ascii="微軟正黑體" w:eastAsia="微軟正黑體" w:hAnsi="微軟正黑體"/>
          <w:color w:val="000000" w:themeColor="text1"/>
        </w:rPr>
      </w:pPr>
      <w:r w:rsidRPr="00955663">
        <w:rPr>
          <w:rStyle w:val="af4"/>
          <w:rFonts w:ascii="微軟正黑體" w:eastAsia="微軟正黑體" w:hAnsi="微軟正黑體"/>
        </w:rPr>
        <w:footnoteRef/>
      </w:r>
      <w:r w:rsidRPr="000B304E">
        <w:rPr>
          <w:rFonts w:hint="eastAsia"/>
          <w:color w:val="0070C0"/>
        </w:rPr>
        <w:t xml:space="preserve"> </w:t>
      </w:r>
      <w:r w:rsidRPr="005E5009">
        <w:rPr>
          <w:rFonts w:ascii="微軟正黑體" w:eastAsia="微軟正黑體" w:hAnsi="微軟正黑體" w:hint="eastAsia"/>
          <w:color w:val="000000" w:themeColor="text1"/>
        </w:rPr>
        <w:t>勞退新制自94年7月1日施行，勞工工作年資滿15年以上，得請領月退休金或一次金，因此自109年7月1日起，始有新制請領月退休金者，此前領取月退休金者，係將勞退舊制年資結清之退休金，全額移入新制個人專戶，並合併計算其新舊制年資達15年以上者。</w:t>
      </w:r>
    </w:p>
  </w:footnote>
  <w:footnote w:id="5">
    <w:p w:rsidR="00745375" w:rsidRPr="005E5009" w:rsidRDefault="00745375" w:rsidP="00BD50E5">
      <w:pPr>
        <w:pStyle w:val="af2"/>
        <w:spacing w:line="240" w:lineRule="exact"/>
        <w:ind w:left="142" w:hangingChars="71" w:hanging="142"/>
        <w:rPr>
          <w:rFonts w:ascii="微軟正黑體" w:eastAsia="微軟正黑體" w:hAnsi="微軟正黑體"/>
          <w:color w:val="000000" w:themeColor="text1"/>
        </w:rPr>
      </w:pPr>
      <w:r w:rsidRPr="005E5009">
        <w:rPr>
          <w:rStyle w:val="af4"/>
          <w:color w:val="000000" w:themeColor="text1"/>
        </w:rPr>
        <w:footnoteRef/>
      </w:r>
      <w:r w:rsidRPr="005E5009">
        <w:rPr>
          <w:color w:val="000000" w:themeColor="text1"/>
        </w:rPr>
        <w:t xml:space="preserve"> </w:t>
      </w:r>
      <w:r w:rsidRPr="005E5009">
        <w:rPr>
          <w:rFonts w:ascii="微軟正黑體" w:eastAsia="微軟正黑體" w:hAnsi="微軟正黑體" w:hint="eastAsia"/>
          <w:color w:val="000000" w:themeColor="text1"/>
          <w:kern w:val="0"/>
        </w:rPr>
        <w:t>軍公教人員舊制年資(公務人員為84年6月30日以前、教育人員為85年1月31日以前、軍職人員為85年12月31日以前之年資)所計算退休金，由政府編列預算給予，為恩給制，稱軍公教退撫舊制。另軍公教人員分別自84至86年間實施共同提撥基金制，設置退撫基金，稱軍公教退撫新制。</w:t>
      </w:r>
    </w:p>
  </w:footnote>
  <w:footnote w:id="6">
    <w:p w:rsidR="00745375" w:rsidRPr="0094373A" w:rsidRDefault="00745375" w:rsidP="00BD50E5">
      <w:pPr>
        <w:pStyle w:val="af2"/>
        <w:spacing w:line="240" w:lineRule="exact"/>
        <w:ind w:left="426" w:hangingChars="213" w:hanging="426"/>
        <w:jc w:val="both"/>
        <w:rPr>
          <w:rFonts w:ascii="微軟正黑體" w:eastAsia="微軟正黑體" w:hAnsi="微軟正黑體"/>
          <w:color w:val="000000" w:themeColor="text1"/>
        </w:rPr>
      </w:pPr>
      <w:r w:rsidRPr="0094373A">
        <w:rPr>
          <w:rStyle w:val="af4"/>
          <w:rFonts w:ascii="微軟正黑體" w:eastAsia="微軟正黑體" w:hAnsi="微軟正黑體"/>
          <w:color w:val="000000" w:themeColor="text1"/>
        </w:rPr>
        <w:footnoteRef/>
      </w:r>
      <w:r w:rsidRPr="0094373A">
        <w:rPr>
          <w:rFonts w:ascii="微軟正黑體" w:eastAsia="微軟正黑體" w:hAnsi="微軟正黑體" w:hint="eastAsia"/>
          <w:color w:val="000000" w:themeColor="text1"/>
        </w:rPr>
        <w:t>(1)</w:t>
      </w:r>
      <w:r w:rsidRPr="0094373A">
        <w:rPr>
          <w:rFonts w:ascii="微軟正黑體" w:eastAsia="微軟正黑體" w:hAnsi="微軟正黑體"/>
          <w:color w:val="000000" w:themeColor="text1"/>
        </w:rPr>
        <w:t>舊制(私校退撫</w:t>
      </w:r>
      <w:r w:rsidRPr="0094373A">
        <w:rPr>
          <w:rFonts w:ascii="微軟正黑體" w:eastAsia="微軟正黑體" w:hAnsi="微軟正黑體"/>
          <w:b/>
          <w:color w:val="000000" w:themeColor="text1"/>
        </w:rPr>
        <w:t>基金</w:t>
      </w:r>
      <w:r w:rsidRPr="0094373A">
        <w:rPr>
          <w:rFonts w:ascii="微軟正黑體" w:eastAsia="微軟正黑體" w:hAnsi="微軟正黑體"/>
          <w:color w:val="000000" w:themeColor="text1"/>
        </w:rPr>
        <w:t>)：81年設置全國性私立學校教職員工退休撫卹基金(私校退撫基金)，為恩給制，</w:t>
      </w:r>
    </w:p>
    <w:p w:rsidR="00745375" w:rsidRPr="0094373A" w:rsidRDefault="00745375" w:rsidP="00BD50E5">
      <w:pPr>
        <w:pStyle w:val="af2"/>
        <w:spacing w:line="240" w:lineRule="exact"/>
        <w:ind w:leftChars="135" w:left="338" w:hangingChars="7" w:hanging="14"/>
        <w:jc w:val="both"/>
        <w:rPr>
          <w:rFonts w:ascii="微軟正黑體" w:eastAsia="微軟正黑體" w:hAnsi="微軟正黑體"/>
          <w:color w:val="000000" w:themeColor="text1"/>
        </w:rPr>
      </w:pPr>
      <w:r w:rsidRPr="0094373A">
        <w:rPr>
          <w:rFonts w:ascii="微軟正黑體" w:eastAsia="微軟正黑體" w:hAnsi="微軟正黑體"/>
          <w:color w:val="000000" w:themeColor="text1"/>
        </w:rPr>
        <w:t>由私立學校提撥經費(私立高中以上學校提撥約當學費3%，私立國中小學提撥約當雜費2.1%)，個人不需提撥，最終若有不足</w:t>
      </w:r>
      <w:r w:rsidRPr="001616C8">
        <w:rPr>
          <w:rFonts w:ascii="微軟正黑體" w:eastAsia="微軟正黑體" w:hAnsi="微軟正黑體"/>
        </w:rPr>
        <w:t>由</w:t>
      </w:r>
      <w:r w:rsidRPr="001616C8">
        <w:rPr>
          <w:rFonts w:ascii="微軟正黑體" w:eastAsia="微軟正黑體" w:hAnsi="微軟正黑體" w:hint="eastAsia"/>
          <w:kern w:val="0"/>
        </w:rPr>
        <w:t>學校主管機關</w:t>
      </w:r>
      <w:r w:rsidRPr="001616C8">
        <w:rPr>
          <w:rFonts w:ascii="微軟正黑體" w:eastAsia="微軟正黑體" w:hAnsi="微軟正黑體"/>
        </w:rPr>
        <w:t>補</w:t>
      </w:r>
      <w:r w:rsidRPr="0094373A">
        <w:rPr>
          <w:rFonts w:ascii="微軟正黑體" w:eastAsia="微軟正黑體" w:hAnsi="微軟正黑體"/>
          <w:color w:val="000000" w:themeColor="text1"/>
        </w:rPr>
        <w:t>足。惟面臨與教師法第24條規定不符、基金財務破產危機及大校小校承擔退撫責任不衡平等問題。</w:t>
      </w:r>
    </w:p>
    <w:p w:rsidR="00745375" w:rsidRPr="00C42CC8" w:rsidRDefault="00745375" w:rsidP="00BD50E5">
      <w:pPr>
        <w:pStyle w:val="af2"/>
        <w:tabs>
          <w:tab w:val="left" w:pos="142"/>
        </w:tabs>
        <w:spacing w:line="240" w:lineRule="exact"/>
        <w:ind w:leftChars="-58" w:left="335" w:hangingChars="237" w:hanging="474"/>
        <w:jc w:val="both"/>
        <w:rPr>
          <w:rFonts w:ascii="微軟正黑體" w:eastAsia="微軟正黑體" w:hAnsi="微軟正黑體"/>
        </w:rPr>
      </w:pPr>
      <w:r w:rsidRPr="0094373A">
        <w:rPr>
          <w:rFonts w:ascii="微軟正黑體" w:eastAsia="微軟正黑體" w:hAnsi="微軟正黑體" w:hint="eastAsia"/>
          <w:color w:val="000000" w:themeColor="text1"/>
        </w:rPr>
        <w:t xml:space="preserve">  (2)</w:t>
      </w:r>
      <w:r w:rsidRPr="0094373A">
        <w:rPr>
          <w:rFonts w:ascii="微軟正黑體" w:eastAsia="微軟正黑體" w:hAnsi="微軟正黑體"/>
          <w:color w:val="000000" w:themeColor="text1"/>
        </w:rPr>
        <w:t>新制(私校退撫</w:t>
      </w:r>
      <w:r w:rsidRPr="0094373A">
        <w:rPr>
          <w:rFonts w:ascii="微軟正黑體" w:eastAsia="微軟正黑體" w:hAnsi="微軟正黑體"/>
          <w:b/>
          <w:color w:val="000000" w:themeColor="text1"/>
        </w:rPr>
        <w:t>儲金</w:t>
      </w:r>
      <w:r w:rsidRPr="0094373A">
        <w:rPr>
          <w:rFonts w:ascii="微軟正黑體" w:eastAsia="微軟正黑體" w:hAnsi="微軟正黑體"/>
          <w:color w:val="000000" w:themeColor="text1"/>
        </w:rPr>
        <w:t>)：99年起實施私校退撫儲金，為政府、學校及教職員共同提撥之確定提撥個人帳戶制(政府及學校各提撥32.5%、個人提撥35%)，並自102年起開放自主投資選擇。</w:t>
      </w:r>
    </w:p>
  </w:footnote>
  <w:footnote w:id="7">
    <w:p w:rsidR="00745375" w:rsidRDefault="00745375" w:rsidP="00383945">
      <w:pPr>
        <w:pStyle w:val="af2"/>
        <w:spacing w:line="240" w:lineRule="exact"/>
        <w:ind w:left="200" w:hangingChars="100" w:hanging="200"/>
        <w:rPr>
          <w:rFonts w:ascii="微軟正黑體" w:eastAsia="微軟正黑體" w:hAnsi="微軟正黑體"/>
        </w:rPr>
      </w:pPr>
      <w:r>
        <w:rPr>
          <w:rStyle w:val="af4"/>
          <w:rFonts w:ascii="微軟正黑體" w:eastAsia="微軟正黑體" w:hAnsi="微軟正黑體"/>
        </w:rPr>
        <w:footnoteRef/>
      </w:r>
      <w:r>
        <w:rPr>
          <w:rFonts w:ascii="微軟正黑體" w:eastAsia="微軟正黑體" w:hAnsi="微軟正黑體" w:hint="eastAsia"/>
        </w:rPr>
        <w:t xml:space="preserve"> 商業保險商品投保率係指以身分證歸戶後，投保人壽、傷害及醫療險人口數，對應總人口總數(資料來源：金融監督管理委員會)。</w:t>
      </w:r>
    </w:p>
  </w:footnote>
  <w:footnote w:id="8">
    <w:p w:rsidR="00745375" w:rsidRPr="00FA19BB" w:rsidRDefault="00745375" w:rsidP="00821A46">
      <w:pPr>
        <w:pStyle w:val="af2"/>
        <w:spacing w:line="240" w:lineRule="exact"/>
        <w:jc w:val="both"/>
        <w:rPr>
          <w:rFonts w:ascii="微軟正黑體" w:eastAsia="微軟正黑體" w:hAnsi="微軟正黑體"/>
          <w:color w:val="000000"/>
        </w:rPr>
      </w:pPr>
      <w:r w:rsidRPr="00FA19BB">
        <w:rPr>
          <w:rStyle w:val="af4"/>
          <w:rFonts w:ascii="微軟正黑體" w:eastAsia="微軟正黑體" w:hAnsi="微軟正黑體"/>
          <w:color w:val="000000"/>
        </w:rPr>
        <w:footnoteRef/>
      </w:r>
      <w:r w:rsidRPr="00FA19BB">
        <w:rPr>
          <w:rFonts w:ascii="微軟正黑體" w:eastAsia="微軟正黑體" w:hAnsi="微軟正黑體" w:hint="eastAsia"/>
          <w:color w:val="000000"/>
          <w:kern w:val="24"/>
        </w:rPr>
        <w:t xml:space="preserve"> </w:t>
      </w:r>
      <w:r w:rsidRPr="00655B24">
        <w:rPr>
          <w:rFonts w:ascii="微軟正黑體" w:eastAsia="微軟正黑體" w:hAnsi="微軟正黑體" w:hint="eastAsia"/>
          <w:shd w:val="clear" w:color="auto" w:fill="FFFFFF"/>
        </w:rPr>
        <w:t>軍公教人員有公教人員保險法、軍人保險條例等，</w:t>
      </w:r>
      <w:r w:rsidRPr="00FA19BB">
        <w:rPr>
          <w:rFonts w:ascii="微軟正黑體" w:eastAsia="微軟正黑體" w:hAnsi="微軟正黑體" w:hint="eastAsia"/>
          <w:color w:val="000000"/>
          <w:kern w:val="24"/>
        </w:rPr>
        <w:t>此處略談</w:t>
      </w:r>
      <w:r w:rsidRPr="00FA19BB">
        <w:rPr>
          <w:rFonts w:ascii="微軟正黑體" w:eastAsia="微軟正黑體" w:hAnsi="微軟正黑體" w:hint="eastAsia"/>
          <w:color w:val="000000"/>
        </w:rPr>
        <w:t>。</w:t>
      </w:r>
    </w:p>
  </w:footnote>
  <w:footnote w:id="9">
    <w:p w:rsidR="00745375" w:rsidRPr="00FA19BB" w:rsidRDefault="00745375" w:rsidP="00C71C46">
      <w:pPr>
        <w:pStyle w:val="af2"/>
        <w:spacing w:line="240" w:lineRule="exact"/>
        <w:ind w:left="180" w:hangingChars="90" w:hanging="180"/>
        <w:rPr>
          <w:rFonts w:ascii="微軟正黑體" w:eastAsia="微軟正黑體" w:hAnsi="微軟正黑體"/>
        </w:rPr>
      </w:pPr>
      <w:r w:rsidRPr="00FA19BB">
        <w:rPr>
          <w:rStyle w:val="af4"/>
          <w:rFonts w:ascii="微軟正黑體" w:eastAsia="微軟正黑體" w:hAnsi="微軟正黑體"/>
        </w:rPr>
        <w:footnoteRef/>
      </w:r>
      <w:r w:rsidRPr="00FA19BB">
        <w:rPr>
          <w:rFonts w:ascii="微軟正黑體" w:eastAsia="微軟正黑體" w:hAnsi="微軟正黑體"/>
        </w:rPr>
        <w:t xml:space="preserve"> </w:t>
      </w:r>
      <w:r w:rsidRPr="00655B24">
        <w:rPr>
          <w:rFonts w:ascii="微軟正黑體" w:eastAsia="微軟正黑體" w:hAnsi="微軟正黑體" w:hint="eastAsia"/>
          <w:shd w:val="clear" w:color="auto" w:fill="FFFFFF"/>
        </w:rPr>
        <w:t>根據110年4月30日公布之勞工職業災害保險及保護法，原勞工保險條例第2條第2款等有關職業災害保險相關規定，及現行之職業災害勞工保護法，將自勞工職業災害保險及保護法111年5月1日施行起不再適用。</w:t>
      </w:r>
    </w:p>
  </w:footnote>
  <w:footnote w:id="10">
    <w:p w:rsidR="00745375" w:rsidRPr="00FA19BB" w:rsidRDefault="00745375" w:rsidP="00825B78">
      <w:pPr>
        <w:pStyle w:val="af2"/>
        <w:spacing w:line="240" w:lineRule="exact"/>
        <w:ind w:left="260" w:hangingChars="130" w:hanging="260"/>
        <w:jc w:val="both"/>
        <w:rPr>
          <w:rFonts w:ascii="微軟正黑體" w:eastAsia="微軟正黑體" w:hAnsi="微軟正黑體"/>
        </w:rPr>
      </w:pPr>
      <w:r w:rsidRPr="00FA19BB">
        <w:rPr>
          <w:rStyle w:val="af4"/>
          <w:rFonts w:ascii="微軟正黑體" w:eastAsia="微軟正黑體" w:hAnsi="微軟正黑體"/>
        </w:rPr>
        <w:footnoteRef/>
      </w:r>
      <w:r w:rsidRPr="00FA19BB">
        <w:rPr>
          <w:rFonts w:ascii="微軟正黑體" w:eastAsia="微軟正黑體" w:hAnsi="微軟正黑體" w:hint="eastAsia"/>
          <w:bCs/>
          <w:kern w:val="0"/>
          <w:szCs w:val="24"/>
        </w:rPr>
        <w:t xml:space="preserve"> 農保條例提供的</w:t>
      </w:r>
      <w:r w:rsidRPr="00FA19BB">
        <w:rPr>
          <w:rFonts w:ascii="微軟正黑體" w:eastAsia="微軟正黑體" w:hAnsi="微軟正黑體" w:hint="eastAsia"/>
          <w:kern w:val="0"/>
          <w:lang w:bidi="hi-IN"/>
        </w:rPr>
        <w:t>生育給付、醫療給付(84年3月1日起併入全民健保辦理)、身心障礙給付及喪葬津貼</w:t>
      </w:r>
      <w:r w:rsidRPr="00FA19BB">
        <w:rPr>
          <w:rFonts w:ascii="微軟正黑體" w:eastAsia="微軟正黑體" w:hAnsi="微軟正黑體" w:hint="eastAsia"/>
        </w:rPr>
        <w:t>，</w:t>
      </w:r>
      <w:r w:rsidRPr="00FA19BB">
        <w:rPr>
          <w:rFonts w:ascii="微軟正黑體" w:eastAsia="微軟正黑體" w:hAnsi="微軟正黑體" w:hint="eastAsia"/>
          <w:shd w:val="clear" w:color="auto" w:fill="FFFFFF"/>
        </w:rPr>
        <w:t>試辦中的職業傷害給付種類分為傷害給付、就醫津貼、身心障礙給付及喪葬津貼四種</w:t>
      </w:r>
      <w:r w:rsidRPr="00FA19BB">
        <w:rPr>
          <w:rFonts w:ascii="微軟正黑體" w:eastAsia="微軟正黑體" w:hAnsi="微軟正黑體" w:hint="eastAsia"/>
        </w:rPr>
        <w:t>；</w:t>
      </w:r>
      <w:r w:rsidRPr="00FA19BB">
        <w:rPr>
          <w:rFonts w:ascii="微軟正黑體" w:eastAsia="微軟正黑體" w:hAnsi="微軟正黑體" w:hint="eastAsia"/>
          <w:bCs/>
          <w:kern w:val="0"/>
          <w:szCs w:val="24"/>
        </w:rPr>
        <w:t>老年農民福利津貼暫行條例每月發給老農福利津貼</w:t>
      </w:r>
      <w:r w:rsidRPr="00FA19BB">
        <w:rPr>
          <w:rFonts w:ascii="微軟正黑體" w:eastAsia="微軟正黑體" w:hAnsi="微軟正黑體" w:hint="eastAsia"/>
        </w:rPr>
        <w:t>。</w:t>
      </w:r>
    </w:p>
  </w:footnote>
  <w:footnote w:id="11">
    <w:p w:rsidR="00745375" w:rsidRPr="003F6DA6" w:rsidRDefault="00745375" w:rsidP="002A467F">
      <w:pPr>
        <w:pStyle w:val="af2"/>
        <w:spacing w:line="240" w:lineRule="exact"/>
        <w:ind w:left="260" w:hangingChars="130" w:hanging="260"/>
        <w:jc w:val="both"/>
        <w:rPr>
          <w:rFonts w:ascii="微軟正黑體" w:eastAsia="微軟正黑體" w:hAnsi="微軟正黑體"/>
          <w:color w:val="000000"/>
        </w:rPr>
      </w:pPr>
      <w:r w:rsidRPr="003F6DA6">
        <w:rPr>
          <w:rStyle w:val="af4"/>
          <w:rFonts w:ascii="微軟正黑體" w:eastAsia="微軟正黑體" w:hAnsi="微軟正黑體"/>
          <w:color w:val="000000"/>
        </w:rPr>
        <w:footnoteRef/>
      </w:r>
      <w:r>
        <w:rPr>
          <w:rFonts w:ascii="微軟正黑體" w:eastAsia="微軟正黑體" w:hAnsi="微軟正黑體" w:hint="eastAsia"/>
          <w:color w:val="000000"/>
        </w:rPr>
        <w:t xml:space="preserve"> </w:t>
      </w:r>
      <w:r w:rsidRPr="003F6DA6">
        <w:rPr>
          <w:rFonts w:ascii="微軟正黑體" w:eastAsia="微軟正黑體" w:hAnsi="微軟正黑體" w:hint="eastAsia"/>
          <w:color w:val="000000"/>
        </w:rPr>
        <w:t>2019 年3月5日勞動部依據「其他經中央主管機關認為有必要者」，增列「15歲以上未滿18歲之未就學未就業」為第24條第1項的特定對象，並自即日生效。</w:t>
      </w:r>
    </w:p>
  </w:footnote>
  <w:footnote w:id="12">
    <w:p w:rsidR="00745375" w:rsidRPr="00D0453A" w:rsidRDefault="00745375" w:rsidP="00821A46">
      <w:pPr>
        <w:pStyle w:val="af2"/>
        <w:spacing w:line="240" w:lineRule="exact"/>
        <w:rPr>
          <w:rFonts w:ascii="微軟正黑體" w:eastAsia="微軟正黑體" w:hAnsi="微軟正黑體"/>
        </w:rPr>
      </w:pPr>
      <w:r w:rsidRPr="005413B8">
        <w:rPr>
          <w:rStyle w:val="af4"/>
          <w:rFonts w:ascii="微軟正黑體" w:eastAsia="微軟正黑體" w:hAnsi="微軟正黑體"/>
        </w:rPr>
        <w:footnoteRef/>
      </w:r>
      <w:r w:rsidRPr="005413B8">
        <w:rPr>
          <w:rFonts w:ascii="微軟正黑體" w:eastAsia="微軟正黑體" w:hAnsi="微軟正黑體"/>
        </w:rPr>
        <w:t xml:space="preserve"> </w:t>
      </w:r>
      <w:r w:rsidRPr="005413B8">
        <w:rPr>
          <w:rFonts w:ascii="微軟正黑體" w:eastAsia="微軟正黑體" w:hAnsi="微軟正黑體" w:hint="eastAsia"/>
        </w:rPr>
        <w:t>請參見</w:t>
      </w:r>
      <w:hyperlink r:id="rId1" w:history="1">
        <w:r w:rsidRPr="00825B78">
          <w:rPr>
            <w:rStyle w:val="af7"/>
            <w:rFonts w:ascii="微軟正黑體" w:eastAsia="微軟正黑體" w:hAnsi="微軟正黑體"/>
            <w:color w:val="auto"/>
            <w:u w:val="none"/>
          </w:rPr>
          <w:t>http://www.roc-taiwan.org/vnsgn/post/1447.html</w:t>
        </w:r>
      </w:hyperlink>
      <w:r w:rsidRPr="005413B8">
        <w:rPr>
          <w:rFonts w:ascii="微軟正黑體" w:eastAsia="微軟正黑體" w:hAnsi="微軟正黑體" w:hint="eastAsia"/>
        </w:rPr>
        <w:t>。</w:t>
      </w:r>
    </w:p>
  </w:footnote>
  <w:footnote w:id="13">
    <w:p w:rsidR="00745375" w:rsidRPr="00825B78" w:rsidRDefault="00745375" w:rsidP="00821A46">
      <w:pPr>
        <w:pStyle w:val="af2"/>
        <w:spacing w:line="240" w:lineRule="exact"/>
        <w:rPr>
          <w:rFonts w:ascii="微軟正黑體" w:eastAsia="微軟正黑體" w:hAnsi="微軟正黑體"/>
        </w:rPr>
      </w:pPr>
      <w:r w:rsidRPr="00825B78">
        <w:rPr>
          <w:rStyle w:val="af4"/>
          <w:rFonts w:ascii="微軟正黑體" w:eastAsia="微軟正黑體" w:hAnsi="微軟正黑體"/>
        </w:rPr>
        <w:footnoteRef/>
      </w:r>
      <w:r w:rsidRPr="00825B78">
        <w:rPr>
          <w:rFonts w:ascii="微軟正黑體" w:eastAsia="微軟正黑體" w:hAnsi="微軟正黑體"/>
        </w:rPr>
        <w:t xml:space="preserve"> </w:t>
      </w:r>
      <w:r w:rsidRPr="00825B78">
        <w:rPr>
          <w:rFonts w:ascii="微軟正黑體" w:eastAsia="微軟正黑體" w:hAnsi="微軟正黑體" w:hint="eastAsia"/>
        </w:rPr>
        <w:t>請參見</w:t>
      </w:r>
      <w:hyperlink r:id="rId2" w:history="1">
        <w:r w:rsidRPr="00825B78">
          <w:rPr>
            <w:rStyle w:val="af7"/>
            <w:rFonts w:ascii="微軟正黑體" w:eastAsia="微軟正黑體" w:hAnsi="微軟正黑體"/>
            <w:color w:val="auto"/>
            <w:u w:val="none"/>
          </w:rPr>
          <w:t>http://twbusiness.nat.gov.tw/countryNews.do?id=299728905&amp;country=VN</w:t>
        </w:r>
      </w:hyperlink>
      <w:r w:rsidRPr="00825B78">
        <w:rPr>
          <w:rFonts w:ascii="微軟正黑體" w:eastAsia="微軟正黑體" w:hAnsi="微軟正黑體" w:hint="eastAsia"/>
        </w:rPr>
        <w:t>。</w:t>
      </w:r>
    </w:p>
  </w:footnote>
  <w:footnote w:id="14">
    <w:p w:rsidR="00745375" w:rsidRPr="00825B78" w:rsidRDefault="00745375" w:rsidP="00C77ACA">
      <w:pPr>
        <w:pStyle w:val="af2"/>
        <w:spacing w:line="240" w:lineRule="exact"/>
        <w:ind w:left="200" w:hangingChars="100" w:hanging="200"/>
        <w:rPr>
          <w:rFonts w:ascii="微軟正黑體" w:eastAsia="微軟正黑體" w:hAnsi="微軟正黑體"/>
        </w:rPr>
      </w:pPr>
      <w:r w:rsidRPr="00825B78">
        <w:rPr>
          <w:rStyle w:val="af4"/>
          <w:rFonts w:ascii="微軟正黑體" w:eastAsia="微軟正黑體" w:hAnsi="微軟正黑體"/>
        </w:rPr>
        <w:footnoteRef/>
      </w:r>
      <w:r w:rsidRPr="00825B78">
        <w:rPr>
          <w:rFonts w:ascii="微軟正黑體" w:eastAsia="微軟正黑體" w:hAnsi="微軟正黑體"/>
        </w:rPr>
        <w:t xml:space="preserve"> </w:t>
      </w:r>
      <w:r w:rsidRPr="00825B78">
        <w:rPr>
          <w:rFonts w:ascii="微軟正黑體" w:eastAsia="微軟正黑體" w:hAnsi="微軟正黑體" w:hint="eastAsia"/>
        </w:rPr>
        <w:t>請參見</w:t>
      </w:r>
      <w:hyperlink r:id="rId3" w:history="1">
        <w:r w:rsidRPr="00825B78">
          <w:rPr>
            <w:rStyle w:val="af7"/>
            <w:rFonts w:ascii="微軟正黑體" w:eastAsia="微軟正黑體" w:hAnsi="微軟正黑體"/>
            <w:color w:val="auto"/>
            <w:u w:val="none"/>
          </w:rPr>
          <w:t>https://apoxiagu.wordpress.com/category/%E8%B6%8A%E5%8D%97%E7%A4%BE%E4%BF%9D%E6%B3%95/</w:t>
        </w:r>
      </w:hyperlink>
      <w:r w:rsidRPr="00825B78">
        <w:rPr>
          <w:rStyle w:val="af7"/>
          <w:rFonts w:ascii="微軟正黑體" w:eastAsia="微軟正黑體" w:hAnsi="微軟正黑體" w:hint="eastAsia"/>
          <w:color w:val="auto"/>
          <w:u w:val="none"/>
        </w:rPr>
        <w:t>。</w:t>
      </w:r>
      <w:r w:rsidRPr="00825B78">
        <w:rPr>
          <w:rFonts w:ascii="微軟正黑體" w:eastAsia="微軟正黑體" w:hAnsi="微軟正黑體"/>
        </w:rPr>
        <w:t xml:space="preserve"> </w:t>
      </w:r>
    </w:p>
  </w:footnote>
  <w:footnote w:id="15">
    <w:p w:rsidR="00745375" w:rsidRPr="00C77ACA" w:rsidRDefault="00745375" w:rsidP="00821A46">
      <w:pPr>
        <w:pStyle w:val="af2"/>
        <w:spacing w:line="240" w:lineRule="exact"/>
        <w:rPr>
          <w:rFonts w:ascii="微軟正黑體" w:eastAsia="微軟正黑體" w:hAnsi="微軟正黑體"/>
        </w:rPr>
      </w:pPr>
      <w:r w:rsidRPr="005413B8">
        <w:rPr>
          <w:rStyle w:val="af4"/>
          <w:rFonts w:ascii="微軟正黑體" w:eastAsia="微軟正黑體" w:hAnsi="微軟正黑體"/>
        </w:rPr>
        <w:footnoteRef/>
      </w:r>
      <w:r w:rsidRPr="005413B8">
        <w:rPr>
          <w:rFonts w:ascii="微軟正黑體" w:eastAsia="微軟正黑體" w:hAnsi="微軟正黑體"/>
        </w:rPr>
        <w:t xml:space="preserve"> </w:t>
      </w:r>
      <w:r w:rsidRPr="005413B8">
        <w:rPr>
          <w:rFonts w:ascii="微軟正黑體" w:eastAsia="微軟正黑體" w:hAnsi="微軟正黑體" w:hint="eastAsia"/>
        </w:rPr>
        <w:t>請參見</w:t>
      </w:r>
      <w:hyperlink r:id="rId4" w:history="1">
        <w:r w:rsidRPr="00C77ACA">
          <w:rPr>
            <w:rStyle w:val="af7"/>
            <w:rFonts w:ascii="微軟正黑體" w:eastAsia="微軟正黑體" w:hAnsi="微軟正黑體" w:cs="Arial"/>
            <w:color w:val="auto"/>
            <w:u w:val="none"/>
            <w:shd w:val="clear" w:color="auto" w:fill="FFFFFF"/>
          </w:rPr>
          <w:t>https://read01.com/465xdz.html</w:t>
        </w:r>
      </w:hyperlink>
      <w:r w:rsidRPr="00C77ACA">
        <w:rPr>
          <w:rFonts w:ascii="微軟正黑體" w:eastAsia="微軟正黑體" w:hAnsi="微軟正黑體" w:hint="eastAsia"/>
        </w:rPr>
        <w:t>。</w:t>
      </w:r>
    </w:p>
  </w:footnote>
  <w:footnote w:id="16">
    <w:p w:rsidR="00745375" w:rsidRPr="00D0453A" w:rsidRDefault="00745375" w:rsidP="00821A46">
      <w:pPr>
        <w:pStyle w:val="af2"/>
        <w:spacing w:line="240" w:lineRule="exact"/>
        <w:rPr>
          <w:rFonts w:ascii="微軟正黑體" w:eastAsia="微軟正黑體" w:hAnsi="微軟正黑體"/>
        </w:rPr>
      </w:pPr>
      <w:r w:rsidRPr="00C77ACA">
        <w:rPr>
          <w:rStyle w:val="af4"/>
          <w:rFonts w:ascii="微軟正黑體" w:eastAsia="微軟正黑體" w:hAnsi="微軟正黑體"/>
        </w:rPr>
        <w:footnoteRef/>
      </w:r>
      <w:r w:rsidRPr="00C77ACA">
        <w:rPr>
          <w:rFonts w:ascii="微軟正黑體" w:eastAsia="微軟正黑體" w:hAnsi="微軟正黑體"/>
        </w:rPr>
        <w:t xml:space="preserve"> </w:t>
      </w:r>
      <w:r w:rsidRPr="00C77ACA">
        <w:rPr>
          <w:rFonts w:ascii="微軟正黑體" w:eastAsia="微軟正黑體" w:hAnsi="微軟正黑體" w:hint="eastAsia"/>
        </w:rPr>
        <w:t>請參見</w:t>
      </w:r>
      <w:hyperlink r:id="rId5" w:anchor=".Wi9AHkqWY2w" w:history="1">
        <w:r w:rsidRPr="00C77ACA">
          <w:rPr>
            <w:rStyle w:val="af7"/>
            <w:rFonts w:ascii="微軟正黑體" w:eastAsia="微軟正黑體" w:hAnsi="微軟正黑體"/>
            <w:color w:val="auto"/>
            <w:u w:val="none"/>
          </w:rPr>
          <w:t>https://read01.com/zh-tw/465xdz.html#.Wi9AHkqWY2w</w:t>
        </w:r>
      </w:hyperlink>
      <w:r w:rsidRPr="00C77ACA">
        <w:rPr>
          <w:rFonts w:ascii="微軟正黑體" w:eastAsia="微軟正黑體" w:hAnsi="微軟正黑體" w:hint="eastAsia"/>
        </w:rPr>
        <w:t>。</w:t>
      </w:r>
    </w:p>
  </w:footnote>
  <w:footnote w:id="17">
    <w:p w:rsidR="00745375" w:rsidRPr="00D0453A" w:rsidRDefault="00745375" w:rsidP="00C71C46">
      <w:pPr>
        <w:pStyle w:val="af2"/>
        <w:spacing w:line="240" w:lineRule="exact"/>
        <w:ind w:left="200" w:hangingChars="100" w:hanging="200"/>
        <w:rPr>
          <w:rFonts w:ascii="微軟正黑體" w:eastAsia="微軟正黑體" w:hAnsi="微軟正黑體"/>
        </w:rPr>
      </w:pPr>
      <w:r w:rsidRPr="00D0453A">
        <w:rPr>
          <w:rStyle w:val="af4"/>
          <w:rFonts w:ascii="微軟正黑體" w:eastAsia="微軟正黑體" w:hAnsi="微軟正黑體"/>
        </w:rPr>
        <w:footnoteRef/>
      </w:r>
      <w:r w:rsidRPr="00D0453A">
        <w:rPr>
          <w:rFonts w:ascii="微軟正黑體" w:eastAsia="微軟正黑體" w:hAnsi="微軟正黑體"/>
        </w:rPr>
        <w:t xml:space="preserve"> JETRO Japan External Trade Organization</w:t>
      </w:r>
      <w:r w:rsidRPr="00D0453A">
        <w:rPr>
          <w:rFonts w:ascii="微軟正黑體" w:eastAsia="微軟正黑體" w:hAnsi="微軟正黑體" w:hint="eastAsia"/>
        </w:rPr>
        <w:t>「日本的社會保障制度」，</w:t>
      </w:r>
      <w:r w:rsidRPr="00D0453A">
        <w:rPr>
          <w:rFonts w:ascii="微軟正黑體" w:eastAsia="微軟正黑體" w:hAnsi="微軟正黑體"/>
        </w:rPr>
        <w:t>https://www.jetro.go.jp/tc/invest/setting_up/section4/page9.html (</w:t>
      </w:r>
      <w:r w:rsidRPr="00D0453A">
        <w:rPr>
          <w:rFonts w:ascii="微軟正黑體" w:eastAsia="微軟正黑體" w:hAnsi="微軟正黑體" w:hint="eastAsia"/>
        </w:rPr>
        <w:t>最後瀏覽日</w:t>
      </w:r>
      <w:r w:rsidRPr="00D0453A">
        <w:rPr>
          <w:rFonts w:ascii="微軟正黑體" w:eastAsia="微軟正黑體" w:hAnsi="微軟正黑體"/>
        </w:rPr>
        <w:t>2019</w:t>
      </w:r>
      <w:r w:rsidRPr="00D0453A">
        <w:rPr>
          <w:rFonts w:ascii="微軟正黑體" w:eastAsia="微軟正黑體" w:hAnsi="微軟正黑體" w:hint="eastAsia"/>
        </w:rPr>
        <w:t>年</w:t>
      </w:r>
      <w:r w:rsidRPr="00D0453A">
        <w:rPr>
          <w:rFonts w:ascii="微軟正黑體" w:eastAsia="微軟正黑體" w:hAnsi="微軟正黑體"/>
        </w:rPr>
        <w:t>8</w:t>
      </w:r>
      <w:r w:rsidRPr="00D0453A">
        <w:rPr>
          <w:rFonts w:ascii="微軟正黑體" w:eastAsia="微軟正黑體" w:hAnsi="微軟正黑體" w:hint="eastAsia"/>
        </w:rPr>
        <w:t>月</w:t>
      </w:r>
      <w:r w:rsidRPr="00D0453A">
        <w:rPr>
          <w:rFonts w:ascii="微軟正黑體" w:eastAsia="微軟正黑體" w:hAnsi="微軟正黑體"/>
        </w:rPr>
        <w:t>10</w:t>
      </w:r>
      <w:r w:rsidRPr="00D0453A">
        <w:rPr>
          <w:rFonts w:ascii="微軟正黑體" w:eastAsia="微軟正黑體" w:hAnsi="微軟正黑體" w:hint="eastAsia"/>
        </w:rPr>
        <w:t>日</w:t>
      </w:r>
      <w:r w:rsidRPr="00D0453A">
        <w:rPr>
          <w:rFonts w:ascii="微軟正黑體" w:eastAsia="微軟正黑體" w:hAnsi="微軟正黑體"/>
        </w:rPr>
        <w:t>)</w:t>
      </w:r>
      <w:r w:rsidRPr="00D0453A">
        <w:rPr>
          <w:rFonts w:ascii="微軟正黑體" w:eastAsia="微軟正黑體" w:hAnsi="微軟正黑體" w:hint="eastAsia"/>
        </w:rPr>
        <w:t>。</w:t>
      </w:r>
    </w:p>
  </w:footnote>
  <w:footnote w:id="18">
    <w:p w:rsidR="00745375" w:rsidRPr="00C77ACA" w:rsidRDefault="00745375" w:rsidP="00821A46">
      <w:pPr>
        <w:pStyle w:val="af2"/>
        <w:spacing w:line="240" w:lineRule="exact"/>
        <w:rPr>
          <w:rFonts w:ascii="微軟正黑體" w:eastAsia="微軟正黑體" w:hAnsi="微軟正黑體"/>
        </w:rPr>
      </w:pPr>
      <w:r w:rsidRPr="005C3DF9">
        <w:rPr>
          <w:rStyle w:val="af4"/>
          <w:rFonts w:ascii="微軟正黑體" w:eastAsia="微軟正黑體" w:hAnsi="微軟正黑體"/>
        </w:rPr>
        <w:footnoteRef/>
      </w:r>
      <w:r w:rsidRPr="005C3DF9">
        <w:rPr>
          <w:rFonts w:ascii="微軟正黑體" w:eastAsia="微軟正黑體" w:hAnsi="微軟正黑體"/>
        </w:rPr>
        <w:t xml:space="preserve"> </w:t>
      </w:r>
      <w:r w:rsidRPr="005413B8">
        <w:rPr>
          <w:rFonts w:ascii="微軟正黑體" w:eastAsia="微軟正黑體" w:hAnsi="微軟正黑體" w:hint="eastAsia"/>
        </w:rPr>
        <w:t>日本厚生勞動省年金局</w:t>
      </w:r>
      <w:hyperlink r:id="rId6" w:history="1">
        <w:r w:rsidRPr="00C77ACA">
          <w:rPr>
            <w:rStyle w:val="af7"/>
            <w:rFonts w:ascii="微軟正黑體" w:eastAsia="微軟正黑體" w:hAnsi="微軟正黑體"/>
            <w:color w:val="auto"/>
            <w:u w:val="none"/>
          </w:rPr>
          <w:t>https://www.mhlw.go.jp/nenkinkenshou/structure/structure03.html#</w:t>
        </w:r>
      </w:hyperlink>
      <w:r w:rsidRPr="00C77ACA">
        <w:rPr>
          <w:rStyle w:val="af7"/>
          <w:rFonts w:ascii="微軟正黑體" w:eastAsia="微軟正黑體" w:hAnsi="微軟正黑體" w:hint="eastAsia"/>
          <w:color w:val="auto"/>
          <w:u w:val="none"/>
        </w:rPr>
        <w:t>。</w:t>
      </w:r>
    </w:p>
  </w:footnote>
  <w:footnote w:id="19">
    <w:p w:rsidR="00745375" w:rsidRPr="005C3DF9" w:rsidRDefault="00745375" w:rsidP="00C71C46">
      <w:pPr>
        <w:pStyle w:val="af2"/>
        <w:spacing w:line="240" w:lineRule="exact"/>
        <w:ind w:left="300" w:hangingChars="150" w:hanging="300"/>
        <w:rPr>
          <w:rFonts w:ascii="微軟正黑體" w:eastAsia="微軟正黑體" w:hAnsi="微軟正黑體"/>
        </w:rPr>
      </w:pPr>
      <w:r w:rsidRPr="00C77ACA">
        <w:rPr>
          <w:rStyle w:val="af4"/>
          <w:rFonts w:ascii="微軟正黑體" w:eastAsia="微軟正黑體" w:hAnsi="微軟正黑體"/>
        </w:rPr>
        <w:footnoteRef/>
      </w:r>
      <w:r w:rsidRPr="00C77ACA">
        <w:rPr>
          <w:rFonts w:ascii="微軟正黑體" w:eastAsia="微軟正黑體" w:hAnsi="微軟正黑體"/>
        </w:rPr>
        <w:t xml:space="preserve"> </w:t>
      </w:r>
      <w:r w:rsidRPr="00C77ACA">
        <w:rPr>
          <w:rFonts w:ascii="微軟正黑體" w:eastAsia="微軟正黑體" w:hAnsi="微軟正黑體" w:hint="eastAsia"/>
        </w:rPr>
        <w:t>日本厚生勞動省私人養老金規劃概述</w:t>
      </w:r>
      <w:hyperlink r:id="rId7" w:history="1">
        <w:r w:rsidRPr="00C77ACA">
          <w:rPr>
            <w:rStyle w:val="af7"/>
            <w:rFonts w:ascii="微軟正黑體" w:eastAsia="微軟正黑體" w:hAnsi="微軟正黑體"/>
            <w:color w:val="auto"/>
            <w:u w:val="none"/>
          </w:rPr>
          <w:t>https://www.mhlw.go.jp/stf/seisakunitsuite/bunya/nenkin/nenkin/kigyounenkin.html</w:t>
        </w:r>
      </w:hyperlink>
      <w:r w:rsidRPr="00C77ACA">
        <w:rPr>
          <w:rStyle w:val="af7"/>
          <w:rFonts w:ascii="微軟正黑體" w:eastAsia="微軟正黑體" w:hAnsi="微軟正黑體" w:hint="eastAsia"/>
          <w:color w:val="auto"/>
          <w:u w:val="none"/>
        </w:rPr>
        <w:t>。</w:t>
      </w:r>
    </w:p>
  </w:footnote>
  <w:footnote w:id="20">
    <w:p w:rsidR="00745375" w:rsidRPr="005526AB" w:rsidRDefault="00745375" w:rsidP="00CD11CF">
      <w:pPr>
        <w:pStyle w:val="af2"/>
        <w:spacing w:line="240" w:lineRule="exact"/>
        <w:ind w:left="240" w:hangingChars="120" w:hanging="240"/>
        <w:rPr>
          <w:rFonts w:ascii="微軟正黑體" w:eastAsia="微軟正黑體" w:hAnsi="微軟正黑體"/>
        </w:rPr>
      </w:pPr>
      <w:r w:rsidRPr="005526AB">
        <w:rPr>
          <w:rStyle w:val="af4"/>
          <w:rFonts w:ascii="微軟正黑體" w:eastAsia="微軟正黑體" w:hAnsi="微軟正黑體"/>
        </w:rPr>
        <w:footnoteRef/>
      </w:r>
      <w:r w:rsidRPr="005526AB">
        <w:rPr>
          <w:rFonts w:ascii="微軟正黑體" w:eastAsia="微軟正黑體" w:hAnsi="微軟正黑體"/>
        </w:rPr>
        <w:t xml:space="preserve"> 從1999年到2003年間的環保稅年成長率，分別為10.2%、7.6%、9.2%、1.4%及6.2%</w:t>
      </w:r>
      <w:r>
        <w:rPr>
          <w:rFonts w:ascii="微軟正黑體" w:eastAsia="微軟正黑體" w:hAnsi="微軟正黑體" w:hint="eastAsia"/>
        </w:rPr>
        <w:t>(</w:t>
      </w:r>
      <w:r w:rsidRPr="005526AB">
        <w:rPr>
          <w:rFonts w:ascii="微軟正黑體" w:eastAsia="微軟正黑體" w:hAnsi="微軟正黑體"/>
        </w:rPr>
        <w:t>Eurostat, 2021</w:t>
      </w:r>
      <w:r>
        <w:rPr>
          <w:rFonts w:ascii="微軟正黑體" w:eastAsia="微軟正黑體" w:hAnsi="微軟正黑體" w:hint="eastAsia"/>
        </w:rPr>
        <w:t>)</w:t>
      </w:r>
      <w:r w:rsidRPr="005526AB">
        <w:rPr>
          <w:rFonts w:ascii="微軟正黑體" w:eastAsia="微軟正黑體" w:hAnsi="微軟正黑體"/>
        </w:rPr>
        <w:t>。</w:t>
      </w:r>
    </w:p>
  </w:footnote>
  <w:footnote w:id="21">
    <w:p w:rsidR="00745375" w:rsidRPr="005526AB" w:rsidRDefault="00745375" w:rsidP="000E2DB5">
      <w:pPr>
        <w:pStyle w:val="af2"/>
        <w:spacing w:beforeLines="20" w:before="72" w:line="240" w:lineRule="exact"/>
        <w:ind w:left="240" w:hangingChars="120" w:hanging="240"/>
        <w:rPr>
          <w:rFonts w:ascii="微軟正黑體" w:eastAsia="微軟正黑體" w:hAnsi="微軟正黑體"/>
        </w:rPr>
      </w:pPr>
      <w:r w:rsidRPr="005526AB">
        <w:rPr>
          <w:rStyle w:val="af4"/>
          <w:rFonts w:ascii="微軟正黑體" w:eastAsia="微軟正黑體" w:hAnsi="微軟正黑體"/>
        </w:rPr>
        <w:footnoteRef/>
      </w:r>
      <w:r w:rsidRPr="005526AB">
        <w:rPr>
          <w:rFonts w:ascii="微軟正黑體" w:eastAsia="微軟正黑體" w:hAnsi="微軟正黑體"/>
        </w:rPr>
        <w:t xml:space="preserve"> 2004年到2010年間的環保稅年成長率，最高為2008年的1.2%，最低則為2007年的-2.9%</w:t>
      </w:r>
      <w:r>
        <w:rPr>
          <w:rFonts w:ascii="微軟正黑體" w:eastAsia="微軟正黑體" w:hAnsi="微軟正黑體" w:hint="eastAsia"/>
        </w:rPr>
        <w:t>(</w:t>
      </w:r>
      <w:r w:rsidRPr="005526AB">
        <w:rPr>
          <w:rFonts w:ascii="微軟正黑體" w:eastAsia="微軟正黑體" w:hAnsi="微軟正黑體"/>
        </w:rPr>
        <w:t>Eurostat, 2021</w:t>
      </w:r>
      <w:r>
        <w:rPr>
          <w:rFonts w:ascii="微軟正黑體" w:eastAsia="微軟正黑體" w:hAnsi="微軟正黑體" w:hint="eastAsia"/>
        </w:rPr>
        <w:t>)</w:t>
      </w:r>
      <w:r w:rsidRPr="005526AB">
        <w:rPr>
          <w:rFonts w:ascii="微軟正黑體" w:eastAsia="微軟正黑體" w:hAnsi="微軟正黑體"/>
        </w:rPr>
        <w:t>。</w:t>
      </w:r>
    </w:p>
  </w:footnote>
  <w:footnote w:id="22">
    <w:p w:rsidR="00745375" w:rsidRPr="002075D1" w:rsidRDefault="00745375" w:rsidP="000E2DB5">
      <w:pPr>
        <w:pStyle w:val="af2"/>
        <w:spacing w:line="240" w:lineRule="exact"/>
        <w:ind w:left="240" w:hangingChars="120" w:hanging="240"/>
        <w:rPr>
          <w:rFonts w:ascii="微軟正黑體" w:eastAsia="微軟正黑體" w:hAnsi="微軟正黑體"/>
        </w:rPr>
      </w:pPr>
      <w:r w:rsidRPr="002075D1">
        <w:rPr>
          <w:rStyle w:val="af4"/>
          <w:rFonts w:ascii="微軟正黑體" w:eastAsia="微軟正黑體" w:hAnsi="微軟正黑體"/>
        </w:rPr>
        <w:footnoteRef/>
      </w:r>
      <w:r w:rsidRPr="002075D1">
        <w:rPr>
          <w:rFonts w:ascii="微軟正黑體" w:eastAsia="微軟正黑體" w:hAnsi="微軟正黑體"/>
        </w:rPr>
        <w:t xml:space="preserve"> </w:t>
      </w:r>
      <w:r w:rsidRPr="002075D1">
        <w:rPr>
          <w:rFonts w:ascii="微軟正黑體" w:eastAsia="微軟正黑體" w:hAnsi="微軟正黑體" w:hint="eastAsia"/>
        </w:rPr>
        <w:t>在</w:t>
      </w:r>
      <w:r w:rsidRPr="002075D1">
        <w:rPr>
          <w:rFonts w:ascii="微軟正黑體" w:eastAsia="微軟正黑體" w:hAnsi="微軟正黑體"/>
        </w:rPr>
        <w:t>勞保條例第13條中</w:t>
      </w:r>
      <w:r w:rsidRPr="002075D1">
        <w:rPr>
          <w:rFonts w:ascii="微軟正黑體" w:eastAsia="微軟正黑體" w:hAnsi="微軟正黑體" w:hint="eastAsia"/>
        </w:rPr>
        <w:t>，除了</w:t>
      </w:r>
      <w:r w:rsidRPr="002075D1">
        <w:rPr>
          <w:rFonts w:ascii="微軟正黑體" w:eastAsia="微軟正黑體" w:hAnsi="微軟正黑體"/>
        </w:rPr>
        <w:t>訂定階段性費率調整規定，</w:t>
      </w:r>
      <w:r w:rsidRPr="002075D1">
        <w:rPr>
          <w:rFonts w:ascii="微軟正黑體" w:eastAsia="微軟正黑體" w:hAnsi="微軟正黑體" w:hint="eastAsia"/>
        </w:rPr>
        <w:t>也規定</w:t>
      </w:r>
      <w:r w:rsidRPr="002075D1">
        <w:rPr>
          <w:rFonts w:ascii="微軟正黑體" w:eastAsia="微軟正黑體" w:hAnsi="微軟正黑體"/>
        </w:rPr>
        <w:t>「保險基金餘額足以支應未來20年保險給付時，不予調高」，讓老年給付的財務處理方式，有了採行部</w:t>
      </w:r>
      <w:r w:rsidRPr="00BC1914">
        <w:rPr>
          <w:rFonts w:ascii="微軟正黑體" w:eastAsia="微軟正黑體" w:hAnsi="微軟正黑體" w:hint="eastAsia"/>
        </w:rPr>
        <w:t>分</w:t>
      </w:r>
      <w:r w:rsidRPr="002075D1">
        <w:rPr>
          <w:rFonts w:ascii="微軟正黑體" w:eastAsia="微軟正黑體" w:hAnsi="微軟正黑體" w:hint="eastAsia"/>
        </w:rPr>
        <w:t>準備</w:t>
      </w:r>
      <w:r w:rsidRPr="002075D1">
        <w:rPr>
          <w:rFonts w:ascii="微軟正黑體" w:eastAsia="微軟正黑體" w:hAnsi="微軟正黑體"/>
        </w:rPr>
        <w:t>制的法源定位</w:t>
      </w:r>
      <w:r w:rsidRPr="002075D1">
        <w:rPr>
          <w:rFonts w:ascii="微軟正黑體" w:eastAsia="微軟正黑體" w:hAnsi="微軟正黑體" w:hint="eastAsia"/>
        </w:rPr>
        <w:t>。</w:t>
      </w:r>
    </w:p>
  </w:footnote>
  <w:footnote w:id="23">
    <w:p w:rsidR="00745375" w:rsidRPr="002075D1" w:rsidRDefault="00745375" w:rsidP="000E2DB5">
      <w:pPr>
        <w:snapToGrid w:val="0"/>
        <w:spacing w:beforeLines="20" w:before="72" w:line="240" w:lineRule="exact"/>
        <w:ind w:left="240" w:hangingChars="120" w:hanging="240"/>
        <w:contextualSpacing/>
        <w:rPr>
          <w:rFonts w:ascii="微軟正黑體" w:eastAsia="微軟正黑體" w:hAnsi="微軟正黑體"/>
          <w:sz w:val="20"/>
          <w:szCs w:val="20"/>
        </w:rPr>
      </w:pPr>
      <w:r w:rsidRPr="002075D1">
        <w:rPr>
          <w:rStyle w:val="af4"/>
          <w:rFonts w:ascii="微軟正黑體" w:eastAsia="微軟正黑體" w:hAnsi="微軟正黑體"/>
          <w:sz w:val="20"/>
          <w:szCs w:val="20"/>
        </w:rPr>
        <w:footnoteRef/>
      </w:r>
      <w:r>
        <w:rPr>
          <w:rFonts w:ascii="微軟正黑體" w:eastAsia="微軟正黑體" w:hAnsi="微軟正黑體" w:hint="eastAsia"/>
          <w:sz w:val="20"/>
          <w:szCs w:val="20"/>
        </w:rPr>
        <w:t xml:space="preserve"> </w:t>
      </w:r>
      <w:r w:rsidRPr="002075D1">
        <w:rPr>
          <w:rFonts w:ascii="微軟正黑體" w:eastAsia="微軟正黑體" w:hAnsi="微軟正黑體"/>
          <w:sz w:val="20"/>
          <w:szCs w:val="20"/>
        </w:rPr>
        <w:t>老年年金金額</w:t>
      </w:r>
      <w:r w:rsidRPr="00BC1914">
        <w:rPr>
          <w:rFonts w:ascii="微軟正黑體" w:eastAsia="微軟正黑體" w:hAnsi="微軟正黑體" w:hint="eastAsia"/>
          <w:sz w:val="20"/>
          <w:szCs w:val="20"/>
        </w:rPr>
        <w:t>占</w:t>
      </w:r>
      <w:r w:rsidRPr="00BC1914">
        <w:rPr>
          <w:rFonts w:ascii="微軟正黑體" w:eastAsia="微軟正黑體" w:hAnsi="微軟正黑體"/>
          <w:sz w:val="20"/>
          <w:szCs w:val="20"/>
        </w:rPr>
        <w:t>普</w:t>
      </w:r>
      <w:r w:rsidRPr="002075D1">
        <w:rPr>
          <w:rFonts w:ascii="微軟正黑體" w:eastAsia="微軟正黑體" w:hAnsi="微軟正黑體"/>
          <w:sz w:val="20"/>
          <w:szCs w:val="20"/>
        </w:rPr>
        <w:t>通事故保險給付的比率，從2009年的4.80%，一路快速成長到2018年的58.42%</w:t>
      </w:r>
      <w:r>
        <w:rPr>
          <w:rFonts w:ascii="微軟正黑體" w:eastAsia="微軟正黑體" w:hAnsi="微軟正黑體" w:hint="eastAsia"/>
          <w:sz w:val="20"/>
          <w:szCs w:val="20"/>
        </w:rPr>
        <w:t>(</w:t>
      </w:r>
      <w:r w:rsidRPr="002075D1">
        <w:rPr>
          <w:rFonts w:ascii="微軟正黑體" w:eastAsia="微軟正黑體" w:hAnsi="微軟正黑體" w:hint="eastAsia"/>
          <w:sz w:val="20"/>
          <w:szCs w:val="20"/>
        </w:rPr>
        <w:t>勞工保險局，2021</w:t>
      </w:r>
      <w:r>
        <w:rPr>
          <w:rFonts w:ascii="微軟正黑體" w:eastAsia="微軟正黑體" w:hAnsi="微軟正黑體" w:hint="eastAsia"/>
          <w:sz w:val="20"/>
          <w:szCs w:val="20"/>
        </w:rPr>
        <w:t>)</w:t>
      </w:r>
      <w:r w:rsidRPr="002075D1">
        <w:rPr>
          <w:rFonts w:ascii="微軟正黑體" w:eastAsia="微軟正黑體" w:hAnsi="微軟正黑體"/>
          <w:sz w:val="20"/>
          <w:szCs w:val="20"/>
        </w:rPr>
        <w:t>。</w:t>
      </w:r>
    </w:p>
  </w:footnote>
  <w:footnote w:id="24">
    <w:p w:rsidR="00745375" w:rsidRPr="00CC7E97" w:rsidRDefault="00745375" w:rsidP="000E2DB5">
      <w:pPr>
        <w:pStyle w:val="000"/>
        <w:spacing w:line="240" w:lineRule="exact"/>
        <w:ind w:left="240" w:hangingChars="120" w:hanging="240"/>
        <w:rPr>
          <w:rFonts w:ascii="微軟正黑體" w:eastAsia="微軟正黑體" w:hAnsi="微軟正黑體"/>
          <w:sz w:val="20"/>
          <w:szCs w:val="20"/>
        </w:rPr>
      </w:pPr>
      <w:r w:rsidRPr="00CC7E97">
        <w:rPr>
          <w:rStyle w:val="af4"/>
          <w:rFonts w:ascii="微軟正黑體" w:eastAsia="微軟正黑體" w:hAnsi="微軟正黑體"/>
          <w:sz w:val="20"/>
          <w:szCs w:val="20"/>
        </w:rPr>
        <w:footnoteRef/>
      </w:r>
      <w:r w:rsidRPr="00CC7E97">
        <w:rPr>
          <w:rFonts w:ascii="微軟正黑體" w:eastAsia="微軟正黑體" w:hAnsi="微軟正黑體"/>
          <w:sz w:val="20"/>
          <w:szCs w:val="20"/>
        </w:rPr>
        <w:t xml:space="preserve"> </w:t>
      </w:r>
      <w:r w:rsidRPr="00CC7E97">
        <w:rPr>
          <w:rFonts w:ascii="微軟正黑體" w:eastAsia="微軟正黑體" w:hAnsi="微軟正黑體" w:hint="eastAsia"/>
          <w:sz w:val="20"/>
          <w:szCs w:val="20"/>
        </w:rPr>
        <w:t>在</w:t>
      </w:r>
      <w:r w:rsidRPr="00CC7E97">
        <w:rPr>
          <w:rFonts w:ascii="微軟正黑體" w:eastAsia="微軟正黑體" w:hAnsi="微軟正黑體"/>
          <w:sz w:val="20"/>
          <w:szCs w:val="20"/>
        </w:rPr>
        <w:t>勞保條例第13條中</w:t>
      </w:r>
      <w:r w:rsidRPr="00CC7E97">
        <w:rPr>
          <w:rFonts w:ascii="微軟正黑體" w:eastAsia="微軟正黑體" w:hAnsi="微軟正黑體" w:hint="eastAsia"/>
          <w:sz w:val="20"/>
          <w:szCs w:val="20"/>
        </w:rPr>
        <w:t>，除了</w:t>
      </w:r>
      <w:r w:rsidRPr="00CC7E97">
        <w:rPr>
          <w:rFonts w:ascii="微軟正黑體" w:eastAsia="微軟正黑體" w:hAnsi="微軟正黑體"/>
          <w:sz w:val="20"/>
          <w:szCs w:val="20"/>
        </w:rPr>
        <w:t>訂定階段性費率調整規定，</w:t>
      </w:r>
      <w:r w:rsidRPr="00CC7E97">
        <w:rPr>
          <w:rFonts w:ascii="微軟正黑體" w:eastAsia="微軟正黑體" w:hAnsi="微軟正黑體" w:hint="eastAsia"/>
          <w:sz w:val="20"/>
          <w:szCs w:val="20"/>
        </w:rPr>
        <w:t>也規定</w:t>
      </w:r>
      <w:r w:rsidRPr="00CC7E97">
        <w:rPr>
          <w:rFonts w:ascii="微軟正黑體" w:eastAsia="微軟正黑體" w:hAnsi="微軟正黑體"/>
          <w:sz w:val="20"/>
          <w:szCs w:val="20"/>
        </w:rPr>
        <w:t>「保險基金餘額足以支應未來20年保險給付時，不予調高」，</w:t>
      </w:r>
      <w:r w:rsidRPr="00CC7E97">
        <w:rPr>
          <w:rFonts w:ascii="微軟正黑體" w:eastAsia="微軟正黑體" w:hAnsi="微軟正黑體" w:hint="eastAsia"/>
          <w:sz w:val="20"/>
          <w:szCs w:val="20"/>
        </w:rPr>
        <w:t>此為</w:t>
      </w:r>
      <w:r w:rsidRPr="00CC7E97">
        <w:rPr>
          <w:rFonts w:ascii="微軟正黑體" w:eastAsia="微軟正黑體" w:hAnsi="微軟正黑體"/>
          <w:sz w:val="20"/>
          <w:szCs w:val="20"/>
        </w:rPr>
        <w:t>採行部</w:t>
      </w:r>
      <w:r w:rsidRPr="00BC1914">
        <w:rPr>
          <w:rFonts w:ascii="微軟正黑體" w:eastAsia="微軟正黑體" w:hAnsi="微軟正黑體" w:hint="eastAsia"/>
          <w:sz w:val="20"/>
          <w:szCs w:val="20"/>
        </w:rPr>
        <w:t>分</w:t>
      </w:r>
      <w:r w:rsidRPr="00CC7E97">
        <w:rPr>
          <w:rFonts w:ascii="微軟正黑體" w:eastAsia="微軟正黑體" w:hAnsi="微軟正黑體" w:hint="eastAsia"/>
          <w:sz w:val="20"/>
          <w:szCs w:val="20"/>
        </w:rPr>
        <w:t>準備</w:t>
      </w:r>
      <w:r w:rsidRPr="00CC7E97">
        <w:rPr>
          <w:rFonts w:ascii="微軟正黑體" w:eastAsia="微軟正黑體" w:hAnsi="微軟正黑體"/>
          <w:sz w:val="20"/>
          <w:szCs w:val="20"/>
        </w:rPr>
        <w:t>制的法源定位</w:t>
      </w:r>
      <w:r w:rsidRPr="00CC7E97">
        <w:rPr>
          <w:rFonts w:ascii="微軟正黑體" w:eastAsia="微軟正黑體" w:hAnsi="微軟正黑體" w:hint="eastAsia"/>
          <w:sz w:val="20"/>
          <w:szCs w:val="20"/>
        </w:rPr>
        <w:t>。</w:t>
      </w:r>
    </w:p>
  </w:footnote>
  <w:footnote w:id="25">
    <w:p w:rsidR="00745375" w:rsidRPr="00B74793" w:rsidRDefault="00745375" w:rsidP="000E2DB5">
      <w:pPr>
        <w:pStyle w:val="000"/>
        <w:spacing w:beforeLines="20" w:before="72" w:line="240" w:lineRule="exact"/>
        <w:ind w:left="240" w:hangingChars="120" w:hanging="240"/>
        <w:rPr>
          <w:rFonts w:ascii="微軟正黑體" w:eastAsia="微軟正黑體" w:hAnsi="微軟正黑體"/>
          <w:sz w:val="20"/>
          <w:szCs w:val="20"/>
        </w:rPr>
      </w:pPr>
      <w:r w:rsidRPr="00B74793">
        <w:rPr>
          <w:rStyle w:val="af4"/>
          <w:rFonts w:ascii="微軟正黑體" w:eastAsia="微軟正黑體" w:hAnsi="微軟正黑體"/>
          <w:sz w:val="20"/>
          <w:szCs w:val="20"/>
        </w:rPr>
        <w:footnoteRef/>
      </w:r>
      <w:r>
        <w:rPr>
          <w:rFonts w:ascii="微軟正黑體" w:eastAsia="微軟正黑體" w:hAnsi="微軟正黑體" w:hint="eastAsia"/>
          <w:sz w:val="20"/>
          <w:szCs w:val="20"/>
        </w:rPr>
        <w:t xml:space="preserve"> </w:t>
      </w:r>
      <w:r w:rsidRPr="00B74793">
        <w:rPr>
          <w:rFonts w:ascii="微軟正黑體" w:eastAsia="微軟正黑體" w:hAnsi="微軟正黑體"/>
          <w:sz w:val="20"/>
          <w:szCs w:val="20"/>
        </w:rPr>
        <w:t>依勞保條例第68條規定，勞</w:t>
      </w:r>
      <w:r w:rsidRPr="00B74793">
        <w:rPr>
          <w:rFonts w:ascii="微軟正黑體" w:eastAsia="微軟正黑體" w:hAnsi="微軟正黑體" w:hint="eastAsia"/>
          <w:sz w:val="20"/>
          <w:szCs w:val="20"/>
        </w:rPr>
        <w:t>工</w:t>
      </w:r>
      <w:r w:rsidRPr="00B74793">
        <w:rPr>
          <w:rFonts w:ascii="微軟正黑體" w:eastAsia="微軟正黑體" w:hAnsi="微軟正黑體" w:cs="標楷體" w:hint="eastAsia"/>
          <w:sz w:val="20"/>
          <w:szCs w:val="20"/>
        </w:rPr>
        <w:t>保險機</w:t>
      </w:r>
      <w:r w:rsidRPr="00B74793">
        <w:rPr>
          <w:rFonts w:ascii="微軟正黑體" w:eastAsia="微軟正黑體" w:hAnsi="微軟正黑體"/>
          <w:sz w:val="20"/>
          <w:szCs w:val="20"/>
        </w:rPr>
        <w:t>構辦理勞工保險所需之經費，由保險</w:t>
      </w:r>
      <w:r w:rsidRPr="00B74793">
        <w:rPr>
          <w:rFonts w:ascii="微軟正黑體" w:eastAsia="微軟正黑體" w:hAnsi="微軟正黑體" w:hint="eastAsia"/>
          <w:sz w:val="20"/>
          <w:szCs w:val="20"/>
        </w:rPr>
        <w:t>人</w:t>
      </w:r>
      <w:r w:rsidRPr="00B74793">
        <w:rPr>
          <w:rFonts w:ascii="微軟正黑體" w:eastAsia="微軟正黑體" w:hAnsi="微軟正黑體"/>
          <w:sz w:val="20"/>
          <w:szCs w:val="20"/>
        </w:rPr>
        <w:t>按編製預算之當年六</w:t>
      </w:r>
      <w:r w:rsidRPr="00B74793">
        <w:rPr>
          <w:rFonts w:ascii="微軟正黑體" w:eastAsia="微軟正黑體" w:hAnsi="微軟正黑體" w:hint="eastAsia"/>
          <w:sz w:val="20"/>
          <w:szCs w:val="20"/>
        </w:rPr>
        <w:t>月</w:t>
      </w:r>
      <w:r w:rsidRPr="00B74793">
        <w:rPr>
          <w:rFonts w:ascii="微軟正黑體" w:eastAsia="微軟正黑體" w:hAnsi="微軟正黑體"/>
          <w:sz w:val="20"/>
          <w:szCs w:val="20"/>
        </w:rPr>
        <w:t>應收保險費百分之五點五全年伸算數編列預算。</w:t>
      </w:r>
    </w:p>
  </w:footnote>
  <w:footnote w:id="26">
    <w:p w:rsidR="00745375" w:rsidRPr="00B74793" w:rsidRDefault="00745375" w:rsidP="000E2DB5">
      <w:pPr>
        <w:pStyle w:val="000"/>
        <w:spacing w:beforeLines="20" w:before="72" w:line="240" w:lineRule="exact"/>
        <w:ind w:left="240" w:hangingChars="120" w:hanging="240"/>
        <w:rPr>
          <w:rFonts w:ascii="微軟正黑體" w:eastAsia="微軟正黑體" w:hAnsi="微軟正黑體"/>
          <w:sz w:val="20"/>
          <w:szCs w:val="20"/>
        </w:rPr>
      </w:pPr>
      <w:r w:rsidRPr="00B74793">
        <w:rPr>
          <w:rStyle w:val="af4"/>
          <w:rFonts w:ascii="微軟正黑體" w:eastAsia="微軟正黑體" w:hAnsi="微軟正黑體"/>
          <w:sz w:val="20"/>
          <w:szCs w:val="20"/>
        </w:rPr>
        <w:footnoteRef/>
      </w:r>
      <w:r>
        <w:rPr>
          <w:rFonts w:ascii="微軟正黑體" w:eastAsia="微軟正黑體" w:hAnsi="微軟正黑體" w:hint="eastAsia"/>
          <w:sz w:val="20"/>
          <w:szCs w:val="20"/>
        </w:rPr>
        <w:t xml:space="preserve"> </w:t>
      </w:r>
      <w:r w:rsidRPr="00B74793">
        <w:rPr>
          <w:rFonts w:ascii="微軟正黑體" w:eastAsia="微軟正黑體" w:hAnsi="微軟正黑體"/>
          <w:sz w:val="20"/>
          <w:szCs w:val="20"/>
        </w:rPr>
        <w:t>依勞保條例第69條規定，勞</w:t>
      </w:r>
      <w:r w:rsidRPr="00B74793">
        <w:rPr>
          <w:rFonts w:ascii="微軟正黑體" w:eastAsia="微軟正黑體" w:hAnsi="微軟正黑體" w:hint="eastAsia"/>
          <w:sz w:val="20"/>
          <w:szCs w:val="20"/>
        </w:rPr>
        <w:t>工</w:t>
      </w:r>
      <w:r w:rsidRPr="00B74793">
        <w:rPr>
          <w:rFonts w:ascii="微軟正黑體" w:eastAsia="微軟正黑體" w:hAnsi="微軟正黑體"/>
          <w:sz w:val="20"/>
          <w:szCs w:val="20"/>
        </w:rPr>
        <w:t>保險如有虧損，在中央勞</w:t>
      </w:r>
      <w:r w:rsidRPr="00B74793">
        <w:rPr>
          <w:rFonts w:ascii="微軟正黑體" w:eastAsia="微軟正黑體" w:hAnsi="微軟正黑體" w:hint="eastAsia"/>
          <w:sz w:val="20"/>
          <w:szCs w:val="20"/>
        </w:rPr>
        <w:t>工</w:t>
      </w:r>
      <w:r w:rsidRPr="00B74793">
        <w:rPr>
          <w:rFonts w:ascii="微軟正黑體" w:eastAsia="微軟正黑體" w:hAnsi="微軟正黑體"/>
          <w:sz w:val="20"/>
          <w:szCs w:val="20"/>
        </w:rPr>
        <w:t>保險局未成立前，應由中央主管機關審核撥補。</w:t>
      </w:r>
    </w:p>
  </w:footnote>
  <w:footnote w:id="27">
    <w:p w:rsidR="00745375" w:rsidRPr="00617B66" w:rsidRDefault="00745375" w:rsidP="000E2DB5">
      <w:pPr>
        <w:pStyle w:val="00"/>
        <w:ind w:left="240" w:hangingChars="120" w:hanging="240"/>
        <w:rPr>
          <w:rFonts w:ascii="微軟正黑體" w:eastAsia="微軟正黑體" w:hAnsi="微軟正黑體"/>
        </w:rPr>
      </w:pPr>
      <w:r w:rsidRPr="00617B66">
        <w:rPr>
          <w:rStyle w:val="af4"/>
          <w:rFonts w:ascii="微軟正黑體" w:eastAsia="微軟正黑體" w:hAnsi="微軟正黑體"/>
        </w:rPr>
        <w:footnoteRef/>
      </w:r>
      <w:r w:rsidRPr="00617B66">
        <w:rPr>
          <w:rFonts w:ascii="微軟正黑體" w:eastAsia="微軟正黑體" w:hAnsi="微軟正黑體"/>
        </w:rPr>
        <w:t xml:space="preserve"> 以近5年</w:t>
      </w:r>
      <w:r>
        <w:rPr>
          <w:rFonts w:ascii="微軟正黑體" w:eastAsia="微軟正黑體" w:hAnsi="微軟正黑體" w:hint="eastAsia"/>
        </w:rPr>
        <w:t>(</w:t>
      </w:r>
      <w:r w:rsidRPr="00617B66">
        <w:rPr>
          <w:rFonts w:ascii="微軟正黑體" w:eastAsia="微軟正黑體" w:hAnsi="微軟正黑體"/>
        </w:rPr>
        <w:t>201</w:t>
      </w:r>
      <w:r w:rsidRPr="00617B66">
        <w:rPr>
          <w:rFonts w:ascii="微軟正黑體" w:eastAsia="微軟正黑體" w:hAnsi="微軟正黑體" w:hint="eastAsia"/>
        </w:rPr>
        <w:t>6</w:t>
      </w:r>
      <w:r w:rsidRPr="00617B66">
        <w:rPr>
          <w:rFonts w:ascii="微軟正黑體" w:eastAsia="微軟正黑體" w:hAnsi="微軟正黑體"/>
        </w:rPr>
        <w:t>年至20</w:t>
      </w:r>
      <w:r w:rsidRPr="00617B66">
        <w:rPr>
          <w:rFonts w:ascii="微軟正黑體" w:eastAsia="微軟正黑體" w:hAnsi="微軟正黑體" w:hint="eastAsia"/>
        </w:rPr>
        <w:t>20</w:t>
      </w:r>
      <w:r w:rsidRPr="00617B66">
        <w:rPr>
          <w:rFonts w:ascii="微軟正黑體" w:eastAsia="微軟正黑體" w:hAnsi="微軟正黑體"/>
        </w:rPr>
        <w:t>年</w:t>
      </w:r>
      <w:r>
        <w:rPr>
          <w:rFonts w:ascii="微軟正黑體" w:eastAsia="微軟正黑體" w:hAnsi="微軟正黑體" w:hint="eastAsia"/>
        </w:rPr>
        <w:t>)</w:t>
      </w:r>
      <w:r w:rsidRPr="00617B66">
        <w:rPr>
          <w:rFonts w:ascii="微軟正黑體" w:eastAsia="微軟正黑體" w:hAnsi="微軟正黑體"/>
        </w:rPr>
        <w:t>的統計資料來看，第一級及最高級投保薪資人數</w:t>
      </w:r>
      <w:r w:rsidRPr="00BC1914">
        <w:rPr>
          <w:rFonts w:ascii="微軟正黑體" w:eastAsia="微軟正黑體" w:hAnsi="微軟正黑體" w:hint="eastAsia"/>
        </w:rPr>
        <w:t>占</w:t>
      </w:r>
      <w:r w:rsidRPr="00617B66">
        <w:rPr>
          <w:rFonts w:ascii="微軟正黑體" w:eastAsia="微軟正黑體" w:hAnsi="微軟正黑體"/>
        </w:rPr>
        <w:t>全體被保險人人數的比率，分別是：2016年為21.83%及21.23%、2017年為27.20%及22.60%、2018年為27.65%及23.90%</w:t>
      </w:r>
      <w:r w:rsidRPr="00617B66">
        <w:rPr>
          <w:rFonts w:ascii="微軟正黑體" w:eastAsia="微軟正黑體" w:hAnsi="微軟正黑體" w:hint="eastAsia"/>
        </w:rPr>
        <w:t>、</w:t>
      </w:r>
      <w:r w:rsidRPr="00617B66">
        <w:rPr>
          <w:rFonts w:ascii="微軟正黑體" w:eastAsia="微軟正黑體" w:hAnsi="微軟正黑體"/>
        </w:rPr>
        <w:t>201</w:t>
      </w:r>
      <w:r w:rsidRPr="00617B66">
        <w:rPr>
          <w:rFonts w:ascii="微軟正黑體" w:eastAsia="微軟正黑體" w:hAnsi="微軟正黑體" w:hint="eastAsia"/>
        </w:rPr>
        <w:t>9</w:t>
      </w:r>
      <w:r w:rsidRPr="00617B66">
        <w:rPr>
          <w:rFonts w:ascii="微軟正黑體" w:eastAsia="微軟正黑體" w:hAnsi="微軟正黑體"/>
        </w:rPr>
        <w:t>年為</w:t>
      </w:r>
      <w:r w:rsidRPr="00617B66">
        <w:rPr>
          <w:rFonts w:ascii="微軟正黑體" w:eastAsia="微軟正黑體" w:hAnsi="微軟正黑體" w:hint="eastAsia"/>
        </w:rPr>
        <w:t>28.00</w:t>
      </w:r>
      <w:r w:rsidRPr="00617B66">
        <w:rPr>
          <w:rFonts w:ascii="微軟正黑體" w:eastAsia="微軟正黑體" w:hAnsi="微軟正黑體"/>
        </w:rPr>
        <w:t>%及</w:t>
      </w:r>
      <w:r w:rsidRPr="00617B66">
        <w:rPr>
          <w:rFonts w:ascii="微軟正黑體" w:eastAsia="微軟正黑體" w:hAnsi="微軟正黑體" w:hint="eastAsia"/>
        </w:rPr>
        <w:t>24.95</w:t>
      </w:r>
      <w:r w:rsidRPr="00617B66">
        <w:rPr>
          <w:rFonts w:ascii="微軟正黑體" w:eastAsia="微軟正黑體" w:hAnsi="微軟正黑體"/>
        </w:rPr>
        <w:t>%</w:t>
      </w:r>
      <w:r w:rsidRPr="00617B66">
        <w:rPr>
          <w:rFonts w:ascii="微軟正黑體" w:eastAsia="微軟正黑體" w:hAnsi="微軟正黑體" w:hint="eastAsia"/>
        </w:rPr>
        <w:t>、</w:t>
      </w:r>
      <w:r w:rsidRPr="00617B66">
        <w:rPr>
          <w:rFonts w:ascii="微軟正黑體" w:eastAsia="微軟正黑體" w:hAnsi="微軟正黑體"/>
        </w:rPr>
        <w:t>20</w:t>
      </w:r>
      <w:r w:rsidRPr="00617B66">
        <w:rPr>
          <w:rFonts w:ascii="微軟正黑體" w:eastAsia="微軟正黑體" w:hAnsi="微軟正黑體" w:hint="eastAsia"/>
        </w:rPr>
        <w:t>20</w:t>
      </w:r>
      <w:r w:rsidRPr="00617B66">
        <w:rPr>
          <w:rFonts w:ascii="微軟正黑體" w:eastAsia="微軟正黑體" w:hAnsi="微軟正黑體"/>
        </w:rPr>
        <w:t>年為27.</w:t>
      </w:r>
      <w:r w:rsidRPr="00617B66">
        <w:rPr>
          <w:rFonts w:ascii="微軟正黑體" w:eastAsia="微軟正黑體" w:hAnsi="微軟正黑體" w:hint="eastAsia"/>
        </w:rPr>
        <w:t>20</w:t>
      </w:r>
      <w:r w:rsidRPr="00617B66">
        <w:rPr>
          <w:rFonts w:ascii="微軟正黑體" w:eastAsia="微軟正黑體" w:hAnsi="微軟正黑體"/>
        </w:rPr>
        <w:t>%及</w:t>
      </w:r>
      <w:r w:rsidRPr="00617B66">
        <w:rPr>
          <w:rFonts w:ascii="微軟正黑體" w:eastAsia="微軟正黑體" w:hAnsi="微軟正黑體" w:hint="eastAsia"/>
        </w:rPr>
        <w:t>25.43</w:t>
      </w:r>
      <w:r>
        <w:rPr>
          <w:rFonts w:ascii="微軟正黑體" w:eastAsia="微軟正黑體" w:hAnsi="微軟正黑體"/>
        </w:rPr>
        <w:t>%</w:t>
      </w:r>
      <w:r>
        <w:rPr>
          <w:rFonts w:ascii="微軟正黑體" w:eastAsia="微軟正黑體" w:hAnsi="微軟正黑體" w:hint="eastAsia"/>
        </w:rPr>
        <w:t xml:space="preserve"> (</w:t>
      </w:r>
      <w:r w:rsidRPr="00617B66">
        <w:rPr>
          <w:rFonts w:ascii="微軟正黑體" w:eastAsia="微軟正黑體" w:hAnsi="微軟正黑體"/>
        </w:rPr>
        <w:t>勞工保險局, 20</w:t>
      </w:r>
      <w:r w:rsidRPr="00617B66">
        <w:rPr>
          <w:rFonts w:ascii="微軟正黑體" w:eastAsia="微軟正黑體" w:hAnsi="微軟正黑體" w:hint="eastAsia"/>
        </w:rPr>
        <w:t>21</w:t>
      </w:r>
      <w:r w:rsidRPr="00617B66">
        <w:rPr>
          <w:rFonts w:ascii="微軟正黑體" w:eastAsia="微軟正黑體" w:hAnsi="微軟正黑體"/>
        </w:rPr>
        <w:t>b</w:t>
      </w:r>
      <w:r>
        <w:rPr>
          <w:rFonts w:ascii="微軟正黑體" w:eastAsia="微軟正黑體" w:hAnsi="微軟正黑體" w:hint="eastAsia"/>
        </w:rPr>
        <w:t>)</w:t>
      </w:r>
      <w:r w:rsidRPr="00617B66">
        <w:rPr>
          <w:rFonts w:ascii="微軟正黑體" w:eastAsia="微軟正黑體" w:hAnsi="微軟正黑體"/>
        </w:rPr>
        <w:t>。</w:t>
      </w:r>
    </w:p>
  </w:footnote>
  <w:footnote w:id="28">
    <w:p w:rsidR="00745375" w:rsidRPr="00617B66" w:rsidRDefault="00745375" w:rsidP="000E2DB5">
      <w:pPr>
        <w:pStyle w:val="00"/>
        <w:spacing w:beforeLines="20" w:before="72"/>
        <w:ind w:left="240" w:hangingChars="120" w:hanging="240"/>
        <w:rPr>
          <w:rFonts w:ascii="微軟正黑體" w:eastAsia="微軟正黑體" w:hAnsi="微軟正黑體"/>
        </w:rPr>
      </w:pPr>
      <w:r w:rsidRPr="00617B66">
        <w:rPr>
          <w:rStyle w:val="af4"/>
          <w:rFonts w:ascii="微軟正黑體" w:eastAsia="微軟正黑體" w:hAnsi="微軟正黑體"/>
        </w:rPr>
        <w:footnoteRef/>
      </w:r>
      <w:r w:rsidRPr="00617B66">
        <w:rPr>
          <w:rFonts w:ascii="微軟正黑體" w:eastAsia="微軟正黑體" w:hAnsi="微軟正黑體"/>
        </w:rPr>
        <w:t xml:space="preserve"> 2011年至2015年的投保薪資等級第一級每年調幅，分別為600元、900元、267元、226元及735元，2017年</w:t>
      </w:r>
      <w:r w:rsidRPr="00617B66">
        <w:rPr>
          <w:rFonts w:ascii="微軟正黑體" w:eastAsia="微軟正黑體" w:hAnsi="微軟正黑體" w:hint="eastAsia"/>
        </w:rPr>
        <w:t>至2020年</w:t>
      </w:r>
      <w:r w:rsidRPr="00617B66">
        <w:rPr>
          <w:rFonts w:ascii="微軟正黑體" w:eastAsia="微軟正黑體" w:hAnsi="微軟正黑體"/>
        </w:rPr>
        <w:t>則分別為1,001元</w:t>
      </w:r>
      <w:r w:rsidRPr="00617B66">
        <w:rPr>
          <w:rFonts w:ascii="微軟正黑體" w:eastAsia="微軟正黑體" w:hAnsi="微軟正黑體" w:hint="eastAsia"/>
        </w:rPr>
        <w:t>、</w:t>
      </w:r>
      <w:r w:rsidRPr="00617B66">
        <w:rPr>
          <w:rFonts w:ascii="微軟正黑體" w:eastAsia="微軟正黑體" w:hAnsi="微軟正黑體"/>
        </w:rPr>
        <w:t>991元</w:t>
      </w:r>
      <w:r w:rsidRPr="00617B66">
        <w:rPr>
          <w:rFonts w:ascii="微軟正黑體" w:eastAsia="微軟正黑體" w:hAnsi="微軟正黑體" w:hint="eastAsia"/>
        </w:rPr>
        <w:t>、1</w:t>
      </w:r>
      <w:r w:rsidRPr="00617B66">
        <w:rPr>
          <w:rFonts w:ascii="微軟正黑體" w:eastAsia="微軟正黑體" w:hAnsi="微軟正黑體"/>
        </w:rPr>
        <w:t>,100</w:t>
      </w:r>
      <w:r w:rsidRPr="00617B66">
        <w:rPr>
          <w:rFonts w:ascii="微軟正黑體" w:eastAsia="微軟正黑體" w:hAnsi="微軟正黑體" w:hint="eastAsia"/>
        </w:rPr>
        <w:t>元、700元</w:t>
      </w:r>
      <w:r>
        <w:rPr>
          <w:rFonts w:ascii="微軟正黑體" w:eastAsia="微軟正黑體" w:hAnsi="微軟正黑體" w:hint="eastAsia"/>
        </w:rPr>
        <w:t xml:space="preserve"> (</w:t>
      </w:r>
      <w:r w:rsidRPr="00617B66">
        <w:rPr>
          <w:rFonts w:ascii="微軟正黑體" w:eastAsia="微軟正黑體" w:hAnsi="微軟正黑體"/>
        </w:rPr>
        <w:t>勞工保險局，20</w:t>
      </w:r>
      <w:r w:rsidRPr="00617B66">
        <w:rPr>
          <w:rFonts w:ascii="微軟正黑體" w:eastAsia="微軟正黑體" w:hAnsi="微軟正黑體" w:hint="eastAsia"/>
        </w:rPr>
        <w:t>21</w:t>
      </w:r>
      <w:r w:rsidRPr="00617B66">
        <w:rPr>
          <w:rFonts w:ascii="微軟正黑體" w:eastAsia="微軟正黑體" w:hAnsi="微軟正黑體"/>
        </w:rPr>
        <w:t>b</w:t>
      </w:r>
      <w:r>
        <w:rPr>
          <w:rFonts w:ascii="微軟正黑體" w:eastAsia="微軟正黑體" w:hAnsi="微軟正黑體" w:hint="eastAsia"/>
        </w:rPr>
        <w:t>)</w:t>
      </w:r>
      <w:r w:rsidRPr="00617B66">
        <w:rPr>
          <w:rFonts w:ascii="微軟正黑體" w:eastAsia="微軟正黑體" w:hAnsi="微軟正黑體"/>
        </w:rPr>
        <w:t>。</w:t>
      </w:r>
    </w:p>
  </w:footnote>
  <w:footnote w:id="29">
    <w:p w:rsidR="00745375" w:rsidRPr="00617B66" w:rsidRDefault="00745375" w:rsidP="000E2DB5">
      <w:pPr>
        <w:pStyle w:val="00"/>
        <w:spacing w:beforeLines="20" w:before="72"/>
        <w:ind w:left="240" w:hangingChars="120" w:hanging="240"/>
        <w:rPr>
          <w:rFonts w:ascii="微軟正黑體" w:eastAsia="微軟正黑體" w:hAnsi="微軟正黑體"/>
        </w:rPr>
      </w:pPr>
      <w:r w:rsidRPr="00617B66">
        <w:rPr>
          <w:rStyle w:val="af4"/>
          <w:rFonts w:ascii="微軟正黑體" w:eastAsia="微軟正黑體" w:hAnsi="微軟正黑體"/>
        </w:rPr>
        <w:footnoteRef/>
      </w:r>
      <w:r w:rsidRPr="00617B66">
        <w:rPr>
          <w:rFonts w:ascii="微軟正黑體" w:eastAsia="微軟正黑體" w:hAnsi="微軟正黑體"/>
        </w:rPr>
        <w:t xml:space="preserve"> 請參考註5。</w:t>
      </w:r>
    </w:p>
  </w:footnote>
  <w:footnote w:id="30">
    <w:p w:rsidR="00745375" w:rsidRPr="00A63B5D" w:rsidRDefault="00745375" w:rsidP="00381C80">
      <w:pPr>
        <w:pStyle w:val="af2"/>
        <w:spacing w:line="240" w:lineRule="exact"/>
        <w:ind w:left="240" w:hangingChars="120" w:hanging="240"/>
        <w:rPr>
          <w:rFonts w:ascii="微軟正黑體" w:eastAsia="微軟正黑體" w:hAnsi="微軟正黑體"/>
        </w:rPr>
      </w:pPr>
      <w:r w:rsidRPr="00A63B5D">
        <w:rPr>
          <w:rStyle w:val="af4"/>
          <w:rFonts w:ascii="微軟正黑體" w:eastAsia="微軟正黑體" w:hAnsi="微軟正黑體"/>
        </w:rPr>
        <w:footnoteRef/>
      </w:r>
      <w:r w:rsidRPr="00A63B5D">
        <w:rPr>
          <w:rFonts w:ascii="微軟正黑體" w:eastAsia="微軟正黑體" w:hAnsi="微軟正黑體"/>
        </w:rPr>
        <w:t xml:space="preserve"> </w:t>
      </w:r>
      <w:r w:rsidRPr="00A63B5D">
        <w:rPr>
          <w:rFonts w:ascii="微軟正黑體" w:eastAsia="微軟正黑體" w:hAnsi="微軟正黑體" w:hint="eastAsia"/>
        </w:rPr>
        <w:t>即</w:t>
      </w:r>
      <w:r w:rsidRPr="00A63B5D">
        <w:rPr>
          <w:rFonts w:ascii="微軟正黑體" w:eastAsia="微軟正黑體" w:hAnsi="微軟正黑體"/>
        </w:rPr>
        <w:t>勞工因工作而獲得之報酬，包括工資、薪金及按計時、計日、計月、計件以現金或實物等方式給付之獎金、津貼及其他任何名義之經常性給與均屬之</w:t>
      </w:r>
      <w:r w:rsidRPr="00A63B5D">
        <w:rPr>
          <w:rFonts w:ascii="微軟正黑體" w:eastAsia="微軟正黑體" w:hAnsi="微軟正黑體"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3F5FBF" w:rsidRDefault="00745375" w:rsidP="00A53479">
    <w:pPr>
      <w:pStyle w:val="aa"/>
      <w:jc w:val="right"/>
      <w:rPr>
        <w:rFonts w:ascii="微軟正黑體" w:eastAsia="微軟正黑體" w:hAnsi="微軟正黑體"/>
      </w:rPr>
    </w:pPr>
    <w:r w:rsidRPr="003F5FBF">
      <w:rPr>
        <w:rFonts w:ascii="微軟正黑體" w:eastAsia="微軟正黑體" w:hAnsi="微軟正黑體" w:hint="eastAsia"/>
      </w:rPr>
      <w:t>國際情勢—主要國家年金給付適足性之因應對策</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CD3C3E" w:rsidRDefault="00745375" w:rsidP="00267599">
    <w:pPr>
      <w:pStyle w:val="aa"/>
      <w:spacing w:line="240" w:lineRule="exact"/>
      <w:jc w:val="right"/>
      <w:rPr>
        <w:rFonts w:ascii="微軟正黑體" w:eastAsia="微軟正黑體" w:hAnsi="微軟正黑體"/>
        <w:color w:val="595959" w:themeColor="text1" w:themeTint="A6"/>
        <w:sz w:val="22"/>
        <w:szCs w:val="22"/>
        <w:shd w:val="pct15" w:color="auto" w:fill="FFFFFF"/>
      </w:rPr>
    </w:pPr>
    <w:r w:rsidRPr="00CD3C3E">
      <w:rPr>
        <w:rFonts w:ascii="微軟正黑體" w:eastAsia="微軟正黑體" w:hAnsi="微軟正黑體" w:hint="eastAsia"/>
        <w:color w:val="595959" w:themeColor="text1" w:themeTint="A6"/>
        <w:sz w:val="22"/>
        <w:szCs w:val="22"/>
        <w:shd w:val="pct15" w:color="auto" w:fill="FFFFFF"/>
      </w:rPr>
      <w:t>名家觀點：全球化與高齡化浪潮下的台灣銀髮與</w:t>
    </w:r>
    <w:r>
      <w:rPr>
        <w:rFonts w:ascii="微軟正黑體" w:eastAsia="微軟正黑體" w:hAnsi="微軟正黑體" w:hint="eastAsia"/>
        <w:color w:val="595959" w:themeColor="text1" w:themeTint="A6"/>
        <w:sz w:val="22"/>
        <w:szCs w:val="22"/>
        <w:shd w:val="pct15" w:color="auto" w:fill="FFFFFF"/>
      </w:rPr>
      <w:t>高齡就業</w:t>
    </w:r>
  </w:p>
  <w:p w:rsidR="00745375" w:rsidRPr="004E767A" w:rsidRDefault="00745375" w:rsidP="004E767A">
    <w:pPr>
      <w:pStyle w:val="aa"/>
      <w:spacing w:line="280" w:lineRule="exact"/>
      <w:ind w:left="312" w:right="-2" w:hanging="312"/>
      <w:jc w:val="right"/>
      <w:rPr>
        <w:rFonts w:ascii="微軟正黑體" w:eastAsia="微軟正黑體" w:hAnsi="微軟正黑體"/>
        <w:color w:val="595959" w:themeColor="text1" w:themeTint="A6"/>
        <w:sz w:val="22"/>
        <w:szCs w:val="22"/>
        <w:u w:val="single"/>
        <w:shd w:val="pct15" w:color="auto" w:fill="FFFFFF"/>
      </w:rPr>
    </w:pPr>
    <w:r>
      <w:rPr>
        <w:rFonts w:ascii="微軟正黑體" w:eastAsia="微軟正黑體" w:hAnsi="微軟正黑體" w:hint="eastAsia"/>
        <w:color w:val="595959" w:themeColor="text1" w:themeTint="A6"/>
        <w:sz w:val="22"/>
        <w:szCs w:val="22"/>
        <w:u w:val="single"/>
        <w:shd w:val="pct15" w:color="auto" w:fill="FFFFFF"/>
      </w:rPr>
      <w:t xml:space="preserve">  </w:t>
    </w:r>
    <w:r w:rsidRPr="004E767A">
      <w:rPr>
        <w:rFonts w:ascii="微軟正黑體" w:eastAsia="微軟正黑體" w:hAnsi="微軟正黑體" w:hint="eastAsia"/>
        <w:color w:val="595959" w:themeColor="text1" w:themeTint="A6"/>
        <w:sz w:val="22"/>
        <w:szCs w:val="22"/>
        <w:u w:val="single"/>
        <w:shd w:val="pct15" w:color="auto" w:fill="FFFFFF"/>
      </w:rPr>
      <w:t>及老年經濟安全：催生社會團結經濟與融合性就業政策</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E37E4C" w:rsidRDefault="00745375" w:rsidP="00CE6DCD">
    <w:pPr>
      <w:pStyle w:val="aa"/>
      <w:jc w:val="right"/>
      <w:rPr>
        <w:rFonts w:ascii="微軟正黑體" w:eastAsia="微軟正黑體" w:hAnsi="微軟正黑體"/>
        <w:sz w:val="22"/>
        <w:szCs w:val="22"/>
        <w:u w:val="single"/>
      </w:rPr>
    </w:pPr>
    <w:r w:rsidRPr="00E37E4C">
      <w:rPr>
        <w:rFonts w:ascii="微軟正黑體" w:eastAsia="微軟正黑體" w:hAnsi="微軟正黑體" w:hint="eastAsia"/>
        <w:sz w:val="22"/>
        <w:szCs w:val="22"/>
        <w:u w:val="single"/>
        <w:shd w:val="pct15" w:color="auto" w:fill="FFFFFF"/>
      </w:rPr>
      <w:t>制度動態—國內大事紀</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CE6DCD" w:rsidRDefault="00745375" w:rsidP="00CE6DCD">
    <w:pPr>
      <w:pStyle w:val="aa"/>
      <w:jc w:val="right"/>
      <w:rPr>
        <w:rFonts w:ascii="微軟正黑體" w:eastAsia="微軟正黑體" w:hAnsi="微軟正黑體"/>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A3350A" w:rsidRDefault="00745375" w:rsidP="00B705C6">
    <w:pPr>
      <w:pStyle w:val="aa"/>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CE6DCD" w:rsidRDefault="00745375" w:rsidP="00CE6DCD">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A96C17" w:rsidRDefault="00745375" w:rsidP="00801D9C">
    <w:pPr>
      <w:pStyle w:val="aa"/>
      <w:jc w:val="right"/>
      <w:rPr>
        <w:rFonts w:ascii="微軟正黑體" w:eastAsia="微軟正黑體" w:hAnsi="微軟正黑體"/>
        <w:color w:val="595959" w:themeColor="text1" w:themeTint="A6"/>
        <w:sz w:val="22"/>
        <w:szCs w:val="22"/>
        <w:u w:val="single"/>
      </w:rPr>
    </w:pPr>
    <w:r w:rsidRPr="00B87A5C">
      <w:rPr>
        <w:rFonts w:ascii="微軟正黑體" w:eastAsia="微軟正黑體" w:hAnsi="微軟正黑體" w:hint="eastAsia"/>
        <w:color w:val="595959" w:themeColor="text1" w:themeTint="A6"/>
        <w:sz w:val="22"/>
        <w:szCs w:val="22"/>
        <w:u w:val="single"/>
        <w:shd w:val="pct15" w:color="auto" w:fill="FFFFFF"/>
      </w:rPr>
      <w:t>我國老年經濟安全制度概況(109年)</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3F5FBF" w:rsidRDefault="00745375" w:rsidP="00A53479">
    <w:pPr>
      <w:pStyle w:val="aa"/>
      <w:jc w:val="right"/>
      <w:rPr>
        <w:rFonts w:ascii="微軟正黑體" w:eastAsia="微軟正黑體" w:hAnsi="微軟正黑體"/>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B87A5C" w:rsidRDefault="00745375" w:rsidP="00A53479">
    <w:pPr>
      <w:jc w:val="right"/>
      <w:rPr>
        <w:rFonts w:ascii="微軟正黑體" w:eastAsia="微軟正黑體" w:hAnsi="微軟正黑體"/>
        <w:color w:val="595959" w:themeColor="text1" w:themeTint="A6"/>
        <w:sz w:val="22"/>
        <w:u w:val="single"/>
        <w:shd w:val="pct15" w:color="auto" w:fill="FFFFFF"/>
      </w:rPr>
    </w:pPr>
    <w:r w:rsidRPr="00B87A5C">
      <w:rPr>
        <w:rFonts w:ascii="微軟正黑體" w:eastAsia="微軟正黑體" w:hAnsi="微軟正黑體" w:hint="eastAsia"/>
        <w:color w:val="595959" w:themeColor="text1" w:themeTint="A6"/>
        <w:sz w:val="22"/>
        <w:u w:val="single"/>
        <w:shd w:val="pct15" w:color="auto" w:fill="FFFFFF"/>
      </w:rPr>
      <w:t>國際情勢—跨國工作者之老年經濟安全保障</w:t>
    </w:r>
  </w:p>
  <w:p w:rsidR="00745375" w:rsidRDefault="0074537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B87A5C" w:rsidRDefault="00745375" w:rsidP="00566F49">
    <w:pPr>
      <w:jc w:val="right"/>
      <w:rPr>
        <w:rFonts w:ascii="微軟正黑體" w:eastAsia="微軟正黑體" w:hAnsi="微軟正黑體"/>
        <w:color w:val="595959" w:themeColor="text1" w:themeTint="A6"/>
        <w:sz w:val="22"/>
        <w:szCs w:val="22"/>
        <w:u w:val="single"/>
        <w:shd w:val="pct15" w:color="auto" w:fill="FFFFFF"/>
      </w:rPr>
    </w:pPr>
    <w:r>
      <w:rPr>
        <w:rFonts w:ascii="微軟正黑體" w:eastAsia="微軟正黑體" w:hAnsi="微軟正黑體" w:hint="eastAsia"/>
        <w:color w:val="595959" w:themeColor="text1" w:themeTint="A6"/>
        <w:sz w:val="22"/>
        <w:szCs w:val="22"/>
        <w:u w:val="single"/>
        <w:shd w:val="pct15" w:color="auto" w:fill="FFFFFF"/>
      </w:rPr>
      <w:t>國際情勢—數位時代下電傳工作者勞動與</w:t>
    </w:r>
    <w:r w:rsidRPr="00B87A5C">
      <w:rPr>
        <w:rFonts w:ascii="微軟正黑體" w:eastAsia="微軟正黑體" w:hAnsi="微軟正黑體" w:hint="eastAsia"/>
        <w:color w:val="595959" w:themeColor="text1" w:themeTint="A6"/>
        <w:sz w:val="22"/>
        <w:szCs w:val="22"/>
        <w:u w:val="single"/>
        <w:shd w:val="pct15" w:color="auto" w:fill="FFFFFF"/>
      </w:rPr>
      <w:t>社會保障之探討</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E177E9" w:rsidRDefault="00745375" w:rsidP="00566F49">
    <w:pPr>
      <w:jc w:val="right"/>
      <w:rPr>
        <w:rFonts w:ascii="微軟正黑體" w:eastAsia="微軟正黑體" w:hAnsi="微軟正黑體"/>
        <w:sz w:val="22"/>
        <w:szCs w:val="22"/>
        <w:u w:val="single"/>
        <w:shd w:val="pct15" w:color="auto" w:fill="FFFFFF"/>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B705C6" w:rsidRDefault="00745375" w:rsidP="005A2BA6">
    <w:pPr>
      <w:pStyle w:val="aa"/>
      <w:rPr>
        <w:rFonts w:ascii="文鼎細圓" w:eastAsia="文鼎細圓" w:hAnsi="華康隸書體W5"/>
        <w:b/>
        <w:color w:val="FFFFFF" w:themeColor="background1"/>
        <w:sz w:val="24"/>
        <w:szCs w:val="24"/>
        <w:shd w:val="clear" w:color="auto" w:fill="984806" w:themeFill="accent6" w:themeFillShade="80"/>
      </w:rPr>
    </w:pPr>
    <w:r>
      <w:rPr>
        <w:rFonts w:ascii="細明體" w:eastAsia="細明體" w:hAnsi="細明體" w:cs="細明體" w:hint="eastAsia"/>
        <w:b/>
        <w:color w:val="984806" w:themeColor="accent6" w:themeShade="80"/>
        <w:sz w:val="24"/>
        <w:szCs w:val="24"/>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375" w:rsidRPr="00B87A5C" w:rsidRDefault="00745375" w:rsidP="00CE6DCD">
    <w:pPr>
      <w:pStyle w:val="aa"/>
      <w:jc w:val="right"/>
      <w:rPr>
        <w:rFonts w:ascii="微軟正黑體" w:eastAsia="微軟正黑體" w:hAnsi="微軟正黑體"/>
        <w:sz w:val="22"/>
        <w:szCs w:val="22"/>
        <w:u w:val="single"/>
        <w:shd w:val="pct15" w:color="auto" w:fill="FFFFFF"/>
      </w:rPr>
    </w:pPr>
    <w:r w:rsidRPr="00B87A5C">
      <w:rPr>
        <w:rFonts w:ascii="微軟正黑體" w:eastAsia="微軟正黑體" w:hAnsi="微軟正黑體" w:hint="eastAsia"/>
        <w:color w:val="595959" w:themeColor="text1" w:themeTint="A6"/>
        <w:sz w:val="22"/>
        <w:szCs w:val="22"/>
        <w:u w:val="single"/>
        <w:shd w:val="pct15" w:color="auto" w:fill="FFFFFF"/>
      </w:rPr>
      <w:t>名家觀點：高齡化趨勢下的勞保老年年金財務規劃：借鏡德國與日本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262730E"/>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38006BB"/>
    <w:multiLevelType w:val="hybridMultilevel"/>
    <w:tmpl w:val="22C2D780"/>
    <w:lvl w:ilvl="0" w:tplc="1B001AAE">
      <w:start w:val="1"/>
      <w:numFmt w:val="decimal"/>
      <w:lvlText w:val="%1."/>
      <w:lvlJc w:val="left"/>
      <w:pPr>
        <w:ind w:left="360" w:hanging="360"/>
      </w:pPr>
      <w:rPr>
        <w:rFonts w:hint="default"/>
      </w:rPr>
    </w:lvl>
    <w:lvl w:ilvl="1" w:tplc="CD3E7DE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502DD8"/>
    <w:multiLevelType w:val="hybridMultilevel"/>
    <w:tmpl w:val="3ACC061C"/>
    <w:lvl w:ilvl="0" w:tplc="B0EE32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4BA78CB"/>
    <w:multiLevelType w:val="hybridMultilevel"/>
    <w:tmpl w:val="B1208966"/>
    <w:lvl w:ilvl="0" w:tplc="ED34A028">
      <w:start w:val="2"/>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082C3C64"/>
    <w:multiLevelType w:val="hybridMultilevel"/>
    <w:tmpl w:val="E38CF382"/>
    <w:lvl w:ilvl="0" w:tplc="0409000F">
      <w:start w:val="1"/>
      <w:numFmt w:val="decimal"/>
      <w:lvlText w:val="%1."/>
      <w:lvlJc w:val="left"/>
      <w:pPr>
        <w:ind w:left="480" w:hanging="480"/>
      </w:pPr>
    </w:lvl>
    <w:lvl w:ilvl="1" w:tplc="86DC3E60">
      <w:start w:val="1"/>
      <w:numFmt w:val="taiwaneseCountingThousand"/>
      <w:lvlText w:val="(%2)"/>
      <w:lvlJc w:val="left"/>
      <w:pPr>
        <w:ind w:left="864" w:hanging="384"/>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E86173"/>
    <w:multiLevelType w:val="hybridMultilevel"/>
    <w:tmpl w:val="5BE8366E"/>
    <w:lvl w:ilvl="0" w:tplc="6FB60040">
      <w:start w:val="1"/>
      <w:numFmt w:val="decimal"/>
      <w:lvlText w:val="%1."/>
      <w:lvlJc w:val="left"/>
      <w:pPr>
        <w:ind w:left="384" w:hanging="384"/>
      </w:pPr>
      <w:rPr>
        <w:rFonts w:ascii="微軟正黑體" w:eastAsia="微軟正黑體" w:hAnsi="微軟正黑體" w:cstheme="minorBidi"/>
      </w:rPr>
    </w:lvl>
    <w:lvl w:ilvl="1" w:tplc="6586553C">
      <w:start w:val="1"/>
      <w:numFmt w:val="taiwaneseCountingThousand"/>
      <w:lvlText w:val="(%2)"/>
      <w:lvlJc w:val="left"/>
      <w:pPr>
        <w:ind w:left="924" w:hanging="444"/>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94145A9"/>
    <w:multiLevelType w:val="hybridMultilevel"/>
    <w:tmpl w:val="9E606EF2"/>
    <w:lvl w:ilvl="0" w:tplc="AC56E04E">
      <w:start w:val="2"/>
      <w:numFmt w:val="decimalEnclosedCircle"/>
      <w:lvlText w:val="%1"/>
      <w:lvlJc w:val="left"/>
      <w:pPr>
        <w:ind w:left="840" w:hanging="360"/>
      </w:pPr>
      <w:rPr>
        <w:rFonts w:ascii="新細明體" w:eastAsiaTheme="minorEastAsia" w:hAnsi="新細明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0C082FD7"/>
    <w:multiLevelType w:val="hybridMultilevel"/>
    <w:tmpl w:val="4F70FBE6"/>
    <w:lvl w:ilvl="0" w:tplc="0409000F">
      <w:start w:val="1"/>
      <w:numFmt w:val="decimal"/>
      <w:lvlText w:val="%1."/>
      <w:lvlJc w:val="left"/>
      <w:pPr>
        <w:ind w:left="480" w:hanging="480"/>
      </w:pPr>
    </w:lvl>
    <w:lvl w:ilvl="1" w:tplc="61D22854">
      <w:start w:val="1"/>
      <w:numFmt w:val="taiwaneseCountingThousand"/>
      <w:lvlText w:val="(%2)"/>
      <w:lvlJc w:val="left"/>
      <w:pPr>
        <w:ind w:left="864" w:hanging="384"/>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C4C7BE1"/>
    <w:multiLevelType w:val="hybridMultilevel"/>
    <w:tmpl w:val="E7C86B38"/>
    <w:lvl w:ilvl="0" w:tplc="24728B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CF24440"/>
    <w:multiLevelType w:val="hybridMultilevel"/>
    <w:tmpl w:val="DF1485C6"/>
    <w:lvl w:ilvl="0" w:tplc="AC166FF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E3C4457"/>
    <w:multiLevelType w:val="hybridMultilevel"/>
    <w:tmpl w:val="8F7AE584"/>
    <w:lvl w:ilvl="0" w:tplc="A1D26B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ECA0AF0"/>
    <w:multiLevelType w:val="hybridMultilevel"/>
    <w:tmpl w:val="A738BE6A"/>
    <w:lvl w:ilvl="0" w:tplc="757231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13E2CD1"/>
    <w:multiLevelType w:val="hybridMultilevel"/>
    <w:tmpl w:val="F47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73875A7"/>
    <w:multiLevelType w:val="hybridMultilevel"/>
    <w:tmpl w:val="9208D98C"/>
    <w:lvl w:ilvl="0" w:tplc="45F67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9871873"/>
    <w:multiLevelType w:val="hybridMultilevel"/>
    <w:tmpl w:val="B9DA5980"/>
    <w:lvl w:ilvl="0" w:tplc="577CA9BC">
      <w:start w:val="1"/>
      <w:numFmt w:val="decimal"/>
      <w:lvlText w:val="%1."/>
      <w:lvlJc w:val="left"/>
      <w:pPr>
        <w:ind w:left="600" w:hanging="360"/>
      </w:pPr>
      <w:rPr>
        <w:rFonts w:hint="default"/>
      </w:rPr>
    </w:lvl>
    <w:lvl w:ilvl="1" w:tplc="FE86EAF8">
      <w:start w:val="1"/>
      <w:numFmt w:val="decimal"/>
      <w:lvlText w:val="(%2)"/>
      <w:lvlJc w:val="left"/>
      <w:pPr>
        <w:ind w:left="1080" w:hanging="360"/>
      </w:pPr>
      <w:rPr>
        <w:rFonts w:hint="default"/>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1D5216FA"/>
    <w:multiLevelType w:val="hybridMultilevel"/>
    <w:tmpl w:val="72746E1C"/>
    <w:lvl w:ilvl="0" w:tplc="00E21BC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nsid w:val="1E72442A"/>
    <w:multiLevelType w:val="hybridMultilevel"/>
    <w:tmpl w:val="81B68FA2"/>
    <w:lvl w:ilvl="0" w:tplc="0409000F">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F2E5ECB"/>
    <w:multiLevelType w:val="hybridMultilevel"/>
    <w:tmpl w:val="B96E37D6"/>
    <w:lvl w:ilvl="0" w:tplc="9F24D56C">
      <w:start w:val="1"/>
      <w:numFmt w:val="decimal"/>
      <w:lvlText w:val="%1."/>
      <w:lvlJc w:val="left"/>
      <w:pPr>
        <w:ind w:left="746" w:hanging="360"/>
      </w:pPr>
      <w:rPr>
        <w:rFonts w:hint="default"/>
      </w:rPr>
    </w:lvl>
    <w:lvl w:ilvl="1" w:tplc="82E632F0">
      <w:start w:val="1"/>
      <w:numFmt w:val="decimal"/>
      <w:lvlText w:val="(%2)"/>
      <w:lvlJc w:val="left"/>
      <w:pPr>
        <w:ind w:left="1226" w:hanging="360"/>
      </w:pPr>
      <w:rPr>
        <w:rFonts w:hint="default"/>
      </w:rPr>
    </w:lvl>
    <w:lvl w:ilvl="2" w:tplc="0409001B" w:tentative="1">
      <w:start w:val="1"/>
      <w:numFmt w:val="lowerRoman"/>
      <w:lvlText w:val="%3."/>
      <w:lvlJc w:val="right"/>
      <w:pPr>
        <w:ind w:left="1826" w:hanging="480"/>
      </w:pPr>
    </w:lvl>
    <w:lvl w:ilvl="3" w:tplc="0409000F" w:tentative="1">
      <w:start w:val="1"/>
      <w:numFmt w:val="decimal"/>
      <w:lvlText w:val="%4."/>
      <w:lvlJc w:val="left"/>
      <w:pPr>
        <w:ind w:left="2306" w:hanging="480"/>
      </w:pPr>
    </w:lvl>
    <w:lvl w:ilvl="4" w:tplc="04090019" w:tentative="1">
      <w:start w:val="1"/>
      <w:numFmt w:val="ideographTraditional"/>
      <w:lvlText w:val="%5、"/>
      <w:lvlJc w:val="left"/>
      <w:pPr>
        <w:ind w:left="2786" w:hanging="480"/>
      </w:pPr>
    </w:lvl>
    <w:lvl w:ilvl="5" w:tplc="0409001B" w:tentative="1">
      <w:start w:val="1"/>
      <w:numFmt w:val="lowerRoman"/>
      <w:lvlText w:val="%6."/>
      <w:lvlJc w:val="right"/>
      <w:pPr>
        <w:ind w:left="3266" w:hanging="480"/>
      </w:pPr>
    </w:lvl>
    <w:lvl w:ilvl="6" w:tplc="0409000F" w:tentative="1">
      <w:start w:val="1"/>
      <w:numFmt w:val="decimal"/>
      <w:lvlText w:val="%7."/>
      <w:lvlJc w:val="left"/>
      <w:pPr>
        <w:ind w:left="3746" w:hanging="480"/>
      </w:pPr>
    </w:lvl>
    <w:lvl w:ilvl="7" w:tplc="04090019" w:tentative="1">
      <w:start w:val="1"/>
      <w:numFmt w:val="ideographTraditional"/>
      <w:lvlText w:val="%8、"/>
      <w:lvlJc w:val="left"/>
      <w:pPr>
        <w:ind w:left="4226" w:hanging="480"/>
      </w:pPr>
    </w:lvl>
    <w:lvl w:ilvl="8" w:tplc="0409001B" w:tentative="1">
      <w:start w:val="1"/>
      <w:numFmt w:val="lowerRoman"/>
      <w:lvlText w:val="%9."/>
      <w:lvlJc w:val="right"/>
      <w:pPr>
        <w:ind w:left="4706" w:hanging="480"/>
      </w:pPr>
    </w:lvl>
  </w:abstractNum>
  <w:abstractNum w:abstractNumId="18">
    <w:nsid w:val="20627A9F"/>
    <w:multiLevelType w:val="hybridMultilevel"/>
    <w:tmpl w:val="5D08811C"/>
    <w:lvl w:ilvl="0" w:tplc="28B067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3633654"/>
    <w:multiLevelType w:val="hybridMultilevel"/>
    <w:tmpl w:val="A230BC70"/>
    <w:lvl w:ilvl="0" w:tplc="5A42F7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38570D5"/>
    <w:multiLevelType w:val="hybridMultilevel"/>
    <w:tmpl w:val="FA14529A"/>
    <w:lvl w:ilvl="0" w:tplc="E89C51D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56E2A75"/>
    <w:multiLevelType w:val="hybridMultilevel"/>
    <w:tmpl w:val="EAC2B9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5F67F0A"/>
    <w:multiLevelType w:val="hybridMultilevel"/>
    <w:tmpl w:val="F2EE5D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70D6748"/>
    <w:multiLevelType w:val="hybridMultilevel"/>
    <w:tmpl w:val="33F22874"/>
    <w:lvl w:ilvl="0" w:tplc="63D695B2">
      <w:start w:val="2"/>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nsid w:val="29054CF8"/>
    <w:multiLevelType w:val="multilevel"/>
    <w:tmpl w:val="04090027"/>
    <w:lvl w:ilvl="0">
      <w:start w:val="1"/>
      <w:numFmt w:val="decimalFullWidth"/>
      <w:pStyle w:val="1"/>
      <w:suff w:val="nothing"/>
      <w:lvlText w:val="第%1章"/>
      <w:lvlJc w:val="left"/>
      <w:pPr>
        <w:ind w:left="425" w:hanging="425"/>
      </w:pPr>
    </w:lvl>
    <w:lvl w:ilvl="1">
      <w:start w:val="1"/>
      <w:numFmt w:val="decimalFullWidth"/>
      <w:pStyle w:val="2"/>
      <w:suff w:val="nothing"/>
      <w:lvlText w:val="第%2節"/>
      <w:lvlJc w:val="left"/>
      <w:pPr>
        <w:ind w:left="992" w:hanging="567"/>
      </w:pPr>
    </w:lvl>
    <w:lvl w:ilvl="2">
      <w:start w:val="1"/>
      <w:numFmt w:val="decimalFullWidth"/>
      <w:pStyle w:val="3"/>
      <w:suff w:val="nothing"/>
      <w:lvlText w:val="第%3項"/>
      <w:lvlJc w:val="left"/>
      <w:pPr>
        <w:ind w:left="1418" w:hanging="567"/>
      </w:pPr>
    </w:lvl>
    <w:lvl w:ilvl="3">
      <w:start w:val="1"/>
      <w:numFmt w:val="none"/>
      <w:pStyle w:val="4"/>
      <w:suff w:val="nothing"/>
      <w:lvlText w:val=""/>
      <w:lvlJc w:val="left"/>
      <w:pPr>
        <w:ind w:left="1984" w:hanging="708"/>
      </w:pPr>
    </w:lvl>
    <w:lvl w:ilvl="4">
      <w:start w:val="1"/>
      <w:numFmt w:val="none"/>
      <w:pStyle w:val="5"/>
      <w:suff w:val="nothing"/>
      <w:lvlText w:val=""/>
      <w:lvlJc w:val="left"/>
      <w:pPr>
        <w:ind w:left="2551" w:hanging="850"/>
      </w:pPr>
    </w:lvl>
    <w:lvl w:ilvl="5">
      <w:start w:val="1"/>
      <w:numFmt w:val="none"/>
      <w:pStyle w:val="6"/>
      <w:suff w:val="nothing"/>
      <w:lvlText w:val=""/>
      <w:lvlJc w:val="left"/>
      <w:pPr>
        <w:ind w:left="3260" w:hanging="1134"/>
      </w:pPr>
    </w:lvl>
    <w:lvl w:ilvl="6">
      <w:start w:val="1"/>
      <w:numFmt w:val="none"/>
      <w:pStyle w:val="7"/>
      <w:suff w:val="nothing"/>
      <w:lvlText w:val=""/>
      <w:lvlJc w:val="left"/>
      <w:pPr>
        <w:ind w:left="3827" w:hanging="1276"/>
      </w:pPr>
    </w:lvl>
    <w:lvl w:ilvl="7">
      <w:start w:val="1"/>
      <w:numFmt w:val="none"/>
      <w:pStyle w:val="8"/>
      <w:suff w:val="nothing"/>
      <w:lvlText w:val=""/>
      <w:lvlJc w:val="left"/>
      <w:pPr>
        <w:ind w:left="4394" w:hanging="1418"/>
      </w:pPr>
    </w:lvl>
    <w:lvl w:ilvl="8">
      <w:start w:val="1"/>
      <w:numFmt w:val="none"/>
      <w:pStyle w:val="9"/>
      <w:suff w:val="nothing"/>
      <w:lvlText w:val=""/>
      <w:lvlJc w:val="left"/>
      <w:pPr>
        <w:ind w:left="5102" w:hanging="1700"/>
      </w:pPr>
    </w:lvl>
  </w:abstractNum>
  <w:abstractNum w:abstractNumId="25">
    <w:nsid w:val="2AFB0C39"/>
    <w:multiLevelType w:val="hybridMultilevel"/>
    <w:tmpl w:val="AE384CE8"/>
    <w:lvl w:ilvl="0" w:tplc="6B30827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nsid w:val="30210B78"/>
    <w:multiLevelType w:val="hybridMultilevel"/>
    <w:tmpl w:val="BB6E22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07B1496"/>
    <w:multiLevelType w:val="hybridMultilevel"/>
    <w:tmpl w:val="6E86A4D2"/>
    <w:lvl w:ilvl="0" w:tplc="45F67E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322508D"/>
    <w:multiLevelType w:val="hybridMultilevel"/>
    <w:tmpl w:val="6284F4F6"/>
    <w:lvl w:ilvl="0" w:tplc="2E526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3A4464A"/>
    <w:multiLevelType w:val="hybridMultilevel"/>
    <w:tmpl w:val="D938EFA0"/>
    <w:lvl w:ilvl="0" w:tplc="584CF1AC">
      <w:start w:val="1"/>
      <w:numFmt w:val="decimal"/>
      <w:lvlText w:val="%1."/>
      <w:lvlJc w:val="left"/>
      <w:pPr>
        <w:ind w:left="804" w:hanging="564"/>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0">
    <w:nsid w:val="34C64366"/>
    <w:multiLevelType w:val="hybridMultilevel"/>
    <w:tmpl w:val="A7225FBC"/>
    <w:lvl w:ilvl="0" w:tplc="658655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85E390C"/>
    <w:multiLevelType w:val="hybridMultilevel"/>
    <w:tmpl w:val="94700C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B29471E"/>
    <w:multiLevelType w:val="hybridMultilevel"/>
    <w:tmpl w:val="114CD606"/>
    <w:lvl w:ilvl="0" w:tplc="7070E6F0">
      <w:start w:val="1"/>
      <w:numFmt w:val="decimal"/>
      <w:lvlText w:val="%1."/>
      <w:lvlJc w:val="left"/>
      <w:pPr>
        <w:ind w:left="600" w:hanging="360"/>
      </w:pPr>
      <w:rPr>
        <w:rFonts w:hint="default"/>
        <w:color w:val="000000"/>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3">
    <w:nsid w:val="3E2600FE"/>
    <w:multiLevelType w:val="hybridMultilevel"/>
    <w:tmpl w:val="25BAB3F2"/>
    <w:lvl w:ilvl="0" w:tplc="273EE106">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4">
    <w:nsid w:val="42E3500E"/>
    <w:multiLevelType w:val="hybridMultilevel"/>
    <w:tmpl w:val="F5881516"/>
    <w:lvl w:ilvl="0" w:tplc="D90E969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5">
    <w:nsid w:val="484E2227"/>
    <w:multiLevelType w:val="hybridMultilevel"/>
    <w:tmpl w:val="A1A0F58A"/>
    <w:lvl w:ilvl="0" w:tplc="FA3204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9185C04"/>
    <w:multiLevelType w:val="hybridMultilevel"/>
    <w:tmpl w:val="F5881516"/>
    <w:lvl w:ilvl="0" w:tplc="D90E969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7">
    <w:nsid w:val="49741D39"/>
    <w:multiLevelType w:val="hybridMultilevel"/>
    <w:tmpl w:val="A6823146"/>
    <w:lvl w:ilvl="0" w:tplc="FA24EB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D3B112E"/>
    <w:multiLevelType w:val="hybridMultilevel"/>
    <w:tmpl w:val="7DB4CDBC"/>
    <w:lvl w:ilvl="0" w:tplc="45F67EB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9">
    <w:nsid w:val="4E6B2452"/>
    <w:multiLevelType w:val="hybridMultilevel"/>
    <w:tmpl w:val="3D4CDEB4"/>
    <w:lvl w:ilvl="0" w:tplc="A2DC6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0243757"/>
    <w:multiLevelType w:val="hybridMultilevel"/>
    <w:tmpl w:val="AD2C0268"/>
    <w:lvl w:ilvl="0" w:tplc="6586553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182398A"/>
    <w:multiLevelType w:val="hybridMultilevel"/>
    <w:tmpl w:val="7BEC787E"/>
    <w:lvl w:ilvl="0" w:tplc="A1D26B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40F1999"/>
    <w:multiLevelType w:val="hybridMultilevel"/>
    <w:tmpl w:val="EB2C9780"/>
    <w:lvl w:ilvl="0" w:tplc="19BA660A">
      <w:start w:val="1"/>
      <w:numFmt w:val="decimal"/>
      <w:lvlText w:val="%1."/>
      <w:lvlJc w:val="left"/>
      <w:pPr>
        <w:ind w:left="720" w:hanging="360"/>
      </w:pPr>
      <w:rPr>
        <w:rFonts w:cstheme="minorBidi"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3">
    <w:nsid w:val="54A211AC"/>
    <w:multiLevelType w:val="hybridMultilevel"/>
    <w:tmpl w:val="3F1CA280"/>
    <w:lvl w:ilvl="0" w:tplc="F5208790">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4">
    <w:nsid w:val="54E05CFB"/>
    <w:multiLevelType w:val="hybridMultilevel"/>
    <w:tmpl w:val="DA184424"/>
    <w:lvl w:ilvl="0" w:tplc="3C807D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8573DAB"/>
    <w:multiLevelType w:val="hybridMultilevel"/>
    <w:tmpl w:val="7F60EA0C"/>
    <w:lvl w:ilvl="0" w:tplc="D90E969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6">
    <w:nsid w:val="5EBE5C9A"/>
    <w:multiLevelType w:val="hybridMultilevel"/>
    <w:tmpl w:val="669C02B6"/>
    <w:lvl w:ilvl="0" w:tplc="1F7AD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28B382A"/>
    <w:multiLevelType w:val="hybridMultilevel"/>
    <w:tmpl w:val="170C7B98"/>
    <w:lvl w:ilvl="0" w:tplc="1BF031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36E3B2F"/>
    <w:multiLevelType w:val="hybridMultilevel"/>
    <w:tmpl w:val="31362B90"/>
    <w:lvl w:ilvl="0" w:tplc="0A76A8E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4391807"/>
    <w:multiLevelType w:val="hybridMultilevel"/>
    <w:tmpl w:val="AA8EABFE"/>
    <w:lvl w:ilvl="0" w:tplc="BDC025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4FF63AD"/>
    <w:multiLevelType w:val="hybridMultilevel"/>
    <w:tmpl w:val="27C4FDEC"/>
    <w:lvl w:ilvl="0" w:tplc="CC08C5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66BA37DD"/>
    <w:multiLevelType w:val="hybridMultilevel"/>
    <w:tmpl w:val="FFA28F6C"/>
    <w:lvl w:ilvl="0" w:tplc="0409000F">
      <w:start w:val="1"/>
      <w:numFmt w:val="decimal"/>
      <w:lvlText w:val="%1."/>
      <w:lvlJc w:val="left"/>
      <w:pPr>
        <w:ind w:left="480" w:hanging="480"/>
      </w:pPr>
    </w:lvl>
    <w:lvl w:ilvl="1" w:tplc="B2F03CD8">
      <w:start w:val="1"/>
      <w:numFmt w:val="taiwaneseCountingThousand"/>
      <w:lvlText w:val="(%2)"/>
      <w:lvlJc w:val="left"/>
      <w:pPr>
        <w:ind w:left="864" w:hanging="384"/>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6E5244B"/>
    <w:multiLevelType w:val="hybridMultilevel"/>
    <w:tmpl w:val="1C80A37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
    <w:nsid w:val="680319AA"/>
    <w:multiLevelType w:val="hybridMultilevel"/>
    <w:tmpl w:val="BECAC5E8"/>
    <w:lvl w:ilvl="0" w:tplc="3C68E4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6963498A"/>
    <w:multiLevelType w:val="hybridMultilevel"/>
    <w:tmpl w:val="B5564938"/>
    <w:lvl w:ilvl="0" w:tplc="18CCA5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6ADD7AB4"/>
    <w:multiLevelType w:val="hybridMultilevel"/>
    <w:tmpl w:val="BE9E3970"/>
    <w:lvl w:ilvl="0" w:tplc="98DE2A56">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C084A79"/>
    <w:multiLevelType w:val="hybridMultilevel"/>
    <w:tmpl w:val="7FC04C8E"/>
    <w:lvl w:ilvl="0" w:tplc="1F7ADB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C967535"/>
    <w:multiLevelType w:val="hybridMultilevel"/>
    <w:tmpl w:val="3AA41922"/>
    <w:lvl w:ilvl="0" w:tplc="31F627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6D5C2088"/>
    <w:multiLevelType w:val="hybridMultilevel"/>
    <w:tmpl w:val="4A1ECE5E"/>
    <w:lvl w:ilvl="0" w:tplc="58B6DB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6D6509B4"/>
    <w:multiLevelType w:val="hybridMultilevel"/>
    <w:tmpl w:val="D3389AFC"/>
    <w:lvl w:ilvl="0" w:tplc="49E07F30">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6F1F4EDF"/>
    <w:multiLevelType w:val="hybridMultilevel"/>
    <w:tmpl w:val="3D928AD0"/>
    <w:lvl w:ilvl="0" w:tplc="AE961CF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6FE15CCF"/>
    <w:multiLevelType w:val="hybridMultilevel"/>
    <w:tmpl w:val="CB5AE2F2"/>
    <w:lvl w:ilvl="0" w:tplc="A17A2CFA">
      <w:start w:val="2"/>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2">
    <w:nsid w:val="71A10CDC"/>
    <w:multiLevelType w:val="hybridMultilevel"/>
    <w:tmpl w:val="A2B20F2E"/>
    <w:lvl w:ilvl="0" w:tplc="EB247BA4">
      <w:start w:val="1"/>
      <w:numFmt w:val="taiwaneseCountingThousand"/>
      <w:lvlText w:val="(%1)"/>
      <w:lvlJc w:val="left"/>
      <w:pPr>
        <w:ind w:left="384" w:hanging="3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72532EC4"/>
    <w:multiLevelType w:val="multilevel"/>
    <w:tmpl w:val="81AAEE6E"/>
    <w:lvl w:ilvl="0">
      <w:start w:val="1"/>
      <w:numFmt w:val="taiwaneseCountingThousand"/>
      <w:pStyle w:val="a0"/>
      <w:suff w:val="nothing"/>
      <w:lvlText w:val="%1、"/>
      <w:lvlJc w:val="left"/>
      <w:pPr>
        <w:ind w:left="953" w:hanging="641"/>
      </w:pPr>
      <w:rPr>
        <w:rFonts w:ascii="標楷體" w:eastAsia="標楷體" w:hint="eastAsia"/>
        <w:sz w:val="28"/>
        <w:szCs w:val="28"/>
      </w:rPr>
    </w:lvl>
    <w:lvl w:ilvl="1">
      <w:start w:val="1"/>
      <w:numFmt w:val="taiwaneseCountingThousand"/>
      <w:suff w:val="nothing"/>
      <w:lvlText w:val="(%2)"/>
      <w:lvlJc w:val="left"/>
      <w:pPr>
        <w:ind w:left="4220" w:hanging="959"/>
      </w:pPr>
      <w:rPr>
        <w:rFonts w:ascii="標楷體" w:eastAsia="標楷體" w:hint="eastAsia"/>
        <w:sz w:val="28"/>
        <w:szCs w:val="28"/>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64">
    <w:nsid w:val="743B3999"/>
    <w:multiLevelType w:val="hybridMultilevel"/>
    <w:tmpl w:val="00786906"/>
    <w:lvl w:ilvl="0" w:tplc="D0223FA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5">
    <w:nsid w:val="78A21FA2"/>
    <w:multiLevelType w:val="hybridMultilevel"/>
    <w:tmpl w:val="606EEF4C"/>
    <w:lvl w:ilvl="0" w:tplc="45F67EB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6">
    <w:nsid w:val="7A322429"/>
    <w:multiLevelType w:val="hybridMultilevel"/>
    <w:tmpl w:val="8B665706"/>
    <w:lvl w:ilvl="0" w:tplc="2924CCC0">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B47321D"/>
    <w:multiLevelType w:val="hybridMultilevel"/>
    <w:tmpl w:val="BD12EDB4"/>
    <w:lvl w:ilvl="0" w:tplc="91562888">
      <w:start w:val="1"/>
      <w:numFmt w:val="decimal"/>
      <w:lvlText w:val="%1."/>
      <w:lvlJc w:val="left"/>
      <w:pPr>
        <w:ind w:left="360" w:hanging="360"/>
      </w:pPr>
      <w:rPr>
        <w:rFonts w:hint="default"/>
      </w:rPr>
    </w:lvl>
    <w:lvl w:ilvl="1" w:tplc="9DCE52D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63"/>
  </w:num>
  <w:num w:numId="3">
    <w:abstractNumId w:val="60"/>
  </w:num>
  <w:num w:numId="4">
    <w:abstractNumId w:val="8"/>
  </w:num>
  <w:num w:numId="5">
    <w:abstractNumId w:val="11"/>
  </w:num>
  <w:num w:numId="6">
    <w:abstractNumId w:val="56"/>
  </w:num>
  <w:num w:numId="7">
    <w:abstractNumId w:val="48"/>
  </w:num>
  <w:num w:numId="8">
    <w:abstractNumId w:val="24"/>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23"/>
  </w:num>
  <w:num w:numId="12">
    <w:abstractNumId w:val="3"/>
  </w:num>
  <w:num w:numId="13">
    <w:abstractNumId w:val="17"/>
  </w:num>
  <w:num w:numId="14">
    <w:abstractNumId w:val="28"/>
  </w:num>
  <w:num w:numId="15">
    <w:abstractNumId w:val="58"/>
  </w:num>
  <w:num w:numId="16">
    <w:abstractNumId w:val="44"/>
  </w:num>
  <w:num w:numId="17">
    <w:abstractNumId w:val="50"/>
  </w:num>
  <w:num w:numId="18">
    <w:abstractNumId w:val="14"/>
  </w:num>
  <w:num w:numId="19">
    <w:abstractNumId w:val="45"/>
  </w:num>
  <w:num w:numId="20">
    <w:abstractNumId w:val="34"/>
  </w:num>
  <w:num w:numId="21">
    <w:abstractNumId w:val="1"/>
  </w:num>
  <w:num w:numId="22">
    <w:abstractNumId w:val="67"/>
  </w:num>
  <w:num w:numId="23">
    <w:abstractNumId w:val="35"/>
  </w:num>
  <w:num w:numId="24">
    <w:abstractNumId w:val="53"/>
  </w:num>
  <w:num w:numId="25">
    <w:abstractNumId w:val="19"/>
  </w:num>
  <w:num w:numId="26">
    <w:abstractNumId w:val="39"/>
  </w:num>
  <w:num w:numId="27">
    <w:abstractNumId w:val="57"/>
  </w:num>
  <w:num w:numId="28">
    <w:abstractNumId w:val="37"/>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55"/>
  </w:num>
  <w:num w:numId="33">
    <w:abstractNumId w:val="62"/>
  </w:num>
  <w:num w:numId="34">
    <w:abstractNumId w:val="10"/>
  </w:num>
  <w:num w:numId="35">
    <w:abstractNumId w:val="41"/>
  </w:num>
  <w:num w:numId="36">
    <w:abstractNumId w:val="47"/>
  </w:num>
  <w:num w:numId="37">
    <w:abstractNumId w:val="9"/>
  </w:num>
  <w:num w:numId="38">
    <w:abstractNumId w:val="30"/>
  </w:num>
  <w:num w:numId="39">
    <w:abstractNumId w:val="20"/>
  </w:num>
  <w:num w:numId="40">
    <w:abstractNumId w:val="43"/>
  </w:num>
  <w:num w:numId="41">
    <w:abstractNumId w:val="21"/>
  </w:num>
  <w:num w:numId="42">
    <w:abstractNumId w:val="31"/>
  </w:num>
  <w:num w:numId="43">
    <w:abstractNumId w:val="22"/>
  </w:num>
  <w:num w:numId="44">
    <w:abstractNumId w:val="59"/>
  </w:num>
  <w:num w:numId="45">
    <w:abstractNumId w:val="51"/>
  </w:num>
  <w:num w:numId="46">
    <w:abstractNumId w:val="4"/>
  </w:num>
  <w:num w:numId="47">
    <w:abstractNumId w:val="7"/>
  </w:num>
  <w:num w:numId="48">
    <w:abstractNumId w:val="26"/>
  </w:num>
  <w:num w:numId="49">
    <w:abstractNumId w:val="12"/>
  </w:num>
  <w:num w:numId="50">
    <w:abstractNumId w:val="25"/>
  </w:num>
  <w:num w:numId="51">
    <w:abstractNumId w:val="16"/>
  </w:num>
  <w:num w:numId="52">
    <w:abstractNumId w:val="33"/>
  </w:num>
  <w:num w:numId="53">
    <w:abstractNumId w:val="66"/>
  </w:num>
  <w:num w:numId="54">
    <w:abstractNumId w:val="32"/>
  </w:num>
  <w:num w:numId="55">
    <w:abstractNumId w:val="6"/>
  </w:num>
  <w:num w:numId="56">
    <w:abstractNumId w:val="64"/>
  </w:num>
  <w:num w:numId="57">
    <w:abstractNumId w:val="36"/>
  </w:num>
  <w:num w:numId="58">
    <w:abstractNumId w:val="18"/>
  </w:num>
  <w:num w:numId="59">
    <w:abstractNumId w:val="13"/>
  </w:num>
  <w:num w:numId="60">
    <w:abstractNumId w:val="52"/>
  </w:num>
  <w:num w:numId="61">
    <w:abstractNumId w:val="38"/>
  </w:num>
  <w:num w:numId="62">
    <w:abstractNumId w:val="29"/>
  </w:num>
  <w:num w:numId="63">
    <w:abstractNumId w:val="27"/>
  </w:num>
  <w:num w:numId="64">
    <w:abstractNumId w:val="65"/>
  </w:num>
  <w:num w:numId="65">
    <w:abstractNumId w:val="42"/>
  </w:num>
  <w:num w:numId="66">
    <w:abstractNumId w:val="40"/>
  </w:num>
  <w:num w:numId="67">
    <w:abstractNumId w:val="54"/>
  </w:num>
  <w:num w:numId="68">
    <w:abstractNumId w:val="49"/>
  </w:num>
  <w:num w:numId="69">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80"/>
  <w:evenAndOddHeaders/>
  <w:drawingGridHorizontalSpacing w:val="120"/>
  <w:displayHorizontalDrawingGridEvery w:val="0"/>
  <w:displayVerticalDrawingGridEvery w:val="2"/>
  <w:characterSpacingControl w:val="compressPunctuation"/>
  <w:hdrShapeDefaults>
    <o:shapedefaults v:ext="edit" spidmax="696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D8F"/>
    <w:rsid w:val="00001452"/>
    <w:rsid w:val="000025F0"/>
    <w:rsid w:val="00003C85"/>
    <w:rsid w:val="00005EF0"/>
    <w:rsid w:val="00007529"/>
    <w:rsid w:val="0000757B"/>
    <w:rsid w:val="00007969"/>
    <w:rsid w:val="00007FBC"/>
    <w:rsid w:val="0001007C"/>
    <w:rsid w:val="0001262D"/>
    <w:rsid w:val="0001280E"/>
    <w:rsid w:val="00012C0A"/>
    <w:rsid w:val="00014267"/>
    <w:rsid w:val="0002034B"/>
    <w:rsid w:val="0002061E"/>
    <w:rsid w:val="00020845"/>
    <w:rsid w:val="00021084"/>
    <w:rsid w:val="00023E9B"/>
    <w:rsid w:val="0002559D"/>
    <w:rsid w:val="00025CB6"/>
    <w:rsid w:val="0002607C"/>
    <w:rsid w:val="00026E7C"/>
    <w:rsid w:val="00027614"/>
    <w:rsid w:val="00027FE4"/>
    <w:rsid w:val="000337F0"/>
    <w:rsid w:val="0003760E"/>
    <w:rsid w:val="0004081B"/>
    <w:rsid w:val="00041B7A"/>
    <w:rsid w:val="00041FBA"/>
    <w:rsid w:val="00042784"/>
    <w:rsid w:val="0004296D"/>
    <w:rsid w:val="00042CC9"/>
    <w:rsid w:val="00043749"/>
    <w:rsid w:val="00043BE7"/>
    <w:rsid w:val="0004578D"/>
    <w:rsid w:val="000463C4"/>
    <w:rsid w:val="00047672"/>
    <w:rsid w:val="000477CE"/>
    <w:rsid w:val="000500B5"/>
    <w:rsid w:val="00050B8B"/>
    <w:rsid w:val="00051ECA"/>
    <w:rsid w:val="00051EE9"/>
    <w:rsid w:val="00052C6E"/>
    <w:rsid w:val="0005395D"/>
    <w:rsid w:val="00056571"/>
    <w:rsid w:val="00057E35"/>
    <w:rsid w:val="00060D4F"/>
    <w:rsid w:val="00061D9C"/>
    <w:rsid w:val="00062C3D"/>
    <w:rsid w:val="000647AD"/>
    <w:rsid w:val="00065222"/>
    <w:rsid w:val="000656C6"/>
    <w:rsid w:val="00066A88"/>
    <w:rsid w:val="00067263"/>
    <w:rsid w:val="00067894"/>
    <w:rsid w:val="00067FED"/>
    <w:rsid w:val="0007198A"/>
    <w:rsid w:val="000725D9"/>
    <w:rsid w:val="00072C10"/>
    <w:rsid w:val="0007342A"/>
    <w:rsid w:val="00074B3C"/>
    <w:rsid w:val="00081D49"/>
    <w:rsid w:val="000827B0"/>
    <w:rsid w:val="00083AFA"/>
    <w:rsid w:val="00083E45"/>
    <w:rsid w:val="00084ACE"/>
    <w:rsid w:val="00085A02"/>
    <w:rsid w:val="00086F6D"/>
    <w:rsid w:val="00087087"/>
    <w:rsid w:val="00091DB3"/>
    <w:rsid w:val="00092D5F"/>
    <w:rsid w:val="000952BC"/>
    <w:rsid w:val="0009532D"/>
    <w:rsid w:val="00096906"/>
    <w:rsid w:val="000A1358"/>
    <w:rsid w:val="000A1495"/>
    <w:rsid w:val="000A188E"/>
    <w:rsid w:val="000A1BAF"/>
    <w:rsid w:val="000A3D1C"/>
    <w:rsid w:val="000A3DF2"/>
    <w:rsid w:val="000A47A5"/>
    <w:rsid w:val="000A6AE5"/>
    <w:rsid w:val="000A6F84"/>
    <w:rsid w:val="000A77BC"/>
    <w:rsid w:val="000B3DB8"/>
    <w:rsid w:val="000B400D"/>
    <w:rsid w:val="000B4DE9"/>
    <w:rsid w:val="000B560F"/>
    <w:rsid w:val="000C01D6"/>
    <w:rsid w:val="000C0B45"/>
    <w:rsid w:val="000C0D51"/>
    <w:rsid w:val="000C441B"/>
    <w:rsid w:val="000C44A9"/>
    <w:rsid w:val="000C5B26"/>
    <w:rsid w:val="000C72D4"/>
    <w:rsid w:val="000C7D12"/>
    <w:rsid w:val="000D05BC"/>
    <w:rsid w:val="000D2794"/>
    <w:rsid w:val="000D2958"/>
    <w:rsid w:val="000D4A9C"/>
    <w:rsid w:val="000D4FAD"/>
    <w:rsid w:val="000D6751"/>
    <w:rsid w:val="000E06C2"/>
    <w:rsid w:val="000E14D7"/>
    <w:rsid w:val="000E18B4"/>
    <w:rsid w:val="000E24A1"/>
    <w:rsid w:val="000E2BF1"/>
    <w:rsid w:val="000E2DB5"/>
    <w:rsid w:val="000E377C"/>
    <w:rsid w:val="000E4ECD"/>
    <w:rsid w:val="000E522C"/>
    <w:rsid w:val="000F2BFA"/>
    <w:rsid w:val="000F2C65"/>
    <w:rsid w:val="000F43A5"/>
    <w:rsid w:val="00100149"/>
    <w:rsid w:val="0010035C"/>
    <w:rsid w:val="001003BF"/>
    <w:rsid w:val="00101235"/>
    <w:rsid w:val="001014C1"/>
    <w:rsid w:val="00102E7F"/>
    <w:rsid w:val="00103BC7"/>
    <w:rsid w:val="00104EA4"/>
    <w:rsid w:val="001078C6"/>
    <w:rsid w:val="00107D61"/>
    <w:rsid w:val="0011055D"/>
    <w:rsid w:val="00110A4D"/>
    <w:rsid w:val="00110BB6"/>
    <w:rsid w:val="00111C95"/>
    <w:rsid w:val="00112260"/>
    <w:rsid w:val="00112B2D"/>
    <w:rsid w:val="00113ABC"/>
    <w:rsid w:val="00114311"/>
    <w:rsid w:val="00114511"/>
    <w:rsid w:val="00115DD4"/>
    <w:rsid w:val="00117961"/>
    <w:rsid w:val="0012150B"/>
    <w:rsid w:val="0012316D"/>
    <w:rsid w:val="001274B8"/>
    <w:rsid w:val="00131A9D"/>
    <w:rsid w:val="00131E3D"/>
    <w:rsid w:val="001322C7"/>
    <w:rsid w:val="0013466B"/>
    <w:rsid w:val="00136D98"/>
    <w:rsid w:val="00143C91"/>
    <w:rsid w:val="00145BA5"/>
    <w:rsid w:val="00146D8A"/>
    <w:rsid w:val="00147157"/>
    <w:rsid w:val="00150331"/>
    <w:rsid w:val="0015247D"/>
    <w:rsid w:val="00153100"/>
    <w:rsid w:val="0015387B"/>
    <w:rsid w:val="00153D80"/>
    <w:rsid w:val="001606F1"/>
    <w:rsid w:val="00162B19"/>
    <w:rsid w:val="00165CDB"/>
    <w:rsid w:val="0016737E"/>
    <w:rsid w:val="00170919"/>
    <w:rsid w:val="00171721"/>
    <w:rsid w:val="00173775"/>
    <w:rsid w:val="00177E36"/>
    <w:rsid w:val="00177F8E"/>
    <w:rsid w:val="001820C7"/>
    <w:rsid w:val="001834D4"/>
    <w:rsid w:val="00183BF4"/>
    <w:rsid w:val="001864C5"/>
    <w:rsid w:val="0019342A"/>
    <w:rsid w:val="001946D8"/>
    <w:rsid w:val="00197553"/>
    <w:rsid w:val="001A02A5"/>
    <w:rsid w:val="001A0C11"/>
    <w:rsid w:val="001A0CBB"/>
    <w:rsid w:val="001A51A9"/>
    <w:rsid w:val="001A6182"/>
    <w:rsid w:val="001A6B5A"/>
    <w:rsid w:val="001A6C3F"/>
    <w:rsid w:val="001A6D24"/>
    <w:rsid w:val="001A79F6"/>
    <w:rsid w:val="001B036A"/>
    <w:rsid w:val="001B1915"/>
    <w:rsid w:val="001B22E4"/>
    <w:rsid w:val="001B2EC6"/>
    <w:rsid w:val="001B305A"/>
    <w:rsid w:val="001B35D2"/>
    <w:rsid w:val="001B5BB2"/>
    <w:rsid w:val="001B7C6B"/>
    <w:rsid w:val="001C1F0F"/>
    <w:rsid w:val="001C21B9"/>
    <w:rsid w:val="001C25C4"/>
    <w:rsid w:val="001C562C"/>
    <w:rsid w:val="001C5E65"/>
    <w:rsid w:val="001D0D2D"/>
    <w:rsid w:val="001D1D4E"/>
    <w:rsid w:val="001D20A0"/>
    <w:rsid w:val="001D5A9F"/>
    <w:rsid w:val="001D5C1C"/>
    <w:rsid w:val="001D6763"/>
    <w:rsid w:val="001D6FB3"/>
    <w:rsid w:val="001E3166"/>
    <w:rsid w:val="001E319C"/>
    <w:rsid w:val="001E42BB"/>
    <w:rsid w:val="001E65CB"/>
    <w:rsid w:val="001E6B67"/>
    <w:rsid w:val="001E76B3"/>
    <w:rsid w:val="001F0C91"/>
    <w:rsid w:val="001F157F"/>
    <w:rsid w:val="001F302F"/>
    <w:rsid w:val="001F36C9"/>
    <w:rsid w:val="001F380D"/>
    <w:rsid w:val="001F56C3"/>
    <w:rsid w:val="001F61EC"/>
    <w:rsid w:val="001F6B06"/>
    <w:rsid w:val="001F6B18"/>
    <w:rsid w:val="002006EE"/>
    <w:rsid w:val="00201A4D"/>
    <w:rsid w:val="0020580C"/>
    <w:rsid w:val="002061D4"/>
    <w:rsid w:val="002113CA"/>
    <w:rsid w:val="00214BBD"/>
    <w:rsid w:val="00214EC2"/>
    <w:rsid w:val="00215EC4"/>
    <w:rsid w:val="00216B8B"/>
    <w:rsid w:val="00220A36"/>
    <w:rsid w:val="0022143C"/>
    <w:rsid w:val="00221941"/>
    <w:rsid w:val="002239E6"/>
    <w:rsid w:val="0022491C"/>
    <w:rsid w:val="00225372"/>
    <w:rsid w:val="00227E52"/>
    <w:rsid w:val="00230320"/>
    <w:rsid w:val="0023080B"/>
    <w:rsid w:val="00231C3E"/>
    <w:rsid w:val="00232D97"/>
    <w:rsid w:val="00234E36"/>
    <w:rsid w:val="00235C74"/>
    <w:rsid w:val="00236927"/>
    <w:rsid w:val="00242C40"/>
    <w:rsid w:val="00242F49"/>
    <w:rsid w:val="00243CAA"/>
    <w:rsid w:val="00245570"/>
    <w:rsid w:val="002463D3"/>
    <w:rsid w:val="002464DD"/>
    <w:rsid w:val="00246E98"/>
    <w:rsid w:val="00250243"/>
    <w:rsid w:val="00250399"/>
    <w:rsid w:val="00250631"/>
    <w:rsid w:val="002516D6"/>
    <w:rsid w:val="0025258C"/>
    <w:rsid w:val="002534DB"/>
    <w:rsid w:val="00254645"/>
    <w:rsid w:val="00254DA7"/>
    <w:rsid w:val="0025585C"/>
    <w:rsid w:val="00255B38"/>
    <w:rsid w:val="002563CD"/>
    <w:rsid w:val="00256A9F"/>
    <w:rsid w:val="00261F1F"/>
    <w:rsid w:val="0026204B"/>
    <w:rsid w:val="00262A2B"/>
    <w:rsid w:val="0026376C"/>
    <w:rsid w:val="00265E61"/>
    <w:rsid w:val="00267599"/>
    <w:rsid w:val="002678A1"/>
    <w:rsid w:val="00270379"/>
    <w:rsid w:val="002704A2"/>
    <w:rsid w:val="002730C3"/>
    <w:rsid w:val="002739A2"/>
    <w:rsid w:val="0027585D"/>
    <w:rsid w:val="00275B2D"/>
    <w:rsid w:val="00275BD4"/>
    <w:rsid w:val="00280393"/>
    <w:rsid w:val="00281C60"/>
    <w:rsid w:val="00290AC2"/>
    <w:rsid w:val="002915A5"/>
    <w:rsid w:val="002915CF"/>
    <w:rsid w:val="002928A5"/>
    <w:rsid w:val="00292A6F"/>
    <w:rsid w:val="00295FEF"/>
    <w:rsid w:val="002A0C33"/>
    <w:rsid w:val="002A24C8"/>
    <w:rsid w:val="002A2519"/>
    <w:rsid w:val="002A32AB"/>
    <w:rsid w:val="002A437C"/>
    <w:rsid w:val="002A4469"/>
    <w:rsid w:val="002A467F"/>
    <w:rsid w:val="002A6607"/>
    <w:rsid w:val="002A6E84"/>
    <w:rsid w:val="002B0049"/>
    <w:rsid w:val="002B0468"/>
    <w:rsid w:val="002B19D3"/>
    <w:rsid w:val="002B378C"/>
    <w:rsid w:val="002B3B5C"/>
    <w:rsid w:val="002B5A1E"/>
    <w:rsid w:val="002B60DF"/>
    <w:rsid w:val="002B687F"/>
    <w:rsid w:val="002C0ADC"/>
    <w:rsid w:val="002C0D3C"/>
    <w:rsid w:val="002C3729"/>
    <w:rsid w:val="002C4969"/>
    <w:rsid w:val="002C4F67"/>
    <w:rsid w:val="002C789A"/>
    <w:rsid w:val="002C78FC"/>
    <w:rsid w:val="002D00CF"/>
    <w:rsid w:val="002D034D"/>
    <w:rsid w:val="002D1019"/>
    <w:rsid w:val="002D2041"/>
    <w:rsid w:val="002D38BE"/>
    <w:rsid w:val="002D391E"/>
    <w:rsid w:val="002D3F1C"/>
    <w:rsid w:val="002D3F34"/>
    <w:rsid w:val="002D659C"/>
    <w:rsid w:val="002D6940"/>
    <w:rsid w:val="002E2A88"/>
    <w:rsid w:val="002E3A53"/>
    <w:rsid w:val="002E5A05"/>
    <w:rsid w:val="002F26C2"/>
    <w:rsid w:val="002F2822"/>
    <w:rsid w:val="002F3890"/>
    <w:rsid w:val="002F4B78"/>
    <w:rsid w:val="002F6296"/>
    <w:rsid w:val="00302C83"/>
    <w:rsid w:val="00304560"/>
    <w:rsid w:val="00304E43"/>
    <w:rsid w:val="003102BB"/>
    <w:rsid w:val="0031182D"/>
    <w:rsid w:val="00315B65"/>
    <w:rsid w:val="00315F24"/>
    <w:rsid w:val="00316116"/>
    <w:rsid w:val="003162D9"/>
    <w:rsid w:val="00317063"/>
    <w:rsid w:val="0031710B"/>
    <w:rsid w:val="00317736"/>
    <w:rsid w:val="00322B16"/>
    <w:rsid w:val="003236C2"/>
    <w:rsid w:val="0032440A"/>
    <w:rsid w:val="00325A21"/>
    <w:rsid w:val="003278A9"/>
    <w:rsid w:val="00332CC6"/>
    <w:rsid w:val="00333470"/>
    <w:rsid w:val="00333D08"/>
    <w:rsid w:val="00334A30"/>
    <w:rsid w:val="00334BDB"/>
    <w:rsid w:val="00335264"/>
    <w:rsid w:val="003462F4"/>
    <w:rsid w:val="00346358"/>
    <w:rsid w:val="0035075A"/>
    <w:rsid w:val="003524B4"/>
    <w:rsid w:val="00360D9F"/>
    <w:rsid w:val="00362123"/>
    <w:rsid w:val="0036327F"/>
    <w:rsid w:val="0036549A"/>
    <w:rsid w:val="003656D8"/>
    <w:rsid w:val="00366780"/>
    <w:rsid w:val="003670FD"/>
    <w:rsid w:val="00367E96"/>
    <w:rsid w:val="00372A78"/>
    <w:rsid w:val="00373E04"/>
    <w:rsid w:val="00375A55"/>
    <w:rsid w:val="003776C5"/>
    <w:rsid w:val="003802DE"/>
    <w:rsid w:val="00380770"/>
    <w:rsid w:val="00381C80"/>
    <w:rsid w:val="003824D2"/>
    <w:rsid w:val="003838DF"/>
    <w:rsid w:val="00383945"/>
    <w:rsid w:val="00385566"/>
    <w:rsid w:val="003923DF"/>
    <w:rsid w:val="003945F6"/>
    <w:rsid w:val="00394ACF"/>
    <w:rsid w:val="003958EA"/>
    <w:rsid w:val="00395CBA"/>
    <w:rsid w:val="003969F6"/>
    <w:rsid w:val="00396C31"/>
    <w:rsid w:val="003A3861"/>
    <w:rsid w:val="003A4ACD"/>
    <w:rsid w:val="003A580F"/>
    <w:rsid w:val="003A5D59"/>
    <w:rsid w:val="003A74D6"/>
    <w:rsid w:val="003A7635"/>
    <w:rsid w:val="003A77BB"/>
    <w:rsid w:val="003B2134"/>
    <w:rsid w:val="003B2FE3"/>
    <w:rsid w:val="003B508B"/>
    <w:rsid w:val="003B51F7"/>
    <w:rsid w:val="003B65F2"/>
    <w:rsid w:val="003B7525"/>
    <w:rsid w:val="003B7CD1"/>
    <w:rsid w:val="003C2483"/>
    <w:rsid w:val="003C2AC2"/>
    <w:rsid w:val="003C3429"/>
    <w:rsid w:val="003C7692"/>
    <w:rsid w:val="003D1980"/>
    <w:rsid w:val="003D2266"/>
    <w:rsid w:val="003D45CA"/>
    <w:rsid w:val="003D7F7D"/>
    <w:rsid w:val="003E093A"/>
    <w:rsid w:val="003E196E"/>
    <w:rsid w:val="003E1AC8"/>
    <w:rsid w:val="003E3164"/>
    <w:rsid w:val="003E4C98"/>
    <w:rsid w:val="003E628F"/>
    <w:rsid w:val="003E67E9"/>
    <w:rsid w:val="003E6F06"/>
    <w:rsid w:val="003F062C"/>
    <w:rsid w:val="003F07D4"/>
    <w:rsid w:val="003F0CE9"/>
    <w:rsid w:val="003F24EB"/>
    <w:rsid w:val="003F2527"/>
    <w:rsid w:val="003F2ACC"/>
    <w:rsid w:val="003F3E97"/>
    <w:rsid w:val="003F5FBF"/>
    <w:rsid w:val="003F7D21"/>
    <w:rsid w:val="003F7FCF"/>
    <w:rsid w:val="00400CF8"/>
    <w:rsid w:val="004013EC"/>
    <w:rsid w:val="00402620"/>
    <w:rsid w:val="00403378"/>
    <w:rsid w:val="00403E11"/>
    <w:rsid w:val="00404744"/>
    <w:rsid w:val="00404CF9"/>
    <w:rsid w:val="00406B9F"/>
    <w:rsid w:val="00406C26"/>
    <w:rsid w:val="00407BA4"/>
    <w:rsid w:val="00411128"/>
    <w:rsid w:val="00411FCD"/>
    <w:rsid w:val="0041221A"/>
    <w:rsid w:val="00413A68"/>
    <w:rsid w:val="00415998"/>
    <w:rsid w:val="00415D0C"/>
    <w:rsid w:val="0042279F"/>
    <w:rsid w:val="0042298D"/>
    <w:rsid w:val="00423D53"/>
    <w:rsid w:val="00431AE9"/>
    <w:rsid w:val="004320CC"/>
    <w:rsid w:val="00432AFC"/>
    <w:rsid w:val="00433106"/>
    <w:rsid w:val="0043428B"/>
    <w:rsid w:val="0043431E"/>
    <w:rsid w:val="004356D9"/>
    <w:rsid w:val="004358D9"/>
    <w:rsid w:val="004360B2"/>
    <w:rsid w:val="0043673D"/>
    <w:rsid w:val="00436FB8"/>
    <w:rsid w:val="00437739"/>
    <w:rsid w:val="00440751"/>
    <w:rsid w:val="004411FC"/>
    <w:rsid w:val="00441D0B"/>
    <w:rsid w:val="00443134"/>
    <w:rsid w:val="0044475E"/>
    <w:rsid w:val="00444BCF"/>
    <w:rsid w:val="00444F74"/>
    <w:rsid w:val="00446EC3"/>
    <w:rsid w:val="0044750C"/>
    <w:rsid w:val="00450193"/>
    <w:rsid w:val="00451F7E"/>
    <w:rsid w:val="004528CF"/>
    <w:rsid w:val="00453BD1"/>
    <w:rsid w:val="00454C2D"/>
    <w:rsid w:val="00455060"/>
    <w:rsid w:val="004551DB"/>
    <w:rsid w:val="00455290"/>
    <w:rsid w:val="00464AFC"/>
    <w:rsid w:val="00467F21"/>
    <w:rsid w:val="00471D9F"/>
    <w:rsid w:val="004736D4"/>
    <w:rsid w:val="00473F31"/>
    <w:rsid w:val="00474536"/>
    <w:rsid w:val="00482299"/>
    <w:rsid w:val="00483A93"/>
    <w:rsid w:val="00483B44"/>
    <w:rsid w:val="00484790"/>
    <w:rsid w:val="00484EC6"/>
    <w:rsid w:val="004850FA"/>
    <w:rsid w:val="00485995"/>
    <w:rsid w:val="00486647"/>
    <w:rsid w:val="00490476"/>
    <w:rsid w:val="00490A1C"/>
    <w:rsid w:val="00491060"/>
    <w:rsid w:val="004917B4"/>
    <w:rsid w:val="004932A0"/>
    <w:rsid w:val="004937BE"/>
    <w:rsid w:val="004942B7"/>
    <w:rsid w:val="0049673B"/>
    <w:rsid w:val="00496BF9"/>
    <w:rsid w:val="00496CE7"/>
    <w:rsid w:val="00497170"/>
    <w:rsid w:val="004979E3"/>
    <w:rsid w:val="004A0239"/>
    <w:rsid w:val="004A06CC"/>
    <w:rsid w:val="004A0771"/>
    <w:rsid w:val="004A19F2"/>
    <w:rsid w:val="004A200A"/>
    <w:rsid w:val="004A4A6E"/>
    <w:rsid w:val="004B0C33"/>
    <w:rsid w:val="004B1A2C"/>
    <w:rsid w:val="004B356E"/>
    <w:rsid w:val="004B4E3F"/>
    <w:rsid w:val="004C3AB7"/>
    <w:rsid w:val="004C47DD"/>
    <w:rsid w:val="004C49A1"/>
    <w:rsid w:val="004C63D7"/>
    <w:rsid w:val="004C710A"/>
    <w:rsid w:val="004D043F"/>
    <w:rsid w:val="004D0BBC"/>
    <w:rsid w:val="004D4649"/>
    <w:rsid w:val="004D4A94"/>
    <w:rsid w:val="004D6777"/>
    <w:rsid w:val="004D79B7"/>
    <w:rsid w:val="004E29A1"/>
    <w:rsid w:val="004E60C4"/>
    <w:rsid w:val="004E767A"/>
    <w:rsid w:val="004E7E01"/>
    <w:rsid w:val="004F0703"/>
    <w:rsid w:val="004F14BC"/>
    <w:rsid w:val="004F1B93"/>
    <w:rsid w:val="004F364B"/>
    <w:rsid w:val="004F516C"/>
    <w:rsid w:val="004F74E4"/>
    <w:rsid w:val="004F7528"/>
    <w:rsid w:val="00502A05"/>
    <w:rsid w:val="00503058"/>
    <w:rsid w:val="00503D6B"/>
    <w:rsid w:val="00505598"/>
    <w:rsid w:val="00505EAF"/>
    <w:rsid w:val="00506213"/>
    <w:rsid w:val="005073FC"/>
    <w:rsid w:val="00507846"/>
    <w:rsid w:val="00511BD9"/>
    <w:rsid w:val="00515502"/>
    <w:rsid w:val="00515ED1"/>
    <w:rsid w:val="00517D16"/>
    <w:rsid w:val="00520E94"/>
    <w:rsid w:val="0052109D"/>
    <w:rsid w:val="005230B1"/>
    <w:rsid w:val="00524052"/>
    <w:rsid w:val="00524AAB"/>
    <w:rsid w:val="0052516A"/>
    <w:rsid w:val="005323F7"/>
    <w:rsid w:val="00532AD2"/>
    <w:rsid w:val="00533890"/>
    <w:rsid w:val="005338A9"/>
    <w:rsid w:val="0053641D"/>
    <w:rsid w:val="00536FB8"/>
    <w:rsid w:val="00537A3F"/>
    <w:rsid w:val="0054066B"/>
    <w:rsid w:val="005418FD"/>
    <w:rsid w:val="005420EB"/>
    <w:rsid w:val="00544CAF"/>
    <w:rsid w:val="00544ED4"/>
    <w:rsid w:val="0054634E"/>
    <w:rsid w:val="00551060"/>
    <w:rsid w:val="005510AD"/>
    <w:rsid w:val="00551C45"/>
    <w:rsid w:val="00552518"/>
    <w:rsid w:val="00552D40"/>
    <w:rsid w:val="00556BAB"/>
    <w:rsid w:val="00560DA1"/>
    <w:rsid w:val="00562EF5"/>
    <w:rsid w:val="00563722"/>
    <w:rsid w:val="00566F49"/>
    <w:rsid w:val="0057113F"/>
    <w:rsid w:val="00571306"/>
    <w:rsid w:val="005713A9"/>
    <w:rsid w:val="005741AE"/>
    <w:rsid w:val="00574B8D"/>
    <w:rsid w:val="00574CCA"/>
    <w:rsid w:val="0058005A"/>
    <w:rsid w:val="00580D8F"/>
    <w:rsid w:val="005810D5"/>
    <w:rsid w:val="00581C69"/>
    <w:rsid w:val="005825AE"/>
    <w:rsid w:val="0058375A"/>
    <w:rsid w:val="00583FB0"/>
    <w:rsid w:val="00586618"/>
    <w:rsid w:val="00587E34"/>
    <w:rsid w:val="0059531F"/>
    <w:rsid w:val="005965A8"/>
    <w:rsid w:val="00596CB0"/>
    <w:rsid w:val="0059740B"/>
    <w:rsid w:val="00597522"/>
    <w:rsid w:val="00597F3B"/>
    <w:rsid w:val="005A01E0"/>
    <w:rsid w:val="005A04B9"/>
    <w:rsid w:val="005A1270"/>
    <w:rsid w:val="005A1334"/>
    <w:rsid w:val="005A1E31"/>
    <w:rsid w:val="005A1FA2"/>
    <w:rsid w:val="005A2BA6"/>
    <w:rsid w:val="005A3151"/>
    <w:rsid w:val="005A3388"/>
    <w:rsid w:val="005A3BDE"/>
    <w:rsid w:val="005A483B"/>
    <w:rsid w:val="005A6050"/>
    <w:rsid w:val="005A615C"/>
    <w:rsid w:val="005A7219"/>
    <w:rsid w:val="005B1FDA"/>
    <w:rsid w:val="005B5F77"/>
    <w:rsid w:val="005B664C"/>
    <w:rsid w:val="005B695D"/>
    <w:rsid w:val="005C0660"/>
    <w:rsid w:val="005C0DAD"/>
    <w:rsid w:val="005C3136"/>
    <w:rsid w:val="005C3709"/>
    <w:rsid w:val="005C394B"/>
    <w:rsid w:val="005C3A44"/>
    <w:rsid w:val="005C4FD9"/>
    <w:rsid w:val="005C6F24"/>
    <w:rsid w:val="005C7541"/>
    <w:rsid w:val="005D043A"/>
    <w:rsid w:val="005D06EB"/>
    <w:rsid w:val="005D0EE2"/>
    <w:rsid w:val="005D2759"/>
    <w:rsid w:val="005D40C5"/>
    <w:rsid w:val="005D4F5E"/>
    <w:rsid w:val="005D6167"/>
    <w:rsid w:val="005D730E"/>
    <w:rsid w:val="005E1455"/>
    <w:rsid w:val="005E15FD"/>
    <w:rsid w:val="005E1D46"/>
    <w:rsid w:val="005E39D6"/>
    <w:rsid w:val="005E5496"/>
    <w:rsid w:val="005E733B"/>
    <w:rsid w:val="005F1304"/>
    <w:rsid w:val="005F473B"/>
    <w:rsid w:val="005F4CBE"/>
    <w:rsid w:val="005F4DA3"/>
    <w:rsid w:val="005F4E30"/>
    <w:rsid w:val="005F502D"/>
    <w:rsid w:val="005F6F36"/>
    <w:rsid w:val="006002E3"/>
    <w:rsid w:val="00601D44"/>
    <w:rsid w:val="006033CE"/>
    <w:rsid w:val="00603C74"/>
    <w:rsid w:val="00606598"/>
    <w:rsid w:val="00607B66"/>
    <w:rsid w:val="00612F60"/>
    <w:rsid w:val="00613A8C"/>
    <w:rsid w:val="00613CDE"/>
    <w:rsid w:val="00614F88"/>
    <w:rsid w:val="0061597F"/>
    <w:rsid w:val="00615C47"/>
    <w:rsid w:val="00615CE7"/>
    <w:rsid w:val="0061717A"/>
    <w:rsid w:val="0061798C"/>
    <w:rsid w:val="00617CF8"/>
    <w:rsid w:val="00622DA3"/>
    <w:rsid w:val="00626080"/>
    <w:rsid w:val="00626948"/>
    <w:rsid w:val="00633637"/>
    <w:rsid w:val="00634949"/>
    <w:rsid w:val="00636008"/>
    <w:rsid w:val="0064097D"/>
    <w:rsid w:val="00640A7F"/>
    <w:rsid w:val="00641E61"/>
    <w:rsid w:val="00643088"/>
    <w:rsid w:val="00644B21"/>
    <w:rsid w:val="00645749"/>
    <w:rsid w:val="00647BA7"/>
    <w:rsid w:val="00650CFE"/>
    <w:rsid w:val="00653298"/>
    <w:rsid w:val="00653A6D"/>
    <w:rsid w:val="006551E4"/>
    <w:rsid w:val="0065532C"/>
    <w:rsid w:val="00656FD7"/>
    <w:rsid w:val="0065748A"/>
    <w:rsid w:val="00657708"/>
    <w:rsid w:val="00660C28"/>
    <w:rsid w:val="00662149"/>
    <w:rsid w:val="00662984"/>
    <w:rsid w:val="00665840"/>
    <w:rsid w:val="00665BCB"/>
    <w:rsid w:val="00666CF2"/>
    <w:rsid w:val="006703D9"/>
    <w:rsid w:val="00670EC6"/>
    <w:rsid w:val="00671335"/>
    <w:rsid w:val="00672E80"/>
    <w:rsid w:val="00673DA9"/>
    <w:rsid w:val="00675E41"/>
    <w:rsid w:val="00681820"/>
    <w:rsid w:val="00682C5F"/>
    <w:rsid w:val="00683979"/>
    <w:rsid w:val="00684165"/>
    <w:rsid w:val="00686E7E"/>
    <w:rsid w:val="006870E4"/>
    <w:rsid w:val="00687202"/>
    <w:rsid w:val="00687913"/>
    <w:rsid w:val="00691F38"/>
    <w:rsid w:val="00693638"/>
    <w:rsid w:val="00694165"/>
    <w:rsid w:val="00694EDF"/>
    <w:rsid w:val="00695414"/>
    <w:rsid w:val="006A0776"/>
    <w:rsid w:val="006A28F7"/>
    <w:rsid w:val="006A2A93"/>
    <w:rsid w:val="006A2F24"/>
    <w:rsid w:val="006A3578"/>
    <w:rsid w:val="006A6598"/>
    <w:rsid w:val="006A7949"/>
    <w:rsid w:val="006B3F1B"/>
    <w:rsid w:val="006B427F"/>
    <w:rsid w:val="006B791F"/>
    <w:rsid w:val="006C1A41"/>
    <w:rsid w:val="006C1A89"/>
    <w:rsid w:val="006C36A6"/>
    <w:rsid w:val="006C3DB1"/>
    <w:rsid w:val="006C4473"/>
    <w:rsid w:val="006C48D2"/>
    <w:rsid w:val="006C55D8"/>
    <w:rsid w:val="006C69E5"/>
    <w:rsid w:val="006D36EF"/>
    <w:rsid w:val="006D3B2B"/>
    <w:rsid w:val="006D42FC"/>
    <w:rsid w:val="006D4B0A"/>
    <w:rsid w:val="006D66D1"/>
    <w:rsid w:val="006E0486"/>
    <w:rsid w:val="006E0B0D"/>
    <w:rsid w:val="006E14CE"/>
    <w:rsid w:val="006E172E"/>
    <w:rsid w:val="006E2C32"/>
    <w:rsid w:val="006E527B"/>
    <w:rsid w:val="006E668E"/>
    <w:rsid w:val="006E699A"/>
    <w:rsid w:val="006E6D44"/>
    <w:rsid w:val="006F0A1D"/>
    <w:rsid w:val="006F1922"/>
    <w:rsid w:val="006F23AF"/>
    <w:rsid w:val="006F285E"/>
    <w:rsid w:val="006F3DB7"/>
    <w:rsid w:val="006F4C20"/>
    <w:rsid w:val="007004A9"/>
    <w:rsid w:val="007008C5"/>
    <w:rsid w:val="00701289"/>
    <w:rsid w:val="00702AD8"/>
    <w:rsid w:val="007031E6"/>
    <w:rsid w:val="00704529"/>
    <w:rsid w:val="00707010"/>
    <w:rsid w:val="00710B6F"/>
    <w:rsid w:val="00711BAB"/>
    <w:rsid w:val="00711FD4"/>
    <w:rsid w:val="00712C02"/>
    <w:rsid w:val="00714FAF"/>
    <w:rsid w:val="0071680F"/>
    <w:rsid w:val="0072004D"/>
    <w:rsid w:val="00720BC7"/>
    <w:rsid w:val="00721E51"/>
    <w:rsid w:val="007230F1"/>
    <w:rsid w:val="00725755"/>
    <w:rsid w:val="007305FC"/>
    <w:rsid w:val="00730B01"/>
    <w:rsid w:val="0073187C"/>
    <w:rsid w:val="007337B1"/>
    <w:rsid w:val="00734AC7"/>
    <w:rsid w:val="00735D4F"/>
    <w:rsid w:val="0074015C"/>
    <w:rsid w:val="0074061D"/>
    <w:rsid w:val="00740726"/>
    <w:rsid w:val="00741863"/>
    <w:rsid w:val="00742CC0"/>
    <w:rsid w:val="007451DD"/>
    <w:rsid w:val="00745375"/>
    <w:rsid w:val="0074620A"/>
    <w:rsid w:val="007519FC"/>
    <w:rsid w:val="00752047"/>
    <w:rsid w:val="00757154"/>
    <w:rsid w:val="00761F3C"/>
    <w:rsid w:val="00762C1C"/>
    <w:rsid w:val="00762D16"/>
    <w:rsid w:val="00762D32"/>
    <w:rsid w:val="00763F30"/>
    <w:rsid w:val="00763FF1"/>
    <w:rsid w:val="00765451"/>
    <w:rsid w:val="007707E7"/>
    <w:rsid w:val="007712C9"/>
    <w:rsid w:val="00771B77"/>
    <w:rsid w:val="00771F29"/>
    <w:rsid w:val="00773927"/>
    <w:rsid w:val="0077753B"/>
    <w:rsid w:val="00777D2B"/>
    <w:rsid w:val="007809A8"/>
    <w:rsid w:val="00781217"/>
    <w:rsid w:val="00783DE3"/>
    <w:rsid w:val="00784BB4"/>
    <w:rsid w:val="0078794D"/>
    <w:rsid w:val="007920C7"/>
    <w:rsid w:val="00792B80"/>
    <w:rsid w:val="00792E91"/>
    <w:rsid w:val="00793963"/>
    <w:rsid w:val="00795A0B"/>
    <w:rsid w:val="00795CCA"/>
    <w:rsid w:val="00796B41"/>
    <w:rsid w:val="007975F0"/>
    <w:rsid w:val="00797EB9"/>
    <w:rsid w:val="007A0336"/>
    <w:rsid w:val="007A0CB7"/>
    <w:rsid w:val="007A1E34"/>
    <w:rsid w:val="007A2CE3"/>
    <w:rsid w:val="007A30BB"/>
    <w:rsid w:val="007A4324"/>
    <w:rsid w:val="007A4465"/>
    <w:rsid w:val="007A69B4"/>
    <w:rsid w:val="007A735D"/>
    <w:rsid w:val="007A793D"/>
    <w:rsid w:val="007B03BB"/>
    <w:rsid w:val="007B1BAB"/>
    <w:rsid w:val="007B2548"/>
    <w:rsid w:val="007B3938"/>
    <w:rsid w:val="007B6CEE"/>
    <w:rsid w:val="007B7AA0"/>
    <w:rsid w:val="007B7D9B"/>
    <w:rsid w:val="007B7E65"/>
    <w:rsid w:val="007C0C56"/>
    <w:rsid w:val="007C50AB"/>
    <w:rsid w:val="007C566D"/>
    <w:rsid w:val="007C6060"/>
    <w:rsid w:val="007C6ABF"/>
    <w:rsid w:val="007C7915"/>
    <w:rsid w:val="007D10D5"/>
    <w:rsid w:val="007D2AC4"/>
    <w:rsid w:val="007D65F6"/>
    <w:rsid w:val="007D7D70"/>
    <w:rsid w:val="007D7D95"/>
    <w:rsid w:val="007D7EA3"/>
    <w:rsid w:val="007E02F8"/>
    <w:rsid w:val="007E03BD"/>
    <w:rsid w:val="007E07AC"/>
    <w:rsid w:val="007E0835"/>
    <w:rsid w:val="007E2092"/>
    <w:rsid w:val="007E324D"/>
    <w:rsid w:val="007E5C3B"/>
    <w:rsid w:val="007F0564"/>
    <w:rsid w:val="007F07C7"/>
    <w:rsid w:val="007F3214"/>
    <w:rsid w:val="007F383F"/>
    <w:rsid w:val="007F5D19"/>
    <w:rsid w:val="007F60CE"/>
    <w:rsid w:val="007F7C83"/>
    <w:rsid w:val="00801D9C"/>
    <w:rsid w:val="00802BE6"/>
    <w:rsid w:val="00802D01"/>
    <w:rsid w:val="00803BF8"/>
    <w:rsid w:val="0080400B"/>
    <w:rsid w:val="00804984"/>
    <w:rsid w:val="00810D41"/>
    <w:rsid w:val="00811A99"/>
    <w:rsid w:val="00812113"/>
    <w:rsid w:val="00812C51"/>
    <w:rsid w:val="008132EF"/>
    <w:rsid w:val="0081557B"/>
    <w:rsid w:val="00816074"/>
    <w:rsid w:val="008168FE"/>
    <w:rsid w:val="00821A46"/>
    <w:rsid w:val="008245F2"/>
    <w:rsid w:val="00825B78"/>
    <w:rsid w:val="00825F83"/>
    <w:rsid w:val="008265B5"/>
    <w:rsid w:val="0082669D"/>
    <w:rsid w:val="008275CC"/>
    <w:rsid w:val="00827E80"/>
    <w:rsid w:val="00830EAC"/>
    <w:rsid w:val="00835512"/>
    <w:rsid w:val="008369A5"/>
    <w:rsid w:val="00836AF0"/>
    <w:rsid w:val="00837EA0"/>
    <w:rsid w:val="00841A91"/>
    <w:rsid w:val="008421D4"/>
    <w:rsid w:val="00842817"/>
    <w:rsid w:val="00842BC0"/>
    <w:rsid w:val="008430EF"/>
    <w:rsid w:val="0084768B"/>
    <w:rsid w:val="008479B3"/>
    <w:rsid w:val="0085070C"/>
    <w:rsid w:val="0085198A"/>
    <w:rsid w:val="00852B95"/>
    <w:rsid w:val="00853178"/>
    <w:rsid w:val="008567C7"/>
    <w:rsid w:val="00857AF6"/>
    <w:rsid w:val="00860A46"/>
    <w:rsid w:val="00860EC0"/>
    <w:rsid w:val="0086106C"/>
    <w:rsid w:val="00861F78"/>
    <w:rsid w:val="0086285A"/>
    <w:rsid w:val="00862CCF"/>
    <w:rsid w:val="00864157"/>
    <w:rsid w:val="00864ADB"/>
    <w:rsid w:val="00866624"/>
    <w:rsid w:val="00867026"/>
    <w:rsid w:val="00867335"/>
    <w:rsid w:val="0087041A"/>
    <w:rsid w:val="00870A48"/>
    <w:rsid w:val="00874A5D"/>
    <w:rsid w:val="00875308"/>
    <w:rsid w:val="0087644C"/>
    <w:rsid w:val="00876DA0"/>
    <w:rsid w:val="008771AA"/>
    <w:rsid w:val="0087745D"/>
    <w:rsid w:val="00877BD4"/>
    <w:rsid w:val="0088166F"/>
    <w:rsid w:val="00881BBD"/>
    <w:rsid w:val="008825FB"/>
    <w:rsid w:val="00882E42"/>
    <w:rsid w:val="0088321F"/>
    <w:rsid w:val="008835C8"/>
    <w:rsid w:val="0088374D"/>
    <w:rsid w:val="00885AFA"/>
    <w:rsid w:val="00885D77"/>
    <w:rsid w:val="0088654C"/>
    <w:rsid w:val="00887B0D"/>
    <w:rsid w:val="008912CC"/>
    <w:rsid w:val="00891AFA"/>
    <w:rsid w:val="00893449"/>
    <w:rsid w:val="008948A3"/>
    <w:rsid w:val="00894B13"/>
    <w:rsid w:val="0089528B"/>
    <w:rsid w:val="00897B8F"/>
    <w:rsid w:val="008A1C1B"/>
    <w:rsid w:val="008A2F49"/>
    <w:rsid w:val="008A4D4C"/>
    <w:rsid w:val="008A63C4"/>
    <w:rsid w:val="008A6766"/>
    <w:rsid w:val="008A72F8"/>
    <w:rsid w:val="008A774D"/>
    <w:rsid w:val="008A79F5"/>
    <w:rsid w:val="008A7B3C"/>
    <w:rsid w:val="008B0806"/>
    <w:rsid w:val="008B0BA9"/>
    <w:rsid w:val="008B122E"/>
    <w:rsid w:val="008B5292"/>
    <w:rsid w:val="008B7076"/>
    <w:rsid w:val="008C0244"/>
    <w:rsid w:val="008C02C2"/>
    <w:rsid w:val="008C07CA"/>
    <w:rsid w:val="008C2184"/>
    <w:rsid w:val="008C228E"/>
    <w:rsid w:val="008C24C0"/>
    <w:rsid w:val="008C37D2"/>
    <w:rsid w:val="008C4385"/>
    <w:rsid w:val="008C519D"/>
    <w:rsid w:val="008C6460"/>
    <w:rsid w:val="008C6725"/>
    <w:rsid w:val="008D0E69"/>
    <w:rsid w:val="008D1D55"/>
    <w:rsid w:val="008D1EAF"/>
    <w:rsid w:val="008D2591"/>
    <w:rsid w:val="008D3214"/>
    <w:rsid w:val="008D4F42"/>
    <w:rsid w:val="008E07D1"/>
    <w:rsid w:val="008E2C35"/>
    <w:rsid w:val="008E4ADF"/>
    <w:rsid w:val="008E4F22"/>
    <w:rsid w:val="008E5092"/>
    <w:rsid w:val="008E5A6A"/>
    <w:rsid w:val="008E5AB9"/>
    <w:rsid w:val="008E5BBC"/>
    <w:rsid w:val="008E6BED"/>
    <w:rsid w:val="008F120E"/>
    <w:rsid w:val="008F1977"/>
    <w:rsid w:val="008F38A6"/>
    <w:rsid w:val="008F551E"/>
    <w:rsid w:val="008F62EB"/>
    <w:rsid w:val="008F7715"/>
    <w:rsid w:val="009014AA"/>
    <w:rsid w:val="009015CD"/>
    <w:rsid w:val="00902292"/>
    <w:rsid w:val="00902326"/>
    <w:rsid w:val="0090645C"/>
    <w:rsid w:val="00910667"/>
    <w:rsid w:val="00910869"/>
    <w:rsid w:val="00914486"/>
    <w:rsid w:val="00915880"/>
    <w:rsid w:val="009169D9"/>
    <w:rsid w:val="00917507"/>
    <w:rsid w:val="009202F8"/>
    <w:rsid w:val="00930A4C"/>
    <w:rsid w:val="00931D37"/>
    <w:rsid w:val="00931D5E"/>
    <w:rsid w:val="0093346D"/>
    <w:rsid w:val="00933FC7"/>
    <w:rsid w:val="009349DE"/>
    <w:rsid w:val="00934CA2"/>
    <w:rsid w:val="0093541E"/>
    <w:rsid w:val="00937992"/>
    <w:rsid w:val="00940432"/>
    <w:rsid w:val="00941BD0"/>
    <w:rsid w:val="0094354B"/>
    <w:rsid w:val="00943635"/>
    <w:rsid w:val="009445C1"/>
    <w:rsid w:val="0094705F"/>
    <w:rsid w:val="0094746C"/>
    <w:rsid w:val="0094757D"/>
    <w:rsid w:val="00952DA7"/>
    <w:rsid w:val="00955663"/>
    <w:rsid w:val="00955842"/>
    <w:rsid w:val="00956609"/>
    <w:rsid w:val="00956D46"/>
    <w:rsid w:val="00956FFA"/>
    <w:rsid w:val="0095756E"/>
    <w:rsid w:val="009617B1"/>
    <w:rsid w:val="0096268E"/>
    <w:rsid w:val="00962948"/>
    <w:rsid w:val="0096322F"/>
    <w:rsid w:val="00965280"/>
    <w:rsid w:val="00967D9E"/>
    <w:rsid w:val="00967FD5"/>
    <w:rsid w:val="00970C53"/>
    <w:rsid w:val="00972EA2"/>
    <w:rsid w:val="00975D3E"/>
    <w:rsid w:val="00976077"/>
    <w:rsid w:val="00976F99"/>
    <w:rsid w:val="00977EB7"/>
    <w:rsid w:val="00981024"/>
    <w:rsid w:val="009816CC"/>
    <w:rsid w:val="00981757"/>
    <w:rsid w:val="00981883"/>
    <w:rsid w:val="009819D5"/>
    <w:rsid w:val="0098615C"/>
    <w:rsid w:val="00992B72"/>
    <w:rsid w:val="00994294"/>
    <w:rsid w:val="0099480D"/>
    <w:rsid w:val="00996056"/>
    <w:rsid w:val="00996885"/>
    <w:rsid w:val="009A1E4E"/>
    <w:rsid w:val="009A1F03"/>
    <w:rsid w:val="009A3F41"/>
    <w:rsid w:val="009A4B71"/>
    <w:rsid w:val="009A4E1D"/>
    <w:rsid w:val="009A51FE"/>
    <w:rsid w:val="009B012E"/>
    <w:rsid w:val="009B14A0"/>
    <w:rsid w:val="009B44C8"/>
    <w:rsid w:val="009B4B69"/>
    <w:rsid w:val="009B5021"/>
    <w:rsid w:val="009C28C3"/>
    <w:rsid w:val="009C3E73"/>
    <w:rsid w:val="009C53D9"/>
    <w:rsid w:val="009C5CD7"/>
    <w:rsid w:val="009C66A4"/>
    <w:rsid w:val="009D04D4"/>
    <w:rsid w:val="009D0742"/>
    <w:rsid w:val="009D0A53"/>
    <w:rsid w:val="009D1768"/>
    <w:rsid w:val="009D68FA"/>
    <w:rsid w:val="009D71D5"/>
    <w:rsid w:val="009D7D38"/>
    <w:rsid w:val="009E1F16"/>
    <w:rsid w:val="009E23C9"/>
    <w:rsid w:val="009E5390"/>
    <w:rsid w:val="009E7082"/>
    <w:rsid w:val="009E7B3E"/>
    <w:rsid w:val="009E7B6E"/>
    <w:rsid w:val="009E7DDD"/>
    <w:rsid w:val="009F18DD"/>
    <w:rsid w:val="009F26BA"/>
    <w:rsid w:val="009F2744"/>
    <w:rsid w:val="009F2B98"/>
    <w:rsid w:val="009F7B18"/>
    <w:rsid w:val="00A00247"/>
    <w:rsid w:val="00A034A7"/>
    <w:rsid w:val="00A03753"/>
    <w:rsid w:val="00A07439"/>
    <w:rsid w:val="00A076B5"/>
    <w:rsid w:val="00A07F8C"/>
    <w:rsid w:val="00A11EF4"/>
    <w:rsid w:val="00A1251E"/>
    <w:rsid w:val="00A12CBC"/>
    <w:rsid w:val="00A12DB9"/>
    <w:rsid w:val="00A14AE9"/>
    <w:rsid w:val="00A15337"/>
    <w:rsid w:val="00A170A4"/>
    <w:rsid w:val="00A1747A"/>
    <w:rsid w:val="00A17771"/>
    <w:rsid w:val="00A203E8"/>
    <w:rsid w:val="00A20C12"/>
    <w:rsid w:val="00A20C1B"/>
    <w:rsid w:val="00A211F3"/>
    <w:rsid w:val="00A2214C"/>
    <w:rsid w:val="00A22AAD"/>
    <w:rsid w:val="00A26865"/>
    <w:rsid w:val="00A2701E"/>
    <w:rsid w:val="00A271C6"/>
    <w:rsid w:val="00A308BE"/>
    <w:rsid w:val="00A32F46"/>
    <w:rsid w:val="00A32FCC"/>
    <w:rsid w:val="00A33352"/>
    <w:rsid w:val="00A3350A"/>
    <w:rsid w:val="00A3392E"/>
    <w:rsid w:val="00A33E85"/>
    <w:rsid w:val="00A341E4"/>
    <w:rsid w:val="00A3536C"/>
    <w:rsid w:val="00A35FCD"/>
    <w:rsid w:val="00A3664B"/>
    <w:rsid w:val="00A36F6B"/>
    <w:rsid w:val="00A4414F"/>
    <w:rsid w:val="00A44F15"/>
    <w:rsid w:val="00A466C1"/>
    <w:rsid w:val="00A46A52"/>
    <w:rsid w:val="00A46B13"/>
    <w:rsid w:val="00A46E37"/>
    <w:rsid w:val="00A5208A"/>
    <w:rsid w:val="00A53479"/>
    <w:rsid w:val="00A54622"/>
    <w:rsid w:val="00A54953"/>
    <w:rsid w:val="00A557EE"/>
    <w:rsid w:val="00A56ED7"/>
    <w:rsid w:val="00A57F6A"/>
    <w:rsid w:val="00A61CBE"/>
    <w:rsid w:val="00A6565D"/>
    <w:rsid w:val="00A65F2D"/>
    <w:rsid w:val="00A663C5"/>
    <w:rsid w:val="00A668AC"/>
    <w:rsid w:val="00A732CB"/>
    <w:rsid w:val="00A7382C"/>
    <w:rsid w:val="00A7518B"/>
    <w:rsid w:val="00A75658"/>
    <w:rsid w:val="00A75ACE"/>
    <w:rsid w:val="00A767A8"/>
    <w:rsid w:val="00A76F37"/>
    <w:rsid w:val="00A77DB7"/>
    <w:rsid w:val="00A81BA2"/>
    <w:rsid w:val="00A82601"/>
    <w:rsid w:val="00A87589"/>
    <w:rsid w:val="00A876C7"/>
    <w:rsid w:val="00A94AB6"/>
    <w:rsid w:val="00A9572B"/>
    <w:rsid w:val="00A96C17"/>
    <w:rsid w:val="00AA0DD6"/>
    <w:rsid w:val="00AA2D1F"/>
    <w:rsid w:val="00AA3602"/>
    <w:rsid w:val="00AA4769"/>
    <w:rsid w:val="00AA5757"/>
    <w:rsid w:val="00AA6170"/>
    <w:rsid w:val="00AA7D32"/>
    <w:rsid w:val="00AB0435"/>
    <w:rsid w:val="00AB121E"/>
    <w:rsid w:val="00AB35C0"/>
    <w:rsid w:val="00AB3F43"/>
    <w:rsid w:val="00AB4A45"/>
    <w:rsid w:val="00AB6CB6"/>
    <w:rsid w:val="00AC17FD"/>
    <w:rsid w:val="00AC324C"/>
    <w:rsid w:val="00AC567B"/>
    <w:rsid w:val="00AC5A58"/>
    <w:rsid w:val="00AC632E"/>
    <w:rsid w:val="00AC72E0"/>
    <w:rsid w:val="00AC7A97"/>
    <w:rsid w:val="00AC7FD1"/>
    <w:rsid w:val="00AD0059"/>
    <w:rsid w:val="00AD0C97"/>
    <w:rsid w:val="00AD17D2"/>
    <w:rsid w:val="00AD4DC9"/>
    <w:rsid w:val="00AD6414"/>
    <w:rsid w:val="00AE084D"/>
    <w:rsid w:val="00AE3648"/>
    <w:rsid w:val="00AE3731"/>
    <w:rsid w:val="00AE3921"/>
    <w:rsid w:val="00AE41E7"/>
    <w:rsid w:val="00AE4C6E"/>
    <w:rsid w:val="00AF229E"/>
    <w:rsid w:val="00AF47F7"/>
    <w:rsid w:val="00AF6541"/>
    <w:rsid w:val="00AF6674"/>
    <w:rsid w:val="00AF7215"/>
    <w:rsid w:val="00B011FA"/>
    <w:rsid w:val="00B013DB"/>
    <w:rsid w:val="00B016AA"/>
    <w:rsid w:val="00B01715"/>
    <w:rsid w:val="00B01B41"/>
    <w:rsid w:val="00B02403"/>
    <w:rsid w:val="00B02CF7"/>
    <w:rsid w:val="00B04871"/>
    <w:rsid w:val="00B04ABF"/>
    <w:rsid w:val="00B05B67"/>
    <w:rsid w:val="00B07855"/>
    <w:rsid w:val="00B10300"/>
    <w:rsid w:val="00B128A3"/>
    <w:rsid w:val="00B13B2C"/>
    <w:rsid w:val="00B13F12"/>
    <w:rsid w:val="00B146FC"/>
    <w:rsid w:val="00B17219"/>
    <w:rsid w:val="00B21585"/>
    <w:rsid w:val="00B2294B"/>
    <w:rsid w:val="00B22E72"/>
    <w:rsid w:val="00B24D93"/>
    <w:rsid w:val="00B26175"/>
    <w:rsid w:val="00B31E48"/>
    <w:rsid w:val="00B32D89"/>
    <w:rsid w:val="00B3361D"/>
    <w:rsid w:val="00B33D19"/>
    <w:rsid w:val="00B34110"/>
    <w:rsid w:val="00B35B9E"/>
    <w:rsid w:val="00B363E0"/>
    <w:rsid w:val="00B378BC"/>
    <w:rsid w:val="00B37EE7"/>
    <w:rsid w:val="00B40688"/>
    <w:rsid w:val="00B40B19"/>
    <w:rsid w:val="00B41EA2"/>
    <w:rsid w:val="00B424F1"/>
    <w:rsid w:val="00B42F97"/>
    <w:rsid w:val="00B431DA"/>
    <w:rsid w:val="00B44333"/>
    <w:rsid w:val="00B44A8E"/>
    <w:rsid w:val="00B45963"/>
    <w:rsid w:val="00B45AA3"/>
    <w:rsid w:val="00B46C56"/>
    <w:rsid w:val="00B476B4"/>
    <w:rsid w:val="00B5117B"/>
    <w:rsid w:val="00B56DCA"/>
    <w:rsid w:val="00B56FD2"/>
    <w:rsid w:val="00B5700D"/>
    <w:rsid w:val="00B60767"/>
    <w:rsid w:val="00B61562"/>
    <w:rsid w:val="00B61C3E"/>
    <w:rsid w:val="00B63E06"/>
    <w:rsid w:val="00B647BA"/>
    <w:rsid w:val="00B65A01"/>
    <w:rsid w:val="00B671DC"/>
    <w:rsid w:val="00B6759D"/>
    <w:rsid w:val="00B700E0"/>
    <w:rsid w:val="00B705C6"/>
    <w:rsid w:val="00B7080F"/>
    <w:rsid w:val="00B70999"/>
    <w:rsid w:val="00B71AC8"/>
    <w:rsid w:val="00B724C8"/>
    <w:rsid w:val="00B72843"/>
    <w:rsid w:val="00B73571"/>
    <w:rsid w:val="00B74AC5"/>
    <w:rsid w:val="00B75F61"/>
    <w:rsid w:val="00B81860"/>
    <w:rsid w:val="00B81FB1"/>
    <w:rsid w:val="00B83B81"/>
    <w:rsid w:val="00B84AD0"/>
    <w:rsid w:val="00B86732"/>
    <w:rsid w:val="00B86916"/>
    <w:rsid w:val="00B86B0F"/>
    <w:rsid w:val="00B87A5C"/>
    <w:rsid w:val="00B91613"/>
    <w:rsid w:val="00B932BD"/>
    <w:rsid w:val="00B93479"/>
    <w:rsid w:val="00B938D2"/>
    <w:rsid w:val="00B95004"/>
    <w:rsid w:val="00B9555F"/>
    <w:rsid w:val="00B9650E"/>
    <w:rsid w:val="00B9684F"/>
    <w:rsid w:val="00BA0624"/>
    <w:rsid w:val="00BA0ABA"/>
    <w:rsid w:val="00BA230F"/>
    <w:rsid w:val="00BA4AEC"/>
    <w:rsid w:val="00BA5709"/>
    <w:rsid w:val="00BA780A"/>
    <w:rsid w:val="00BB0243"/>
    <w:rsid w:val="00BB0B81"/>
    <w:rsid w:val="00BB0DAB"/>
    <w:rsid w:val="00BB1B29"/>
    <w:rsid w:val="00BB35B9"/>
    <w:rsid w:val="00BB633E"/>
    <w:rsid w:val="00BC01F3"/>
    <w:rsid w:val="00BC07C2"/>
    <w:rsid w:val="00BC0ABB"/>
    <w:rsid w:val="00BC1116"/>
    <w:rsid w:val="00BC641B"/>
    <w:rsid w:val="00BC7571"/>
    <w:rsid w:val="00BD078B"/>
    <w:rsid w:val="00BD152F"/>
    <w:rsid w:val="00BD3FA8"/>
    <w:rsid w:val="00BD50E5"/>
    <w:rsid w:val="00BD644C"/>
    <w:rsid w:val="00BD66F8"/>
    <w:rsid w:val="00BD71E2"/>
    <w:rsid w:val="00BD78C4"/>
    <w:rsid w:val="00BE1687"/>
    <w:rsid w:val="00BE1CBE"/>
    <w:rsid w:val="00BE5A13"/>
    <w:rsid w:val="00BE6160"/>
    <w:rsid w:val="00BE692D"/>
    <w:rsid w:val="00BE6A1E"/>
    <w:rsid w:val="00BE78F8"/>
    <w:rsid w:val="00BF0528"/>
    <w:rsid w:val="00BF0598"/>
    <w:rsid w:val="00BF16C3"/>
    <w:rsid w:val="00BF1A62"/>
    <w:rsid w:val="00BF3A7F"/>
    <w:rsid w:val="00BF4749"/>
    <w:rsid w:val="00BF7738"/>
    <w:rsid w:val="00C00DA6"/>
    <w:rsid w:val="00C02B5E"/>
    <w:rsid w:val="00C03546"/>
    <w:rsid w:val="00C04999"/>
    <w:rsid w:val="00C05B2D"/>
    <w:rsid w:val="00C06FFD"/>
    <w:rsid w:val="00C07CC2"/>
    <w:rsid w:val="00C10D89"/>
    <w:rsid w:val="00C124B7"/>
    <w:rsid w:val="00C14C8C"/>
    <w:rsid w:val="00C17BBA"/>
    <w:rsid w:val="00C20281"/>
    <w:rsid w:val="00C20701"/>
    <w:rsid w:val="00C23EB0"/>
    <w:rsid w:val="00C25451"/>
    <w:rsid w:val="00C2589A"/>
    <w:rsid w:val="00C25C27"/>
    <w:rsid w:val="00C26566"/>
    <w:rsid w:val="00C26B65"/>
    <w:rsid w:val="00C27E39"/>
    <w:rsid w:val="00C30E5F"/>
    <w:rsid w:val="00C31DD8"/>
    <w:rsid w:val="00C31E92"/>
    <w:rsid w:val="00C35AC6"/>
    <w:rsid w:val="00C36542"/>
    <w:rsid w:val="00C40823"/>
    <w:rsid w:val="00C42CC8"/>
    <w:rsid w:val="00C42DFE"/>
    <w:rsid w:val="00C4349E"/>
    <w:rsid w:val="00C43F46"/>
    <w:rsid w:val="00C441AF"/>
    <w:rsid w:val="00C45840"/>
    <w:rsid w:val="00C50635"/>
    <w:rsid w:val="00C51025"/>
    <w:rsid w:val="00C51199"/>
    <w:rsid w:val="00C51458"/>
    <w:rsid w:val="00C520DC"/>
    <w:rsid w:val="00C53C60"/>
    <w:rsid w:val="00C54B77"/>
    <w:rsid w:val="00C5514A"/>
    <w:rsid w:val="00C55840"/>
    <w:rsid w:val="00C55FF2"/>
    <w:rsid w:val="00C562E7"/>
    <w:rsid w:val="00C5733C"/>
    <w:rsid w:val="00C60E23"/>
    <w:rsid w:val="00C62808"/>
    <w:rsid w:val="00C636F3"/>
    <w:rsid w:val="00C64031"/>
    <w:rsid w:val="00C64E29"/>
    <w:rsid w:val="00C663D8"/>
    <w:rsid w:val="00C665C9"/>
    <w:rsid w:val="00C706EA"/>
    <w:rsid w:val="00C71C46"/>
    <w:rsid w:val="00C71C5C"/>
    <w:rsid w:val="00C73E28"/>
    <w:rsid w:val="00C744E4"/>
    <w:rsid w:val="00C7479C"/>
    <w:rsid w:val="00C77ACA"/>
    <w:rsid w:val="00C81481"/>
    <w:rsid w:val="00C81C1C"/>
    <w:rsid w:val="00C834B1"/>
    <w:rsid w:val="00C83FA7"/>
    <w:rsid w:val="00C84FDD"/>
    <w:rsid w:val="00C865B3"/>
    <w:rsid w:val="00C86667"/>
    <w:rsid w:val="00C86BDF"/>
    <w:rsid w:val="00C91B91"/>
    <w:rsid w:val="00C94290"/>
    <w:rsid w:val="00C96072"/>
    <w:rsid w:val="00CA1CAA"/>
    <w:rsid w:val="00CA1D16"/>
    <w:rsid w:val="00CA1D93"/>
    <w:rsid w:val="00CA222E"/>
    <w:rsid w:val="00CA45D0"/>
    <w:rsid w:val="00CA57CF"/>
    <w:rsid w:val="00CA6332"/>
    <w:rsid w:val="00CA7F07"/>
    <w:rsid w:val="00CB04E2"/>
    <w:rsid w:val="00CB0F31"/>
    <w:rsid w:val="00CB145E"/>
    <w:rsid w:val="00CB3328"/>
    <w:rsid w:val="00CB49B9"/>
    <w:rsid w:val="00CB49EB"/>
    <w:rsid w:val="00CB511B"/>
    <w:rsid w:val="00CB589E"/>
    <w:rsid w:val="00CC01F5"/>
    <w:rsid w:val="00CC1949"/>
    <w:rsid w:val="00CC3548"/>
    <w:rsid w:val="00CC5E64"/>
    <w:rsid w:val="00CC7DD1"/>
    <w:rsid w:val="00CC7FEA"/>
    <w:rsid w:val="00CD058B"/>
    <w:rsid w:val="00CD0AAF"/>
    <w:rsid w:val="00CD11CF"/>
    <w:rsid w:val="00CD1F47"/>
    <w:rsid w:val="00CD1F60"/>
    <w:rsid w:val="00CD3A01"/>
    <w:rsid w:val="00CD3C3E"/>
    <w:rsid w:val="00CD5403"/>
    <w:rsid w:val="00CD5C17"/>
    <w:rsid w:val="00CD6BA6"/>
    <w:rsid w:val="00CE0CC9"/>
    <w:rsid w:val="00CE3C45"/>
    <w:rsid w:val="00CE5F4E"/>
    <w:rsid w:val="00CE5FB0"/>
    <w:rsid w:val="00CE613E"/>
    <w:rsid w:val="00CE6DCD"/>
    <w:rsid w:val="00CE6FBE"/>
    <w:rsid w:val="00CE73BD"/>
    <w:rsid w:val="00CF06EE"/>
    <w:rsid w:val="00CF0E58"/>
    <w:rsid w:val="00CF160B"/>
    <w:rsid w:val="00CF3437"/>
    <w:rsid w:val="00CF403E"/>
    <w:rsid w:val="00CF5F16"/>
    <w:rsid w:val="00CF60EC"/>
    <w:rsid w:val="00CF7E66"/>
    <w:rsid w:val="00CF7F9E"/>
    <w:rsid w:val="00D03A0E"/>
    <w:rsid w:val="00D0478A"/>
    <w:rsid w:val="00D05936"/>
    <w:rsid w:val="00D062DE"/>
    <w:rsid w:val="00D077B5"/>
    <w:rsid w:val="00D07C5A"/>
    <w:rsid w:val="00D104D7"/>
    <w:rsid w:val="00D10C31"/>
    <w:rsid w:val="00D10D9D"/>
    <w:rsid w:val="00D10FAC"/>
    <w:rsid w:val="00D11895"/>
    <w:rsid w:val="00D14244"/>
    <w:rsid w:val="00D14C96"/>
    <w:rsid w:val="00D14E0C"/>
    <w:rsid w:val="00D161E6"/>
    <w:rsid w:val="00D16273"/>
    <w:rsid w:val="00D209F0"/>
    <w:rsid w:val="00D213AA"/>
    <w:rsid w:val="00D218EC"/>
    <w:rsid w:val="00D21F3A"/>
    <w:rsid w:val="00D24B41"/>
    <w:rsid w:val="00D25E65"/>
    <w:rsid w:val="00D27E24"/>
    <w:rsid w:val="00D27F05"/>
    <w:rsid w:val="00D27FBD"/>
    <w:rsid w:val="00D3205A"/>
    <w:rsid w:val="00D32924"/>
    <w:rsid w:val="00D3321B"/>
    <w:rsid w:val="00D336EB"/>
    <w:rsid w:val="00D3479C"/>
    <w:rsid w:val="00D34FEF"/>
    <w:rsid w:val="00D40EA7"/>
    <w:rsid w:val="00D42B8A"/>
    <w:rsid w:val="00D4303F"/>
    <w:rsid w:val="00D44CD4"/>
    <w:rsid w:val="00D458D9"/>
    <w:rsid w:val="00D46191"/>
    <w:rsid w:val="00D47044"/>
    <w:rsid w:val="00D4788F"/>
    <w:rsid w:val="00D5188D"/>
    <w:rsid w:val="00D52147"/>
    <w:rsid w:val="00D533C6"/>
    <w:rsid w:val="00D57456"/>
    <w:rsid w:val="00D619F9"/>
    <w:rsid w:val="00D6263F"/>
    <w:rsid w:val="00D64241"/>
    <w:rsid w:val="00D647DE"/>
    <w:rsid w:val="00D64B37"/>
    <w:rsid w:val="00D65D34"/>
    <w:rsid w:val="00D66B2D"/>
    <w:rsid w:val="00D70271"/>
    <w:rsid w:val="00D708E5"/>
    <w:rsid w:val="00D73DAA"/>
    <w:rsid w:val="00D73EDA"/>
    <w:rsid w:val="00D762D7"/>
    <w:rsid w:val="00D766E4"/>
    <w:rsid w:val="00D80AD0"/>
    <w:rsid w:val="00D8230D"/>
    <w:rsid w:val="00D82987"/>
    <w:rsid w:val="00D9093B"/>
    <w:rsid w:val="00D90C3F"/>
    <w:rsid w:val="00D91AC7"/>
    <w:rsid w:val="00D93D7A"/>
    <w:rsid w:val="00D94F65"/>
    <w:rsid w:val="00D9505A"/>
    <w:rsid w:val="00D96198"/>
    <w:rsid w:val="00DA01CF"/>
    <w:rsid w:val="00DA0697"/>
    <w:rsid w:val="00DA1707"/>
    <w:rsid w:val="00DA276E"/>
    <w:rsid w:val="00DA286D"/>
    <w:rsid w:val="00DA42CC"/>
    <w:rsid w:val="00DA461F"/>
    <w:rsid w:val="00DA5546"/>
    <w:rsid w:val="00DA6996"/>
    <w:rsid w:val="00DA6E66"/>
    <w:rsid w:val="00DB0518"/>
    <w:rsid w:val="00DB2657"/>
    <w:rsid w:val="00DB3109"/>
    <w:rsid w:val="00DB470B"/>
    <w:rsid w:val="00DB5B40"/>
    <w:rsid w:val="00DC0570"/>
    <w:rsid w:val="00DC0C70"/>
    <w:rsid w:val="00DC25ED"/>
    <w:rsid w:val="00DC4533"/>
    <w:rsid w:val="00DC4C1A"/>
    <w:rsid w:val="00DC5528"/>
    <w:rsid w:val="00DC612B"/>
    <w:rsid w:val="00DC7569"/>
    <w:rsid w:val="00DD2CBA"/>
    <w:rsid w:val="00DD43D5"/>
    <w:rsid w:val="00DD4634"/>
    <w:rsid w:val="00DD4921"/>
    <w:rsid w:val="00DD509D"/>
    <w:rsid w:val="00DD62AF"/>
    <w:rsid w:val="00DD70F0"/>
    <w:rsid w:val="00DE0FD9"/>
    <w:rsid w:val="00DE22DC"/>
    <w:rsid w:val="00DE28F9"/>
    <w:rsid w:val="00DE36FD"/>
    <w:rsid w:val="00DE623A"/>
    <w:rsid w:val="00DE6577"/>
    <w:rsid w:val="00DF0AA1"/>
    <w:rsid w:val="00DF1750"/>
    <w:rsid w:val="00DF210D"/>
    <w:rsid w:val="00DF5953"/>
    <w:rsid w:val="00DF7D6C"/>
    <w:rsid w:val="00E01F34"/>
    <w:rsid w:val="00E0276B"/>
    <w:rsid w:val="00E03009"/>
    <w:rsid w:val="00E037AA"/>
    <w:rsid w:val="00E07513"/>
    <w:rsid w:val="00E07E48"/>
    <w:rsid w:val="00E112B6"/>
    <w:rsid w:val="00E128A0"/>
    <w:rsid w:val="00E12D3B"/>
    <w:rsid w:val="00E14174"/>
    <w:rsid w:val="00E14310"/>
    <w:rsid w:val="00E144B9"/>
    <w:rsid w:val="00E167CC"/>
    <w:rsid w:val="00E177E9"/>
    <w:rsid w:val="00E17C29"/>
    <w:rsid w:val="00E22278"/>
    <w:rsid w:val="00E2253F"/>
    <w:rsid w:val="00E22F9E"/>
    <w:rsid w:val="00E23228"/>
    <w:rsid w:val="00E24AF5"/>
    <w:rsid w:val="00E257D9"/>
    <w:rsid w:val="00E26549"/>
    <w:rsid w:val="00E265FC"/>
    <w:rsid w:val="00E26AC9"/>
    <w:rsid w:val="00E300BB"/>
    <w:rsid w:val="00E30BAC"/>
    <w:rsid w:val="00E31474"/>
    <w:rsid w:val="00E32517"/>
    <w:rsid w:val="00E32B19"/>
    <w:rsid w:val="00E34600"/>
    <w:rsid w:val="00E3502B"/>
    <w:rsid w:val="00E37825"/>
    <w:rsid w:val="00E37A96"/>
    <w:rsid w:val="00E37CAF"/>
    <w:rsid w:val="00E37E4C"/>
    <w:rsid w:val="00E406D7"/>
    <w:rsid w:val="00E41134"/>
    <w:rsid w:val="00E42921"/>
    <w:rsid w:val="00E44AFC"/>
    <w:rsid w:val="00E455FC"/>
    <w:rsid w:val="00E50BA3"/>
    <w:rsid w:val="00E51016"/>
    <w:rsid w:val="00E5483C"/>
    <w:rsid w:val="00E56741"/>
    <w:rsid w:val="00E57F5D"/>
    <w:rsid w:val="00E60638"/>
    <w:rsid w:val="00E6287C"/>
    <w:rsid w:val="00E62FAB"/>
    <w:rsid w:val="00E6405F"/>
    <w:rsid w:val="00E6527A"/>
    <w:rsid w:val="00E66C9C"/>
    <w:rsid w:val="00E679CC"/>
    <w:rsid w:val="00E705DE"/>
    <w:rsid w:val="00E70A24"/>
    <w:rsid w:val="00E71111"/>
    <w:rsid w:val="00E714D2"/>
    <w:rsid w:val="00E725C5"/>
    <w:rsid w:val="00E80796"/>
    <w:rsid w:val="00E80E7F"/>
    <w:rsid w:val="00E8192E"/>
    <w:rsid w:val="00E8733A"/>
    <w:rsid w:val="00E905A4"/>
    <w:rsid w:val="00E91C2B"/>
    <w:rsid w:val="00E934B2"/>
    <w:rsid w:val="00E94AFA"/>
    <w:rsid w:val="00E95E99"/>
    <w:rsid w:val="00E96E68"/>
    <w:rsid w:val="00EA1230"/>
    <w:rsid w:val="00EA291B"/>
    <w:rsid w:val="00EA42C9"/>
    <w:rsid w:val="00EA4377"/>
    <w:rsid w:val="00EA5487"/>
    <w:rsid w:val="00EA6CA1"/>
    <w:rsid w:val="00EA6EFA"/>
    <w:rsid w:val="00EA7DAF"/>
    <w:rsid w:val="00EB6FCC"/>
    <w:rsid w:val="00EC0AA0"/>
    <w:rsid w:val="00EC0E32"/>
    <w:rsid w:val="00EC18BB"/>
    <w:rsid w:val="00EC1D12"/>
    <w:rsid w:val="00EC1F90"/>
    <w:rsid w:val="00EC36F4"/>
    <w:rsid w:val="00EC3800"/>
    <w:rsid w:val="00EC4314"/>
    <w:rsid w:val="00EC62F5"/>
    <w:rsid w:val="00EC7E54"/>
    <w:rsid w:val="00ED6085"/>
    <w:rsid w:val="00ED63AD"/>
    <w:rsid w:val="00ED7BD1"/>
    <w:rsid w:val="00EE00AE"/>
    <w:rsid w:val="00EE2963"/>
    <w:rsid w:val="00EE3A6E"/>
    <w:rsid w:val="00EE5EAC"/>
    <w:rsid w:val="00EE6716"/>
    <w:rsid w:val="00EE7FE3"/>
    <w:rsid w:val="00EF1DA9"/>
    <w:rsid w:val="00EF3123"/>
    <w:rsid w:val="00EF40DF"/>
    <w:rsid w:val="00EF5DD5"/>
    <w:rsid w:val="00EF6549"/>
    <w:rsid w:val="00EF74FA"/>
    <w:rsid w:val="00EF7C9E"/>
    <w:rsid w:val="00F013DF"/>
    <w:rsid w:val="00F01B7E"/>
    <w:rsid w:val="00F03DA3"/>
    <w:rsid w:val="00F03DDD"/>
    <w:rsid w:val="00F04A38"/>
    <w:rsid w:val="00F06DCE"/>
    <w:rsid w:val="00F06F80"/>
    <w:rsid w:val="00F0717A"/>
    <w:rsid w:val="00F07766"/>
    <w:rsid w:val="00F1005C"/>
    <w:rsid w:val="00F10973"/>
    <w:rsid w:val="00F12EFE"/>
    <w:rsid w:val="00F135A0"/>
    <w:rsid w:val="00F140CD"/>
    <w:rsid w:val="00F152A2"/>
    <w:rsid w:val="00F152C0"/>
    <w:rsid w:val="00F17AB0"/>
    <w:rsid w:val="00F221AD"/>
    <w:rsid w:val="00F234DC"/>
    <w:rsid w:val="00F249E7"/>
    <w:rsid w:val="00F24D19"/>
    <w:rsid w:val="00F25106"/>
    <w:rsid w:val="00F25CD5"/>
    <w:rsid w:val="00F26E66"/>
    <w:rsid w:val="00F27A8D"/>
    <w:rsid w:val="00F31449"/>
    <w:rsid w:val="00F32474"/>
    <w:rsid w:val="00F32B09"/>
    <w:rsid w:val="00F33A0E"/>
    <w:rsid w:val="00F36B4E"/>
    <w:rsid w:val="00F375B3"/>
    <w:rsid w:val="00F378B6"/>
    <w:rsid w:val="00F37B0A"/>
    <w:rsid w:val="00F416C5"/>
    <w:rsid w:val="00F43414"/>
    <w:rsid w:val="00F45CD3"/>
    <w:rsid w:val="00F463BE"/>
    <w:rsid w:val="00F46729"/>
    <w:rsid w:val="00F4745F"/>
    <w:rsid w:val="00F50897"/>
    <w:rsid w:val="00F52501"/>
    <w:rsid w:val="00F55802"/>
    <w:rsid w:val="00F57FAB"/>
    <w:rsid w:val="00F60715"/>
    <w:rsid w:val="00F60B9F"/>
    <w:rsid w:val="00F61575"/>
    <w:rsid w:val="00F61B38"/>
    <w:rsid w:val="00F63C1C"/>
    <w:rsid w:val="00F646A4"/>
    <w:rsid w:val="00F64DFD"/>
    <w:rsid w:val="00F66F77"/>
    <w:rsid w:val="00F71BA5"/>
    <w:rsid w:val="00F73412"/>
    <w:rsid w:val="00F7357A"/>
    <w:rsid w:val="00F7448F"/>
    <w:rsid w:val="00F753A4"/>
    <w:rsid w:val="00F756E1"/>
    <w:rsid w:val="00F76D85"/>
    <w:rsid w:val="00F779FB"/>
    <w:rsid w:val="00F81B52"/>
    <w:rsid w:val="00F82C46"/>
    <w:rsid w:val="00F8361C"/>
    <w:rsid w:val="00F84369"/>
    <w:rsid w:val="00F85347"/>
    <w:rsid w:val="00F85A09"/>
    <w:rsid w:val="00F85A17"/>
    <w:rsid w:val="00F86528"/>
    <w:rsid w:val="00F93552"/>
    <w:rsid w:val="00F94786"/>
    <w:rsid w:val="00F9502B"/>
    <w:rsid w:val="00F971D4"/>
    <w:rsid w:val="00F97C62"/>
    <w:rsid w:val="00FA7848"/>
    <w:rsid w:val="00FB0129"/>
    <w:rsid w:val="00FB17D3"/>
    <w:rsid w:val="00FB195A"/>
    <w:rsid w:val="00FB2640"/>
    <w:rsid w:val="00FB26E8"/>
    <w:rsid w:val="00FB4CEE"/>
    <w:rsid w:val="00FB5D1A"/>
    <w:rsid w:val="00FC0E52"/>
    <w:rsid w:val="00FC43A0"/>
    <w:rsid w:val="00FC4B94"/>
    <w:rsid w:val="00FC5904"/>
    <w:rsid w:val="00FC5A9E"/>
    <w:rsid w:val="00FC6B33"/>
    <w:rsid w:val="00FD0BDA"/>
    <w:rsid w:val="00FD161E"/>
    <w:rsid w:val="00FD1947"/>
    <w:rsid w:val="00FD1E56"/>
    <w:rsid w:val="00FD36FA"/>
    <w:rsid w:val="00FD6FE4"/>
    <w:rsid w:val="00FD75A2"/>
    <w:rsid w:val="00FD7B5A"/>
    <w:rsid w:val="00FE1814"/>
    <w:rsid w:val="00FE21F6"/>
    <w:rsid w:val="00FE26F8"/>
    <w:rsid w:val="00FE2AF8"/>
    <w:rsid w:val="00FE3AD8"/>
    <w:rsid w:val="00FE4034"/>
    <w:rsid w:val="00FE514D"/>
    <w:rsid w:val="00FE586D"/>
    <w:rsid w:val="00FE5C1F"/>
    <w:rsid w:val="00FE6A35"/>
    <w:rsid w:val="00FE7233"/>
    <w:rsid w:val="00FE7A27"/>
    <w:rsid w:val="00FF1682"/>
    <w:rsid w:val="00FF5810"/>
    <w:rsid w:val="00FF58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caption" w:uiPriority="35" w:qFormat="1"/>
    <w:lsdException w:name="footnote reference"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Simp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75E41"/>
    <w:pPr>
      <w:widowControl w:val="0"/>
    </w:pPr>
    <w:rPr>
      <w:szCs w:val="24"/>
    </w:rPr>
  </w:style>
  <w:style w:type="paragraph" w:styleId="1">
    <w:name w:val="heading 1"/>
    <w:basedOn w:val="a1"/>
    <w:next w:val="a1"/>
    <w:link w:val="10"/>
    <w:qFormat/>
    <w:rsid w:val="00346358"/>
    <w:pPr>
      <w:keepNext/>
      <w:numPr>
        <w:numId w:val="8"/>
      </w:numPr>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uiPriority w:val="9"/>
    <w:qFormat/>
    <w:rsid w:val="00DE623A"/>
    <w:pPr>
      <w:keepNext/>
      <w:numPr>
        <w:ilvl w:val="1"/>
        <w:numId w:val="8"/>
      </w:numPr>
      <w:adjustRightInd w:val="0"/>
      <w:spacing w:line="720" w:lineRule="atLeast"/>
      <w:jc w:val="both"/>
      <w:textAlignment w:val="baseline"/>
      <w:outlineLvl w:val="1"/>
    </w:pPr>
    <w:rPr>
      <w:rFonts w:ascii="Cambria" w:eastAsia="新細明體" w:hAnsi="Cambria" w:cs="Mangal"/>
      <w:b/>
      <w:bCs/>
      <w:kern w:val="0"/>
      <w:sz w:val="48"/>
      <w:szCs w:val="43"/>
      <w:lang w:bidi="hi-IN"/>
    </w:rPr>
  </w:style>
  <w:style w:type="paragraph" w:styleId="3">
    <w:name w:val="heading 3"/>
    <w:basedOn w:val="a1"/>
    <w:next w:val="a1"/>
    <w:link w:val="30"/>
    <w:unhideWhenUsed/>
    <w:qFormat/>
    <w:rsid w:val="00E8192E"/>
    <w:pPr>
      <w:keepNext/>
      <w:numPr>
        <w:ilvl w:val="2"/>
        <w:numId w:val="8"/>
      </w:numPr>
      <w:spacing w:line="720" w:lineRule="auto"/>
      <w:outlineLvl w:val="2"/>
    </w:pPr>
    <w:rPr>
      <w:rFonts w:asciiTheme="majorHAnsi" w:eastAsiaTheme="majorEastAsia" w:hAnsiTheme="majorHAnsi" w:cstheme="majorBidi"/>
      <w:b/>
      <w:bCs/>
      <w:sz w:val="36"/>
      <w:szCs w:val="36"/>
    </w:rPr>
  </w:style>
  <w:style w:type="paragraph" w:styleId="4">
    <w:name w:val="heading 4"/>
    <w:basedOn w:val="a1"/>
    <w:next w:val="a1"/>
    <w:link w:val="40"/>
    <w:uiPriority w:val="9"/>
    <w:semiHidden/>
    <w:unhideWhenUsed/>
    <w:qFormat/>
    <w:rsid w:val="00E8192E"/>
    <w:pPr>
      <w:keepNext/>
      <w:numPr>
        <w:ilvl w:val="3"/>
        <w:numId w:val="8"/>
      </w:numPr>
      <w:spacing w:line="720" w:lineRule="auto"/>
      <w:outlineLvl w:val="3"/>
    </w:pPr>
    <w:rPr>
      <w:rFonts w:asciiTheme="majorHAnsi" w:eastAsiaTheme="majorEastAsia" w:hAnsiTheme="majorHAnsi" w:cstheme="majorBidi"/>
      <w:sz w:val="36"/>
      <w:szCs w:val="36"/>
    </w:rPr>
  </w:style>
  <w:style w:type="paragraph" w:styleId="5">
    <w:name w:val="heading 5"/>
    <w:basedOn w:val="a1"/>
    <w:next w:val="a1"/>
    <w:link w:val="50"/>
    <w:uiPriority w:val="9"/>
    <w:semiHidden/>
    <w:unhideWhenUsed/>
    <w:qFormat/>
    <w:rsid w:val="00E8192E"/>
    <w:pPr>
      <w:keepNext/>
      <w:numPr>
        <w:ilvl w:val="4"/>
        <w:numId w:val="8"/>
      </w:numPr>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E8192E"/>
    <w:pPr>
      <w:keepNext/>
      <w:numPr>
        <w:ilvl w:val="5"/>
        <w:numId w:val="8"/>
      </w:numPr>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E8192E"/>
    <w:pPr>
      <w:keepNext/>
      <w:numPr>
        <w:ilvl w:val="6"/>
        <w:numId w:val="8"/>
      </w:numPr>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E8192E"/>
    <w:pPr>
      <w:keepNext/>
      <w:numPr>
        <w:ilvl w:val="7"/>
        <w:numId w:val="8"/>
      </w:numPr>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E8192E"/>
    <w:pPr>
      <w:keepNext/>
      <w:numPr>
        <w:ilvl w:val="8"/>
        <w:numId w:val="8"/>
      </w:numPr>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346358"/>
    <w:rPr>
      <w:rFonts w:asciiTheme="majorHAnsi" w:eastAsiaTheme="majorEastAsia" w:hAnsiTheme="majorHAnsi" w:cstheme="majorBidi"/>
      <w:b/>
      <w:bCs/>
      <w:kern w:val="52"/>
      <w:sz w:val="52"/>
      <w:szCs w:val="52"/>
    </w:rPr>
  </w:style>
  <w:style w:type="character" w:customStyle="1" w:styleId="20">
    <w:name w:val="標題 2 字元"/>
    <w:basedOn w:val="a2"/>
    <w:link w:val="2"/>
    <w:uiPriority w:val="9"/>
    <w:rsid w:val="00DE623A"/>
    <w:rPr>
      <w:rFonts w:ascii="Cambria" w:eastAsia="新細明體" w:hAnsi="Cambria" w:cs="Mangal"/>
      <w:b/>
      <w:bCs/>
      <w:kern w:val="0"/>
      <w:sz w:val="48"/>
      <w:szCs w:val="43"/>
      <w:lang w:bidi="hi-IN"/>
    </w:rPr>
  </w:style>
  <w:style w:type="character" w:customStyle="1" w:styleId="30">
    <w:name w:val="標題 3 字元"/>
    <w:basedOn w:val="a2"/>
    <w:link w:val="3"/>
    <w:rsid w:val="00E8192E"/>
    <w:rPr>
      <w:rFonts w:asciiTheme="majorHAnsi" w:eastAsiaTheme="majorEastAsia" w:hAnsiTheme="majorHAnsi" w:cstheme="majorBidi"/>
      <w:b/>
      <w:bCs/>
      <w:sz w:val="36"/>
      <w:szCs w:val="36"/>
    </w:rPr>
  </w:style>
  <w:style w:type="character" w:customStyle="1" w:styleId="40">
    <w:name w:val="標題 4 字元"/>
    <w:basedOn w:val="a2"/>
    <w:link w:val="4"/>
    <w:uiPriority w:val="9"/>
    <w:semiHidden/>
    <w:rsid w:val="00E8192E"/>
    <w:rPr>
      <w:rFonts w:asciiTheme="majorHAnsi" w:eastAsiaTheme="majorEastAsia" w:hAnsiTheme="majorHAnsi" w:cstheme="majorBidi"/>
      <w:sz w:val="36"/>
      <w:szCs w:val="36"/>
    </w:rPr>
  </w:style>
  <w:style w:type="character" w:customStyle="1" w:styleId="50">
    <w:name w:val="標題 5 字元"/>
    <w:basedOn w:val="a2"/>
    <w:link w:val="5"/>
    <w:uiPriority w:val="9"/>
    <w:semiHidden/>
    <w:rsid w:val="00E8192E"/>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E8192E"/>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E8192E"/>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E8192E"/>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E8192E"/>
    <w:rPr>
      <w:rFonts w:asciiTheme="majorHAnsi" w:eastAsiaTheme="majorEastAsia" w:hAnsiTheme="majorHAnsi" w:cstheme="majorBidi"/>
      <w:sz w:val="36"/>
      <w:szCs w:val="36"/>
    </w:rPr>
  </w:style>
  <w:style w:type="table" w:styleId="a5">
    <w:name w:val="Table Grid"/>
    <w:basedOn w:val="a3"/>
    <w:uiPriority w:val="59"/>
    <w:rsid w:val="00580D8F"/>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主旨"/>
    <w:basedOn w:val="a1"/>
    <w:rsid w:val="00580D8F"/>
    <w:pPr>
      <w:snapToGrid w:val="0"/>
    </w:pPr>
    <w:rPr>
      <w:rFonts w:ascii="Times New Roman" w:eastAsia="標楷體" w:hAnsi="Times New Roman" w:cs="Times New Roman"/>
      <w:sz w:val="36"/>
      <w:szCs w:val="20"/>
    </w:rPr>
  </w:style>
  <w:style w:type="paragraph" w:styleId="a7">
    <w:name w:val="TOC Heading"/>
    <w:basedOn w:val="1"/>
    <w:next w:val="a1"/>
    <w:uiPriority w:val="39"/>
    <w:unhideWhenUsed/>
    <w:qFormat/>
    <w:rsid w:val="00346358"/>
    <w:pPr>
      <w:keepLines/>
      <w:widowControl/>
      <w:spacing w:before="480" w:after="0" w:line="276" w:lineRule="auto"/>
      <w:outlineLvl w:val="9"/>
    </w:pPr>
    <w:rPr>
      <w:color w:val="365F91" w:themeColor="accent1" w:themeShade="BF"/>
      <w:kern w:val="0"/>
      <w:sz w:val="28"/>
      <w:szCs w:val="28"/>
    </w:rPr>
  </w:style>
  <w:style w:type="paragraph" w:styleId="21">
    <w:name w:val="toc 2"/>
    <w:basedOn w:val="a1"/>
    <w:next w:val="a1"/>
    <w:autoRedefine/>
    <w:uiPriority w:val="39"/>
    <w:unhideWhenUsed/>
    <w:qFormat/>
    <w:rsid w:val="00DD4634"/>
    <w:pPr>
      <w:widowControl/>
      <w:spacing w:before="100" w:beforeAutospacing="1" w:after="100" w:afterAutospacing="1" w:line="400" w:lineRule="exact"/>
      <w:ind w:left="1282" w:rightChars="-60" w:right="-144" w:hanging="431"/>
    </w:pPr>
    <w:rPr>
      <w:rFonts w:ascii="微軟正黑體" w:eastAsia="微軟正黑體" w:hAnsi="微軟正黑體" w:cs="Times New Roman"/>
      <w:kern w:val="0"/>
      <w:sz w:val="28"/>
      <w:szCs w:val="28"/>
    </w:rPr>
  </w:style>
  <w:style w:type="paragraph" w:styleId="11">
    <w:name w:val="toc 1"/>
    <w:basedOn w:val="a1"/>
    <w:next w:val="a1"/>
    <w:autoRedefine/>
    <w:uiPriority w:val="39"/>
    <w:unhideWhenUsed/>
    <w:qFormat/>
    <w:rsid w:val="00841A91"/>
    <w:pPr>
      <w:widowControl/>
      <w:spacing w:before="360" w:beforeAutospacing="1" w:after="100" w:afterAutospacing="1" w:line="400" w:lineRule="exact"/>
      <w:ind w:rightChars="-119" w:right="-286" w:firstLine="851"/>
      <w:jc w:val="both"/>
    </w:pPr>
    <w:rPr>
      <w:rFonts w:ascii="微軟正黑體" w:eastAsia="微軟正黑體" w:hAnsi="微軟正黑體"/>
      <w:b/>
      <w:bCs/>
      <w:kern w:val="0"/>
      <w:sz w:val="28"/>
      <w:szCs w:val="28"/>
    </w:rPr>
  </w:style>
  <w:style w:type="paragraph" w:styleId="31">
    <w:name w:val="toc 3"/>
    <w:basedOn w:val="a1"/>
    <w:next w:val="a1"/>
    <w:autoRedefine/>
    <w:uiPriority w:val="39"/>
    <w:unhideWhenUsed/>
    <w:qFormat/>
    <w:rsid w:val="00346358"/>
    <w:pPr>
      <w:widowControl/>
      <w:spacing w:after="100" w:line="276" w:lineRule="auto"/>
      <w:ind w:left="440"/>
    </w:pPr>
    <w:rPr>
      <w:kern w:val="0"/>
      <w:sz w:val="22"/>
      <w:szCs w:val="22"/>
    </w:rPr>
  </w:style>
  <w:style w:type="paragraph" w:styleId="a8">
    <w:name w:val="Balloon Text"/>
    <w:basedOn w:val="a1"/>
    <w:link w:val="a9"/>
    <w:unhideWhenUsed/>
    <w:rsid w:val="00346358"/>
    <w:rPr>
      <w:rFonts w:asciiTheme="majorHAnsi" w:eastAsiaTheme="majorEastAsia" w:hAnsiTheme="majorHAnsi" w:cstheme="majorBidi"/>
      <w:sz w:val="18"/>
      <w:szCs w:val="18"/>
    </w:rPr>
  </w:style>
  <w:style w:type="character" w:customStyle="1" w:styleId="a9">
    <w:name w:val="註解方塊文字 字元"/>
    <w:basedOn w:val="a2"/>
    <w:link w:val="a8"/>
    <w:rsid w:val="00346358"/>
    <w:rPr>
      <w:rFonts w:asciiTheme="majorHAnsi" w:eastAsiaTheme="majorEastAsia" w:hAnsiTheme="majorHAnsi" w:cstheme="majorBidi"/>
      <w:sz w:val="18"/>
      <w:szCs w:val="18"/>
    </w:rPr>
  </w:style>
  <w:style w:type="paragraph" w:styleId="aa">
    <w:name w:val="header"/>
    <w:basedOn w:val="a1"/>
    <w:link w:val="ab"/>
    <w:unhideWhenUsed/>
    <w:rsid w:val="00A14AE9"/>
    <w:pPr>
      <w:tabs>
        <w:tab w:val="center" w:pos="4153"/>
        <w:tab w:val="right" w:pos="8306"/>
      </w:tabs>
      <w:snapToGrid w:val="0"/>
    </w:pPr>
    <w:rPr>
      <w:sz w:val="20"/>
      <w:szCs w:val="20"/>
    </w:rPr>
  </w:style>
  <w:style w:type="character" w:customStyle="1" w:styleId="ab">
    <w:name w:val="頁首 字元"/>
    <w:basedOn w:val="a2"/>
    <w:link w:val="aa"/>
    <w:rsid w:val="00A14AE9"/>
    <w:rPr>
      <w:sz w:val="20"/>
      <w:szCs w:val="20"/>
    </w:rPr>
  </w:style>
  <w:style w:type="paragraph" w:styleId="ac">
    <w:name w:val="footer"/>
    <w:basedOn w:val="a1"/>
    <w:link w:val="ad"/>
    <w:uiPriority w:val="99"/>
    <w:unhideWhenUsed/>
    <w:rsid w:val="00A14AE9"/>
    <w:pPr>
      <w:tabs>
        <w:tab w:val="center" w:pos="4153"/>
        <w:tab w:val="right" w:pos="8306"/>
      </w:tabs>
      <w:snapToGrid w:val="0"/>
    </w:pPr>
    <w:rPr>
      <w:sz w:val="20"/>
      <w:szCs w:val="20"/>
    </w:rPr>
  </w:style>
  <w:style w:type="character" w:customStyle="1" w:styleId="ad">
    <w:name w:val="頁尾 字元"/>
    <w:basedOn w:val="a2"/>
    <w:link w:val="ac"/>
    <w:uiPriority w:val="99"/>
    <w:rsid w:val="00A14AE9"/>
    <w:rPr>
      <w:sz w:val="20"/>
      <w:szCs w:val="20"/>
    </w:rPr>
  </w:style>
  <w:style w:type="paragraph" w:styleId="ae">
    <w:name w:val="No Spacing"/>
    <w:aliases w:val="表格內文字"/>
    <w:link w:val="af"/>
    <w:uiPriority w:val="1"/>
    <w:qFormat/>
    <w:rsid w:val="00B5700D"/>
    <w:rPr>
      <w:kern w:val="0"/>
      <w:sz w:val="22"/>
    </w:rPr>
  </w:style>
  <w:style w:type="character" w:customStyle="1" w:styleId="af">
    <w:name w:val="無間距 字元"/>
    <w:aliases w:val="表格內文字 字元"/>
    <w:basedOn w:val="a2"/>
    <w:link w:val="ae"/>
    <w:uiPriority w:val="1"/>
    <w:rsid w:val="00B5700D"/>
    <w:rPr>
      <w:kern w:val="0"/>
      <w:sz w:val="22"/>
    </w:rPr>
  </w:style>
  <w:style w:type="table" w:styleId="-1">
    <w:name w:val="Colorful Grid Accent 1"/>
    <w:basedOn w:val="a3"/>
    <w:uiPriority w:val="73"/>
    <w:rsid w:val="00CD3A0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
    <w:name w:val="Light List Accent 3"/>
    <w:basedOn w:val="a3"/>
    <w:uiPriority w:val="61"/>
    <w:rsid w:val="00CD3A0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Shading Accent 5"/>
    <w:basedOn w:val="a3"/>
    <w:uiPriority w:val="60"/>
    <w:rsid w:val="00CD3A0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0">
    <w:name w:val="Light Shading Accent 3"/>
    <w:basedOn w:val="a3"/>
    <w:uiPriority w:val="60"/>
    <w:rsid w:val="00CD3A0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6">
    <w:name w:val="Light Shading Accent 6"/>
    <w:basedOn w:val="a3"/>
    <w:uiPriority w:val="60"/>
    <w:rsid w:val="00CD3A0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3"/>
    <w:uiPriority w:val="60"/>
    <w:rsid w:val="00CD3A01"/>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
    <w:name w:val="Medium List 1 Accent 3"/>
    <w:basedOn w:val="a3"/>
    <w:uiPriority w:val="65"/>
    <w:rsid w:val="00CD3A01"/>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30">
    <w:name w:val="Medium Shading 1 Accent 3"/>
    <w:basedOn w:val="a3"/>
    <w:uiPriority w:val="63"/>
    <w:rsid w:val="00CD3A01"/>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0">
    <w:name w:val="List Paragraph"/>
    <w:basedOn w:val="a1"/>
    <w:link w:val="af1"/>
    <w:uiPriority w:val="99"/>
    <w:qFormat/>
    <w:rsid w:val="00CD3A01"/>
    <w:pPr>
      <w:ind w:leftChars="200" w:left="480"/>
    </w:pPr>
    <w:rPr>
      <w:rFonts w:ascii="Times New Roman" w:eastAsia="新細明體" w:hAnsi="Times New Roman" w:cs="Times New Roman"/>
    </w:rPr>
  </w:style>
  <w:style w:type="character" w:customStyle="1" w:styleId="af1">
    <w:name w:val="清單段落 字元"/>
    <w:link w:val="af0"/>
    <w:uiPriority w:val="34"/>
    <w:locked/>
    <w:rsid w:val="00681820"/>
    <w:rPr>
      <w:rFonts w:ascii="Times New Roman" w:eastAsia="新細明體" w:hAnsi="Times New Roman" w:cs="Times New Roman"/>
      <w:szCs w:val="24"/>
    </w:rPr>
  </w:style>
  <w:style w:type="paragraph" w:styleId="af2">
    <w:name w:val="footnote text"/>
    <w:aliases w:val=" 字元1,字元5,Footnote Text_AJSS,字元1,ftx,fn,註腳文字 字元 字元 字元,註腳文字 字元 字元,註腳文字 字元 字元 字元 字元 字元,註腳文字 字元 字元 字元 字元,ftx1,ftx2,ftx3,ftx4,ftx5,ftx6,ftx7,ftx8,ftx 字元,ftx 字元 字元 字元 字元 字元 字元,註腳文字 字元 字元 字元 字元 字元 字元 字元 字元 字元 字元 字元 字元 字元,Footnote ak,Footnotes,ft,f"/>
    <w:basedOn w:val="a1"/>
    <w:link w:val="af3"/>
    <w:uiPriority w:val="99"/>
    <w:unhideWhenUsed/>
    <w:qFormat/>
    <w:rsid w:val="00CD3A01"/>
    <w:pPr>
      <w:snapToGrid w:val="0"/>
    </w:pPr>
    <w:rPr>
      <w:rFonts w:ascii="Times New Roman" w:eastAsia="新細明體" w:hAnsi="Times New Roman" w:cs="Times New Roman"/>
      <w:sz w:val="20"/>
      <w:szCs w:val="20"/>
    </w:rPr>
  </w:style>
  <w:style w:type="character" w:customStyle="1" w:styleId="af3">
    <w:name w:val="註腳文字 字元"/>
    <w:aliases w:val=" 字元1 字元,字元5 字元,Footnote Text_AJSS 字元,字元1 字元1,ftx 字元1,fn 字元,註腳文字 字元 字元 字元 字元1,註腳文字 字元 字元 字元1,註腳文字 字元 字元 字元 字元 字元 字元,註腳文字 字元 字元 字元 字元 字元1,ftx1 字元,ftx2 字元,ftx3 字元,ftx4 字元,ftx5 字元,ftx6 字元,ftx7 字元,ftx8 字元,ftx 字元 字元,ftx 字元 字元 字元 字元 字元 字元 字元,ft 字元,f 字元"/>
    <w:basedOn w:val="a2"/>
    <w:link w:val="af2"/>
    <w:uiPriority w:val="99"/>
    <w:rsid w:val="00CD3A01"/>
    <w:rPr>
      <w:rFonts w:ascii="Times New Roman" w:eastAsia="新細明體" w:hAnsi="Times New Roman" w:cs="Times New Roman"/>
      <w:sz w:val="20"/>
      <w:szCs w:val="20"/>
    </w:rPr>
  </w:style>
  <w:style w:type="character" w:styleId="af4">
    <w:name w:val="footnote reference"/>
    <w:aliases w:val="FR,Ref,de nota al pie,註腳內容,FR1,FR2,FR3,FR4,FR5,FR6,....,FZ,Ｔ註腳參照"/>
    <w:basedOn w:val="a2"/>
    <w:uiPriority w:val="99"/>
    <w:unhideWhenUsed/>
    <w:qFormat/>
    <w:rsid w:val="00CD3A01"/>
    <w:rPr>
      <w:vertAlign w:val="superscript"/>
    </w:rPr>
  </w:style>
  <w:style w:type="table" w:styleId="-50">
    <w:name w:val="Light List Accent 5"/>
    <w:basedOn w:val="a3"/>
    <w:uiPriority w:val="61"/>
    <w:rsid w:val="00CD3A0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List Accent 4"/>
    <w:basedOn w:val="a3"/>
    <w:uiPriority w:val="61"/>
    <w:rsid w:val="00CD3A0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Web">
    <w:name w:val="Normal (Web)"/>
    <w:basedOn w:val="a1"/>
    <w:uiPriority w:val="99"/>
    <w:unhideWhenUsed/>
    <w:rsid w:val="002678A1"/>
    <w:pPr>
      <w:widowControl/>
      <w:spacing w:before="100" w:beforeAutospacing="1" w:after="100" w:afterAutospacing="1"/>
    </w:pPr>
    <w:rPr>
      <w:rFonts w:ascii="新細明體" w:eastAsia="新細明體" w:hAnsi="新細明體" w:cs="新細明體"/>
      <w:kern w:val="0"/>
    </w:rPr>
  </w:style>
  <w:style w:type="paragraph" w:styleId="af5">
    <w:name w:val="Date"/>
    <w:basedOn w:val="a1"/>
    <w:next w:val="a1"/>
    <w:link w:val="af6"/>
    <w:unhideWhenUsed/>
    <w:rsid w:val="002678A1"/>
    <w:pPr>
      <w:adjustRightInd w:val="0"/>
      <w:spacing w:line="360" w:lineRule="atLeast"/>
      <w:jc w:val="right"/>
      <w:textAlignment w:val="baseline"/>
    </w:pPr>
    <w:rPr>
      <w:rFonts w:ascii="Times New Roman" w:eastAsia="細明體" w:hAnsi="Times New Roman" w:cs="Times New Roman"/>
      <w:kern w:val="0"/>
      <w:szCs w:val="20"/>
    </w:rPr>
  </w:style>
  <w:style w:type="character" w:customStyle="1" w:styleId="af6">
    <w:name w:val="日期 字元"/>
    <w:basedOn w:val="a2"/>
    <w:link w:val="af5"/>
    <w:rsid w:val="002678A1"/>
    <w:rPr>
      <w:rFonts w:ascii="Times New Roman" w:eastAsia="細明體" w:hAnsi="Times New Roman" w:cs="Times New Roman"/>
      <w:kern w:val="0"/>
      <w:szCs w:val="20"/>
    </w:rPr>
  </w:style>
  <w:style w:type="paragraph" w:customStyle="1" w:styleId="Default">
    <w:name w:val="Default"/>
    <w:rsid w:val="00DE623A"/>
    <w:pPr>
      <w:widowControl w:val="0"/>
      <w:autoSpaceDE w:val="0"/>
      <w:autoSpaceDN w:val="0"/>
      <w:adjustRightInd w:val="0"/>
    </w:pPr>
    <w:rPr>
      <w:rFonts w:ascii="Times New Roman" w:eastAsia="新細明體" w:hAnsi="Times New Roman" w:cs="Times New Roman"/>
      <w:color w:val="000000"/>
      <w:kern w:val="0"/>
      <w:szCs w:val="24"/>
    </w:rPr>
  </w:style>
  <w:style w:type="paragraph" w:styleId="HTML">
    <w:name w:val="HTML Preformatted"/>
    <w:basedOn w:val="a1"/>
    <w:link w:val="HTML0"/>
    <w:uiPriority w:val="99"/>
    <w:unhideWhenUsed/>
    <w:rsid w:val="00DE62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2"/>
    <w:link w:val="HTML"/>
    <w:uiPriority w:val="99"/>
    <w:rsid w:val="00DE623A"/>
    <w:rPr>
      <w:rFonts w:ascii="細明體" w:eastAsia="細明體" w:hAnsi="細明體" w:cs="細明體"/>
      <w:kern w:val="0"/>
      <w:szCs w:val="24"/>
    </w:rPr>
  </w:style>
  <w:style w:type="character" w:styleId="af7">
    <w:name w:val="Hyperlink"/>
    <w:unhideWhenUsed/>
    <w:rsid w:val="00DE623A"/>
    <w:rPr>
      <w:color w:val="0000FF"/>
      <w:u w:val="single"/>
    </w:rPr>
  </w:style>
  <w:style w:type="paragraph" w:customStyle="1" w:styleId="xl24">
    <w:name w:val="xl24"/>
    <w:basedOn w:val="a1"/>
    <w:rsid w:val="00DE623A"/>
    <w:pPr>
      <w:widowControl/>
      <w:spacing w:before="100" w:beforeAutospacing="1" w:after="100" w:afterAutospacing="1"/>
      <w:jc w:val="center"/>
    </w:pPr>
    <w:rPr>
      <w:rFonts w:ascii="Arial Unicode MS" w:eastAsia="新細明體" w:hAnsi="Arial Unicode MS" w:cs="Arial Unicode MS"/>
      <w:kern w:val="0"/>
    </w:rPr>
  </w:style>
  <w:style w:type="paragraph" w:styleId="af8">
    <w:name w:val="caption"/>
    <w:aliases w:val="圖表標號"/>
    <w:basedOn w:val="a1"/>
    <w:next w:val="a1"/>
    <w:link w:val="af9"/>
    <w:uiPriority w:val="35"/>
    <w:qFormat/>
    <w:rsid w:val="00DE623A"/>
    <w:pPr>
      <w:spacing w:before="120" w:after="120"/>
    </w:pPr>
    <w:rPr>
      <w:rFonts w:ascii="Times New Roman" w:eastAsia="新細明體" w:hAnsi="Times New Roman" w:cs="Times New Roman"/>
      <w:sz w:val="20"/>
      <w:szCs w:val="20"/>
    </w:rPr>
  </w:style>
  <w:style w:type="character" w:customStyle="1" w:styleId="af9">
    <w:name w:val="標號 字元"/>
    <w:aliases w:val="圖表標號 字元"/>
    <w:basedOn w:val="a2"/>
    <w:link w:val="af8"/>
    <w:uiPriority w:val="35"/>
    <w:rsid w:val="00681820"/>
    <w:rPr>
      <w:rFonts w:ascii="Times New Roman" w:eastAsia="新細明體" w:hAnsi="Times New Roman" w:cs="Times New Roman"/>
      <w:sz w:val="20"/>
      <w:szCs w:val="20"/>
    </w:rPr>
  </w:style>
  <w:style w:type="paragraph" w:styleId="a">
    <w:name w:val="List Bullet"/>
    <w:basedOn w:val="a1"/>
    <w:unhideWhenUsed/>
    <w:rsid w:val="00DE623A"/>
    <w:pPr>
      <w:numPr>
        <w:numId w:val="1"/>
      </w:numPr>
      <w:tabs>
        <w:tab w:val="clear" w:pos="361"/>
        <w:tab w:val="num" w:pos="360"/>
      </w:tabs>
      <w:ind w:leftChars="0" w:left="360" w:firstLineChars="0" w:firstLine="0"/>
      <w:contextualSpacing/>
    </w:pPr>
    <w:rPr>
      <w:rFonts w:ascii="Calibri" w:eastAsia="新細明體" w:hAnsi="Calibri" w:cs="Times New Roman"/>
      <w:szCs w:val="22"/>
    </w:rPr>
  </w:style>
  <w:style w:type="paragraph" w:styleId="afa">
    <w:name w:val="endnote text"/>
    <w:basedOn w:val="a1"/>
    <w:link w:val="afb"/>
    <w:uiPriority w:val="99"/>
    <w:unhideWhenUsed/>
    <w:rsid w:val="00DE623A"/>
    <w:pPr>
      <w:snapToGrid w:val="0"/>
    </w:pPr>
    <w:rPr>
      <w:rFonts w:ascii="Calibri" w:eastAsia="新細明體" w:hAnsi="Calibri" w:cs="Times New Roman"/>
      <w:szCs w:val="22"/>
    </w:rPr>
  </w:style>
  <w:style w:type="character" w:customStyle="1" w:styleId="afb">
    <w:name w:val="章節附註文字 字元"/>
    <w:basedOn w:val="a2"/>
    <w:link w:val="afa"/>
    <w:uiPriority w:val="99"/>
    <w:rsid w:val="00DE623A"/>
    <w:rPr>
      <w:rFonts w:ascii="Calibri" w:eastAsia="新細明體" w:hAnsi="Calibri" w:cs="Times New Roman"/>
    </w:rPr>
  </w:style>
  <w:style w:type="character" w:styleId="afc">
    <w:name w:val="endnote reference"/>
    <w:uiPriority w:val="99"/>
    <w:unhideWhenUsed/>
    <w:rsid w:val="00DE623A"/>
    <w:rPr>
      <w:vertAlign w:val="superscript"/>
    </w:rPr>
  </w:style>
  <w:style w:type="character" w:styleId="afd">
    <w:name w:val="annotation reference"/>
    <w:unhideWhenUsed/>
    <w:rsid w:val="00DE623A"/>
    <w:rPr>
      <w:sz w:val="18"/>
      <w:szCs w:val="18"/>
    </w:rPr>
  </w:style>
  <w:style w:type="paragraph" w:styleId="afe">
    <w:name w:val="annotation text"/>
    <w:basedOn w:val="a1"/>
    <w:link w:val="aff"/>
    <w:unhideWhenUsed/>
    <w:rsid w:val="00DE623A"/>
    <w:rPr>
      <w:rFonts w:ascii="Calibri" w:eastAsia="新細明體" w:hAnsi="Calibri" w:cs="Times New Roman"/>
      <w:szCs w:val="22"/>
    </w:rPr>
  </w:style>
  <w:style w:type="character" w:customStyle="1" w:styleId="aff">
    <w:name w:val="註解文字 字元"/>
    <w:basedOn w:val="a2"/>
    <w:link w:val="afe"/>
    <w:rsid w:val="00DE623A"/>
    <w:rPr>
      <w:rFonts w:ascii="Calibri" w:eastAsia="新細明體" w:hAnsi="Calibri" w:cs="Times New Roman"/>
    </w:rPr>
  </w:style>
  <w:style w:type="paragraph" w:styleId="aff0">
    <w:name w:val="annotation subject"/>
    <w:basedOn w:val="afe"/>
    <w:next w:val="afe"/>
    <w:link w:val="aff1"/>
    <w:unhideWhenUsed/>
    <w:rsid w:val="00DE623A"/>
    <w:rPr>
      <w:b/>
      <w:bCs/>
    </w:rPr>
  </w:style>
  <w:style w:type="character" w:customStyle="1" w:styleId="aff1">
    <w:name w:val="註解主旨 字元"/>
    <w:basedOn w:val="aff"/>
    <w:link w:val="aff0"/>
    <w:rsid w:val="00DE623A"/>
    <w:rPr>
      <w:rFonts w:ascii="Calibri" w:eastAsia="新細明體" w:hAnsi="Calibri" w:cs="Times New Roman"/>
      <w:b/>
      <w:bCs/>
    </w:rPr>
  </w:style>
  <w:style w:type="paragraph" w:styleId="aff2">
    <w:name w:val="Plain Text"/>
    <w:basedOn w:val="a1"/>
    <w:link w:val="aff3"/>
    <w:rsid w:val="00DE623A"/>
    <w:rPr>
      <w:rFonts w:ascii="Calibri" w:eastAsia="新細明體" w:hAnsi="Courier New" w:cs="Courier New"/>
    </w:rPr>
  </w:style>
  <w:style w:type="character" w:customStyle="1" w:styleId="aff3">
    <w:name w:val="純文字 字元"/>
    <w:basedOn w:val="a2"/>
    <w:link w:val="aff2"/>
    <w:rsid w:val="00DE623A"/>
    <w:rPr>
      <w:rFonts w:ascii="Calibri" w:eastAsia="新細明體" w:hAnsi="Courier New" w:cs="Courier New"/>
      <w:szCs w:val="24"/>
    </w:rPr>
  </w:style>
  <w:style w:type="character" w:customStyle="1" w:styleId="mw-headline">
    <w:name w:val="mw-headline"/>
    <w:rsid w:val="00DE623A"/>
  </w:style>
  <w:style w:type="character" w:customStyle="1" w:styleId="A10">
    <w:name w:val="A1"/>
    <w:uiPriority w:val="99"/>
    <w:rsid w:val="00DE623A"/>
    <w:rPr>
      <w:rFonts w:cs="ScalaOT-Regular"/>
      <w:color w:val="000000"/>
      <w:sz w:val="46"/>
      <w:szCs w:val="46"/>
    </w:rPr>
  </w:style>
  <w:style w:type="character" w:styleId="aff4">
    <w:name w:val="FollowedHyperlink"/>
    <w:uiPriority w:val="99"/>
    <w:rsid w:val="00DE623A"/>
    <w:rPr>
      <w:color w:val="800080"/>
      <w:u w:val="single"/>
    </w:rPr>
  </w:style>
  <w:style w:type="character" w:customStyle="1" w:styleId="st1">
    <w:name w:val="st1"/>
    <w:basedOn w:val="a2"/>
    <w:rsid w:val="00AE4C6E"/>
  </w:style>
  <w:style w:type="paragraph" w:customStyle="1" w:styleId="a0">
    <w:name w:val="分項段落"/>
    <w:basedOn w:val="a1"/>
    <w:rsid w:val="00440751"/>
    <w:pPr>
      <w:numPr>
        <w:numId w:val="2"/>
      </w:numPr>
    </w:pPr>
    <w:rPr>
      <w:rFonts w:ascii="Calibri" w:eastAsia="新細明體" w:hAnsi="Calibri" w:cs="Times New Roman"/>
      <w:szCs w:val="22"/>
    </w:rPr>
  </w:style>
  <w:style w:type="table" w:customStyle="1" w:styleId="12">
    <w:name w:val="表格格線1"/>
    <w:basedOn w:val="a3"/>
    <w:next w:val="a5"/>
    <w:uiPriority w:val="59"/>
    <w:rsid w:val="00440751"/>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格格線2"/>
    <w:basedOn w:val="a3"/>
    <w:next w:val="a5"/>
    <w:uiPriority w:val="59"/>
    <w:rsid w:val="004407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basedOn w:val="a2"/>
    <w:uiPriority w:val="22"/>
    <w:qFormat/>
    <w:rsid w:val="00C03546"/>
    <w:rPr>
      <w:b/>
      <w:bCs/>
    </w:rPr>
  </w:style>
  <w:style w:type="table" w:styleId="-2">
    <w:name w:val="Light Shading Accent 2"/>
    <w:basedOn w:val="a3"/>
    <w:uiPriority w:val="60"/>
    <w:rsid w:val="004979E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0">
    <w:name w:val="Light Shading Accent 1"/>
    <w:basedOn w:val="a3"/>
    <w:uiPriority w:val="60"/>
    <w:rsid w:val="004979E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2">
    <w:name w:val="表格格線3"/>
    <w:basedOn w:val="a3"/>
    <w:next w:val="a5"/>
    <w:uiPriority w:val="59"/>
    <w:rsid w:val="007C6060"/>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3"/>
    <w:next w:val="a5"/>
    <w:uiPriority w:val="59"/>
    <w:rsid w:val="007C6060"/>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表格格線5"/>
    <w:basedOn w:val="a3"/>
    <w:next w:val="a5"/>
    <w:uiPriority w:val="59"/>
    <w:rsid w:val="007C60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2"/>
    <w:rsid w:val="001F36C9"/>
  </w:style>
  <w:style w:type="character" w:customStyle="1" w:styleId="highlightselected">
    <w:name w:val="highlight selected"/>
    <w:basedOn w:val="a2"/>
    <w:rsid w:val="001F36C9"/>
  </w:style>
  <w:style w:type="character" w:styleId="aff6">
    <w:name w:val="Emphasis"/>
    <w:basedOn w:val="a2"/>
    <w:qFormat/>
    <w:rsid w:val="001F36C9"/>
    <w:rPr>
      <w:i/>
      <w:iCs/>
    </w:rPr>
  </w:style>
  <w:style w:type="character" w:customStyle="1" w:styleId="110">
    <w:name w:val="標題 1 字元1"/>
    <w:rsid w:val="007B7D9B"/>
    <w:rPr>
      <w:rFonts w:ascii="Arial" w:eastAsia="新細明體" w:hAnsi="Arial"/>
      <w:b/>
      <w:bCs/>
      <w:kern w:val="52"/>
      <w:sz w:val="52"/>
      <w:szCs w:val="52"/>
      <w:lang w:val="en-US" w:eastAsia="zh-TW" w:bidi="ar-SA"/>
    </w:rPr>
  </w:style>
  <w:style w:type="character" w:customStyle="1" w:styleId="txt131">
    <w:name w:val="txt131"/>
    <w:rsid w:val="007B7D9B"/>
    <w:rPr>
      <w:rFonts w:ascii="AdvTimes-i" w:hAnsi="AdvTimes-i" w:hint="default"/>
      <w:sz w:val="20"/>
      <w:szCs w:val="20"/>
    </w:rPr>
  </w:style>
  <w:style w:type="character" w:customStyle="1" w:styleId="t41">
    <w:name w:val="t41"/>
    <w:rsid w:val="007B7D9B"/>
    <w:rPr>
      <w:rFonts w:ascii="AdvTimes-b" w:hAnsi="AdvTimes-b" w:hint="default"/>
      <w:b w:val="0"/>
      <w:bCs w:val="0"/>
      <w:smallCaps w:val="0"/>
      <w:color w:val="000000"/>
      <w:sz w:val="18"/>
      <w:szCs w:val="18"/>
    </w:rPr>
  </w:style>
  <w:style w:type="character" w:customStyle="1" w:styleId="aff7">
    <w:name w:val="字元 字元"/>
    <w:rsid w:val="007B7D9B"/>
    <w:rPr>
      <w:rFonts w:ascii="Arial" w:eastAsia="新細明體" w:hAnsi="Arial"/>
      <w:b/>
      <w:bCs/>
      <w:kern w:val="52"/>
      <w:sz w:val="52"/>
      <w:szCs w:val="52"/>
      <w:lang w:val="en-GB" w:eastAsia="zh-TW" w:bidi="ar-SA"/>
    </w:rPr>
  </w:style>
  <w:style w:type="character" w:styleId="aff8">
    <w:name w:val="page number"/>
    <w:basedOn w:val="a2"/>
    <w:rsid w:val="007B7D9B"/>
  </w:style>
  <w:style w:type="paragraph" w:styleId="aff9">
    <w:name w:val="Body Text"/>
    <w:basedOn w:val="a1"/>
    <w:link w:val="affa"/>
    <w:rsid w:val="007B7D9B"/>
    <w:pPr>
      <w:spacing w:after="120"/>
    </w:pPr>
    <w:rPr>
      <w:rFonts w:ascii="Times New Roman" w:eastAsia="新細明體" w:hAnsi="Times New Roman" w:cs="Times New Roman"/>
    </w:rPr>
  </w:style>
  <w:style w:type="character" w:customStyle="1" w:styleId="affa">
    <w:name w:val="本文 字元"/>
    <w:basedOn w:val="a2"/>
    <w:link w:val="aff9"/>
    <w:rsid w:val="007B7D9B"/>
    <w:rPr>
      <w:rFonts w:ascii="Times New Roman" w:eastAsia="新細明體" w:hAnsi="Times New Roman" w:cs="Times New Roman"/>
      <w:szCs w:val="24"/>
    </w:rPr>
  </w:style>
  <w:style w:type="paragraph" w:styleId="affb">
    <w:name w:val="Normal Indent"/>
    <w:aliases w:val=" 字元 字元 字元 字元 字元, 字元 字元 字元 字元,字元 字元 字元 字元 字元,字元 字元 字元 字元"/>
    <w:basedOn w:val="a1"/>
    <w:link w:val="affc"/>
    <w:rsid w:val="007B7D9B"/>
    <w:pPr>
      <w:tabs>
        <w:tab w:val="left" w:pos="1762"/>
        <w:tab w:val="left" w:pos="2783"/>
        <w:tab w:val="left" w:pos="3803"/>
        <w:tab w:val="left" w:pos="4824"/>
        <w:tab w:val="left" w:pos="5844"/>
        <w:tab w:val="left" w:pos="6865"/>
        <w:tab w:val="left" w:pos="7886"/>
        <w:tab w:val="left" w:pos="8906"/>
        <w:tab w:val="left" w:pos="9927"/>
        <w:tab w:val="left" w:pos="10948"/>
        <w:tab w:val="left" w:pos="11968"/>
        <w:tab w:val="left" w:pos="12989"/>
        <w:tab w:val="left" w:pos="14010"/>
      </w:tabs>
      <w:adjustRightInd w:val="0"/>
      <w:snapToGrid w:val="0"/>
      <w:spacing w:before="120" w:after="120" w:line="360" w:lineRule="atLeast"/>
      <w:ind w:firstLine="482"/>
      <w:jc w:val="both"/>
    </w:pPr>
    <w:rPr>
      <w:rFonts w:ascii="Times New Roman" w:eastAsia="標楷體" w:hAnsi="Times New Roman" w:cs="Times New Roman"/>
      <w:szCs w:val="20"/>
    </w:rPr>
  </w:style>
  <w:style w:type="character" w:customStyle="1" w:styleId="affc">
    <w:name w:val="內文縮排 字元"/>
    <w:aliases w:val=" 字元 字元 字元 字元 字元 字元, 字元 字元 字元 字元 字元1,字元 字元 字元 字元 字元 字元,字元 字元 字元 字元 字元1"/>
    <w:basedOn w:val="a2"/>
    <w:link w:val="affb"/>
    <w:rsid w:val="00681820"/>
    <w:rPr>
      <w:rFonts w:ascii="Times New Roman" w:eastAsia="標楷體" w:hAnsi="Times New Roman" w:cs="Times New Roman"/>
      <w:szCs w:val="20"/>
    </w:rPr>
  </w:style>
  <w:style w:type="paragraph" w:customStyle="1" w:styleId="affd">
    <w:name w:val="參考文獻文"/>
    <w:basedOn w:val="a1"/>
    <w:rsid w:val="007B7D9B"/>
    <w:pPr>
      <w:ind w:left="100" w:hangingChars="100" w:hanging="100"/>
      <w:jc w:val="both"/>
    </w:pPr>
    <w:rPr>
      <w:rFonts w:ascii="Times New Roman" w:eastAsia="細明體" w:hAnsi="Times New Roman" w:cs="Times New Roman"/>
      <w:sz w:val="22"/>
    </w:rPr>
  </w:style>
  <w:style w:type="paragraph" w:customStyle="1" w:styleId="affe">
    <w:name w:val="文"/>
    <w:basedOn w:val="a1"/>
    <w:rsid w:val="007B7D9B"/>
    <w:pPr>
      <w:ind w:firstLineChars="200" w:firstLine="200"/>
      <w:jc w:val="both"/>
    </w:pPr>
    <w:rPr>
      <w:rFonts w:ascii="Times New Roman" w:eastAsia="細明體" w:hAnsi="Times New Roman" w:cs="Times New Roman"/>
      <w:sz w:val="22"/>
    </w:rPr>
  </w:style>
  <w:style w:type="paragraph" w:customStyle="1" w:styleId="afff">
    <w:name w:val="說明(無函件項目符號)"/>
    <w:basedOn w:val="a1"/>
    <w:next w:val="a1"/>
    <w:rsid w:val="007B7D9B"/>
    <w:pPr>
      <w:kinsoku w:val="0"/>
      <w:overflowPunct w:val="0"/>
      <w:spacing w:line="420" w:lineRule="exact"/>
      <w:ind w:leftChars="100" w:left="300" w:hangingChars="200" w:hanging="200"/>
      <w:jc w:val="both"/>
      <w:textAlignment w:val="center"/>
    </w:pPr>
    <w:rPr>
      <w:rFonts w:ascii="Times New Roman" w:eastAsia="sөũ" w:hAnsi="Times New Roman" w:cs="Times New Roman"/>
      <w:noProof/>
      <w:kern w:val="0"/>
      <w:sz w:val="21"/>
    </w:rPr>
  </w:style>
  <w:style w:type="paragraph" w:customStyle="1" w:styleId="afff0">
    <w:name w:val="바탕글"/>
    <w:rsid w:val="007B7D9B"/>
    <w:pPr>
      <w:widowControl w:val="0"/>
      <w:wordWrap w:val="0"/>
      <w:autoSpaceDE w:val="0"/>
      <w:autoSpaceDN w:val="0"/>
      <w:adjustRightInd w:val="0"/>
      <w:spacing w:line="319" w:lineRule="auto"/>
      <w:jc w:val="both"/>
    </w:pPr>
    <w:rPr>
      <w:rFonts w:ascii="өũ" w:eastAsia="өũ" w:hAnsi="Times New Roman" w:cs="Times New Roman"/>
      <w:color w:val="000000"/>
      <w:kern w:val="0"/>
      <w:sz w:val="20"/>
      <w:szCs w:val="20"/>
      <w:lang w:eastAsia="ko-KR"/>
    </w:rPr>
  </w:style>
  <w:style w:type="character" w:customStyle="1" w:styleId="boldblue1">
    <w:name w:val="boldblue1"/>
    <w:rsid w:val="007B7D9B"/>
    <w:rPr>
      <w:b/>
      <w:bCs/>
      <w:color w:val="00008C"/>
    </w:rPr>
  </w:style>
  <w:style w:type="paragraph" w:customStyle="1" w:styleId="font0">
    <w:name w:val="font0"/>
    <w:basedOn w:val="Default"/>
    <w:next w:val="Default"/>
    <w:rsid w:val="007B7D9B"/>
    <w:rPr>
      <w:rFonts w:cs="AdvTimes"/>
      <w:color w:val="auto"/>
      <w:lang w:bidi="hi-IN"/>
    </w:rPr>
  </w:style>
  <w:style w:type="character" w:customStyle="1" w:styleId="13">
    <w:name w:val="字元1 字元"/>
    <w:aliases w:val=" 字元5 字元,字元5 字元 字元"/>
    <w:rsid w:val="007B7D9B"/>
    <w:rPr>
      <w:rFonts w:eastAsia="新細明體"/>
      <w:kern w:val="2"/>
      <w:lang w:val="en-GB" w:eastAsia="zh-TW" w:bidi="ar-SA"/>
    </w:rPr>
  </w:style>
  <w:style w:type="character" w:customStyle="1" w:styleId="61">
    <w:name w:val="字元 字元6"/>
    <w:rsid w:val="007B7D9B"/>
    <w:rPr>
      <w:rFonts w:ascii="Arial" w:eastAsia="新細明體" w:hAnsi="Arial"/>
      <w:b/>
      <w:bCs/>
      <w:kern w:val="52"/>
      <w:sz w:val="52"/>
      <w:szCs w:val="52"/>
      <w:lang w:val="en-US" w:eastAsia="zh-TW" w:bidi="ar-SA"/>
    </w:rPr>
  </w:style>
  <w:style w:type="character" w:customStyle="1" w:styleId="insubject11">
    <w:name w:val="insubject11"/>
    <w:rsid w:val="007B7D9B"/>
    <w:rPr>
      <w:b/>
      <w:bCs/>
      <w:color w:val="3366CC"/>
      <w:sz w:val="31"/>
      <w:szCs w:val="31"/>
    </w:rPr>
  </w:style>
  <w:style w:type="character" w:customStyle="1" w:styleId="boldtitle1">
    <w:name w:val="boldtitle1"/>
    <w:rsid w:val="007B7D9B"/>
    <w:rPr>
      <w:b/>
      <w:bCs/>
    </w:rPr>
  </w:style>
  <w:style w:type="paragraph" w:customStyle="1" w:styleId="14">
    <w:name w:val="清單段落1"/>
    <w:basedOn w:val="a1"/>
    <w:rsid w:val="007B7D9B"/>
    <w:pPr>
      <w:ind w:leftChars="200" w:left="480"/>
    </w:pPr>
    <w:rPr>
      <w:rFonts w:ascii="Caecilia-Roman" w:eastAsia="新細明體" w:hAnsi="Caecilia-Roman" w:cs="Times New Roman"/>
    </w:rPr>
  </w:style>
  <w:style w:type="character" w:customStyle="1" w:styleId="usercontent">
    <w:name w:val="usercontent"/>
    <w:rsid w:val="007B7D9B"/>
  </w:style>
  <w:style w:type="paragraph" w:styleId="afff1">
    <w:name w:val="Bibliography"/>
    <w:basedOn w:val="a1"/>
    <w:next w:val="a1"/>
    <w:uiPriority w:val="37"/>
    <w:unhideWhenUsed/>
    <w:rsid w:val="007B7D9B"/>
  </w:style>
  <w:style w:type="character" w:customStyle="1" w:styleId="EndNoteBibliographyTitle">
    <w:name w:val="EndNote Bibliography Title 字元"/>
    <w:basedOn w:val="a2"/>
    <w:link w:val="EndNoteBibliographyTitle0"/>
    <w:locked/>
    <w:rsid w:val="007B7D9B"/>
    <w:rPr>
      <w:rFonts w:ascii="Calibri" w:hAnsi="Calibri" w:cs="Calibri"/>
      <w:noProof/>
      <w:lang w:val="en-GB"/>
    </w:rPr>
  </w:style>
  <w:style w:type="paragraph" w:customStyle="1" w:styleId="EndNoteBibliographyTitle0">
    <w:name w:val="EndNote Bibliography Title"/>
    <w:basedOn w:val="a1"/>
    <w:link w:val="EndNoteBibliographyTitle"/>
    <w:rsid w:val="007B7D9B"/>
    <w:pPr>
      <w:jc w:val="center"/>
    </w:pPr>
    <w:rPr>
      <w:rFonts w:ascii="Calibri" w:hAnsi="Calibri" w:cs="Calibri"/>
      <w:noProof/>
      <w:szCs w:val="22"/>
      <w:lang w:val="en-GB"/>
    </w:rPr>
  </w:style>
  <w:style w:type="character" w:customStyle="1" w:styleId="EndNoteBibliography">
    <w:name w:val="EndNote Bibliography 字元"/>
    <w:basedOn w:val="a2"/>
    <w:link w:val="EndNoteBibliography0"/>
    <w:locked/>
    <w:rsid w:val="007B7D9B"/>
    <w:rPr>
      <w:rFonts w:ascii="Calibri" w:hAnsi="Calibri" w:cs="Calibri"/>
      <w:noProof/>
      <w:lang w:val="en-GB"/>
    </w:rPr>
  </w:style>
  <w:style w:type="paragraph" w:customStyle="1" w:styleId="EndNoteBibliography0">
    <w:name w:val="EndNote Bibliography"/>
    <w:basedOn w:val="a1"/>
    <w:link w:val="EndNoteBibliography"/>
    <w:rsid w:val="007B7D9B"/>
    <w:rPr>
      <w:rFonts w:ascii="Calibri" w:hAnsi="Calibri" w:cs="Calibri"/>
      <w:noProof/>
      <w:szCs w:val="22"/>
      <w:lang w:val="en-GB"/>
    </w:rPr>
  </w:style>
  <w:style w:type="character" w:customStyle="1" w:styleId="apple-converted-space">
    <w:name w:val="apple-converted-space"/>
    <w:basedOn w:val="a2"/>
    <w:rsid w:val="007B7D9B"/>
  </w:style>
  <w:style w:type="table" w:customStyle="1" w:styleId="410">
    <w:name w:val="純表格 41"/>
    <w:basedOn w:val="a3"/>
    <w:uiPriority w:val="44"/>
    <w:rsid w:val="007B7D9B"/>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2">
    <w:name w:val="Body Text Indent"/>
    <w:basedOn w:val="a1"/>
    <w:link w:val="afff3"/>
    <w:unhideWhenUsed/>
    <w:rsid w:val="009B5021"/>
    <w:pPr>
      <w:spacing w:after="120"/>
      <w:ind w:leftChars="200" w:left="480"/>
    </w:pPr>
  </w:style>
  <w:style w:type="character" w:customStyle="1" w:styleId="afff3">
    <w:name w:val="本文縮排 字元"/>
    <w:basedOn w:val="a2"/>
    <w:link w:val="afff2"/>
    <w:rsid w:val="009B5021"/>
    <w:rPr>
      <w:szCs w:val="24"/>
    </w:rPr>
  </w:style>
  <w:style w:type="character" w:styleId="afff4">
    <w:name w:val="Placeholder Text"/>
    <w:basedOn w:val="a2"/>
    <w:uiPriority w:val="99"/>
    <w:semiHidden/>
    <w:rsid w:val="009B5021"/>
    <w:rPr>
      <w:color w:val="808080"/>
    </w:rPr>
  </w:style>
  <w:style w:type="paragraph" w:customStyle="1" w:styleId="15">
    <w:name w:val="樣式1"/>
    <w:basedOn w:val="afff2"/>
    <w:rsid w:val="009B5021"/>
    <w:pPr>
      <w:spacing w:after="0" w:line="400" w:lineRule="exact"/>
      <w:ind w:leftChars="0" w:left="0" w:firstLineChars="200" w:firstLine="527"/>
      <w:jc w:val="both"/>
    </w:pPr>
    <w:rPr>
      <w:rFonts w:ascii="Times New Roman" w:eastAsia="新細明體" w:hAnsi="新細明體" w:cs="Times New Roman"/>
      <w:sz w:val="22"/>
    </w:rPr>
  </w:style>
  <w:style w:type="character" w:customStyle="1" w:styleId="16">
    <w:name w:val="樣式1 字元"/>
    <w:basedOn w:val="a2"/>
    <w:rsid w:val="009B5021"/>
    <w:rPr>
      <w:rFonts w:ascii="標楷體" w:eastAsia="新細明體" w:hAnsi="新細明體"/>
      <w:kern w:val="2"/>
      <w:sz w:val="22"/>
      <w:szCs w:val="24"/>
      <w:lang w:val="en-US" w:eastAsia="zh-TW" w:bidi="ar-SA"/>
    </w:rPr>
  </w:style>
  <w:style w:type="paragraph" w:customStyle="1" w:styleId="afff5">
    <w:name w:val="表目錄"/>
    <w:basedOn w:val="af8"/>
    <w:rsid w:val="009B5021"/>
    <w:pPr>
      <w:spacing w:before="0" w:after="0"/>
    </w:pPr>
    <w:rPr>
      <w:rFonts w:ascii="標楷體" w:eastAsia="標楷體"/>
      <w:sz w:val="24"/>
    </w:rPr>
  </w:style>
  <w:style w:type="paragraph" w:styleId="23">
    <w:name w:val="Body Text 2"/>
    <w:basedOn w:val="a1"/>
    <w:link w:val="24"/>
    <w:uiPriority w:val="99"/>
    <w:semiHidden/>
    <w:unhideWhenUsed/>
    <w:rsid w:val="009B5021"/>
    <w:pPr>
      <w:spacing w:after="120" w:line="480" w:lineRule="auto"/>
    </w:pPr>
    <w:rPr>
      <w:szCs w:val="22"/>
    </w:rPr>
  </w:style>
  <w:style w:type="character" w:customStyle="1" w:styleId="24">
    <w:name w:val="本文 2 字元"/>
    <w:basedOn w:val="a2"/>
    <w:link w:val="23"/>
    <w:uiPriority w:val="99"/>
    <w:semiHidden/>
    <w:rsid w:val="009B5021"/>
  </w:style>
  <w:style w:type="paragraph" w:customStyle="1" w:styleId="Standard">
    <w:name w:val="Standard"/>
    <w:rsid w:val="009B5021"/>
    <w:pPr>
      <w:widowControl w:val="0"/>
      <w:autoSpaceDN w:val="0"/>
      <w:textAlignment w:val="baseline"/>
    </w:pPr>
    <w:rPr>
      <w:rFonts w:ascii="Times New Roman" w:eastAsia="新細明體" w:hAnsi="Times New Roman" w:cs="Times New Roman"/>
      <w:kern w:val="3"/>
      <w:szCs w:val="24"/>
    </w:rPr>
  </w:style>
  <w:style w:type="paragraph" w:customStyle="1" w:styleId="00">
    <w:name w:val="00 註腳"/>
    <w:basedOn w:val="af2"/>
    <w:qFormat/>
    <w:rsid w:val="00381C80"/>
    <w:pPr>
      <w:overflowPunct w:val="0"/>
      <w:autoSpaceDE w:val="0"/>
      <w:autoSpaceDN w:val="0"/>
      <w:spacing w:line="240" w:lineRule="exact"/>
      <w:ind w:left="190" w:hangingChars="95" w:hanging="190"/>
      <w:jc w:val="both"/>
    </w:pPr>
    <w:rPr>
      <w:rFonts w:eastAsia="標楷體"/>
    </w:rPr>
  </w:style>
  <w:style w:type="paragraph" w:customStyle="1" w:styleId="000">
    <w:name w:val="00 內文"/>
    <w:basedOn w:val="a1"/>
    <w:qFormat/>
    <w:rsid w:val="00381C80"/>
    <w:pPr>
      <w:overflowPunct w:val="0"/>
      <w:autoSpaceDE w:val="0"/>
      <w:autoSpaceDN w:val="0"/>
      <w:adjustRightInd w:val="0"/>
      <w:spacing w:line="360" w:lineRule="exact"/>
      <w:ind w:firstLineChars="200" w:firstLine="200"/>
      <w:jc w:val="both"/>
    </w:pPr>
    <w:rPr>
      <w:rFonts w:ascii="Times New Roman" w:eastAsia="標楷體" w:hAnsi="Times New Roman" w:cs="Times New Roman"/>
      <w:kern w:val="0"/>
      <w:sz w:val="22"/>
    </w:rPr>
  </w:style>
  <w:style w:type="paragraph" w:customStyle="1" w:styleId="afff6">
    <w:name w:val="內文格式"/>
    <w:basedOn w:val="a1"/>
    <w:link w:val="afff7"/>
    <w:qFormat/>
    <w:rsid w:val="00681820"/>
    <w:pPr>
      <w:adjustRightInd w:val="0"/>
      <w:spacing w:line="360" w:lineRule="auto"/>
      <w:ind w:firstLine="567"/>
      <w:jc w:val="both"/>
      <w:textAlignment w:val="baseline"/>
    </w:pPr>
    <w:rPr>
      <w:rFonts w:ascii="Times New Roman" w:eastAsia="細明體" w:hAnsi="Times New Roman" w:cs="Times New Roman"/>
      <w:kern w:val="0"/>
      <w:szCs w:val="20"/>
    </w:rPr>
  </w:style>
  <w:style w:type="character" w:customStyle="1" w:styleId="afff7">
    <w:name w:val="內文格式 字元"/>
    <w:basedOn w:val="a2"/>
    <w:link w:val="afff6"/>
    <w:rsid w:val="00681820"/>
    <w:rPr>
      <w:rFonts w:ascii="Times New Roman" w:eastAsia="細明體" w:hAnsi="Times New Roman" w:cs="Times New Roman"/>
      <w:kern w:val="0"/>
      <w:szCs w:val="20"/>
    </w:rPr>
  </w:style>
  <w:style w:type="paragraph" w:styleId="25">
    <w:name w:val="Body Text First Indent 2"/>
    <w:basedOn w:val="afff2"/>
    <w:link w:val="26"/>
    <w:uiPriority w:val="99"/>
    <w:unhideWhenUsed/>
    <w:rsid w:val="00681820"/>
    <w:pPr>
      <w:ind w:firstLineChars="100" w:firstLine="210"/>
    </w:pPr>
    <w:rPr>
      <w:szCs w:val="22"/>
    </w:rPr>
  </w:style>
  <w:style w:type="character" w:customStyle="1" w:styleId="26">
    <w:name w:val="本文第一層縮排 2 字元"/>
    <w:basedOn w:val="afff3"/>
    <w:link w:val="25"/>
    <w:uiPriority w:val="99"/>
    <w:rsid w:val="00681820"/>
    <w:rPr>
      <w:szCs w:val="24"/>
    </w:rPr>
  </w:style>
  <w:style w:type="paragraph" w:customStyle="1" w:styleId="TableParagraph">
    <w:name w:val="Table Paragraph"/>
    <w:basedOn w:val="a1"/>
    <w:uiPriority w:val="1"/>
    <w:qFormat/>
    <w:rsid w:val="00681820"/>
    <w:pPr>
      <w:autoSpaceDE w:val="0"/>
      <w:autoSpaceDN w:val="0"/>
      <w:jc w:val="right"/>
    </w:pPr>
    <w:rPr>
      <w:rFonts w:ascii="Times New Roman" w:eastAsia="Times New Roman" w:hAnsi="Times New Roman" w:cs="Times New Roman"/>
      <w:kern w:val="0"/>
      <w:sz w:val="22"/>
      <w:szCs w:val="22"/>
    </w:rPr>
  </w:style>
  <w:style w:type="character" w:customStyle="1" w:styleId="17">
    <w:name w:val="未解析的提及1"/>
    <w:basedOn w:val="a2"/>
    <w:uiPriority w:val="99"/>
    <w:semiHidden/>
    <w:unhideWhenUsed/>
    <w:rsid w:val="00F152C0"/>
    <w:rPr>
      <w:color w:val="605E5C"/>
      <w:shd w:val="clear" w:color="auto" w:fill="E1DFDD"/>
    </w:rPr>
  </w:style>
  <w:style w:type="table" w:customStyle="1" w:styleId="TableNormal">
    <w:name w:val="Table Normal"/>
    <w:uiPriority w:val="2"/>
    <w:semiHidden/>
    <w:unhideWhenUsed/>
    <w:qFormat/>
    <w:rsid w:val="00F152C0"/>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customStyle="1" w:styleId="18">
    <w:name w:val="未解析的提及項目1"/>
    <w:basedOn w:val="a2"/>
    <w:uiPriority w:val="99"/>
    <w:semiHidden/>
    <w:unhideWhenUsed/>
    <w:rsid w:val="00F152C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header" w:uiPriority="0"/>
    <w:lsdException w:name="caption" w:uiPriority="35" w:qFormat="1"/>
    <w:lsdException w:name="footnote reference"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Simple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75E41"/>
    <w:pPr>
      <w:widowControl w:val="0"/>
    </w:pPr>
    <w:rPr>
      <w:szCs w:val="24"/>
    </w:rPr>
  </w:style>
  <w:style w:type="paragraph" w:styleId="1">
    <w:name w:val="heading 1"/>
    <w:basedOn w:val="a1"/>
    <w:next w:val="a1"/>
    <w:link w:val="10"/>
    <w:qFormat/>
    <w:rsid w:val="00346358"/>
    <w:pPr>
      <w:keepNext/>
      <w:numPr>
        <w:numId w:val="8"/>
      </w:numPr>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1"/>
    <w:next w:val="a1"/>
    <w:link w:val="20"/>
    <w:uiPriority w:val="9"/>
    <w:qFormat/>
    <w:rsid w:val="00DE623A"/>
    <w:pPr>
      <w:keepNext/>
      <w:numPr>
        <w:ilvl w:val="1"/>
        <w:numId w:val="8"/>
      </w:numPr>
      <w:adjustRightInd w:val="0"/>
      <w:spacing w:line="720" w:lineRule="atLeast"/>
      <w:jc w:val="both"/>
      <w:textAlignment w:val="baseline"/>
      <w:outlineLvl w:val="1"/>
    </w:pPr>
    <w:rPr>
      <w:rFonts w:ascii="Cambria" w:eastAsia="新細明體" w:hAnsi="Cambria" w:cs="Mangal"/>
      <w:b/>
      <w:bCs/>
      <w:kern w:val="0"/>
      <w:sz w:val="48"/>
      <w:szCs w:val="43"/>
      <w:lang w:bidi="hi-IN"/>
    </w:rPr>
  </w:style>
  <w:style w:type="paragraph" w:styleId="3">
    <w:name w:val="heading 3"/>
    <w:basedOn w:val="a1"/>
    <w:next w:val="a1"/>
    <w:link w:val="30"/>
    <w:unhideWhenUsed/>
    <w:qFormat/>
    <w:rsid w:val="00E8192E"/>
    <w:pPr>
      <w:keepNext/>
      <w:numPr>
        <w:ilvl w:val="2"/>
        <w:numId w:val="8"/>
      </w:numPr>
      <w:spacing w:line="720" w:lineRule="auto"/>
      <w:outlineLvl w:val="2"/>
    </w:pPr>
    <w:rPr>
      <w:rFonts w:asciiTheme="majorHAnsi" w:eastAsiaTheme="majorEastAsia" w:hAnsiTheme="majorHAnsi" w:cstheme="majorBidi"/>
      <w:b/>
      <w:bCs/>
      <w:sz w:val="36"/>
      <w:szCs w:val="36"/>
    </w:rPr>
  </w:style>
  <w:style w:type="paragraph" w:styleId="4">
    <w:name w:val="heading 4"/>
    <w:basedOn w:val="a1"/>
    <w:next w:val="a1"/>
    <w:link w:val="40"/>
    <w:uiPriority w:val="9"/>
    <w:semiHidden/>
    <w:unhideWhenUsed/>
    <w:qFormat/>
    <w:rsid w:val="00E8192E"/>
    <w:pPr>
      <w:keepNext/>
      <w:numPr>
        <w:ilvl w:val="3"/>
        <w:numId w:val="8"/>
      </w:numPr>
      <w:spacing w:line="720" w:lineRule="auto"/>
      <w:outlineLvl w:val="3"/>
    </w:pPr>
    <w:rPr>
      <w:rFonts w:asciiTheme="majorHAnsi" w:eastAsiaTheme="majorEastAsia" w:hAnsiTheme="majorHAnsi" w:cstheme="majorBidi"/>
      <w:sz w:val="36"/>
      <w:szCs w:val="36"/>
    </w:rPr>
  </w:style>
  <w:style w:type="paragraph" w:styleId="5">
    <w:name w:val="heading 5"/>
    <w:basedOn w:val="a1"/>
    <w:next w:val="a1"/>
    <w:link w:val="50"/>
    <w:uiPriority w:val="9"/>
    <w:semiHidden/>
    <w:unhideWhenUsed/>
    <w:qFormat/>
    <w:rsid w:val="00E8192E"/>
    <w:pPr>
      <w:keepNext/>
      <w:numPr>
        <w:ilvl w:val="4"/>
        <w:numId w:val="8"/>
      </w:numPr>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uiPriority w:val="9"/>
    <w:semiHidden/>
    <w:unhideWhenUsed/>
    <w:qFormat/>
    <w:rsid w:val="00E8192E"/>
    <w:pPr>
      <w:keepNext/>
      <w:numPr>
        <w:ilvl w:val="5"/>
        <w:numId w:val="8"/>
      </w:numPr>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uiPriority w:val="9"/>
    <w:semiHidden/>
    <w:unhideWhenUsed/>
    <w:qFormat/>
    <w:rsid w:val="00E8192E"/>
    <w:pPr>
      <w:keepNext/>
      <w:numPr>
        <w:ilvl w:val="6"/>
        <w:numId w:val="8"/>
      </w:numPr>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uiPriority w:val="9"/>
    <w:semiHidden/>
    <w:unhideWhenUsed/>
    <w:qFormat/>
    <w:rsid w:val="00E8192E"/>
    <w:pPr>
      <w:keepNext/>
      <w:numPr>
        <w:ilvl w:val="7"/>
        <w:numId w:val="8"/>
      </w:numPr>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uiPriority w:val="9"/>
    <w:semiHidden/>
    <w:unhideWhenUsed/>
    <w:qFormat/>
    <w:rsid w:val="00E8192E"/>
    <w:pPr>
      <w:keepNext/>
      <w:numPr>
        <w:ilvl w:val="8"/>
        <w:numId w:val="8"/>
      </w:numPr>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rsid w:val="00346358"/>
    <w:rPr>
      <w:rFonts w:asciiTheme="majorHAnsi" w:eastAsiaTheme="majorEastAsia" w:hAnsiTheme="majorHAnsi" w:cstheme="majorBidi"/>
      <w:b/>
      <w:bCs/>
      <w:kern w:val="52"/>
      <w:sz w:val="52"/>
      <w:szCs w:val="52"/>
    </w:rPr>
  </w:style>
  <w:style w:type="character" w:customStyle="1" w:styleId="20">
    <w:name w:val="標題 2 字元"/>
    <w:basedOn w:val="a2"/>
    <w:link w:val="2"/>
    <w:uiPriority w:val="9"/>
    <w:rsid w:val="00DE623A"/>
    <w:rPr>
      <w:rFonts w:ascii="Cambria" w:eastAsia="新細明體" w:hAnsi="Cambria" w:cs="Mangal"/>
      <w:b/>
      <w:bCs/>
      <w:kern w:val="0"/>
      <w:sz w:val="48"/>
      <w:szCs w:val="43"/>
      <w:lang w:bidi="hi-IN"/>
    </w:rPr>
  </w:style>
  <w:style w:type="character" w:customStyle="1" w:styleId="30">
    <w:name w:val="標題 3 字元"/>
    <w:basedOn w:val="a2"/>
    <w:link w:val="3"/>
    <w:rsid w:val="00E8192E"/>
    <w:rPr>
      <w:rFonts w:asciiTheme="majorHAnsi" w:eastAsiaTheme="majorEastAsia" w:hAnsiTheme="majorHAnsi" w:cstheme="majorBidi"/>
      <w:b/>
      <w:bCs/>
      <w:sz w:val="36"/>
      <w:szCs w:val="36"/>
    </w:rPr>
  </w:style>
  <w:style w:type="character" w:customStyle="1" w:styleId="40">
    <w:name w:val="標題 4 字元"/>
    <w:basedOn w:val="a2"/>
    <w:link w:val="4"/>
    <w:uiPriority w:val="9"/>
    <w:semiHidden/>
    <w:rsid w:val="00E8192E"/>
    <w:rPr>
      <w:rFonts w:asciiTheme="majorHAnsi" w:eastAsiaTheme="majorEastAsia" w:hAnsiTheme="majorHAnsi" w:cstheme="majorBidi"/>
      <w:sz w:val="36"/>
      <w:szCs w:val="36"/>
    </w:rPr>
  </w:style>
  <w:style w:type="character" w:customStyle="1" w:styleId="50">
    <w:name w:val="標題 5 字元"/>
    <w:basedOn w:val="a2"/>
    <w:link w:val="5"/>
    <w:uiPriority w:val="9"/>
    <w:semiHidden/>
    <w:rsid w:val="00E8192E"/>
    <w:rPr>
      <w:rFonts w:asciiTheme="majorHAnsi" w:eastAsiaTheme="majorEastAsia" w:hAnsiTheme="majorHAnsi" w:cstheme="majorBidi"/>
      <w:b/>
      <w:bCs/>
      <w:sz w:val="36"/>
      <w:szCs w:val="36"/>
    </w:rPr>
  </w:style>
  <w:style w:type="character" w:customStyle="1" w:styleId="60">
    <w:name w:val="標題 6 字元"/>
    <w:basedOn w:val="a2"/>
    <w:link w:val="6"/>
    <w:uiPriority w:val="9"/>
    <w:semiHidden/>
    <w:rsid w:val="00E8192E"/>
    <w:rPr>
      <w:rFonts w:asciiTheme="majorHAnsi" w:eastAsiaTheme="majorEastAsia" w:hAnsiTheme="majorHAnsi" w:cstheme="majorBidi"/>
      <w:sz w:val="36"/>
      <w:szCs w:val="36"/>
    </w:rPr>
  </w:style>
  <w:style w:type="character" w:customStyle="1" w:styleId="70">
    <w:name w:val="標題 7 字元"/>
    <w:basedOn w:val="a2"/>
    <w:link w:val="7"/>
    <w:uiPriority w:val="9"/>
    <w:semiHidden/>
    <w:rsid w:val="00E8192E"/>
    <w:rPr>
      <w:rFonts w:asciiTheme="majorHAnsi" w:eastAsiaTheme="majorEastAsia" w:hAnsiTheme="majorHAnsi" w:cstheme="majorBidi"/>
      <w:b/>
      <w:bCs/>
      <w:sz w:val="36"/>
      <w:szCs w:val="36"/>
    </w:rPr>
  </w:style>
  <w:style w:type="character" w:customStyle="1" w:styleId="80">
    <w:name w:val="標題 8 字元"/>
    <w:basedOn w:val="a2"/>
    <w:link w:val="8"/>
    <w:uiPriority w:val="9"/>
    <w:semiHidden/>
    <w:rsid w:val="00E8192E"/>
    <w:rPr>
      <w:rFonts w:asciiTheme="majorHAnsi" w:eastAsiaTheme="majorEastAsia" w:hAnsiTheme="majorHAnsi" w:cstheme="majorBidi"/>
      <w:sz w:val="36"/>
      <w:szCs w:val="36"/>
    </w:rPr>
  </w:style>
  <w:style w:type="character" w:customStyle="1" w:styleId="90">
    <w:name w:val="標題 9 字元"/>
    <w:basedOn w:val="a2"/>
    <w:link w:val="9"/>
    <w:uiPriority w:val="9"/>
    <w:semiHidden/>
    <w:rsid w:val="00E8192E"/>
    <w:rPr>
      <w:rFonts w:asciiTheme="majorHAnsi" w:eastAsiaTheme="majorEastAsia" w:hAnsiTheme="majorHAnsi" w:cstheme="majorBidi"/>
      <w:sz w:val="36"/>
      <w:szCs w:val="36"/>
    </w:rPr>
  </w:style>
  <w:style w:type="table" w:styleId="a5">
    <w:name w:val="Table Grid"/>
    <w:basedOn w:val="a3"/>
    <w:uiPriority w:val="59"/>
    <w:rsid w:val="00580D8F"/>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主旨"/>
    <w:basedOn w:val="a1"/>
    <w:rsid w:val="00580D8F"/>
    <w:pPr>
      <w:snapToGrid w:val="0"/>
    </w:pPr>
    <w:rPr>
      <w:rFonts w:ascii="Times New Roman" w:eastAsia="標楷體" w:hAnsi="Times New Roman" w:cs="Times New Roman"/>
      <w:sz w:val="36"/>
      <w:szCs w:val="20"/>
    </w:rPr>
  </w:style>
  <w:style w:type="paragraph" w:styleId="a7">
    <w:name w:val="TOC Heading"/>
    <w:basedOn w:val="1"/>
    <w:next w:val="a1"/>
    <w:uiPriority w:val="39"/>
    <w:unhideWhenUsed/>
    <w:qFormat/>
    <w:rsid w:val="00346358"/>
    <w:pPr>
      <w:keepLines/>
      <w:widowControl/>
      <w:spacing w:before="480" w:after="0" w:line="276" w:lineRule="auto"/>
      <w:outlineLvl w:val="9"/>
    </w:pPr>
    <w:rPr>
      <w:color w:val="365F91" w:themeColor="accent1" w:themeShade="BF"/>
      <w:kern w:val="0"/>
      <w:sz w:val="28"/>
      <w:szCs w:val="28"/>
    </w:rPr>
  </w:style>
  <w:style w:type="paragraph" w:styleId="21">
    <w:name w:val="toc 2"/>
    <w:basedOn w:val="a1"/>
    <w:next w:val="a1"/>
    <w:autoRedefine/>
    <w:uiPriority w:val="39"/>
    <w:unhideWhenUsed/>
    <w:qFormat/>
    <w:rsid w:val="00DD4634"/>
    <w:pPr>
      <w:widowControl/>
      <w:spacing w:before="100" w:beforeAutospacing="1" w:after="100" w:afterAutospacing="1" w:line="400" w:lineRule="exact"/>
      <w:ind w:left="1282" w:rightChars="-60" w:right="-144" w:hanging="431"/>
    </w:pPr>
    <w:rPr>
      <w:rFonts w:ascii="微軟正黑體" w:eastAsia="微軟正黑體" w:hAnsi="微軟正黑體" w:cs="Times New Roman"/>
      <w:kern w:val="0"/>
      <w:sz w:val="28"/>
      <w:szCs w:val="28"/>
    </w:rPr>
  </w:style>
  <w:style w:type="paragraph" w:styleId="11">
    <w:name w:val="toc 1"/>
    <w:basedOn w:val="a1"/>
    <w:next w:val="a1"/>
    <w:autoRedefine/>
    <w:uiPriority w:val="39"/>
    <w:unhideWhenUsed/>
    <w:qFormat/>
    <w:rsid w:val="00841A91"/>
    <w:pPr>
      <w:widowControl/>
      <w:spacing w:before="360" w:beforeAutospacing="1" w:after="100" w:afterAutospacing="1" w:line="400" w:lineRule="exact"/>
      <w:ind w:rightChars="-119" w:right="-286" w:firstLine="851"/>
      <w:jc w:val="both"/>
    </w:pPr>
    <w:rPr>
      <w:rFonts w:ascii="微軟正黑體" w:eastAsia="微軟正黑體" w:hAnsi="微軟正黑體"/>
      <w:b/>
      <w:bCs/>
      <w:kern w:val="0"/>
      <w:sz w:val="28"/>
      <w:szCs w:val="28"/>
    </w:rPr>
  </w:style>
  <w:style w:type="paragraph" w:styleId="31">
    <w:name w:val="toc 3"/>
    <w:basedOn w:val="a1"/>
    <w:next w:val="a1"/>
    <w:autoRedefine/>
    <w:uiPriority w:val="39"/>
    <w:unhideWhenUsed/>
    <w:qFormat/>
    <w:rsid w:val="00346358"/>
    <w:pPr>
      <w:widowControl/>
      <w:spacing w:after="100" w:line="276" w:lineRule="auto"/>
      <w:ind w:left="440"/>
    </w:pPr>
    <w:rPr>
      <w:kern w:val="0"/>
      <w:sz w:val="22"/>
      <w:szCs w:val="22"/>
    </w:rPr>
  </w:style>
  <w:style w:type="paragraph" w:styleId="a8">
    <w:name w:val="Balloon Text"/>
    <w:basedOn w:val="a1"/>
    <w:link w:val="a9"/>
    <w:unhideWhenUsed/>
    <w:rsid w:val="00346358"/>
    <w:rPr>
      <w:rFonts w:asciiTheme="majorHAnsi" w:eastAsiaTheme="majorEastAsia" w:hAnsiTheme="majorHAnsi" w:cstheme="majorBidi"/>
      <w:sz w:val="18"/>
      <w:szCs w:val="18"/>
    </w:rPr>
  </w:style>
  <w:style w:type="character" w:customStyle="1" w:styleId="a9">
    <w:name w:val="註解方塊文字 字元"/>
    <w:basedOn w:val="a2"/>
    <w:link w:val="a8"/>
    <w:rsid w:val="00346358"/>
    <w:rPr>
      <w:rFonts w:asciiTheme="majorHAnsi" w:eastAsiaTheme="majorEastAsia" w:hAnsiTheme="majorHAnsi" w:cstheme="majorBidi"/>
      <w:sz w:val="18"/>
      <w:szCs w:val="18"/>
    </w:rPr>
  </w:style>
  <w:style w:type="paragraph" w:styleId="aa">
    <w:name w:val="header"/>
    <w:basedOn w:val="a1"/>
    <w:link w:val="ab"/>
    <w:unhideWhenUsed/>
    <w:rsid w:val="00A14AE9"/>
    <w:pPr>
      <w:tabs>
        <w:tab w:val="center" w:pos="4153"/>
        <w:tab w:val="right" w:pos="8306"/>
      </w:tabs>
      <w:snapToGrid w:val="0"/>
    </w:pPr>
    <w:rPr>
      <w:sz w:val="20"/>
      <w:szCs w:val="20"/>
    </w:rPr>
  </w:style>
  <w:style w:type="character" w:customStyle="1" w:styleId="ab">
    <w:name w:val="頁首 字元"/>
    <w:basedOn w:val="a2"/>
    <w:link w:val="aa"/>
    <w:rsid w:val="00A14AE9"/>
    <w:rPr>
      <w:sz w:val="20"/>
      <w:szCs w:val="20"/>
    </w:rPr>
  </w:style>
  <w:style w:type="paragraph" w:styleId="ac">
    <w:name w:val="footer"/>
    <w:basedOn w:val="a1"/>
    <w:link w:val="ad"/>
    <w:uiPriority w:val="99"/>
    <w:unhideWhenUsed/>
    <w:rsid w:val="00A14AE9"/>
    <w:pPr>
      <w:tabs>
        <w:tab w:val="center" w:pos="4153"/>
        <w:tab w:val="right" w:pos="8306"/>
      </w:tabs>
      <w:snapToGrid w:val="0"/>
    </w:pPr>
    <w:rPr>
      <w:sz w:val="20"/>
      <w:szCs w:val="20"/>
    </w:rPr>
  </w:style>
  <w:style w:type="character" w:customStyle="1" w:styleId="ad">
    <w:name w:val="頁尾 字元"/>
    <w:basedOn w:val="a2"/>
    <w:link w:val="ac"/>
    <w:uiPriority w:val="99"/>
    <w:rsid w:val="00A14AE9"/>
    <w:rPr>
      <w:sz w:val="20"/>
      <w:szCs w:val="20"/>
    </w:rPr>
  </w:style>
  <w:style w:type="paragraph" w:styleId="ae">
    <w:name w:val="No Spacing"/>
    <w:aliases w:val="表格內文字"/>
    <w:link w:val="af"/>
    <w:uiPriority w:val="1"/>
    <w:qFormat/>
    <w:rsid w:val="00B5700D"/>
    <w:rPr>
      <w:kern w:val="0"/>
      <w:sz w:val="22"/>
    </w:rPr>
  </w:style>
  <w:style w:type="character" w:customStyle="1" w:styleId="af">
    <w:name w:val="無間距 字元"/>
    <w:aliases w:val="表格內文字 字元"/>
    <w:basedOn w:val="a2"/>
    <w:link w:val="ae"/>
    <w:uiPriority w:val="1"/>
    <w:rsid w:val="00B5700D"/>
    <w:rPr>
      <w:kern w:val="0"/>
      <w:sz w:val="22"/>
    </w:rPr>
  </w:style>
  <w:style w:type="table" w:styleId="-1">
    <w:name w:val="Colorful Grid Accent 1"/>
    <w:basedOn w:val="a3"/>
    <w:uiPriority w:val="73"/>
    <w:rsid w:val="00CD3A0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
    <w:name w:val="Light List Accent 3"/>
    <w:basedOn w:val="a3"/>
    <w:uiPriority w:val="61"/>
    <w:rsid w:val="00CD3A0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Shading Accent 5"/>
    <w:basedOn w:val="a3"/>
    <w:uiPriority w:val="60"/>
    <w:rsid w:val="00CD3A01"/>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0">
    <w:name w:val="Light Shading Accent 3"/>
    <w:basedOn w:val="a3"/>
    <w:uiPriority w:val="60"/>
    <w:rsid w:val="00CD3A0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6">
    <w:name w:val="Light Shading Accent 6"/>
    <w:basedOn w:val="a3"/>
    <w:uiPriority w:val="60"/>
    <w:rsid w:val="00CD3A0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3"/>
    <w:uiPriority w:val="60"/>
    <w:rsid w:val="00CD3A01"/>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
    <w:name w:val="Medium List 1 Accent 3"/>
    <w:basedOn w:val="a3"/>
    <w:uiPriority w:val="65"/>
    <w:rsid w:val="00CD3A01"/>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30">
    <w:name w:val="Medium Shading 1 Accent 3"/>
    <w:basedOn w:val="a3"/>
    <w:uiPriority w:val="63"/>
    <w:rsid w:val="00CD3A01"/>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af0">
    <w:name w:val="List Paragraph"/>
    <w:basedOn w:val="a1"/>
    <w:link w:val="af1"/>
    <w:uiPriority w:val="99"/>
    <w:qFormat/>
    <w:rsid w:val="00CD3A01"/>
    <w:pPr>
      <w:ind w:leftChars="200" w:left="480"/>
    </w:pPr>
    <w:rPr>
      <w:rFonts w:ascii="Times New Roman" w:eastAsia="新細明體" w:hAnsi="Times New Roman" w:cs="Times New Roman"/>
    </w:rPr>
  </w:style>
  <w:style w:type="character" w:customStyle="1" w:styleId="af1">
    <w:name w:val="清單段落 字元"/>
    <w:link w:val="af0"/>
    <w:uiPriority w:val="34"/>
    <w:locked/>
    <w:rsid w:val="00681820"/>
    <w:rPr>
      <w:rFonts w:ascii="Times New Roman" w:eastAsia="新細明體" w:hAnsi="Times New Roman" w:cs="Times New Roman"/>
      <w:szCs w:val="24"/>
    </w:rPr>
  </w:style>
  <w:style w:type="paragraph" w:styleId="af2">
    <w:name w:val="footnote text"/>
    <w:aliases w:val=" 字元1,字元5,Footnote Text_AJSS,字元1,ftx,fn,註腳文字 字元 字元 字元,註腳文字 字元 字元,註腳文字 字元 字元 字元 字元 字元,註腳文字 字元 字元 字元 字元,ftx1,ftx2,ftx3,ftx4,ftx5,ftx6,ftx7,ftx8,ftx 字元,ftx 字元 字元 字元 字元 字元 字元,註腳文字 字元 字元 字元 字元 字元 字元 字元 字元 字元 字元 字元 字元 字元,Footnote ak,Footnotes,ft,f"/>
    <w:basedOn w:val="a1"/>
    <w:link w:val="af3"/>
    <w:uiPriority w:val="99"/>
    <w:unhideWhenUsed/>
    <w:qFormat/>
    <w:rsid w:val="00CD3A01"/>
    <w:pPr>
      <w:snapToGrid w:val="0"/>
    </w:pPr>
    <w:rPr>
      <w:rFonts w:ascii="Times New Roman" w:eastAsia="新細明體" w:hAnsi="Times New Roman" w:cs="Times New Roman"/>
      <w:sz w:val="20"/>
      <w:szCs w:val="20"/>
    </w:rPr>
  </w:style>
  <w:style w:type="character" w:customStyle="1" w:styleId="af3">
    <w:name w:val="註腳文字 字元"/>
    <w:aliases w:val=" 字元1 字元,字元5 字元,Footnote Text_AJSS 字元,字元1 字元1,ftx 字元1,fn 字元,註腳文字 字元 字元 字元 字元1,註腳文字 字元 字元 字元1,註腳文字 字元 字元 字元 字元 字元 字元,註腳文字 字元 字元 字元 字元 字元1,ftx1 字元,ftx2 字元,ftx3 字元,ftx4 字元,ftx5 字元,ftx6 字元,ftx7 字元,ftx8 字元,ftx 字元 字元,ftx 字元 字元 字元 字元 字元 字元 字元,ft 字元,f 字元"/>
    <w:basedOn w:val="a2"/>
    <w:link w:val="af2"/>
    <w:uiPriority w:val="99"/>
    <w:rsid w:val="00CD3A01"/>
    <w:rPr>
      <w:rFonts w:ascii="Times New Roman" w:eastAsia="新細明體" w:hAnsi="Times New Roman" w:cs="Times New Roman"/>
      <w:sz w:val="20"/>
      <w:szCs w:val="20"/>
    </w:rPr>
  </w:style>
  <w:style w:type="character" w:styleId="af4">
    <w:name w:val="footnote reference"/>
    <w:aliases w:val="FR,Ref,de nota al pie,註腳內容,FR1,FR2,FR3,FR4,FR5,FR6,....,FZ,Ｔ註腳參照"/>
    <w:basedOn w:val="a2"/>
    <w:uiPriority w:val="99"/>
    <w:unhideWhenUsed/>
    <w:qFormat/>
    <w:rsid w:val="00CD3A01"/>
    <w:rPr>
      <w:vertAlign w:val="superscript"/>
    </w:rPr>
  </w:style>
  <w:style w:type="table" w:styleId="-50">
    <w:name w:val="Light List Accent 5"/>
    <w:basedOn w:val="a3"/>
    <w:uiPriority w:val="61"/>
    <w:rsid w:val="00CD3A0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List Accent 4"/>
    <w:basedOn w:val="a3"/>
    <w:uiPriority w:val="61"/>
    <w:rsid w:val="00CD3A0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Web">
    <w:name w:val="Normal (Web)"/>
    <w:basedOn w:val="a1"/>
    <w:uiPriority w:val="99"/>
    <w:unhideWhenUsed/>
    <w:rsid w:val="002678A1"/>
    <w:pPr>
      <w:widowControl/>
      <w:spacing w:before="100" w:beforeAutospacing="1" w:after="100" w:afterAutospacing="1"/>
    </w:pPr>
    <w:rPr>
      <w:rFonts w:ascii="新細明體" w:eastAsia="新細明體" w:hAnsi="新細明體" w:cs="新細明體"/>
      <w:kern w:val="0"/>
    </w:rPr>
  </w:style>
  <w:style w:type="paragraph" w:styleId="af5">
    <w:name w:val="Date"/>
    <w:basedOn w:val="a1"/>
    <w:next w:val="a1"/>
    <w:link w:val="af6"/>
    <w:unhideWhenUsed/>
    <w:rsid w:val="002678A1"/>
    <w:pPr>
      <w:adjustRightInd w:val="0"/>
      <w:spacing w:line="360" w:lineRule="atLeast"/>
      <w:jc w:val="right"/>
      <w:textAlignment w:val="baseline"/>
    </w:pPr>
    <w:rPr>
      <w:rFonts w:ascii="Times New Roman" w:eastAsia="細明體" w:hAnsi="Times New Roman" w:cs="Times New Roman"/>
      <w:kern w:val="0"/>
      <w:szCs w:val="20"/>
    </w:rPr>
  </w:style>
  <w:style w:type="character" w:customStyle="1" w:styleId="af6">
    <w:name w:val="日期 字元"/>
    <w:basedOn w:val="a2"/>
    <w:link w:val="af5"/>
    <w:rsid w:val="002678A1"/>
    <w:rPr>
      <w:rFonts w:ascii="Times New Roman" w:eastAsia="細明體" w:hAnsi="Times New Roman" w:cs="Times New Roman"/>
      <w:kern w:val="0"/>
      <w:szCs w:val="20"/>
    </w:rPr>
  </w:style>
  <w:style w:type="paragraph" w:customStyle="1" w:styleId="Default">
    <w:name w:val="Default"/>
    <w:rsid w:val="00DE623A"/>
    <w:pPr>
      <w:widowControl w:val="0"/>
      <w:autoSpaceDE w:val="0"/>
      <w:autoSpaceDN w:val="0"/>
      <w:adjustRightInd w:val="0"/>
    </w:pPr>
    <w:rPr>
      <w:rFonts w:ascii="Times New Roman" w:eastAsia="新細明體" w:hAnsi="Times New Roman" w:cs="Times New Roman"/>
      <w:color w:val="000000"/>
      <w:kern w:val="0"/>
      <w:szCs w:val="24"/>
    </w:rPr>
  </w:style>
  <w:style w:type="paragraph" w:styleId="HTML">
    <w:name w:val="HTML Preformatted"/>
    <w:basedOn w:val="a1"/>
    <w:link w:val="HTML0"/>
    <w:uiPriority w:val="99"/>
    <w:unhideWhenUsed/>
    <w:rsid w:val="00DE62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2"/>
    <w:link w:val="HTML"/>
    <w:uiPriority w:val="99"/>
    <w:rsid w:val="00DE623A"/>
    <w:rPr>
      <w:rFonts w:ascii="細明體" w:eastAsia="細明體" w:hAnsi="細明體" w:cs="細明體"/>
      <w:kern w:val="0"/>
      <w:szCs w:val="24"/>
    </w:rPr>
  </w:style>
  <w:style w:type="character" w:styleId="af7">
    <w:name w:val="Hyperlink"/>
    <w:unhideWhenUsed/>
    <w:rsid w:val="00DE623A"/>
    <w:rPr>
      <w:color w:val="0000FF"/>
      <w:u w:val="single"/>
    </w:rPr>
  </w:style>
  <w:style w:type="paragraph" w:customStyle="1" w:styleId="xl24">
    <w:name w:val="xl24"/>
    <w:basedOn w:val="a1"/>
    <w:rsid w:val="00DE623A"/>
    <w:pPr>
      <w:widowControl/>
      <w:spacing w:before="100" w:beforeAutospacing="1" w:after="100" w:afterAutospacing="1"/>
      <w:jc w:val="center"/>
    </w:pPr>
    <w:rPr>
      <w:rFonts w:ascii="Arial Unicode MS" w:eastAsia="新細明體" w:hAnsi="Arial Unicode MS" w:cs="Arial Unicode MS"/>
      <w:kern w:val="0"/>
    </w:rPr>
  </w:style>
  <w:style w:type="paragraph" w:styleId="af8">
    <w:name w:val="caption"/>
    <w:aliases w:val="圖表標號"/>
    <w:basedOn w:val="a1"/>
    <w:next w:val="a1"/>
    <w:link w:val="af9"/>
    <w:uiPriority w:val="35"/>
    <w:qFormat/>
    <w:rsid w:val="00DE623A"/>
    <w:pPr>
      <w:spacing w:before="120" w:after="120"/>
    </w:pPr>
    <w:rPr>
      <w:rFonts w:ascii="Times New Roman" w:eastAsia="新細明體" w:hAnsi="Times New Roman" w:cs="Times New Roman"/>
      <w:sz w:val="20"/>
      <w:szCs w:val="20"/>
    </w:rPr>
  </w:style>
  <w:style w:type="character" w:customStyle="1" w:styleId="af9">
    <w:name w:val="標號 字元"/>
    <w:aliases w:val="圖表標號 字元"/>
    <w:basedOn w:val="a2"/>
    <w:link w:val="af8"/>
    <w:uiPriority w:val="35"/>
    <w:rsid w:val="00681820"/>
    <w:rPr>
      <w:rFonts w:ascii="Times New Roman" w:eastAsia="新細明體" w:hAnsi="Times New Roman" w:cs="Times New Roman"/>
      <w:sz w:val="20"/>
      <w:szCs w:val="20"/>
    </w:rPr>
  </w:style>
  <w:style w:type="paragraph" w:styleId="a">
    <w:name w:val="List Bullet"/>
    <w:basedOn w:val="a1"/>
    <w:unhideWhenUsed/>
    <w:rsid w:val="00DE623A"/>
    <w:pPr>
      <w:numPr>
        <w:numId w:val="1"/>
      </w:numPr>
      <w:tabs>
        <w:tab w:val="clear" w:pos="361"/>
        <w:tab w:val="num" w:pos="360"/>
      </w:tabs>
      <w:ind w:leftChars="0" w:left="360" w:firstLineChars="0" w:firstLine="0"/>
      <w:contextualSpacing/>
    </w:pPr>
    <w:rPr>
      <w:rFonts w:ascii="Calibri" w:eastAsia="新細明體" w:hAnsi="Calibri" w:cs="Times New Roman"/>
      <w:szCs w:val="22"/>
    </w:rPr>
  </w:style>
  <w:style w:type="paragraph" w:styleId="afa">
    <w:name w:val="endnote text"/>
    <w:basedOn w:val="a1"/>
    <w:link w:val="afb"/>
    <w:uiPriority w:val="99"/>
    <w:unhideWhenUsed/>
    <w:rsid w:val="00DE623A"/>
    <w:pPr>
      <w:snapToGrid w:val="0"/>
    </w:pPr>
    <w:rPr>
      <w:rFonts w:ascii="Calibri" w:eastAsia="新細明體" w:hAnsi="Calibri" w:cs="Times New Roman"/>
      <w:szCs w:val="22"/>
    </w:rPr>
  </w:style>
  <w:style w:type="character" w:customStyle="1" w:styleId="afb">
    <w:name w:val="章節附註文字 字元"/>
    <w:basedOn w:val="a2"/>
    <w:link w:val="afa"/>
    <w:uiPriority w:val="99"/>
    <w:rsid w:val="00DE623A"/>
    <w:rPr>
      <w:rFonts w:ascii="Calibri" w:eastAsia="新細明體" w:hAnsi="Calibri" w:cs="Times New Roman"/>
    </w:rPr>
  </w:style>
  <w:style w:type="character" w:styleId="afc">
    <w:name w:val="endnote reference"/>
    <w:uiPriority w:val="99"/>
    <w:unhideWhenUsed/>
    <w:rsid w:val="00DE623A"/>
    <w:rPr>
      <w:vertAlign w:val="superscript"/>
    </w:rPr>
  </w:style>
  <w:style w:type="character" w:styleId="afd">
    <w:name w:val="annotation reference"/>
    <w:unhideWhenUsed/>
    <w:rsid w:val="00DE623A"/>
    <w:rPr>
      <w:sz w:val="18"/>
      <w:szCs w:val="18"/>
    </w:rPr>
  </w:style>
  <w:style w:type="paragraph" w:styleId="afe">
    <w:name w:val="annotation text"/>
    <w:basedOn w:val="a1"/>
    <w:link w:val="aff"/>
    <w:unhideWhenUsed/>
    <w:rsid w:val="00DE623A"/>
    <w:rPr>
      <w:rFonts w:ascii="Calibri" w:eastAsia="新細明體" w:hAnsi="Calibri" w:cs="Times New Roman"/>
      <w:szCs w:val="22"/>
    </w:rPr>
  </w:style>
  <w:style w:type="character" w:customStyle="1" w:styleId="aff">
    <w:name w:val="註解文字 字元"/>
    <w:basedOn w:val="a2"/>
    <w:link w:val="afe"/>
    <w:rsid w:val="00DE623A"/>
    <w:rPr>
      <w:rFonts w:ascii="Calibri" w:eastAsia="新細明體" w:hAnsi="Calibri" w:cs="Times New Roman"/>
    </w:rPr>
  </w:style>
  <w:style w:type="paragraph" w:styleId="aff0">
    <w:name w:val="annotation subject"/>
    <w:basedOn w:val="afe"/>
    <w:next w:val="afe"/>
    <w:link w:val="aff1"/>
    <w:unhideWhenUsed/>
    <w:rsid w:val="00DE623A"/>
    <w:rPr>
      <w:b/>
      <w:bCs/>
    </w:rPr>
  </w:style>
  <w:style w:type="character" w:customStyle="1" w:styleId="aff1">
    <w:name w:val="註解主旨 字元"/>
    <w:basedOn w:val="aff"/>
    <w:link w:val="aff0"/>
    <w:rsid w:val="00DE623A"/>
    <w:rPr>
      <w:rFonts w:ascii="Calibri" w:eastAsia="新細明體" w:hAnsi="Calibri" w:cs="Times New Roman"/>
      <w:b/>
      <w:bCs/>
    </w:rPr>
  </w:style>
  <w:style w:type="paragraph" w:styleId="aff2">
    <w:name w:val="Plain Text"/>
    <w:basedOn w:val="a1"/>
    <w:link w:val="aff3"/>
    <w:rsid w:val="00DE623A"/>
    <w:rPr>
      <w:rFonts w:ascii="Calibri" w:eastAsia="新細明體" w:hAnsi="Courier New" w:cs="Courier New"/>
    </w:rPr>
  </w:style>
  <w:style w:type="character" w:customStyle="1" w:styleId="aff3">
    <w:name w:val="純文字 字元"/>
    <w:basedOn w:val="a2"/>
    <w:link w:val="aff2"/>
    <w:rsid w:val="00DE623A"/>
    <w:rPr>
      <w:rFonts w:ascii="Calibri" w:eastAsia="新細明體" w:hAnsi="Courier New" w:cs="Courier New"/>
      <w:szCs w:val="24"/>
    </w:rPr>
  </w:style>
  <w:style w:type="character" w:customStyle="1" w:styleId="mw-headline">
    <w:name w:val="mw-headline"/>
    <w:rsid w:val="00DE623A"/>
  </w:style>
  <w:style w:type="character" w:customStyle="1" w:styleId="A10">
    <w:name w:val="A1"/>
    <w:uiPriority w:val="99"/>
    <w:rsid w:val="00DE623A"/>
    <w:rPr>
      <w:rFonts w:cs="ScalaOT-Regular"/>
      <w:color w:val="000000"/>
      <w:sz w:val="46"/>
      <w:szCs w:val="46"/>
    </w:rPr>
  </w:style>
  <w:style w:type="character" w:styleId="aff4">
    <w:name w:val="FollowedHyperlink"/>
    <w:uiPriority w:val="99"/>
    <w:rsid w:val="00DE623A"/>
    <w:rPr>
      <w:color w:val="800080"/>
      <w:u w:val="single"/>
    </w:rPr>
  </w:style>
  <w:style w:type="character" w:customStyle="1" w:styleId="st1">
    <w:name w:val="st1"/>
    <w:basedOn w:val="a2"/>
    <w:rsid w:val="00AE4C6E"/>
  </w:style>
  <w:style w:type="paragraph" w:customStyle="1" w:styleId="a0">
    <w:name w:val="分項段落"/>
    <w:basedOn w:val="a1"/>
    <w:rsid w:val="00440751"/>
    <w:pPr>
      <w:numPr>
        <w:numId w:val="2"/>
      </w:numPr>
    </w:pPr>
    <w:rPr>
      <w:rFonts w:ascii="Calibri" w:eastAsia="新細明體" w:hAnsi="Calibri" w:cs="Times New Roman"/>
      <w:szCs w:val="22"/>
    </w:rPr>
  </w:style>
  <w:style w:type="table" w:customStyle="1" w:styleId="12">
    <w:name w:val="表格格線1"/>
    <w:basedOn w:val="a3"/>
    <w:next w:val="a5"/>
    <w:uiPriority w:val="59"/>
    <w:rsid w:val="00440751"/>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表格格線2"/>
    <w:basedOn w:val="a3"/>
    <w:next w:val="a5"/>
    <w:uiPriority w:val="59"/>
    <w:rsid w:val="004407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basedOn w:val="a2"/>
    <w:uiPriority w:val="22"/>
    <w:qFormat/>
    <w:rsid w:val="00C03546"/>
    <w:rPr>
      <w:b/>
      <w:bCs/>
    </w:rPr>
  </w:style>
  <w:style w:type="table" w:styleId="-2">
    <w:name w:val="Light Shading Accent 2"/>
    <w:basedOn w:val="a3"/>
    <w:uiPriority w:val="60"/>
    <w:rsid w:val="004979E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0">
    <w:name w:val="Light Shading Accent 1"/>
    <w:basedOn w:val="a3"/>
    <w:uiPriority w:val="60"/>
    <w:rsid w:val="004979E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2">
    <w:name w:val="表格格線3"/>
    <w:basedOn w:val="a3"/>
    <w:next w:val="a5"/>
    <w:uiPriority w:val="59"/>
    <w:rsid w:val="007C6060"/>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3"/>
    <w:next w:val="a5"/>
    <w:uiPriority w:val="59"/>
    <w:rsid w:val="007C6060"/>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表格格線5"/>
    <w:basedOn w:val="a3"/>
    <w:next w:val="a5"/>
    <w:uiPriority w:val="59"/>
    <w:rsid w:val="007C60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2"/>
    <w:rsid w:val="001F36C9"/>
  </w:style>
  <w:style w:type="character" w:customStyle="1" w:styleId="highlightselected">
    <w:name w:val="highlight selected"/>
    <w:basedOn w:val="a2"/>
    <w:rsid w:val="001F36C9"/>
  </w:style>
  <w:style w:type="character" w:styleId="aff6">
    <w:name w:val="Emphasis"/>
    <w:basedOn w:val="a2"/>
    <w:qFormat/>
    <w:rsid w:val="001F36C9"/>
    <w:rPr>
      <w:i/>
      <w:iCs/>
    </w:rPr>
  </w:style>
  <w:style w:type="character" w:customStyle="1" w:styleId="110">
    <w:name w:val="標題 1 字元1"/>
    <w:rsid w:val="007B7D9B"/>
    <w:rPr>
      <w:rFonts w:ascii="Arial" w:eastAsia="新細明體" w:hAnsi="Arial"/>
      <w:b/>
      <w:bCs/>
      <w:kern w:val="52"/>
      <w:sz w:val="52"/>
      <w:szCs w:val="52"/>
      <w:lang w:val="en-US" w:eastAsia="zh-TW" w:bidi="ar-SA"/>
    </w:rPr>
  </w:style>
  <w:style w:type="character" w:customStyle="1" w:styleId="txt131">
    <w:name w:val="txt131"/>
    <w:rsid w:val="007B7D9B"/>
    <w:rPr>
      <w:rFonts w:ascii="AdvTimes-i" w:hAnsi="AdvTimes-i" w:hint="default"/>
      <w:sz w:val="20"/>
      <w:szCs w:val="20"/>
    </w:rPr>
  </w:style>
  <w:style w:type="character" w:customStyle="1" w:styleId="t41">
    <w:name w:val="t41"/>
    <w:rsid w:val="007B7D9B"/>
    <w:rPr>
      <w:rFonts w:ascii="AdvTimes-b" w:hAnsi="AdvTimes-b" w:hint="default"/>
      <w:b w:val="0"/>
      <w:bCs w:val="0"/>
      <w:smallCaps w:val="0"/>
      <w:color w:val="000000"/>
      <w:sz w:val="18"/>
      <w:szCs w:val="18"/>
    </w:rPr>
  </w:style>
  <w:style w:type="character" w:customStyle="1" w:styleId="aff7">
    <w:name w:val="字元 字元"/>
    <w:rsid w:val="007B7D9B"/>
    <w:rPr>
      <w:rFonts w:ascii="Arial" w:eastAsia="新細明體" w:hAnsi="Arial"/>
      <w:b/>
      <w:bCs/>
      <w:kern w:val="52"/>
      <w:sz w:val="52"/>
      <w:szCs w:val="52"/>
      <w:lang w:val="en-GB" w:eastAsia="zh-TW" w:bidi="ar-SA"/>
    </w:rPr>
  </w:style>
  <w:style w:type="character" w:styleId="aff8">
    <w:name w:val="page number"/>
    <w:basedOn w:val="a2"/>
    <w:rsid w:val="007B7D9B"/>
  </w:style>
  <w:style w:type="paragraph" w:styleId="aff9">
    <w:name w:val="Body Text"/>
    <w:basedOn w:val="a1"/>
    <w:link w:val="affa"/>
    <w:rsid w:val="007B7D9B"/>
    <w:pPr>
      <w:spacing w:after="120"/>
    </w:pPr>
    <w:rPr>
      <w:rFonts w:ascii="Times New Roman" w:eastAsia="新細明體" w:hAnsi="Times New Roman" w:cs="Times New Roman"/>
    </w:rPr>
  </w:style>
  <w:style w:type="character" w:customStyle="1" w:styleId="affa">
    <w:name w:val="本文 字元"/>
    <w:basedOn w:val="a2"/>
    <w:link w:val="aff9"/>
    <w:rsid w:val="007B7D9B"/>
    <w:rPr>
      <w:rFonts w:ascii="Times New Roman" w:eastAsia="新細明體" w:hAnsi="Times New Roman" w:cs="Times New Roman"/>
      <w:szCs w:val="24"/>
    </w:rPr>
  </w:style>
  <w:style w:type="paragraph" w:styleId="affb">
    <w:name w:val="Normal Indent"/>
    <w:aliases w:val=" 字元 字元 字元 字元 字元, 字元 字元 字元 字元,字元 字元 字元 字元 字元,字元 字元 字元 字元"/>
    <w:basedOn w:val="a1"/>
    <w:link w:val="affc"/>
    <w:rsid w:val="007B7D9B"/>
    <w:pPr>
      <w:tabs>
        <w:tab w:val="left" w:pos="1762"/>
        <w:tab w:val="left" w:pos="2783"/>
        <w:tab w:val="left" w:pos="3803"/>
        <w:tab w:val="left" w:pos="4824"/>
        <w:tab w:val="left" w:pos="5844"/>
        <w:tab w:val="left" w:pos="6865"/>
        <w:tab w:val="left" w:pos="7886"/>
        <w:tab w:val="left" w:pos="8906"/>
        <w:tab w:val="left" w:pos="9927"/>
        <w:tab w:val="left" w:pos="10948"/>
        <w:tab w:val="left" w:pos="11968"/>
        <w:tab w:val="left" w:pos="12989"/>
        <w:tab w:val="left" w:pos="14010"/>
      </w:tabs>
      <w:adjustRightInd w:val="0"/>
      <w:snapToGrid w:val="0"/>
      <w:spacing w:before="120" w:after="120" w:line="360" w:lineRule="atLeast"/>
      <w:ind w:firstLine="482"/>
      <w:jc w:val="both"/>
    </w:pPr>
    <w:rPr>
      <w:rFonts w:ascii="Times New Roman" w:eastAsia="標楷體" w:hAnsi="Times New Roman" w:cs="Times New Roman"/>
      <w:szCs w:val="20"/>
    </w:rPr>
  </w:style>
  <w:style w:type="character" w:customStyle="1" w:styleId="affc">
    <w:name w:val="內文縮排 字元"/>
    <w:aliases w:val=" 字元 字元 字元 字元 字元 字元, 字元 字元 字元 字元 字元1,字元 字元 字元 字元 字元 字元,字元 字元 字元 字元 字元1"/>
    <w:basedOn w:val="a2"/>
    <w:link w:val="affb"/>
    <w:rsid w:val="00681820"/>
    <w:rPr>
      <w:rFonts w:ascii="Times New Roman" w:eastAsia="標楷體" w:hAnsi="Times New Roman" w:cs="Times New Roman"/>
      <w:szCs w:val="20"/>
    </w:rPr>
  </w:style>
  <w:style w:type="paragraph" w:customStyle="1" w:styleId="affd">
    <w:name w:val="參考文獻文"/>
    <w:basedOn w:val="a1"/>
    <w:rsid w:val="007B7D9B"/>
    <w:pPr>
      <w:ind w:left="100" w:hangingChars="100" w:hanging="100"/>
      <w:jc w:val="both"/>
    </w:pPr>
    <w:rPr>
      <w:rFonts w:ascii="Times New Roman" w:eastAsia="細明體" w:hAnsi="Times New Roman" w:cs="Times New Roman"/>
      <w:sz w:val="22"/>
    </w:rPr>
  </w:style>
  <w:style w:type="paragraph" w:customStyle="1" w:styleId="affe">
    <w:name w:val="文"/>
    <w:basedOn w:val="a1"/>
    <w:rsid w:val="007B7D9B"/>
    <w:pPr>
      <w:ind w:firstLineChars="200" w:firstLine="200"/>
      <w:jc w:val="both"/>
    </w:pPr>
    <w:rPr>
      <w:rFonts w:ascii="Times New Roman" w:eastAsia="細明體" w:hAnsi="Times New Roman" w:cs="Times New Roman"/>
      <w:sz w:val="22"/>
    </w:rPr>
  </w:style>
  <w:style w:type="paragraph" w:customStyle="1" w:styleId="afff">
    <w:name w:val="說明(無函件項目符號)"/>
    <w:basedOn w:val="a1"/>
    <w:next w:val="a1"/>
    <w:rsid w:val="007B7D9B"/>
    <w:pPr>
      <w:kinsoku w:val="0"/>
      <w:overflowPunct w:val="0"/>
      <w:spacing w:line="420" w:lineRule="exact"/>
      <w:ind w:leftChars="100" w:left="300" w:hangingChars="200" w:hanging="200"/>
      <w:jc w:val="both"/>
      <w:textAlignment w:val="center"/>
    </w:pPr>
    <w:rPr>
      <w:rFonts w:ascii="Times New Roman" w:eastAsia="sөũ" w:hAnsi="Times New Roman" w:cs="Times New Roman"/>
      <w:noProof/>
      <w:kern w:val="0"/>
      <w:sz w:val="21"/>
    </w:rPr>
  </w:style>
  <w:style w:type="paragraph" w:customStyle="1" w:styleId="afff0">
    <w:name w:val="바탕글"/>
    <w:rsid w:val="007B7D9B"/>
    <w:pPr>
      <w:widowControl w:val="0"/>
      <w:wordWrap w:val="0"/>
      <w:autoSpaceDE w:val="0"/>
      <w:autoSpaceDN w:val="0"/>
      <w:adjustRightInd w:val="0"/>
      <w:spacing w:line="319" w:lineRule="auto"/>
      <w:jc w:val="both"/>
    </w:pPr>
    <w:rPr>
      <w:rFonts w:ascii="өũ" w:eastAsia="өũ" w:hAnsi="Times New Roman" w:cs="Times New Roman"/>
      <w:color w:val="000000"/>
      <w:kern w:val="0"/>
      <w:sz w:val="20"/>
      <w:szCs w:val="20"/>
      <w:lang w:eastAsia="ko-KR"/>
    </w:rPr>
  </w:style>
  <w:style w:type="character" w:customStyle="1" w:styleId="boldblue1">
    <w:name w:val="boldblue1"/>
    <w:rsid w:val="007B7D9B"/>
    <w:rPr>
      <w:b/>
      <w:bCs/>
      <w:color w:val="00008C"/>
    </w:rPr>
  </w:style>
  <w:style w:type="paragraph" w:customStyle="1" w:styleId="font0">
    <w:name w:val="font0"/>
    <w:basedOn w:val="Default"/>
    <w:next w:val="Default"/>
    <w:rsid w:val="007B7D9B"/>
    <w:rPr>
      <w:rFonts w:cs="AdvTimes"/>
      <w:color w:val="auto"/>
      <w:lang w:bidi="hi-IN"/>
    </w:rPr>
  </w:style>
  <w:style w:type="character" w:customStyle="1" w:styleId="13">
    <w:name w:val="字元1 字元"/>
    <w:aliases w:val=" 字元5 字元,字元5 字元 字元"/>
    <w:rsid w:val="007B7D9B"/>
    <w:rPr>
      <w:rFonts w:eastAsia="新細明體"/>
      <w:kern w:val="2"/>
      <w:lang w:val="en-GB" w:eastAsia="zh-TW" w:bidi="ar-SA"/>
    </w:rPr>
  </w:style>
  <w:style w:type="character" w:customStyle="1" w:styleId="61">
    <w:name w:val="字元 字元6"/>
    <w:rsid w:val="007B7D9B"/>
    <w:rPr>
      <w:rFonts w:ascii="Arial" w:eastAsia="新細明體" w:hAnsi="Arial"/>
      <w:b/>
      <w:bCs/>
      <w:kern w:val="52"/>
      <w:sz w:val="52"/>
      <w:szCs w:val="52"/>
      <w:lang w:val="en-US" w:eastAsia="zh-TW" w:bidi="ar-SA"/>
    </w:rPr>
  </w:style>
  <w:style w:type="character" w:customStyle="1" w:styleId="insubject11">
    <w:name w:val="insubject11"/>
    <w:rsid w:val="007B7D9B"/>
    <w:rPr>
      <w:b/>
      <w:bCs/>
      <w:color w:val="3366CC"/>
      <w:sz w:val="31"/>
      <w:szCs w:val="31"/>
    </w:rPr>
  </w:style>
  <w:style w:type="character" w:customStyle="1" w:styleId="boldtitle1">
    <w:name w:val="boldtitle1"/>
    <w:rsid w:val="007B7D9B"/>
    <w:rPr>
      <w:b/>
      <w:bCs/>
    </w:rPr>
  </w:style>
  <w:style w:type="paragraph" w:customStyle="1" w:styleId="14">
    <w:name w:val="清單段落1"/>
    <w:basedOn w:val="a1"/>
    <w:rsid w:val="007B7D9B"/>
    <w:pPr>
      <w:ind w:leftChars="200" w:left="480"/>
    </w:pPr>
    <w:rPr>
      <w:rFonts w:ascii="Caecilia-Roman" w:eastAsia="新細明體" w:hAnsi="Caecilia-Roman" w:cs="Times New Roman"/>
    </w:rPr>
  </w:style>
  <w:style w:type="character" w:customStyle="1" w:styleId="usercontent">
    <w:name w:val="usercontent"/>
    <w:rsid w:val="007B7D9B"/>
  </w:style>
  <w:style w:type="paragraph" w:styleId="afff1">
    <w:name w:val="Bibliography"/>
    <w:basedOn w:val="a1"/>
    <w:next w:val="a1"/>
    <w:uiPriority w:val="37"/>
    <w:unhideWhenUsed/>
    <w:rsid w:val="007B7D9B"/>
  </w:style>
  <w:style w:type="character" w:customStyle="1" w:styleId="EndNoteBibliographyTitle">
    <w:name w:val="EndNote Bibliography Title 字元"/>
    <w:basedOn w:val="a2"/>
    <w:link w:val="EndNoteBibliographyTitle0"/>
    <w:locked/>
    <w:rsid w:val="007B7D9B"/>
    <w:rPr>
      <w:rFonts w:ascii="Calibri" w:hAnsi="Calibri" w:cs="Calibri"/>
      <w:noProof/>
      <w:lang w:val="en-GB"/>
    </w:rPr>
  </w:style>
  <w:style w:type="paragraph" w:customStyle="1" w:styleId="EndNoteBibliographyTitle0">
    <w:name w:val="EndNote Bibliography Title"/>
    <w:basedOn w:val="a1"/>
    <w:link w:val="EndNoteBibliographyTitle"/>
    <w:rsid w:val="007B7D9B"/>
    <w:pPr>
      <w:jc w:val="center"/>
    </w:pPr>
    <w:rPr>
      <w:rFonts w:ascii="Calibri" w:hAnsi="Calibri" w:cs="Calibri"/>
      <w:noProof/>
      <w:szCs w:val="22"/>
      <w:lang w:val="en-GB"/>
    </w:rPr>
  </w:style>
  <w:style w:type="character" w:customStyle="1" w:styleId="EndNoteBibliography">
    <w:name w:val="EndNote Bibliography 字元"/>
    <w:basedOn w:val="a2"/>
    <w:link w:val="EndNoteBibliography0"/>
    <w:locked/>
    <w:rsid w:val="007B7D9B"/>
    <w:rPr>
      <w:rFonts w:ascii="Calibri" w:hAnsi="Calibri" w:cs="Calibri"/>
      <w:noProof/>
      <w:lang w:val="en-GB"/>
    </w:rPr>
  </w:style>
  <w:style w:type="paragraph" w:customStyle="1" w:styleId="EndNoteBibliography0">
    <w:name w:val="EndNote Bibliography"/>
    <w:basedOn w:val="a1"/>
    <w:link w:val="EndNoteBibliography"/>
    <w:rsid w:val="007B7D9B"/>
    <w:rPr>
      <w:rFonts w:ascii="Calibri" w:hAnsi="Calibri" w:cs="Calibri"/>
      <w:noProof/>
      <w:szCs w:val="22"/>
      <w:lang w:val="en-GB"/>
    </w:rPr>
  </w:style>
  <w:style w:type="character" w:customStyle="1" w:styleId="apple-converted-space">
    <w:name w:val="apple-converted-space"/>
    <w:basedOn w:val="a2"/>
    <w:rsid w:val="007B7D9B"/>
  </w:style>
  <w:style w:type="table" w:customStyle="1" w:styleId="410">
    <w:name w:val="純表格 41"/>
    <w:basedOn w:val="a3"/>
    <w:uiPriority w:val="44"/>
    <w:rsid w:val="007B7D9B"/>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2">
    <w:name w:val="Body Text Indent"/>
    <w:basedOn w:val="a1"/>
    <w:link w:val="afff3"/>
    <w:unhideWhenUsed/>
    <w:rsid w:val="009B5021"/>
    <w:pPr>
      <w:spacing w:after="120"/>
      <w:ind w:leftChars="200" w:left="480"/>
    </w:pPr>
  </w:style>
  <w:style w:type="character" w:customStyle="1" w:styleId="afff3">
    <w:name w:val="本文縮排 字元"/>
    <w:basedOn w:val="a2"/>
    <w:link w:val="afff2"/>
    <w:rsid w:val="009B5021"/>
    <w:rPr>
      <w:szCs w:val="24"/>
    </w:rPr>
  </w:style>
  <w:style w:type="character" w:styleId="afff4">
    <w:name w:val="Placeholder Text"/>
    <w:basedOn w:val="a2"/>
    <w:uiPriority w:val="99"/>
    <w:semiHidden/>
    <w:rsid w:val="009B5021"/>
    <w:rPr>
      <w:color w:val="808080"/>
    </w:rPr>
  </w:style>
  <w:style w:type="paragraph" w:customStyle="1" w:styleId="15">
    <w:name w:val="樣式1"/>
    <w:basedOn w:val="afff2"/>
    <w:rsid w:val="009B5021"/>
    <w:pPr>
      <w:spacing w:after="0" w:line="400" w:lineRule="exact"/>
      <w:ind w:leftChars="0" w:left="0" w:firstLineChars="200" w:firstLine="527"/>
      <w:jc w:val="both"/>
    </w:pPr>
    <w:rPr>
      <w:rFonts w:ascii="Times New Roman" w:eastAsia="新細明體" w:hAnsi="新細明體" w:cs="Times New Roman"/>
      <w:sz w:val="22"/>
    </w:rPr>
  </w:style>
  <w:style w:type="character" w:customStyle="1" w:styleId="16">
    <w:name w:val="樣式1 字元"/>
    <w:basedOn w:val="a2"/>
    <w:rsid w:val="009B5021"/>
    <w:rPr>
      <w:rFonts w:ascii="標楷體" w:eastAsia="新細明體" w:hAnsi="新細明體"/>
      <w:kern w:val="2"/>
      <w:sz w:val="22"/>
      <w:szCs w:val="24"/>
      <w:lang w:val="en-US" w:eastAsia="zh-TW" w:bidi="ar-SA"/>
    </w:rPr>
  </w:style>
  <w:style w:type="paragraph" w:customStyle="1" w:styleId="afff5">
    <w:name w:val="表目錄"/>
    <w:basedOn w:val="af8"/>
    <w:rsid w:val="009B5021"/>
    <w:pPr>
      <w:spacing w:before="0" w:after="0"/>
    </w:pPr>
    <w:rPr>
      <w:rFonts w:ascii="標楷體" w:eastAsia="標楷體"/>
      <w:sz w:val="24"/>
    </w:rPr>
  </w:style>
  <w:style w:type="paragraph" w:styleId="23">
    <w:name w:val="Body Text 2"/>
    <w:basedOn w:val="a1"/>
    <w:link w:val="24"/>
    <w:uiPriority w:val="99"/>
    <w:semiHidden/>
    <w:unhideWhenUsed/>
    <w:rsid w:val="009B5021"/>
    <w:pPr>
      <w:spacing w:after="120" w:line="480" w:lineRule="auto"/>
    </w:pPr>
    <w:rPr>
      <w:szCs w:val="22"/>
    </w:rPr>
  </w:style>
  <w:style w:type="character" w:customStyle="1" w:styleId="24">
    <w:name w:val="本文 2 字元"/>
    <w:basedOn w:val="a2"/>
    <w:link w:val="23"/>
    <w:uiPriority w:val="99"/>
    <w:semiHidden/>
    <w:rsid w:val="009B5021"/>
  </w:style>
  <w:style w:type="paragraph" w:customStyle="1" w:styleId="Standard">
    <w:name w:val="Standard"/>
    <w:rsid w:val="009B5021"/>
    <w:pPr>
      <w:widowControl w:val="0"/>
      <w:autoSpaceDN w:val="0"/>
      <w:textAlignment w:val="baseline"/>
    </w:pPr>
    <w:rPr>
      <w:rFonts w:ascii="Times New Roman" w:eastAsia="新細明體" w:hAnsi="Times New Roman" w:cs="Times New Roman"/>
      <w:kern w:val="3"/>
      <w:szCs w:val="24"/>
    </w:rPr>
  </w:style>
  <w:style w:type="paragraph" w:customStyle="1" w:styleId="00">
    <w:name w:val="00 註腳"/>
    <w:basedOn w:val="af2"/>
    <w:qFormat/>
    <w:rsid w:val="00381C80"/>
    <w:pPr>
      <w:overflowPunct w:val="0"/>
      <w:autoSpaceDE w:val="0"/>
      <w:autoSpaceDN w:val="0"/>
      <w:spacing w:line="240" w:lineRule="exact"/>
      <w:ind w:left="190" w:hangingChars="95" w:hanging="190"/>
      <w:jc w:val="both"/>
    </w:pPr>
    <w:rPr>
      <w:rFonts w:eastAsia="標楷體"/>
    </w:rPr>
  </w:style>
  <w:style w:type="paragraph" w:customStyle="1" w:styleId="000">
    <w:name w:val="00 內文"/>
    <w:basedOn w:val="a1"/>
    <w:qFormat/>
    <w:rsid w:val="00381C80"/>
    <w:pPr>
      <w:overflowPunct w:val="0"/>
      <w:autoSpaceDE w:val="0"/>
      <w:autoSpaceDN w:val="0"/>
      <w:adjustRightInd w:val="0"/>
      <w:spacing w:line="360" w:lineRule="exact"/>
      <w:ind w:firstLineChars="200" w:firstLine="200"/>
      <w:jc w:val="both"/>
    </w:pPr>
    <w:rPr>
      <w:rFonts w:ascii="Times New Roman" w:eastAsia="標楷體" w:hAnsi="Times New Roman" w:cs="Times New Roman"/>
      <w:kern w:val="0"/>
      <w:sz w:val="22"/>
    </w:rPr>
  </w:style>
  <w:style w:type="paragraph" w:customStyle="1" w:styleId="afff6">
    <w:name w:val="內文格式"/>
    <w:basedOn w:val="a1"/>
    <w:link w:val="afff7"/>
    <w:qFormat/>
    <w:rsid w:val="00681820"/>
    <w:pPr>
      <w:adjustRightInd w:val="0"/>
      <w:spacing w:line="360" w:lineRule="auto"/>
      <w:ind w:firstLine="567"/>
      <w:jc w:val="both"/>
      <w:textAlignment w:val="baseline"/>
    </w:pPr>
    <w:rPr>
      <w:rFonts w:ascii="Times New Roman" w:eastAsia="細明體" w:hAnsi="Times New Roman" w:cs="Times New Roman"/>
      <w:kern w:val="0"/>
      <w:szCs w:val="20"/>
    </w:rPr>
  </w:style>
  <w:style w:type="character" w:customStyle="1" w:styleId="afff7">
    <w:name w:val="內文格式 字元"/>
    <w:basedOn w:val="a2"/>
    <w:link w:val="afff6"/>
    <w:rsid w:val="00681820"/>
    <w:rPr>
      <w:rFonts w:ascii="Times New Roman" w:eastAsia="細明體" w:hAnsi="Times New Roman" w:cs="Times New Roman"/>
      <w:kern w:val="0"/>
      <w:szCs w:val="20"/>
    </w:rPr>
  </w:style>
  <w:style w:type="paragraph" w:styleId="25">
    <w:name w:val="Body Text First Indent 2"/>
    <w:basedOn w:val="afff2"/>
    <w:link w:val="26"/>
    <w:uiPriority w:val="99"/>
    <w:unhideWhenUsed/>
    <w:rsid w:val="00681820"/>
    <w:pPr>
      <w:ind w:firstLineChars="100" w:firstLine="210"/>
    </w:pPr>
    <w:rPr>
      <w:szCs w:val="22"/>
    </w:rPr>
  </w:style>
  <w:style w:type="character" w:customStyle="1" w:styleId="26">
    <w:name w:val="本文第一層縮排 2 字元"/>
    <w:basedOn w:val="afff3"/>
    <w:link w:val="25"/>
    <w:uiPriority w:val="99"/>
    <w:rsid w:val="00681820"/>
    <w:rPr>
      <w:szCs w:val="24"/>
    </w:rPr>
  </w:style>
  <w:style w:type="paragraph" w:customStyle="1" w:styleId="TableParagraph">
    <w:name w:val="Table Paragraph"/>
    <w:basedOn w:val="a1"/>
    <w:uiPriority w:val="1"/>
    <w:qFormat/>
    <w:rsid w:val="00681820"/>
    <w:pPr>
      <w:autoSpaceDE w:val="0"/>
      <w:autoSpaceDN w:val="0"/>
      <w:jc w:val="right"/>
    </w:pPr>
    <w:rPr>
      <w:rFonts w:ascii="Times New Roman" w:eastAsia="Times New Roman" w:hAnsi="Times New Roman" w:cs="Times New Roman"/>
      <w:kern w:val="0"/>
      <w:sz w:val="22"/>
      <w:szCs w:val="22"/>
    </w:rPr>
  </w:style>
  <w:style w:type="character" w:customStyle="1" w:styleId="17">
    <w:name w:val="未解析的提及1"/>
    <w:basedOn w:val="a2"/>
    <w:uiPriority w:val="99"/>
    <w:semiHidden/>
    <w:unhideWhenUsed/>
    <w:rsid w:val="00F152C0"/>
    <w:rPr>
      <w:color w:val="605E5C"/>
      <w:shd w:val="clear" w:color="auto" w:fill="E1DFDD"/>
    </w:rPr>
  </w:style>
  <w:style w:type="table" w:customStyle="1" w:styleId="TableNormal">
    <w:name w:val="Table Normal"/>
    <w:uiPriority w:val="2"/>
    <w:semiHidden/>
    <w:unhideWhenUsed/>
    <w:qFormat/>
    <w:rsid w:val="00F152C0"/>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customStyle="1" w:styleId="18">
    <w:name w:val="未解析的提及項目1"/>
    <w:basedOn w:val="a2"/>
    <w:uiPriority w:val="99"/>
    <w:semiHidden/>
    <w:unhideWhenUsed/>
    <w:rsid w:val="00F15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62639">
      <w:bodyDiv w:val="1"/>
      <w:marLeft w:val="0"/>
      <w:marRight w:val="0"/>
      <w:marTop w:val="0"/>
      <w:marBottom w:val="0"/>
      <w:divBdr>
        <w:top w:val="none" w:sz="0" w:space="0" w:color="auto"/>
        <w:left w:val="none" w:sz="0" w:space="0" w:color="auto"/>
        <w:bottom w:val="none" w:sz="0" w:space="0" w:color="auto"/>
        <w:right w:val="none" w:sz="0" w:space="0" w:color="auto"/>
      </w:divBdr>
    </w:div>
    <w:div w:id="131219769">
      <w:bodyDiv w:val="1"/>
      <w:marLeft w:val="0"/>
      <w:marRight w:val="0"/>
      <w:marTop w:val="0"/>
      <w:marBottom w:val="0"/>
      <w:divBdr>
        <w:top w:val="none" w:sz="0" w:space="0" w:color="auto"/>
        <w:left w:val="none" w:sz="0" w:space="0" w:color="auto"/>
        <w:bottom w:val="none" w:sz="0" w:space="0" w:color="auto"/>
        <w:right w:val="none" w:sz="0" w:space="0" w:color="auto"/>
      </w:divBdr>
    </w:div>
    <w:div w:id="206647150">
      <w:bodyDiv w:val="1"/>
      <w:marLeft w:val="0"/>
      <w:marRight w:val="0"/>
      <w:marTop w:val="0"/>
      <w:marBottom w:val="0"/>
      <w:divBdr>
        <w:top w:val="none" w:sz="0" w:space="0" w:color="auto"/>
        <w:left w:val="none" w:sz="0" w:space="0" w:color="auto"/>
        <w:bottom w:val="none" w:sz="0" w:space="0" w:color="auto"/>
        <w:right w:val="none" w:sz="0" w:space="0" w:color="auto"/>
      </w:divBdr>
    </w:div>
    <w:div w:id="469982500">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786512408">
      <w:bodyDiv w:val="1"/>
      <w:marLeft w:val="0"/>
      <w:marRight w:val="0"/>
      <w:marTop w:val="0"/>
      <w:marBottom w:val="0"/>
      <w:divBdr>
        <w:top w:val="none" w:sz="0" w:space="0" w:color="auto"/>
        <w:left w:val="none" w:sz="0" w:space="0" w:color="auto"/>
        <w:bottom w:val="none" w:sz="0" w:space="0" w:color="auto"/>
        <w:right w:val="none" w:sz="0" w:space="0" w:color="auto"/>
      </w:divBdr>
    </w:div>
    <w:div w:id="1052849363">
      <w:bodyDiv w:val="1"/>
      <w:marLeft w:val="0"/>
      <w:marRight w:val="0"/>
      <w:marTop w:val="0"/>
      <w:marBottom w:val="0"/>
      <w:divBdr>
        <w:top w:val="none" w:sz="0" w:space="0" w:color="auto"/>
        <w:left w:val="none" w:sz="0" w:space="0" w:color="auto"/>
        <w:bottom w:val="none" w:sz="0" w:space="0" w:color="auto"/>
        <w:right w:val="none" w:sz="0" w:space="0" w:color="auto"/>
      </w:divBdr>
    </w:div>
    <w:div w:id="1297177321">
      <w:bodyDiv w:val="1"/>
      <w:marLeft w:val="0"/>
      <w:marRight w:val="0"/>
      <w:marTop w:val="0"/>
      <w:marBottom w:val="0"/>
      <w:divBdr>
        <w:top w:val="none" w:sz="0" w:space="0" w:color="auto"/>
        <w:left w:val="none" w:sz="0" w:space="0" w:color="auto"/>
        <w:bottom w:val="none" w:sz="0" w:space="0" w:color="auto"/>
        <w:right w:val="none" w:sz="0" w:space="0" w:color="auto"/>
      </w:divBdr>
    </w:div>
    <w:div w:id="1886795078">
      <w:bodyDiv w:val="1"/>
      <w:marLeft w:val="0"/>
      <w:marRight w:val="0"/>
      <w:marTop w:val="0"/>
      <w:marBottom w:val="0"/>
      <w:divBdr>
        <w:top w:val="none" w:sz="0" w:space="0" w:color="auto"/>
        <w:left w:val="none" w:sz="0" w:space="0" w:color="auto"/>
        <w:bottom w:val="none" w:sz="0" w:space="0" w:color="auto"/>
        <w:right w:val="none" w:sz="0" w:space="0" w:color="auto"/>
      </w:divBdr>
    </w:div>
    <w:div w:id="212194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4.xml"/><Relationship Id="rId21" Type="http://schemas.openxmlformats.org/officeDocument/2006/relationships/chart" Target="charts/chart5.xml"/><Relationship Id="rId42" Type="http://schemas.openxmlformats.org/officeDocument/2006/relationships/chart" Target="charts/chart22.xml"/><Relationship Id="rId63" Type="http://schemas.openxmlformats.org/officeDocument/2006/relationships/chart" Target="charts/chart42.xml"/><Relationship Id="rId84" Type="http://schemas.openxmlformats.org/officeDocument/2006/relationships/chart" Target="charts/chart63.xml"/><Relationship Id="rId138" Type="http://schemas.openxmlformats.org/officeDocument/2006/relationships/footer" Target="footer5.xml"/><Relationship Id="rId159" Type="http://schemas.openxmlformats.org/officeDocument/2006/relationships/chart" Target="charts/chart115.xml"/><Relationship Id="rId170" Type="http://schemas.openxmlformats.org/officeDocument/2006/relationships/footer" Target="footer7.xml"/><Relationship Id="rId107" Type="http://schemas.openxmlformats.org/officeDocument/2006/relationships/chart" Target="charts/chart86.xml"/><Relationship Id="rId11" Type="http://schemas.openxmlformats.org/officeDocument/2006/relationships/image" Target="media/image1.png"/><Relationship Id="rId32" Type="http://schemas.openxmlformats.org/officeDocument/2006/relationships/chart" Target="charts/chart16.xml"/><Relationship Id="rId53" Type="http://schemas.openxmlformats.org/officeDocument/2006/relationships/image" Target="media/image10.png"/><Relationship Id="rId74" Type="http://schemas.openxmlformats.org/officeDocument/2006/relationships/chart" Target="charts/chart53.xml"/><Relationship Id="rId128" Type="http://schemas.openxmlformats.org/officeDocument/2006/relationships/footer" Target="footer2.xml"/><Relationship Id="rId149" Type="http://schemas.openxmlformats.org/officeDocument/2006/relationships/hyperlink" Target="http://win.dgbas.gov.tw/dgbas04/bc4/timeser/comuse_c_t14.asp?chk1=0&amp;chk2=0&amp;chk3=3&amp;chk31=0&amp;chk32=0&amp;chk33=0&amp;chk34=0&amp;chk35=0&amp;chk36=0&amp;chk4=0&amp;chk41=0&amp;chk42=0&amp;chk5=0&amp;chk6=0&amp;chk7=0&amp;R1=1&amp;yearb=89&amp;yeare=106" TargetMode="External"/><Relationship Id="rId5" Type="http://schemas.openxmlformats.org/officeDocument/2006/relationships/settings" Target="settings.xml"/><Relationship Id="rId95" Type="http://schemas.openxmlformats.org/officeDocument/2006/relationships/chart" Target="charts/chart74.xml"/><Relationship Id="rId160" Type="http://schemas.openxmlformats.org/officeDocument/2006/relationships/hyperlink" Target="https://stats.oecd.org/Index.aspx?QueryId=69414" TargetMode="External"/><Relationship Id="rId22" Type="http://schemas.openxmlformats.org/officeDocument/2006/relationships/chart" Target="charts/chart6.xml"/><Relationship Id="rId43" Type="http://schemas.openxmlformats.org/officeDocument/2006/relationships/chart" Target="charts/chart23.xml"/><Relationship Id="rId64" Type="http://schemas.openxmlformats.org/officeDocument/2006/relationships/chart" Target="charts/chart43.xml"/><Relationship Id="rId118" Type="http://schemas.openxmlformats.org/officeDocument/2006/relationships/chart" Target="charts/chart95.xml"/><Relationship Id="rId139" Type="http://schemas.openxmlformats.org/officeDocument/2006/relationships/header" Target="header8.xml"/><Relationship Id="rId85" Type="http://schemas.openxmlformats.org/officeDocument/2006/relationships/chart" Target="charts/chart64.xml"/><Relationship Id="rId150" Type="http://schemas.openxmlformats.org/officeDocument/2006/relationships/chart" Target="charts/chart108.xml"/><Relationship Id="rId171" Type="http://schemas.openxmlformats.org/officeDocument/2006/relationships/image" Target="media/image18.png"/><Relationship Id="rId12" Type="http://schemas.openxmlformats.org/officeDocument/2006/relationships/image" Target="media/image2.png"/><Relationship Id="rId33" Type="http://schemas.openxmlformats.org/officeDocument/2006/relationships/chart" Target="charts/chart17.xml"/><Relationship Id="rId108" Type="http://schemas.openxmlformats.org/officeDocument/2006/relationships/chart" Target="charts/chart87.xml"/><Relationship Id="rId129" Type="http://schemas.openxmlformats.org/officeDocument/2006/relationships/footer" Target="footer3.xml"/><Relationship Id="rId54" Type="http://schemas.openxmlformats.org/officeDocument/2006/relationships/chart" Target="charts/chart33.xml"/><Relationship Id="rId75" Type="http://schemas.openxmlformats.org/officeDocument/2006/relationships/chart" Target="charts/chart54.xml"/><Relationship Id="rId96" Type="http://schemas.openxmlformats.org/officeDocument/2006/relationships/chart" Target="charts/chart75.xml"/><Relationship Id="rId140" Type="http://schemas.openxmlformats.org/officeDocument/2006/relationships/header" Target="header9.xml"/><Relationship Id="rId161" Type="http://schemas.openxmlformats.org/officeDocument/2006/relationships/chart" Target="charts/chart11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7.xml"/><Relationship Id="rId28" Type="http://schemas.openxmlformats.org/officeDocument/2006/relationships/chart" Target="charts/chart12.xml"/><Relationship Id="rId49" Type="http://schemas.openxmlformats.org/officeDocument/2006/relationships/chart" Target="charts/chart29.xml"/><Relationship Id="rId114" Type="http://schemas.openxmlformats.org/officeDocument/2006/relationships/image" Target="media/image11.emf"/><Relationship Id="rId119" Type="http://schemas.openxmlformats.org/officeDocument/2006/relationships/chart" Target="charts/chart96.xml"/><Relationship Id="rId44" Type="http://schemas.openxmlformats.org/officeDocument/2006/relationships/chart" Target="charts/chart24.xml"/><Relationship Id="rId60" Type="http://schemas.openxmlformats.org/officeDocument/2006/relationships/chart" Target="charts/chart39.xml"/><Relationship Id="rId65" Type="http://schemas.openxmlformats.org/officeDocument/2006/relationships/chart" Target="charts/chart44.xml"/><Relationship Id="rId81" Type="http://schemas.openxmlformats.org/officeDocument/2006/relationships/chart" Target="charts/chart60.xml"/><Relationship Id="rId86" Type="http://schemas.openxmlformats.org/officeDocument/2006/relationships/chart" Target="charts/chart65.xml"/><Relationship Id="rId130" Type="http://schemas.openxmlformats.org/officeDocument/2006/relationships/header" Target="header4.xml"/><Relationship Id="rId135" Type="http://schemas.openxmlformats.org/officeDocument/2006/relationships/header" Target="header6.xml"/><Relationship Id="rId151" Type="http://schemas.openxmlformats.org/officeDocument/2006/relationships/chart" Target="charts/chart109.xml"/><Relationship Id="rId156" Type="http://schemas.openxmlformats.org/officeDocument/2006/relationships/chart" Target="charts/chart112.xml"/><Relationship Id="rId172"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chart" Target="charts/chart2.xml"/><Relationship Id="rId39" Type="http://schemas.openxmlformats.org/officeDocument/2006/relationships/chart" Target="charts/chart19.xml"/><Relationship Id="rId109" Type="http://schemas.openxmlformats.org/officeDocument/2006/relationships/chart" Target="charts/chart88.xml"/><Relationship Id="rId34" Type="http://schemas.openxmlformats.org/officeDocument/2006/relationships/image" Target="media/image6.png"/><Relationship Id="rId50" Type="http://schemas.openxmlformats.org/officeDocument/2006/relationships/chart" Target="charts/chart30.xml"/><Relationship Id="rId55" Type="http://schemas.openxmlformats.org/officeDocument/2006/relationships/chart" Target="charts/chart34.xml"/><Relationship Id="rId76" Type="http://schemas.openxmlformats.org/officeDocument/2006/relationships/chart" Target="charts/chart55.xml"/><Relationship Id="rId97" Type="http://schemas.openxmlformats.org/officeDocument/2006/relationships/chart" Target="charts/chart76.xml"/><Relationship Id="rId104" Type="http://schemas.openxmlformats.org/officeDocument/2006/relationships/chart" Target="charts/chart83.xml"/><Relationship Id="rId120" Type="http://schemas.openxmlformats.org/officeDocument/2006/relationships/chart" Target="charts/chart97.xml"/><Relationship Id="rId125" Type="http://schemas.openxmlformats.org/officeDocument/2006/relationships/chart" Target="charts/chart102.xml"/><Relationship Id="rId141" Type="http://schemas.openxmlformats.org/officeDocument/2006/relationships/chart" Target="charts/chart103.xml"/><Relationship Id="rId146" Type="http://schemas.openxmlformats.org/officeDocument/2006/relationships/chart" Target="charts/chart105.xml"/><Relationship Id="rId167"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chart" Target="charts/chart50.xml"/><Relationship Id="rId92" Type="http://schemas.openxmlformats.org/officeDocument/2006/relationships/chart" Target="charts/chart71.xml"/><Relationship Id="rId162"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chart" Target="charts/chart45.xml"/><Relationship Id="rId87" Type="http://schemas.openxmlformats.org/officeDocument/2006/relationships/chart" Target="charts/chart66.xml"/><Relationship Id="rId110" Type="http://schemas.openxmlformats.org/officeDocument/2006/relationships/chart" Target="charts/chart89.xml"/><Relationship Id="rId115" Type="http://schemas.openxmlformats.org/officeDocument/2006/relationships/image" Target="media/image12.emf"/><Relationship Id="rId131" Type="http://schemas.openxmlformats.org/officeDocument/2006/relationships/header" Target="header5.xml"/><Relationship Id="rId136" Type="http://schemas.openxmlformats.org/officeDocument/2006/relationships/header" Target="header7.xml"/><Relationship Id="rId157" Type="http://schemas.openxmlformats.org/officeDocument/2006/relationships/chart" Target="charts/chart113.xml"/><Relationship Id="rId61" Type="http://schemas.openxmlformats.org/officeDocument/2006/relationships/chart" Target="charts/chart40.xml"/><Relationship Id="rId82" Type="http://schemas.openxmlformats.org/officeDocument/2006/relationships/chart" Target="charts/chart61.xml"/><Relationship Id="rId152" Type="http://schemas.openxmlformats.org/officeDocument/2006/relationships/chart" Target="charts/chart110.xml"/><Relationship Id="rId173" Type="http://schemas.openxmlformats.org/officeDocument/2006/relationships/theme" Target="theme/theme1.xml"/><Relationship Id="rId19" Type="http://schemas.openxmlformats.org/officeDocument/2006/relationships/chart" Target="charts/chart3.xml"/><Relationship Id="rId14" Type="http://schemas.openxmlformats.org/officeDocument/2006/relationships/image" Target="media/image4.png"/><Relationship Id="rId30" Type="http://schemas.openxmlformats.org/officeDocument/2006/relationships/chart" Target="charts/chart14.xml"/><Relationship Id="rId35" Type="http://schemas.openxmlformats.org/officeDocument/2006/relationships/image" Target="media/image7.png"/><Relationship Id="rId56" Type="http://schemas.openxmlformats.org/officeDocument/2006/relationships/chart" Target="charts/chart35.xml"/><Relationship Id="rId77" Type="http://schemas.openxmlformats.org/officeDocument/2006/relationships/chart" Target="charts/chart56.xml"/><Relationship Id="rId100" Type="http://schemas.openxmlformats.org/officeDocument/2006/relationships/chart" Target="charts/chart79.xml"/><Relationship Id="rId105" Type="http://schemas.openxmlformats.org/officeDocument/2006/relationships/chart" Target="charts/chart84.xml"/><Relationship Id="rId126" Type="http://schemas.openxmlformats.org/officeDocument/2006/relationships/header" Target="header2.xml"/><Relationship Id="rId147" Type="http://schemas.openxmlformats.org/officeDocument/2006/relationships/chart" Target="charts/chart106.xml"/><Relationship Id="rId16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chart" Target="charts/chart31.xml"/><Relationship Id="rId72" Type="http://schemas.openxmlformats.org/officeDocument/2006/relationships/chart" Target="charts/chart51.xml"/><Relationship Id="rId93" Type="http://schemas.openxmlformats.org/officeDocument/2006/relationships/chart" Target="charts/chart72.xml"/><Relationship Id="rId98" Type="http://schemas.openxmlformats.org/officeDocument/2006/relationships/chart" Target="charts/chart77.xml"/><Relationship Id="rId121" Type="http://schemas.openxmlformats.org/officeDocument/2006/relationships/chart" Target="charts/chart98.xml"/><Relationship Id="rId142" Type="http://schemas.openxmlformats.org/officeDocument/2006/relationships/chart" Target="charts/chart104.xml"/><Relationship Id="rId163" Type="http://schemas.openxmlformats.org/officeDocument/2006/relationships/image" Target="media/image17.png"/><Relationship Id="rId3" Type="http://schemas.openxmlformats.org/officeDocument/2006/relationships/styles" Target="styles.xml"/><Relationship Id="rId25" Type="http://schemas.openxmlformats.org/officeDocument/2006/relationships/chart" Target="charts/chart9.xml"/><Relationship Id="rId46" Type="http://schemas.openxmlformats.org/officeDocument/2006/relationships/chart" Target="charts/chart26.xml"/><Relationship Id="rId67" Type="http://schemas.openxmlformats.org/officeDocument/2006/relationships/chart" Target="charts/chart46.xml"/><Relationship Id="rId116" Type="http://schemas.openxmlformats.org/officeDocument/2006/relationships/chart" Target="charts/chart93.xml"/><Relationship Id="rId137" Type="http://schemas.openxmlformats.org/officeDocument/2006/relationships/footer" Target="footer4.xml"/><Relationship Id="rId158" Type="http://schemas.openxmlformats.org/officeDocument/2006/relationships/chart" Target="charts/chart114.xml"/><Relationship Id="rId20" Type="http://schemas.openxmlformats.org/officeDocument/2006/relationships/chart" Target="charts/chart4.xml"/><Relationship Id="rId41" Type="http://schemas.openxmlformats.org/officeDocument/2006/relationships/chart" Target="charts/chart21.xml"/><Relationship Id="rId62" Type="http://schemas.openxmlformats.org/officeDocument/2006/relationships/chart" Target="charts/chart41.xml"/><Relationship Id="rId83" Type="http://schemas.openxmlformats.org/officeDocument/2006/relationships/chart" Target="charts/chart62.xml"/><Relationship Id="rId88" Type="http://schemas.openxmlformats.org/officeDocument/2006/relationships/chart" Target="charts/chart67.xml"/><Relationship Id="rId111" Type="http://schemas.openxmlformats.org/officeDocument/2006/relationships/chart" Target="charts/chart90.xml"/><Relationship Id="rId132" Type="http://schemas.openxmlformats.org/officeDocument/2006/relationships/hyperlink" Target="http://www.powerpoint-group.com/fanti-2/asia13.html" TargetMode="External"/><Relationship Id="rId153" Type="http://schemas.openxmlformats.org/officeDocument/2006/relationships/hyperlink" Target="https://www.stat.gov.tw/ct.asp?xItem=37200&amp;ctNode=517&amp;mp=4" TargetMode="External"/><Relationship Id="rId15" Type="http://schemas.openxmlformats.org/officeDocument/2006/relationships/hyperlink" Target="file:///N:\&#20154;&#21147;&#34389;\&#20154;&#21147;&#34389;&#36039;&#26009;&#38480;&#38321;&#21312;\06_&#32769;&#24180;&#32147;&#28639;&#23433;&#20840;&#31185;\11.&#32769;&#24180;&#32147;&#28639;&#23433;&#20840;&#23560;&#21002;\108&#24180;&#29256;(&#31532;4&#26399;-&#26045;&#24037;&#20013;)\1.&#23560;&#21002;&#21508;&#31456;&#20839;&#23481;(&#21547;&#21407;&#22987;&#32113;&#35336;&#36039;&#26009;)\&#23560;&#21002;&#31532;4&#26399;&#30446;&#37636;&#21021;&#31295;.docx" TargetMode="External"/><Relationship Id="rId36" Type="http://schemas.openxmlformats.org/officeDocument/2006/relationships/image" Target="media/image8.png"/><Relationship Id="rId57" Type="http://schemas.openxmlformats.org/officeDocument/2006/relationships/chart" Target="charts/chart36.xml"/><Relationship Id="rId106" Type="http://schemas.openxmlformats.org/officeDocument/2006/relationships/chart" Target="charts/chart85.xml"/><Relationship Id="rId127" Type="http://schemas.openxmlformats.org/officeDocument/2006/relationships/header" Target="header3.xml"/><Relationship Id="rId10" Type="http://schemas.openxmlformats.org/officeDocument/2006/relationships/footer" Target="footer1.xml"/><Relationship Id="rId31" Type="http://schemas.openxmlformats.org/officeDocument/2006/relationships/chart" Target="charts/chart15.xml"/><Relationship Id="rId52" Type="http://schemas.openxmlformats.org/officeDocument/2006/relationships/chart" Target="charts/chart32.xml"/><Relationship Id="rId73" Type="http://schemas.openxmlformats.org/officeDocument/2006/relationships/chart" Target="charts/chart52.xml"/><Relationship Id="rId78" Type="http://schemas.openxmlformats.org/officeDocument/2006/relationships/chart" Target="charts/chart57.xml"/><Relationship Id="rId94" Type="http://schemas.openxmlformats.org/officeDocument/2006/relationships/chart" Target="charts/chart73.xml"/><Relationship Id="rId99" Type="http://schemas.openxmlformats.org/officeDocument/2006/relationships/chart" Target="charts/chart78.xml"/><Relationship Id="rId101" Type="http://schemas.openxmlformats.org/officeDocument/2006/relationships/chart" Target="charts/chart80.xml"/><Relationship Id="rId122" Type="http://schemas.openxmlformats.org/officeDocument/2006/relationships/chart" Target="charts/chart99.xml"/><Relationship Id="rId143" Type="http://schemas.openxmlformats.org/officeDocument/2006/relationships/image" Target="media/image13.png"/><Relationship Id="rId148" Type="http://schemas.openxmlformats.org/officeDocument/2006/relationships/chart" Target="charts/chart107.xml"/><Relationship Id="rId164" Type="http://schemas.openxmlformats.org/officeDocument/2006/relationships/chart" Target="charts/chart117.xml"/><Relationship Id="rId169"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chart" Target="charts/chart10.xml"/><Relationship Id="rId47" Type="http://schemas.openxmlformats.org/officeDocument/2006/relationships/chart" Target="charts/chart27.xml"/><Relationship Id="rId68" Type="http://schemas.openxmlformats.org/officeDocument/2006/relationships/chart" Target="charts/chart47.xml"/><Relationship Id="rId89" Type="http://schemas.openxmlformats.org/officeDocument/2006/relationships/chart" Target="charts/chart68.xml"/><Relationship Id="rId112" Type="http://schemas.openxmlformats.org/officeDocument/2006/relationships/chart" Target="charts/chart91.xml"/><Relationship Id="rId133" Type="http://schemas.openxmlformats.org/officeDocument/2006/relationships/hyperlink" Target="https://www.jetro.go.jp/tc/invest/setting_up/section4/page9.html" TargetMode="External"/><Relationship Id="rId154" Type="http://schemas.openxmlformats.org/officeDocument/2006/relationships/chart" Target="charts/chart111.xml"/><Relationship Id="rId16" Type="http://schemas.openxmlformats.org/officeDocument/2006/relationships/image" Target="media/image5.png"/><Relationship Id="rId37" Type="http://schemas.openxmlformats.org/officeDocument/2006/relationships/image" Target="media/image9.png"/><Relationship Id="rId58" Type="http://schemas.openxmlformats.org/officeDocument/2006/relationships/chart" Target="charts/chart37.xml"/><Relationship Id="rId79" Type="http://schemas.openxmlformats.org/officeDocument/2006/relationships/chart" Target="charts/chart58.xml"/><Relationship Id="rId102" Type="http://schemas.openxmlformats.org/officeDocument/2006/relationships/chart" Target="charts/chart81.xml"/><Relationship Id="rId123" Type="http://schemas.openxmlformats.org/officeDocument/2006/relationships/chart" Target="charts/chart100.xml"/><Relationship Id="rId144" Type="http://schemas.openxmlformats.org/officeDocument/2006/relationships/image" Target="media/image14.png"/><Relationship Id="rId90" Type="http://schemas.openxmlformats.org/officeDocument/2006/relationships/chart" Target="charts/chart69.xml"/><Relationship Id="rId165" Type="http://schemas.openxmlformats.org/officeDocument/2006/relationships/header" Target="header10.xml"/><Relationship Id="rId27" Type="http://schemas.openxmlformats.org/officeDocument/2006/relationships/chart" Target="charts/chart11.xml"/><Relationship Id="rId48" Type="http://schemas.openxmlformats.org/officeDocument/2006/relationships/chart" Target="charts/chart28.xml"/><Relationship Id="rId69" Type="http://schemas.openxmlformats.org/officeDocument/2006/relationships/chart" Target="charts/chart48.xml"/><Relationship Id="rId113" Type="http://schemas.openxmlformats.org/officeDocument/2006/relationships/chart" Target="charts/chart92.xml"/><Relationship Id="rId134" Type="http://schemas.openxmlformats.org/officeDocument/2006/relationships/hyperlink" Target="http://web.nso.go.th/en/survey/data_survey/200260_summary_Jan_2017.pdf" TargetMode="External"/><Relationship Id="rId80" Type="http://schemas.openxmlformats.org/officeDocument/2006/relationships/chart" Target="charts/chart59.xml"/><Relationship Id="rId155" Type="http://schemas.openxmlformats.org/officeDocument/2006/relationships/hyperlink" Target="http://stats.oecd.org/WBOS/index.aspx" TargetMode="External"/><Relationship Id="rId17" Type="http://schemas.openxmlformats.org/officeDocument/2006/relationships/chart" Target="charts/chart1.xml"/><Relationship Id="rId38" Type="http://schemas.openxmlformats.org/officeDocument/2006/relationships/chart" Target="charts/chart18.xml"/><Relationship Id="rId59" Type="http://schemas.openxmlformats.org/officeDocument/2006/relationships/chart" Target="charts/chart38.xml"/><Relationship Id="rId103" Type="http://schemas.openxmlformats.org/officeDocument/2006/relationships/chart" Target="charts/chart82.xml"/><Relationship Id="rId124" Type="http://schemas.openxmlformats.org/officeDocument/2006/relationships/chart" Target="charts/chart101.xml"/><Relationship Id="rId70" Type="http://schemas.openxmlformats.org/officeDocument/2006/relationships/chart" Target="charts/chart49.xml"/><Relationship Id="rId91" Type="http://schemas.openxmlformats.org/officeDocument/2006/relationships/chart" Target="charts/chart70.xml"/><Relationship Id="rId145" Type="http://schemas.openxmlformats.org/officeDocument/2006/relationships/image" Target="media/image15.png"/><Relationship Id="rId166"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s://apoxiagu.wordpress.com/category/%E8%B6%8A%E5%8D%97%E7%A4%BE%E4%BF%9D%E6%B3%95/" TargetMode="External"/><Relationship Id="rId7" Type="http://schemas.openxmlformats.org/officeDocument/2006/relationships/hyperlink" Target="https://www.mhlw.go.jp/stf/seisakunitsuite/bunya/nenkin/nenkin/kigyounenkin.html" TargetMode="External"/><Relationship Id="rId2" Type="http://schemas.openxmlformats.org/officeDocument/2006/relationships/hyperlink" Target="http://twbusiness.nat.gov.tw/countryNews.do?id=299728905&amp;country=VN" TargetMode="External"/><Relationship Id="rId1" Type="http://schemas.openxmlformats.org/officeDocument/2006/relationships/hyperlink" Target="http://www.roc-taiwan.org/vnsgn/post/1447.html" TargetMode="External"/><Relationship Id="rId6" Type="http://schemas.openxmlformats.org/officeDocument/2006/relationships/hyperlink" Target="https://www.mhlw.go.jp/nenkinkenshou/structure/structure03.html" TargetMode="External"/><Relationship Id="rId5" Type="http://schemas.openxmlformats.org/officeDocument/2006/relationships/hyperlink" Target="https://read01.com/zh-tw/465xdz.html" TargetMode="External"/><Relationship Id="rId4" Type="http://schemas.openxmlformats.org/officeDocument/2006/relationships/hyperlink" Target="https://read01.com/465xdz.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Users\fangchiu\Desktop\Microsoft%20Word%20&#30340;&#22294;&#34920;%20.xlsx" TargetMode="External"/></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2902;%20&#39640;&#40801;&#21270;&#21830;&#26989;&#20445;&#38570;\&#21407;&#22987;&#36039;&#26009;\&#37291;&#30274;&#20445;&#38570;&#25237;&#20445;&#29575;&#22294;1.5.3(1100817).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2902;%20&#39640;&#40801;&#21270;&#21830;&#26989;&#20445;&#38570;\&#21407;&#22987;&#36039;&#26009;\&#20663;&#23475;&#20445;&#38570;&#25237;&#20445;&#29575;&#22294;1.5.2(1100817).xlsx" TargetMode="External"/></Relationships>
</file>

<file path=word/charts/_rels/chart102.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2902;%20&#39640;&#40801;&#21270;&#21830;&#26989;&#20445;&#38570;\&#21407;&#22987;&#36039;&#26009;\&#20154;&#22781;&#20445;&#38570;&#25237;&#20445;&#29575;&#22294;1.5.1(110817).xlsx" TargetMode="Externa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___22.xlsx"/><Relationship Id="rId1" Type="http://schemas.openxmlformats.org/officeDocument/2006/relationships/themeOverride" Target="../theme/themeOverride2.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___23.xlsx"/><Relationship Id="rId1" Type="http://schemas.openxmlformats.org/officeDocument/2006/relationships/themeOverride" Target="../theme/themeOverride3.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___24.xlsx"/><Relationship Id="rId1" Type="http://schemas.openxmlformats.org/officeDocument/2006/relationships/themeOverride" Target="../theme/themeOverride4.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___25.xlsx"/><Relationship Id="rId1" Type="http://schemas.openxmlformats.org/officeDocument/2006/relationships/themeOverride" Target="../theme/themeOverride5.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___26.xlsx"/><Relationship Id="rId1" Type="http://schemas.openxmlformats.org/officeDocument/2006/relationships/themeOverride" Target="../theme/themeOverride6.xml"/></Relationships>
</file>

<file path=word/charts/_rels/chart108.xml.rels><?xml version="1.0" encoding="UTF-8" standalone="yes"?>
<Relationships xmlns="http://schemas.openxmlformats.org/package/2006/relationships"><Relationship Id="rId1" Type="http://schemas.openxmlformats.org/officeDocument/2006/relationships/oleObject" Target="file:///C:\Users\yungc\OneDrive\&#26700;&#38754;\&#26368;&#26032;&#32113;&#35336;&#22294;&#34920;-1011.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C:\Users\yungc\OneDrive\&#26700;&#38754;\&#26368;&#26032;&#32113;&#35336;&#22294;&#34920;-1011.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___10.xlsx"/><Relationship Id="rId1" Type="http://schemas.openxmlformats.org/officeDocument/2006/relationships/themeOverride" Target="../theme/themeOverride1.xml"/></Relationships>
</file>

<file path=word/charts/_rels/chart110.xml.rels><?xml version="1.0" encoding="UTF-8" standalone="yes"?>
<Relationships xmlns="http://schemas.openxmlformats.org/package/2006/relationships"><Relationship Id="rId1" Type="http://schemas.openxmlformats.org/officeDocument/2006/relationships/oleObject" Target="file:///C:\Users\yungc\OneDrive\&#26700;&#38754;\&#26368;&#26032;&#32113;&#35336;&#22294;&#34920;-1006.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Users\yungc\OneDrive\&#26700;&#38754;\&#26368;&#26032;&#32113;&#35336;&#22294;&#34920;-1011.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D:\&#23229;&#23229;&#36039;&#26009;&#22846;\&#20013;&#27491;&#22823;&#23416;&#23560;&#26696;&#35336;&#30059;\&#21214;&#30740;&#25152;&#27161;&#26696;\&#32113;&#35336;&#36039;&#26009;\&#20116;&#24180;&#20195;&#21214;&#21443;&#29575;.&#23601;&#26989;&#20154;&#21475;.&#21214;&#21205;&#21147;&#20154;&#21475;&#21407;&#22987;&#25976;&#25818;&#33287;&#27604;&#36611;&#22294;-&#27427;&#34722;0813.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C:\Users\yungc\OneDrive\&#26700;&#38754;\&#26368;&#26032;&#32113;&#35336;&#22294;&#34920;-1011.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C:\Users\yungc\OneDrive\&#26700;&#38754;\&#26368;&#26032;&#32113;&#35336;&#22294;&#34920;-1011.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D:\&#23229;&#23229;&#36039;&#26009;&#22846;\&#20013;&#27491;&#22823;&#23416;&#23560;&#26696;&#35336;&#30059;\&#21214;&#30740;&#25152;&#27161;&#26696;\&#32113;&#35336;&#36039;&#26009;\&#35079;&#26412;%20&#20116;&#24180;&#20195;&#21214;&#21443;&#29575;.&#23601;&#26989;&#20154;&#21475;.&#21214;&#21205;&#21147;&#20154;&#21475;&#21407;&#22987;&#25976;&#25818;&#33287;&#27604;&#36611;&#22294;-&#27427;&#34722;0813.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Users\yungc\OneDrive\&#26700;&#38754;\&#26368;&#26032;&#32113;&#35336;&#22294;&#34920;-1011.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_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__1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___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Naip-nas\&#23542;&#24950;&#32178;&#36335;&#30828;&#30879;\&#20154;&#21147;&#34389;\&#20154;&#21147;&#34389;&#36039;&#26009;&#38480;&#38321;&#21312;\06_&#32769;&#24180;&#32147;&#28639;&#23433;&#20840;&#31185;\1.&#32769;&#24180;&#32147;&#28639;&#23433;&#20840;\105&#24180;&#22283;&#23478;&#24180;&#37329;&#25913;&#38761;&#22996;&#21729;&#26371;\03&#22996;&#36774;&#26696;\108&#24180;&#32178;&#31449;&#22996;&#35351;&#26696;\&#32113;&#35336;&#36039;&#26009;\109\&#19978;&#20659;&#32178;&#31449;&#29256;(109&#24180;&#36039;&#26009;&#26356;&#26032;&#20013;)\&#38468;&#20214;11-&#24180;&#37329;&#21046;&#24230;&#32156;&#35261;(109&#24180;)OK.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22777;%20&#27010;&#35542;(&#24180;&#37329;&#21046;&#24230;&#32317;&#35261;&#12289;&#24615;&#21029;&#32113;&#35336;)\&#22294;&#34920;&#35069;&#20316;&#21312;\&#38468;&#20214;11-&#24180;&#37329;&#21046;&#24230;&#32156;&#35261;(109&#24180;)-&#2229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___17.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___18.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___19.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___20.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3.&#23560;&#21002;&#21508;&#31456;&#20839;&#23481;(&#21547;&#21407;&#22987;&#32113;&#35336;&#36039;&#26009;)\1.&#21046;&#24230;&#27010;&#27841;(109&#24180;)\&#22777;%20&#27010;&#35542;(&#24180;&#37329;&#21046;&#24230;&#32317;&#35261;&#12289;&#24615;&#21029;&#32113;&#35336;)\&#22294;&#34920;&#35069;&#20316;&#21312;\&#38468;&#20214;11-&#24180;&#37329;&#21046;&#24230;&#32156;&#35261;(109&#24180;)-&#22294;.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22777;%20&#27010;&#35542;(&#24180;&#37329;&#21046;&#24230;&#32317;&#35261;&#12289;&#24615;&#21029;&#32113;&#35336;)\&#22294;&#34920;&#35069;&#20316;&#21312;\&#38468;&#20214;11-&#24180;&#37329;&#21046;&#24230;&#32156;&#35261;(109&#24180;)-&#22294;.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22777;%20&#27010;&#35542;(&#24180;&#37329;&#21046;&#24230;&#32317;&#35261;&#12289;&#24615;&#21029;&#32113;&#35336;)\&#22294;&#34920;&#35069;&#20316;&#21312;\&#38468;&#20214;11-&#24180;&#37329;&#21046;&#24230;&#32156;&#35261;(109&#24180;)-&#22294;.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22777;%20&#27010;&#35542;(&#24180;&#37329;&#21046;&#24230;&#32317;&#35261;&#12289;&#24615;&#21029;&#32113;&#35336;)\&#22294;&#34920;&#35069;&#20316;&#21312;\&#38468;&#20214;11-&#24180;&#37329;&#21046;&#24230;&#32156;&#35261;(109&#24180;)-&#22294;.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22777;%20&#27010;&#35542;(&#24180;&#37329;&#21046;&#24230;&#32317;&#35261;&#12289;&#24615;&#21029;&#32113;&#35336;)\&#22294;&#34920;&#35069;&#20316;&#21312;\&#38468;&#20214;11-&#24180;&#37329;&#21046;&#24230;&#32156;&#35261;(109&#24180;)-&#22294;.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Excel____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1214;&#24037;&#20445;&#38570;(109&#24180;).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1214;&#24037;&#20445;&#38570;(109&#24180;).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1214;&#20445;(109&#24180;).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1214;&#20445;(109&#24180;).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andyj\OneDrive\&#26700;&#38754;\&#23560;&#21002;\&#36019;%20&#31038;&#26371;&#20445;&#38570;\&#32113;&#35336;&#36039;&#26009;\&#21214;&#24037;&#20445;&#38570;(109&#24180;).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1214;&#20445;(109&#24180;).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andyj\OneDrive\&#26700;&#38754;\&#23560;&#21002;\&#36019;%20&#31038;&#26371;&#20445;&#38570;\&#32113;&#35336;&#36039;&#26009;\&#21214;&#24037;&#20445;&#38570;(109&#24180;).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andyj\OneDrive\&#26700;&#38754;\&#23560;&#21002;\&#36019;%20&#31038;&#26371;&#20445;&#38570;\&#32113;&#35336;&#36039;&#26009;\&#21214;&#24037;&#20445;&#38570;(109&#24180;).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1214;&#20445;(109&#24180;).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1214;&#20445;(109&#2418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4.xlsx"/></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1214;&#20445;(109&#24180;).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1214;&#24037;&#20445;&#38570;(109&#24180;).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0844;&#20445;(109&#24180;).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0844;&#20445;(109&#24180;).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andyj\OneDrive\&#26700;&#38754;\&#36960;&#36317;&#24037;&#20316;&#26399;&#38291;&#27284;&#26696;\&#23560;&#21002;\&#36019;%20&#31038;&#26371;&#20445;&#38570;\&#32113;&#35336;&#36039;&#26009;\&#20844;&#20445;(109&#24180;).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andyj\OneDrive\&#26700;&#38754;\&#36960;&#36317;&#24037;&#20316;&#26399;&#38291;&#27284;&#26696;\&#23560;&#21002;\&#36019;%20&#31038;&#26371;&#20445;&#38570;\&#32113;&#35336;&#36039;&#26009;\&#20844;&#20445;(109&#24180;).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Users\andyj\OneDrive\&#26700;&#38754;\&#36960;&#36317;&#24037;&#20316;&#26399;&#38291;&#27284;&#26696;\&#23560;&#21002;\&#36019;%20&#31038;&#26371;&#20445;&#38570;\&#32113;&#35336;&#36039;&#26009;\&#20844;&#20445;(109&#24180;).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0844;&#20445;(109&#24180;).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Users\andyj\OneDrive\&#26700;&#38754;\&#36960;&#36317;&#24037;&#20316;&#26399;&#38291;&#27284;&#26696;\&#23560;&#21002;\&#36019;%20&#31038;&#26371;&#20445;&#38570;\&#32113;&#35336;&#36039;&#26009;\&#20844;&#20445;(109&#24180;).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ndyj\OneDrive\&#26700;&#38754;\&#36960;&#36317;&#24037;&#20316;&#26399;&#38291;&#27284;&#26696;\&#23560;&#21002;\&#36019;%20&#31038;&#26371;&#20445;&#38570;\&#32113;&#35336;&#36039;&#26009;\&#20844;&#20445;(109&#2418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5.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0844;&#20445;(109&#24180;).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C:\Users\andyj\OneDrive\&#26700;&#38754;\&#36960;&#36317;&#24037;&#20316;&#26399;&#38291;&#27284;&#26696;\&#23560;&#21002;\&#36019;%20&#31038;&#26371;&#20445;&#38570;\&#32113;&#35336;&#36039;&#26009;\&#20844;&#20445;(109&#24180;).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0844;&#20445;(109&#24180;).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0844;&#20445;(109&#24180;).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0844;&#20445;(109&#24180;).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C:\Users\andyj\OneDrive\&#26700;&#38754;\&#36960;&#36317;&#24037;&#20316;&#26399;&#38291;&#27284;&#26696;\&#23560;&#21002;\&#36019;%20&#31038;&#26371;&#20445;&#38570;\&#32113;&#35336;&#36039;&#26009;\&#20844;&#20445;(109&#24180;).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0844;&#20445;(109&#24180;).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36786;&#20445;(109&#24180;).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36786;&#20445;(109&#24180;).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36786;&#20445;(109&#24180;).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6.xlsx"/></Relationships>
</file>

<file path=word/charts/_rels/chart60.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36786;&#20445;(109&#24180;).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36786;&#20445;(109&#24180;).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C:\Users\andyj\OneDrive\&#26700;&#38754;\&#23560;&#21002;\&#36019;%20&#31038;&#26371;&#20445;&#38570;\&#32113;&#35336;&#36039;&#26009;\&#22283;&#20445;(109&#24180;).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C:\Users\andyj\OneDrive\&#26700;&#38754;\&#23560;&#21002;\&#36019;%20&#31038;&#26371;&#20445;&#38570;\&#32113;&#35336;&#36039;&#26009;\&#22283;&#20445;(109&#24180;).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andyj\OneDrive\&#26700;&#38754;\&#23560;&#21002;\&#36019;%20&#31038;&#26371;&#20445;&#38570;\&#32113;&#35336;&#36039;&#26009;\&#22283;&#20445;(109&#24180;).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2283;&#20445;(109&#24180;).xlsx"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2283;&#20445;(109&#24180;).xlsx" TargetMode="External"/></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2283;&#20445;(109&#24180;).xlsx" TargetMode="External"/></Relationships>
</file>

<file path=word/charts/_rels/chart68.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6019;%20&#31038;&#26371;&#20445;&#38570;\&#32113;&#35336;&#36039;&#26009;\&#22283;&#20445;(109&#24180;).xlsx" TargetMode="External"/></Relationships>
</file>

<file path=word/charts/_rels/chart69.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C:\Users\andyj\OneDrive\&#26700;&#38754;\&#23560;&#21002;\&#36019;%20&#31038;&#26371;&#20445;&#38570;\&#32113;&#35336;&#36039;&#26009;\&#22283;&#20445;(109&#24180;).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7.xlsx"/></Relationships>
</file>

<file path=word/charts/_rels/chart70.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C:\Users\andyj\OneDrive\&#26700;&#38754;\&#23560;&#21002;\&#36019;%20&#31038;&#26371;&#20445;&#38570;\&#32113;&#35336;&#36039;&#26009;\&#22283;&#20445;(109&#24180;).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21443;%20&#32887;&#26989;&#21029;&#36864;&#20241;&#37329;\&#22294;&#34920;&#21407;&#22987;&#27284;&#26696;\&#21214;&#24037;&#36864;&#20241;&#37329;(&#33290;&#21046;).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21214;&#24037;&#36864;&#20241;&#37329;(&#33290;&#21046;).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21214;&#24037;&#36864;&#20241;&#37329;(&#33290;&#21046;).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21214;&#24037;&#36864;&#20241;&#37329;(&#26032;&#21046;).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21214;&#24037;&#36864;&#20241;&#37329;(&#26032;&#21046;).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21214;&#24037;&#36864;&#20241;&#37329;(&#26032;&#21046;).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21443;%20&#32887;&#26989;&#21029;&#36864;&#20241;&#37329;\&#22294;&#34920;&#21407;&#22987;&#27284;&#26696;\&#21214;&#24037;&#36864;&#20241;&#37329;(&#26032;&#21046;).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34081;&#23452;&#32265;\Desktop\1100709\1100701&#23560;&#21002;\&#22294;&#34920;&#21407;&#22987;&#27284;&#26696;\&#21214;&#24037;&#36864;&#20241;&#37329;(&#26032;&#21046;).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34081;&#23452;&#32265;\Desktop\1100709\1100701&#23560;&#21002;\&#22294;&#34920;&#21407;&#22987;&#27284;&#26696;\&#21214;&#24037;&#36864;&#20241;&#37329;(&#26032;&#21046;).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8.xlsx"/></Relationships>
</file>

<file path=word/charts/_rels/chart80.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6557;&#20844;&#25945;&#36864;&#25771;.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6557;&#20844;&#25945;&#36864;&#25771;.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6557;&#20844;&#25945;&#36864;&#25771;.xlsx" TargetMode="External"/></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oleObject" Target="file:///D:\Users\yctsai\Desktop\1100701&#23560;&#21002;\&#22294;&#34920;&#21407;&#22987;&#27284;&#26696;\&#36557;&#20844;&#25945;&#36864;&#25771;.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6557;&#20844;&#25945;&#36864;&#25771;.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6557;&#20844;&#25945;&#36864;&#25771;.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6557;&#20844;&#25945;&#36864;&#25771;.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6557;&#20844;&#25945;&#36864;&#25771;.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6557;&#20844;&#25945;&#36864;&#25771;.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3.&#23560;&#21002;&#21508;&#31456;&#20839;&#23481;(&#21547;&#21407;&#22987;&#32113;&#35336;&#36039;&#26009;)\1.&#21046;&#24230;&#27010;&#27841;(109&#24180;)\&#21443;%20&#32887;&#26989;&#21029;&#36864;&#20241;&#37329;\&#22294;&#34920;&#21407;&#22987;&#27284;&#26696;\&#36557;&#20844;&#25945;&#36864;&#25771;.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9.xlsx"/></Relationships>
</file>

<file path=word/charts/_rels/chart90.xml.rels><?xml version="1.0" encoding="UTF-8" standalone="yes"?>
<Relationships xmlns="http://schemas.openxmlformats.org/package/2006/relationships"><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3.&#23560;&#21002;&#21508;&#31456;&#20839;&#23481;(&#21547;&#21407;&#22987;&#32113;&#35336;&#36039;&#26009;)\1.&#21046;&#24230;&#27010;&#27841;(109&#24180;)\&#21443;%20&#32887;&#26989;&#21029;&#36864;&#20241;&#37329;\&#22294;&#34920;&#21407;&#22987;&#27284;&#26696;\&#36557;&#20844;&#25945;&#36864;&#25771;.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3.&#23560;&#21002;&#21508;&#31456;&#20839;&#23481;(&#21547;&#21407;&#22987;&#32113;&#35336;&#36039;&#26009;)\1.&#21046;&#24230;&#27010;&#27841;(109&#24180;)\&#21443;%20&#32887;&#26989;&#21029;&#36864;&#20241;&#37329;\&#22294;&#34920;&#21407;&#22987;&#27284;&#26696;\&#36557;&#20844;&#25945;&#36864;&#25771;.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6557;&#20844;&#25945;&#36864;&#25771;.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21443;%20&#32887;&#26989;&#21029;&#36864;&#20241;&#37329;\&#22294;&#34920;&#21407;&#22987;&#27284;&#26696;\&#36557;&#20844;&#25945;&#36864;&#25771;.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1169;&#26657;&#36864;&#25771;&#20786;&#37329;&#21046;&#24230;.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3.&#23560;&#21002;&#21508;&#31456;&#20839;&#23481;(&#21547;&#21407;&#22987;&#32113;&#35336;&#36039;&#26009;)\1.&#21046;&#24230;&#27010;&#27841;(109&#24180;)\&#21443;%20&#32887;&#26989;&#21029;&#36864;&#20241;&#37329;\&#22294;&#34920;&#21407;&#22987;&#27284;&#26696;\&#31169;&#26657;&#36864;&#25771;&#20786;&#37329;&#21046;&#24230;.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D:\Users\yctsai\Desktop\1100701&#23560;&#21002;\&#22294;&#34920;&#21407;&#22987;&#27284;&#26696;\&#31169;&#26657;&#36864;&#25771;&#20786;&#37329;&#21046;&#24230;.xlsx" TargetMode="External"/></Relationships>
</file>

<file path=word/charts/_rels/chart97.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21443;%20&#32887;&#26989;&#21029;&#36864;&#20241;&#37329;\&#22294;&#34920;&#21407;&#22987;&#27284;&#26696;\&#31169;&#26657;&#36864;&#25771;&#20786;&#37329;&#21046;&#24230;.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10.10.188.3\&#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2902;%20&#39640;&#40801;&#21270;&#21830;&#26989;&#20445;&#38570;\&#21407;&#22987;&#36039;&#26009;\&#21830;&#26989;&#24180;&#37329;&#20445;&#38570;&#22294;1.5.5(1100817).xlsx" TargetMode="External"/></Relationships>
</file>

<file path=word/charts/_rels/chart99.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oleObject" Target="file:///\\Naip-nas\&#23542;&#24950;&#32178;&#36335;&#30828;&#30879;\&#20154;&#21147;&#34389;\&#20154;&#21147;&#34389;&#36039;&#26009;&#38480;&#38321;&#21312;\06_&#32769;&#24180;&#32147;&#28639;&#23433;&#20840;&#31185;\11.&#32769;&#24180;&#32147;&#28639;&#23433;&#20840;&#23560;&#21002;\110&#24180;&#29256;(&#31532;5&#26399;)-&#35215;&#21123;&#20013;\1.&#23560;&#21002;&#21508;&#31456;&#20839;&#23481;(&#21547;&#21407;&#22987;&#32113;&#35336;&#36039;&#26009;)\1.&#21046;&#24230;&#27010;&#27841;(109&#24180;)\&#32902;%20&#39640;&#40801;&#21270;&#21830;&#26989;&#20445;&#38570;\&#21407;&#22987;&#36039;&#26009;\&#38263;&#26399;&#29031;&#35703;&#20445;&#38570;&#22294;1.5.4(11008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492344706911635E-2"/>
          <c:y val="8.6987012487729137E-2"/>
          <c:w val="0.87037024885778169"/>
          <c:h val="0.85871161562743681"/>
        </c:manualLayout>
      </c:layout>
      <c:barChart>
        <c:barDir val="bar"/>
        <c:grouping val="stacked"/>
        <c:varyColors val="0"/>
        <c:ser>
          <c:idx val="0"/>
          <c:order val="0"/>
          <c:tx>
            <c:strRef>
              <c:f>Sheet1!$A$2</c:f>
              <c:strCache>
                <c:ptCount val="1"/>
                <c:pt idx="0">
                  <c:v>勞工保險</c:v>
                </c:pt>
              </c:strCache>
            </c:strRef>
          </c:tx>
          <c:spPr>
            <a:solidFill>
              <a:schemeClr val="accent6">
                <a:lumMod val="40000"/>
                <a:lumOff val="60000"/>
              </a:schemeClr>
            </a:solidFill>
            <a:ln>
              <a:noFill/>
            </a:ln>
          </c:spPr>
          <c:invertIfNegative val="0"/>
          <c:dLbls>
            <c:txPr>
              <a:bodyPr/>
              <a:lstStyle/>
              <a:p>
                <a:pPr>
                  <a:defRPr sz="900"/>
                </a:pPr>
                <a:endParaRPr lang="zh-TW"/>
              </a:p>
            </c:txPr>
            <c:showLegendKey val="0"/>
            <c:showVal val="1"/>
            <c:showCatName val="0"/>
            <c:showSerName val="0"/>
            <c:showPercent val="0"/>
            <c:showBubbleSize val="0"/>
            <c:showLeaderLines val="0"/>
          </c:dLbls>
          <c:cat>
            <c:strRef>
              <c:f>Sheet1!$B$1:$K$1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Sheet1!$B$2:$K$2</c:f>
              <c:numCache>
                <c:formatCode>_-* #,##0.0_-;\-* #,##0.0_-;_-* "-"??_-;_-@_-</c:formatCode>
                <c:ptCount val="10"/>
                <c:pt idx="0">
                  <c:v>972.6</c:v>
                </c:pt>
                <c:pt idx="1">
                  <c:v>971</c:v>
                </c:pt>
                <c:pt idx="2">
                  <c:v>974.6</c:v>
                </c:pt>
                <c:pt idx="3">
                  <c:v>992</c:v>
                </c:pt>
                <c:pt idx="4">
                  <c:v>1007.3</c:v>
                </c:pt>
                <c:pt idx="5">
                  <c:v>1016.5</c:v>
                </c:pt>
                <c:pt idx="6">
                  <c:v>1027.2</c:v>
                </c:pt>
                <c:pt idx="7">
                  <c:v>1037.2</c:v>
                </c:pt>
                <c:pt idx="8">
                  <c:v>1046.9000000000001</c:v>
                </c:pt>
                <c:pt idx="9">
                  <c:v>1055.5</c:v>
                </c:pt>
              </c:numCache>
            </c:numRef>
          </c:val>
        </c:ser>
        <c:ser>
          <c:idx val="1"/>
          <c:order val="1"/>
          <c:tx>
            <c:strRef>
              <c:f>Sheet1!$A$3</c:f>
              <c:strCache>
                <c:ptCount val="1"/>
                <c:pt idx="0">
                  <c:v>國民年金保險</c:v>
                </c:pt>
              </c:strCache>
            </c:strRef>
          </c:tx>
          <c:spPr>
            <a:solidFill>
              <a:schemeClr val="accent5">
                <a:lumMod val="60000"/>
                <a:lumOff val="40000"/>
              </a:schemeClr>
            </a:solidFill>
            <a:ln>
              <a:noFill/>
            </a:ln>
          </c:spPr>
          <c:invertIfNegative val="0"/>
          <c:dLbls>
            <c:txPr>
              <a:bodyPr/>
              <a:lstStyle/>
              <a:p>
                <a:pPr>
                  <a:defRPr sz="900"/>
                </a:pPr>
                <a:endParaRPr lang="zh-TW"/>
              </a:p>
            </c:txPr>
            <c:showLegendKey val="0"/>
            <c:showVal val="1"/>
            <c:showCatName val="0"/>
            <c:showSerName val="0"/>
            <c:showPercent val="0"/>
            <c:showBubbleSize val="0"/>
            <c:showLeaderLines val="0"/>
          </c:dLbls>
          <c:cat>
            <c:strRef>
              <c:f>Sheet1!$B$1:$K$1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Sheet1!$B$3:$K$3</c:f>
              <c:numCache>
                <c:formatCode>_-* #,##0.0_-;\-* #,##0.0_-;_-* "-"??_-;_-@_-</c:formatCode>
                <c:ptCount val="10"/>
                <c:pt idx="0">
                  <c:v>378.4</c:v>
                </c:pt>
                <c:pt idx="1">
                  <c:v>372.6</c:v>
                </c:pt>
                <c:pt idx="2">
                  <c:v>367.8</c:v>
                </c:pt>
                <c:pt idx="3">
                  <c:v>358.4</c:v>
                </c:pt>
                <c:pt idx="4">
                  <c:v>351</c:v>
                </c:pt>
                <c:pt idx="5">
                  <c:v>342.5</c:v>
                </c:pt>
                <c:pt idx="6">
                  <c:v>334.9</c:v>
                </c:pt>
                <c:pt idx="7">
                  <c:v>328.7</c:v>
                </c:pt>
                <c:pt idx="8">
                  <c:v>323.10000000000002</c:v>
                </c:pt>
                <c:pt idx="9">
                  <c:v>310.60000000000002</c:v>
                </c:pt>
              </c:numCache>
            </c:numRef>
          </c:val>
        </c:ser>
        <c:ser>
          <c:idx val="2"/>
          <c:order val="2"/>
          <c:tx>
            <c:strRef>
              <c:f>Sheet1!$A$4</c:f>
              <c:strCache>
                <c:ptCount val="1"/>
                <c:pt idx="0">
                  <c:v>農民健康保險</c:v>
                </c:pt>
              </c:strCache>
            </c:strRef>
          </c:tx>
          <c:spPr>
            <a:solidFill>
              <a:schemeClr val="accent3">
                <a:lumMod val="60000"/>
                <a:lumOff val="40000"/>
              </a:schemeClr>
            </a:solidFill>
            <a:ln>
              <a:noFill/>
            </a:ln>
          </c:spPr>
          <c:invertIfNegative val="0"/>
          <c:dLbls>
            <c:txPr>
              <a:bodyPr/>
              <a:lstStyle/>
              <a:p>
                <a:pPr>
                  <a:defRPr sz="900"/>
                </a:pPr>
                <a:endParaRPr lang="zh-TW"/>
              </a:p>
            </c:txPr>
            <c:showLegendKey val="0"/>
            <c:showVal val="1"/>
            <c:showCatName val="0"/>
            <c:showSerName val="0"/>
            <c:showPercent val="0"/>
            <c:showBubbleSize val="0"/>
            <c:showLeaderLines val="0"/>
          </c:dLbls>
          <c:cat>
            <c:strRef>
              <c:f>Sheet1!$B$1:$K$1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Sheet1!$B$4:$K$4</c:f>
              <c:numCache>
                <c:formatCode>_-* #,##0.0_-;\-* #,##0.0_-;_-* "-"??_-;_-@_-</c:formatCode>
                <c:ptCount val="10"/>
                <c:pt idx="0">
                  <c:v>147.9</c:v>
                </c:pt>
                <c:pt idx="1">
                  <c:v>145.5</c:v>
                </c:pt>
                <c:pt idx="2">
                  <c:v>141</c:v>
                </c:pt>
                <c:pt idx="3">
                  <c:v>135</c:v>
                </c:pt>
                <c:pt idx="4">
                  <c:v>128.5</c:v>
                </c:pt>
                <c:pt idx="5">
                  <c:v>123.6</c:v>
                </c:pt>
                <c:pt idx="6">
                  <c:v>117.5</c:v>
                </c:pt>
                <c:pt idx="7">
                  <c:v>113</c:v>
                </c:pt>
                <c:pt idx="8">
                  <c:v>108.4</c:v>
                </c:pt>
                <c:pt idx="9">
                  <c:v>104.6</c:v>
                </c:pt>
              </c:numCache>
            </c:numRef>
          </c:val>
        </c:ser>
        <c:ser>
          <c:idx val="3"/>
          <c:order val="3"/>
          <c:tx>
            <c:strRef>
              <c:f>Sheet1!$A$5</c:f>
              <c:strCache>
                <c:ptCount val="1"/>
                <c:pt idx="0">
                  <c:v>公教人員保險</c:v>
                </c:pt>
              </c:strCache>
            </c:strRef>
          </c:tx>
          <c:spPr>
            <a:solidFill>
              <a:schemeClr val="accent2">
                <a:lumMod val="40000"/>
                <a:lumOff val="60000"/>
              </a:schemeClr>
            </a:solidFill>
            <a:ln>
              <a:noFill/>
            </a:ln>
          </c:spPr>
          <c:invertIfNegative val="0"/>
          <c:dLbls>
            <c:txPr>
              <a:bodyPr/>
              <a:lstStyle/>
              <a:p>
                <a:pPr>
                  <a:defRPr sz="900"/>
                </a:pPr>
                <a:endParaRPr lang="zh-TW"/>
              </a:p>
            </c:txPr>
            <c:showLegendKey val="0"/>
            <c:showVal val="1"/>
            <c:showCatName val="0"/>
            <c:showSerName val="0"/>
            <c:showPercent val="0"/>
            <c:showBubbleSize val="0"/>
            <c:showLeaderLines val="0"/>
          </c:dLbls>
          <c:cat>
            <c:strRef>
              <c:f>Sheet1!$B$1:$K$1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Sheet1!$B$5:$K$5</c:f>
              <c:numCache>
                <c:formatCode>_-* #,##0.0_-;\-* #,##0.0_-;_-* "-"??_-;_-@_-</c:formatCode>
                <c:ptCount val="10"/>
                <c:pt idx="0">
                  <c:v>59.4</c:v>
                </c:pt>
                <c:pt idx="1">
                  <c:v>59.4</c:v>
                </c:pt>
                <c:pt idx="2">
                  <c:v>59.4</c:v>
                </c:pt>
                <c:pt idx="3">
                  <c:v>58.7</c:v>
                </c:pt>
                <c:pt idx="4">
                  <c:v>58.3</c:v>
                </c:pt>
                <c:pt idx="5">
                  <c:v>57.9</c:v>
                </c:pt>
                <c:pt idx="6">
                  <c:v>58.4</c:v>
                </c:pt>
                <c:pt idx="7">
                  <c:v>58.9</c:v>
                </c:pt>
                <c:pt idx="8">
                  <c:v>59.2</c:v>
                </c:pt>
                <c:pt idx="9">
                  <c:v>59.4</c:v>
                </c:pt>
              </c:numCache>
            </c:numRef>
          </c:val>
        </c:ser>
        <c:dLbls>
          <c:showLegendKey val="0"/>
          <c:showVal val="0"/>
          <c:showCatName val="0"/>
          <c:showSerName val="0"/>
          <c:showPercent val="0"/>
          <c:showBubbleSize val="0"/>
        </c:dLbls>
        <c:gapWidth val="84"/>
        <c:overlap val="100"/>
        <c:axId val="317003264"/>
        <c:axId val="318441152"/>
      </c:barChart>
      <c:catAx>
        <c:axId val="317003264"/>
        <c:scaling>
          <c:orientation val="minMax"/>
        </c:scaling>
        <c:delete val="0"/>
        <c:axPos val="l"/>
        <c:majorTickMark val="out"/>
        <c:minorTickMark val="none"/>
        <c:tickLblPos val="nextTo"/>
        <c:crossAx val="318441152"/>
        <c:crosses val="autoZero"/>
        <c:auto val="1"/>
        <c:lblAlgn val="ctr"/>
        <c:lblOffset val="100"/>
        <c:noMultiLvlLbl val="0"/>
      </c:catAx>
      <c:valAx>
        <c:axId val="318441152"/>
        <c:scaling>
          <c:orientation val="minMax"/>
          <c:max val="1600"/>
        </c:scaling>
        <c:delete val="1"/>
        <c:axPos val="b"/>
        <c:majorGridlines>
          <c:spPr>
            <a:ln>
              <a:solidFill>
                <a:schemeClr val="bg1">
                  <a:lumMod val="75000"/>
                </a:schemeClr>
              </a:solidFill>
            </a:ln>
          </c:spPr>
        </c:majorGridlines>
        <c:numFmt formatCode="_-* #,##0.0_-;\-* #,##0.0_-;_-* &quot;-&quot;??_-;_-@_-" sourceLinked="1"/>
        <c:majorTickMark val="out"/>
        <c:minorTickMark val="none"/>
        <c:tickLblPos val="none"/>
        <c:crossAx val="317003264"/>
        <c:crosses val="autoZero"/>
        <c:crossBetween val="between"/>
      </c:valAx>
    </c:plotArea>
    <c:legend>
      <c:legendPos val="t"/>
      <c:layout>
        <c:manualLayout>
          <c:xMode val="edge"/>
          <c:yMode val="edge"/>
          <c:x val="8.3962890055409745E-2"/>
          <c:y val="0"/>
          <c:w val="0.74123807457425239"/>
          <c:h val="7.7606226351812344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spPr>
    <a:noFill/>
  </c:spPr>
  <c:txPr>
    <a:bodyPr/>
    <a:lstStyle/>
    <a:p>
      <a:pPr>
        <a:defRPr sz="1000"/>
      </a:pPr>
      <a:endParaRPr lang="zh-TW"/>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487459900845728E-2"/>
          <c:y val="0.13170052454620015"/>
          <c:w val="0.8796624380285798"/>
          <c:h val="0.82186324533223754"/>
        </c:manualLayout>
      </c:layout>
      <c:barChart>
        <c:barDir val="bar"/>
        <c:grouping val="stacked"/>
        <c:varyColors val="0"/>
        <c:ser>
          <c:idx val="0"/>
          <c:order val="0"/>
          <c:tx>
            <c:strRef>
              <c:f>Sheet1!$B$16</c:f>
              <c:strCache>
                <c:ptCount val="1"/>
                <c:pt idx="0">
                  <c:v>勞工退休金新制</c:v>
                </c:pt>
              </c:strCache>
            </c:strRef>
          </c:tx>
          <c:invertIfNegative val="0"/>
          <c:cat>
            <c:strRef>
              <c:f>Sheet1!$A$17:$A$26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Sheet1!$B$17:$B$26</c:f>
              <c:numCache>
                <c:formatCode>#,##0.0_ </c:formatCode>
                <c:ptCount val="10"/>
                <c:pt idx="0">
                  <c:v>548.29999999999995</c:v>
                </c:pt>
                <c:pt idx="1">
                  <c:v>564.20000000000005</c:v>
                </c:pt>
                <c:pt idx="2">
                  <c:v>579.9</c:v>
                </c:pt>
                <c:pt idx="3">
                  <c:v>602.1</c:v>
                </c:pt>
                <c:pt idx="4">
                  <c:v>622.1</c:v>
                </c:pt>
                <c:pt idx="5">
                  <c:v>639.6</c:v>
                </c:pt>
                <c:pt idx="6" formatCode="_-* #,##0.0_-;\-* #,##0.0_-;_-* &quot;-&quot;??_-;_-@_-">
                  <c:v>658.6</c:v>
                </c:pt>
                <c:pt idx="7" formatCode="_-* #,##0.0_-;\-* #,##0.0_-;_-* &quot;-&quot;??_-;_-@_-">
                  <c:v>677.8</c:v>
                </c:pt>
                <c:pt idx="8" formatCode="_-* #,##0.0_-;\-* #,##0.0_-;_-* &quot;-&quot;??_-;_-@_-">
                  <c:v>696.7</c:v>
                </c:pt>
                <c:pt idx="9" formatCode="_-* #,##0.0_-;\-* #,##0.0_-;_-* &quot;-&quot;??_-;_-@_-">
                  <c:v>708.4</c:v>
                </c:pt>
              </c:numCache>
            </c:numRef>
          </c:val>
        </c:ser>
        <c:ser>
          <c:idx val="1"/>
          <c:order val="1"/>
          <c:tx>
            <c:strRef>
              <c:f>Sheet1!$C$16</c:f>
              <c:strCache>
                <c:ptCount val="1"/>
                <c:pt idx="0">
                  <c:v>軍公教退撫制度</c:v>
                </c:pt>
              </c:strCache>
            </c:strRef>
          </c:tx>
          <c:spPr>
            <a:solidFill>
              <a:schemeClr val="accent2">
                <a:lumMod val="40000"/>
                <a:lumOff val="60000"/>
              </a:schemeClr>
            </a:solidFill>
          </c:spPr>
          <c:invertIfNegative val="0"/>
          <c:cat>
            <c:strRef>
              <c:f>Sheet1!$A$17:$A$26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Sheet1!$C$17:$C$26</c:f>
              <c:numCache>
                <c:formatCode>#,##0.0_ </c:formatCode>
                <c:ptCount val="10"/>
                <c:pt idx="0">
                  <c:v>63.2</c:v>
                </c:pt>
                <c:pt idx="1">
                  <c:v>62.7</c:v>
                </c:pt>
                <c:pt idx="2">
                  <c:v>62.2</c:v>
                </c:pt>
                <c:pt idx="3">
                  <c:v>62.5</c:v>
                </c:pt>
                <c:pt idx="4">
                  <c:v>63</c:v>
                </c:pt>
                <c:pt idx="5">
                  <c:v>63.5</c:v>
                </c:pt>
                <c:pt idx="6" formatCode="_-* #,##0.0_-;\-* #,##0.0_-;_-* &quot;-&quot;??_-;_-@_-">
                  <c:v>63.9</c:v>
                </c:pt>
                <c:pt idx="7" formatCode="_-* #,##0.0_-;\-* #,##0.0_-;_-* &quot;-&quot;??_-;_-@_-">
                  <c:v>65.099999999999994</c:v>
                </c:pt>
                <c:pt idx="8" formatCode="_-* #,##0.0_-;\-* #,##0.0_-;_-* &quot;-&quot;??_-;_-@_-">
                  <c:v>66.400000000000006</c:v>
                </c:pt>
                <c:pt idx="9" formatCode="_-* #,##0.0_-;\-* #,##0.0_-;_-* &quot;-&quot;??_-;_-@_-">
                  <c:v>67.2</c:v>
                </c:pt>
              </c:numCache>
            </c:numRef>
          </c:val>
        </c:ser>
        <c:ser>
          <c:idx val="2"/>
          <c:order val="2"/>
          <c:tx>
            <c:strRef>
              <c:f>Sheet1!$D$16</c:f>
              <c:strCache>
                <c:ptCount val="1"/>
                <c:pt idx="0">
                  <c:v>私立學校教職員退撫制度</c:v>
                </c:pt>
              </c:strCache>
            </c:strRef>
          </c:tx>
          <c:spPr>
            <a:solidFill>
              <a:schemeClr val="accent4">
                <a:lumMod val="75000"/>
              </a:schemeClr>
            </a:solidFill>
          </c:spPr>
          <c:invertIfNegative val="0"/>
          <c:dLbls>
            <c:dLbl>
              <c:idx val="0"/>
              <c:layout>
                <c:manualLayout>
                  <c:x val="2.3147965879265178E-2"/>
                  <c:y val="0"/>
                </c:manualLayout>
              </c:layout>
              <c:showLegendKey val="0"/>
              <c:showVal val="1"/>
              <c:showCatName val="0"/>
              <c:showSerName val="0"/>
              <c:showPercent val="0"/>
              <c:showBubbleSize val="0"/>
            </c:dLbl>
            <c:dLbl>
              <c:idx val="1"/>
              <c:layout>
                <c:manualLayout>
                  <c:x val="2.0833151064450276E-2"/>
                  <c:y val="0"/>
                </c:manualLayout>
              </c:layout>
              <c:showLegendKey val="0"/>
              <c:showVal val="1"/>
              <c:showCatName val="0"/>
              <c:showSerName val="0"/>
              <c:showPercent val="0"/>
              <c:showBubbleSize val="0"/>
            </c:dLbl>
            <c:dLbl>
              <c:idx val="2"/>
              <c:layout>
                <c:manualLayout>
                  <c:x val="2.0833333333333332E-2"/>
                  <c:y val="0"/>
                </c:manualLayout>
              </c:layout>
              <c:showLegendKey val="0"/>
              <c:showVal val="1"/>
              <c:showCatName val="0"/>
              <c:showSerName val="0"/>
              <c:showPercent val="0"/>
              <c:showBubbleSize val="0"/>
            </c:dLbl>
            <c:dLbl>
              <c:idx val="3"/>
              <c:layout>
                <c:manualLayout>
                  <c:x val="2.0833333333333332E-2"/>
                  <c:y val="7.7465792492153667E-17"/>
                </c:manualLayout>
              </c:layout>
              <c:showLegendKey val="0"/>
              <c:showVal val="1"/>
              <c:showCatName val="0"/>
              <c:showSerName val="0"/>
              <c:showPercent val="0"/>
              <c:showBubbleSize val="0"/>
            </c:dLbl>
            <c:dLbl>
              <c:idx val="4"/>
              <c:layout>
                <c:manualLayout>
                  <c:x val="2.3148148148147977E-2"/>
                  <c:y val="4.2254556754690335E-3"/>
                </c:manualLayout>
              </c:layout>
              <c:showLegendKey val="0"/>
              <c:showVal val="1"/>
              <c:showCatName val="0"/>
              <c:showSerName val="0"/>
              <c:showPercent val="0"/>
              <c:showBubbleSize val="0"/>
            </c:dLbl>
            <c:dLbl>
              <c:idx val="5"/>
              <c:layout>
                <c:manualLayout>
                  <c:x val="2.3148148148148147E-2"/>
                  <c:y val="0"/>
                </c:manualLayout>
              </c:layout>
              <c:showLegendKey val="0"/>
              <c:showVal val="1"/>
              <c:showCatName val="0"/>
              <c:showSerName val="0"/>
              <c:showPercent val="0"/>
              <c:showBubbleSize val="0"/>
            </c:dLbl>
            <c:dLbl>
              <c:idx val="6"/>
              <c:layout>
                <c:manualLayout>
                  <c:x val="1.8518518518518517E-2"/>
                  <c:y val="7.7465792492153667E-17"/>
                </c:manualLayout>
              </c:layout>
              <c:showLegendKey val="0"/>
              <c:showVal val="1"/>
              <c:showCatName val="0"/>
              <c:showSerName val="0"/>
              <c:showPercent val="0"/>
              <c:showBubbleSize val="0"/>
            </c:dLbl>
            <c:dLbl>
              <c:idx val="7"/>
              <c:layout>
                <c:manualLayout>
                  <c:x val="1.8518518518518517E-2"/>
                  <c:y val="-7.7465792492153667E-17"/>
                </c:manualLayout>
              </c:layout>
              <c:showLegendKey val="0"/>
              <c:showVal val="1"/>
              <c:showCatName val="0"/>
              <c:showSerName val="0"/>
              <c:showPercent val="0"/>
              <c:showBubbleSize val="0"/>
            </c:dLbl>
            <c:dLbl>
              <c:idx val="8"/>
              <c:layout>
                <c:manualLayout>
                  <c:x val="1.8518518518518517E-2"/>
                  <c:y val="-3.8732896246076833E-17"/>
                </c:manualLayout>
              </c:layout>
              <c:showLegendKey val="0"/>
              <c:showVal val="1"/>
              <c:showCatName val="0"/>
              <c:showSerName val="0"/>
              <c:showPercent val="0"/>
              <c:showBubbleSize val="0"/>
            </c:dLbl>
            <c:dLbl>
              <c:idx val="9"/>
              <c:layout>
                <c:manualLayout>
                  <c:x val="2.083333333333333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Sheet1!$A$17:$A$26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Sheet1!$D$17:$D$26</c:f>
              <c:numCache>
                <c:formatCode>#,##0.0_ </c:formatCode>
                <c:ptCount val="10"/>
                <c:pt idx="0">
                  <c:v>6.3</c:v>
                </c:pt>
                <c:pt idx="1">
                  <c:v>6.3</c:v>
                </c:pt>
                <c:pt idx="2">
                  <c:v>6.2</c:v>
                </c:pt>
                <c:pt idx="3">
                  <c:v>6</c:v>
                </c:pt>
                <c:pt idx="4">
                  <c:v>5.8</c:v>
                </c:pt>
                <c:pt idx="5">
                  <c:v>5.7</c:v>
                </c:pt>
                <c:pt idx="6" formatCode="_-* #,##0.0_-;\-* #,##0.0_-;_-* &quot;-&quot;??_-;_-@_-">
                  <c:v>5.6</c:v>
                </c:pt>
                <c:pt idx="7" formatCode="_-* #,##0.0_-;\-* #,##0.0_-;_-* &quot;-&quot;??_-;_-@_-">
                  <c:v>5.4</c:v>
                </c:pt>
                <c:pt idx="8" formatCode="_-* #,##0.0_-;\-* #,##0.0_-;_-* &quot;-&quot;??_-;_-@_-">
                  <c:v>5.2</c:v>
                </c:pt>
                <c:pt idx="9" formatCode="_-* #,##0.0_-;\-* #,##0.0_-;_-* &quot;-&quot;??_-;_-@_-">
                  <c:v>5</c:v>
                </c:pt>
              </c:numCache>
            </c:numRef>
          </c:val>
        </c:ser>
        <c:dLbls>
          <c:showLegendKey val="0"/>
          <c:showVal val="1"/>
          <c:showCatName val="0"/>
          <c:showSerName val="0"/>
          <c:showPercent val="0"/>
          <c:showBubbleSize val="0"/>
        </c:dLbls>
        <c:gapWidth val="137"/>
        <c:overlap val="100"/>
        <c:axId val="257589248"/>
        <c:axId val="318484416"/>
      </c:barChart>
      <c:catAx>
        <c:axId val="257589248"/>
        <c:scaling>
          <c:orientation val="minMax"/>
        </c:scaling>
        <c:delete val="0"/>
        <c:axPos val="l"/>
        <c:majorTickMark val="none"/>
        <c:minorTickMark val="none"/>
        <c:tickLblPos val="nextTo"/>
        <c:crossAx val="318484416"/>
        <c:crosses val="autoZero"/>
        <c:auto val="1"/>
        <c:lblAlgn val="ctr"/>
        <c:lblOffset val="100"/>
        <c:noMultiLvlLbl val="0"/>
      </c:catAx>
      <c:valAx>
        <c:axId val="318484416"/>
        <c:scaling>
          <c:orientation val="minMax"/>
        </c:scaling>
        <c:delete val="1"/>
        <c:axPos val="b"/>
        <c:numFmt formatCode="#,##0.0_ " sourceLinked="1"/>
        <c:majorTickMark val="none"/>
        <c:minorTickMark val="none"/>
        <c:tickLblPos val="nextTo"/>
        <c:crossAx val="257589248"/>
        <c:crosses val="autoZero"/>
        <c:crossBetween val="between"/>
      </c:valAx>
    </c:plotArea>
    <c:legend>
      <c:legendPos val="t"/>
      <c:layout>
        <c:manualLayout>
          <c:xMode val="edge"/>
          <c:yMode val="edge"/>
          <c:x val="8.4384295713035865E-2"/>
          <c:y val="2.5353898161842383E-2"/>
          <c:w val="0.79419437153689121"/>
          <c:h val="8.0989009489974187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userShapes r:id="rId2"/>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290879588719718"/>
          <c:y val="4.4745325596389426E-2"/>
          <c:w val="0.86185135911646593"/>
          <c:h val="0.6545543335791425"/>
        </c:manualLayout>
      </c:layout>
      <c:barChart>
        <c:barDir val="col"/>
        <c:grouping val="clustered"/>
        <c:varyColors val="0"/>
        <c:ser>
          <c:idx val="0"/>
          <c:order val="0"/>
          <c:tx>
            <c:strRef>
              <c:f>'[醫療保險投保率圖1.5.3(1100817).xlsx]107'!$B$1</c:f>
              <c:strCache>
                <c:ptCount val="1"/>
                <c:pt idx="0">
                  <c:v>男</c:v>
                </c:pt>
              </c:strCache>
            </c:strRef>
          </c:tx>
          <c:spPr>
            <a:solidFill>
              <a:schemeClr val="accent5">
                <a:lumMod val="75000"/>
              </a:schemeClr>
            </a:solidFill>
            <a:ln>
              <a:solidFill>
                <a:schemeClr val="accent5">
                  <a:lumMod val="75000"/>
                </a:schemeClr>
              </a:solidFill>
            </a:ln>
          </c:spPr>
          <c:invertIfNegative val="0"/>
          <c:cat>
            <c:strRef>
              <c:f>'[醫療保險投保率圖1.5.3(1100817).xlsx]107'!$A$2:$A$8</c:f>
              <c:strCache>
                <c:ptCount val="7"/>
                <c:pt idx="0">
                  <c:v>0-14歲</c:v>
                </c:pt>
                <c:pt idx="1">
                  <c:v>15-19歲</c:v>
                </c:pt>
                <c:pt idx="2">
                  <c:v>20-39歲</c:v>
                </c:pt>
                <c:pt idx="3">
                  <c:v>40-59歲</c:v>
                </c:pt>
                <c:pt idx="4">
                  <c:v>60-64歲</c:v>
                </c:pt>
                <c:pt idx="5">
                  <c:v>65歲以上</c:v>
                </c:pt>
                <c:pt idx="6">
                  <c:v>全體</c:v>
                </c:pt>
              </c:strCache>
            </c:strRef>
          </c:cat>
          <c:val>
            <c:numRef>
              <c:f>'[醫療保險投保率圖1.5.3(1100817).xlsx]107'!$B$2:$B$8</c:f>
              <c:numCache>
                <c:formatCode>0.0_ </c:formatCode>
                <c:ptCount val="7"/>
                <c:pt idx="0">
                  <c:v>49.03</c:v>
                </c:pt>
                <c:pt idx="1">
                  <c:v>59.44</c:v>
                </c:pt>
                <c:pt idx="2">
                  <c:v>58.5</c:v>
                </c:pt>
                <c:pt idx="3">
                  <c:v>58.46</c:v>
                </c:pt>
                <c:pt idx="4">
                  <c:v>45.87</c:v>
                </c:pt>
                <c:pt idx="5">
                  <c:v>26.62</c:v>
                </c:pt>
                <c:pt idx="6">
                  <c:v>51.72</c:v>
                </c:pt>
              </c:numCache>
            </c:numRef>
          </c:val>
        </c:ser>
        <c:ser>
          <c:idx val="1"/>
          <c:order val="1"/>
          <c:tx>
            <c:strRef>
              <c:f>'[醫療保險投保率圖1.5.3(1100817).xlsx]107'!$C$1</c:f>
              <c:strCache>
                <c:ptCount val="1"/>
                <c:pt idx="0">
                  <c:v>女</c:v>
                </c:pt>
              </c:strCache>
            </c:strRef>
          </c:tx>
          <c:spPr>
            <a:solidFill>
              <a:schemeClr val="accent5">
                <a:lumMod val="40000"/>
                <a:lumOff val="60000"/>
              </a:schemeClr>
            </a:solidFill>
            <a:ln>
              <a:solidFill>
                <a:schemeClr val="accent5">
                  <a:lumMod val="40000"/>
                  <a:lumOff val="60000"/>
                </a:schemeClr>
              </a:solidFill>
            </a:ln>
          </c:spPr>
          <c:invertIfNegative val="0"/>
          <c:cat>
            <c:strRef>
              <c:f>'[醫療保險投保率圖1.5.3(1100817).xlsx]107'!$A$2:$A$8</c:f>
              <c:strCache>
                <c:ptCount val="7"/>
                <c:pt idx="0">
                  <c:v>0-14歲</c:v>
                </c:pt>
                <c:pt idx="1">
                  <c:v>15-19歲</c:v>
                </c:pt>
                <c:pt idx="2">
                  <c:v>20-39歲</c:v>
                </c:pt>
                <c:pt idx="3">
                  <c:v>40-59歲</c:v>
                </c:pt>
                <c:pt idx="4">
                  <c:v>60-64歲</c:v>
                </c:pt>
                <c:pt idx="5">
                  <c:v>65歲以上</c:v>
                </c:pt>
                <c:pt idx="6">
                  <c:v>全體</c:v>
                </c:pt>
              </c:strCache>
            </c:strRef>
          </c:cat>
          <c:val>
            <c:numRef>
              <c:f>'[醫療保險投保率圖1.5.3(1100817).xlsx]107'!$C$2:$C$8</c:f>
              <c:numCache>
                <c:formatCode>0.0_ </c:formatCode>
                <c:ptCount val="7"/>
                <c:pt idx="0">
                  <c:v>48.77</c:v>
                </c:pt>
                <c:pt idx="1">
                  <c:v>57.34</c:v>
                </c:pt>
                <c:pt idx="2">
                  <c:v>60.72</c:v>
                </c:pt>
                <c:pt idx="3">
                  <c:v>64.17</c:v>
                </c:pt>
                <c:pt idx="4">
                  <c:v>51.35</c:v>
                </c:pt>
                <c:pt idx="5">
                  <c:v>29.36</c:v>
                </c:pt>
                <c:pt idx="6">
                  <c:v>54.13</c:v>
                </c:pt>
              </c:numCache>
            </c:numRef>
          </c:val>
        </c:ser>
        <c:ser>
          <c:idx val="2"/>
          <c:order val="2"/>
          <c:tx>
            <c:strRef>
              <c:f>'[醫療保險投保率圖1.5.3(1100817).xlsx]107'!$D$1</c:f>
              <c:strCache>
                <c:ptCount val="1"/>
                <c:pt idx="0">
                  <c:v>平均</c:v>
                </c:pt>
              </c:strCache>
            </c:strRef>
          </c:tx>
          <c:spPr>
            <a:pattFill prst="smCheck">
              <a:fgClr>
                <a:schemeClr val="tx2">
                  <a:lumMod val="60000"/>
                  <a:lumOff val="40000"/>
                </a:schemeClr>
              </a:fgClr>
              <a:bgClr>
                <a:schemeClr val="bg1"/>
              </a:bgClr>
            </a:pattFill>
            <a:ln>
              <a:solidFill>
                <a:schemeClr val="accent1">
                  <a:lumMod val="40000"/>
                  <a:lumOff val="60000"/>
                </a:schemeClr>
              </a:solidFill>
            </a:ln>
          </c:spPr>
          <c:invertIfNegative val="0"/>
          <c:cat>
            <c:strRef>
              <c:f>'[醫療保險投保率圖1.5.3(1100817).xlsx]107'!$A$2:$A$8</c:f>
              <c:strCache>
                <c:ptCount val="7"/>
                <c:pt idx="0">
                  <c:v>0-14歲</c:v>
                </c:pt>
                <c:pt idx="1">
                  <c:v>15-19歲</c:v>
                </c:pt>
                <c:pt idx="2">
                  <c:v>20-39歲</c:v>
                </c:pt>
                <c:pt idx="3">
                  <c:v>40-59歲</c:v>
                </c:pt>
                <c:pt idx="4">
                  <c:v>60-64歲</c:v>
                </c:pt>
                <c:pt idx="5">
                  <c:v>65歲以上</c:v>
                </c:pt>
                <c:pt idx="6">
                  <c:v>全體</c:v>
                </c:pt>
              </c:strCache>
            </c:strRef>
          </c:cat>
          <c:val>
            <c:numRef>
              <c:f>'[醫療保險投保率圖1.5.3(1100817).xlsx]107'!$D$2:$D$8</c:f>
              <c:numCache>
                <c:formatCode>0.0_ </c:formatCode>
                <c:ptCount val="7"/>
                <c:pt idx="0">
                  <c:v>48.91</c:v>
                </c:pt>
                <c:pt idx="1">
                  <c:v>58.44</c:v>
                </c:pt>
                <c:pt idx="2">
                  <c:v>59.59</c:v>
                </c:pt>
                <c:pt idx="3">
                  <c:v>61.37</c:v>
                </c:pt>
                <c:pt idx="4">
                  <c:v>48.71</c:v>
                </c:pt>
                <c:pt idx="5">
                  <c:v>28.11</c:v>
                </c:pt>
                <c:pt idx="6">
                  <c:v>52.93</c:v>
                </c:pt>
              </c:numCache>
            </c:numRef>
          </c:val>
        </c:ser>
        <c:dLbls>
          <c:showLegendKey val="0"/>
          <c:showVal val="0"/>
          <c:showCatName val="0"/>
          <c:showSerName val="0"/>
          <c:showPercent val="0"/>
          <c:showBubbleSize val="0"/>
        </c:dLbls>
        <c:gapWidth val="150"/>
        <c:axId val="323087872"/>
        <c:axId val="322795136"/>
      </c:barChart>
      <c:catAx>
        <c:axId val="323087872"/>
        <c:scaling>
          <c:orientation val="minMax"/>
        </c:scaling>
        <c:delete val="0"/>
        <c:axPos val="b"/>
        <c:majorTickMark val="none"/>
        <c:minorTickMark val="none"/>
        <c:tickLblPos val="nextTo"/>
        <c:crossAx val="322795136"/>
        <c:crosses val="autoZero"/>
        <c:auto val="1"/>
        <c:lblAlgn val="ctr"/>
        <c:lblOffset val="100"/>
        <c:noMultiLvlLbl val="0"/>
      </c:catAx>
      <c:valAx>
        <c:axId val="322795136"/>
        <c:scaling>
          <c:orientation val="minMax"/>
        </c:scaling>
        <c:delete val="0"/>
        <c:axPos val="l"/>
        <c:numFmt formatCode="0.0_ " sourceLinked="1"/>
        <c:majorTickMark val="out"/>
        <c:minorTickMark val="none"/>
        <c:tickLblPos val="nextTo"/>
        <c:txPr>
          <a:bodyPr/>
          <a:lstStyle/>
          <a:p>
            <a:pPr>
              <a:defRPr sz="1050"/>
            </a:pPr>
            <a:endParaRPr lang="zh-TW"/>
          </a:p>
        </c:txPr>
        <c:crossAx val="323087872"/>
        <c:crosses val="autoZero"/>
        <c:crossBetween val="between"/>
      </c:valAx>
      <c:dTable>
        <c:showHorzBorder val="1"/>
        <c:showVertBorder val="1"/>
        <c:showOutline val="1"/>
        <c:showKeys val="1"/>
        <c:txPr>
          <a:bodyPr/>
          <a:lstStyle/>
          <a:p>
            <a:pPr rtl="0">
              <a:defRPr sz="1050"/>
            </a:pPr>
            <a:endParaRPr lang="zh-TW"/>
          </a:p>
        </c:txPr>
      </c:dTable>
      <c:spPr>
        <a:noFill/>
        <a:ln w="25400">
          <a:noFill/>
        </a:ln>
      </c:spPr>
    </c:plotArea>
    <c:plotVisOnly val="1"/>
    <c:dispBlanksAs val="gap"/>
    <c:showDLblsOverMax val="0"/>
  </c:chart>
  <c:externalData r:id="rId1">
    <c:autoUpdate val="0"/>
  </c:externalData>
  <c:userShapes r:id="rId2"/>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5112983856232751"/>
          <c:y val="4.0281588938957447E-2"/>
          <c:w val="0.84124025460552043"/>
          <c:h val="0.62414844894912236"/>
        </c:manualLayout>
      </c:layout>
      <c:barChart>
        <c:barDir val="col"/>
        <c:grouping val="clustered"/>
        <c:varyColors val="0"/>
        <c:ser>
          <c:idx val="0"/>
          <c:order val="0"/>
          <c:tx>
            <c:strRef>
              <c:f>'[傷害保險投保率圖1.5.2(1100817).xlsx]107'!$B$1</c:f>
              <c:strCache>
                <c:ptCount val="1"/>
                <c:pt idx="0">
                  <c:v>男</c:v>
                </c:pt>
              </c:strCache>
            </c:strRef>
          </c:tx>
          <c:spPr>
            <a:solidFill>
              <a:schemeClr val="accent3">
                <a:lumMod val="75000"/>
              </a:schemeClr>
            </a:solidFill>
            <a:ln>
              <a:solidFill>
                <a:schemeClr val="accent3">
                  <a:lumMod val="75000"/>
                </a:schemeClr>
              </a:solidFill>
            </a:ln>
          </c:spPr>
          <c:invertIfNegative val="0"/>
          <c:cat>
            <c:strRef>
              <c:f>'[傷害保險投保率圖1.5.2(1100817).xlsx]107'!$A$2:$A$8</c:f>
              <c:strCache>
                <c:ptCount val="7"/>
                <c:pt idx="0">
                  <c:v>0-14歲</c:v>
                </c:pt>
                <c:pt idx="1">
                  <c:v>5-19歲</c:v>
                </c:pt>
                <c:pt idx="2">
                  <c:v>20-39歲</c:v>
                </c:pt>
                <c:pt idx="3">
                  <c:v>40-59歲</c:v>
                </c:pt>
                <c:pt idx="4">
                  <c:v>60-64歲</c:v>
                </c:pt>
                <c:pt idx="5">
                  <c:v>65歲以上</c:v>
                </c:pt>
                <c:pt idx="6">
                  <c:v>全體</c:v>
                </c:pt>
              </c:strCache>
            </c:strRef>
          </c:cat>
          <c:val>
            <c:numRef>
              <c:f>'[傷害保險投保率圖1.5.2(1100817).xlsx]107'!$B$2:$B$8</c:f>
              <c:numCache>
                <c:formatCode>0.0_ </c:formatCode>
                <c:ptCount val="7"/>
                <c:pt idx="0">
                  <c:v>57.65</c:v>
                </c:pt>
                <c:pt idx="1">
                  <c:v>58.99</c:v>
                </c:pt>
                <c:pt idx="2">
                  <c:v>62.55</c:v>
                </c:pt>
                <c:pt idx="3">
                  <c:v>63.08</c:v>
                </c:pt>
                <c:pt idx="4">
                  <c:v>55.67</c:v>
                </c:pt>
                <c:pt idx="5">
                  <c:v>29.65</c:v>
                </c:pt>
                <c:pt idx="6">
                  <c:v>56.56</c:v>
                </c:pt>
              </c:numCache>
            </c:numRef>
          </c:val>
        </c:ser>
        <c:ser>
          <c:idx val="1"/>
          <c:order val="1"/>
          <c:tx>
            <c:strRef>
              <c:f>'[傷害保險投保率圖1.5.2(1100817).xlsx]107'!$C$1</c:f>
              <c:strCache>
                <c:ptCount val="1"/>
                <c:pt idx="0">
                  <c:v>女</c:v>
                </c:pt>
              </c:strCache>
            </c:strRef>
          </c:tx>
          <c:spPr>
            <a:solidFill>
              <a:schemeClr val="accent3">
                <a:lumMod val="60000"/>
                <a:lumOff val="40000"/>
              </a:schemeClr>
            </a:solidFill>
            <a:ln>
              <a:solidFill>
                <a:schemeClr val="accent3">
                  <a:lumMod val="60000"/>
                  <a:lumOff val="40000"/>
                </a:schemeClr>
              </a:solidFill>
            </a:ln>
          </c:spPr>
          <c:invertIfNegative val="0"/>
          <c:cat>
            <c:strRef>
              <c:f>'[傷害保險投保率圖1.5.2(1100817).xlsx]107'!$A$2:$A$8</c:f>
              <c:strCache>
                <c:ptCount val="7"/>
                <c:pt idx="0">
                  <c:v>0-14歲</c:v>
                </c:pt>
                <c:pt idx="1">
                  <c:v>5-19歲</c:v>
                </c:pt>
                <c:pt idx="2">
                  <c:v>20-39歲</c:v>
                </c:pt>
                <c:pt idx="3">
                  <c:v>40-59歲</c:v>
                </c:pt>
                <c:pt idx="4">
                  <c:v>60-64歲</c:v>
                </c:pt>
                <c:pt idx="5">
                  <c:v>65歲以上</c:v>
                </c:pt>
                <c:pt idx="6">
                  <c:v>全體</c:v>
                </c:pt>
              </c:strCache>
            </c:strRef>
          </c:cat>
          <c:val>
            <c:numRef>
              <c:f>'[傷害保險投保率圖1.5.2(1100817).xlsx]107'!$C$2:$C$8</c:f>
              <c:numCache>
                <c:formatCode>0.0_ </c:formatCode>
                <c:ptCount val="7"/>
                <c:pt idx="0">
                  <c:v>56.8</c:v>
                </c:pt>
                <c:pt idx="1">
                  <c:v>56.35</c:v>
                </c:pt>
                <c:pt idx="2">
                  <c:v>64.260000000000005</c:v>
                </c:pt>
                <c:pt idx="3">
                  <c:v>68.64</c:v>
                </c:pt>
                <c:pt idx="4">
                  <c:v>59.84</c:v>
                </c:pt>
                <c:pt idx="5">
                  <c:v>30.15</c:v>
                </c:pt>
                <c:pt idx="6">
                  <c:v>58.17</c:v>
                </c:pt>
              </c:numCache>
            </c:numRef>
          </c:val>
        </c:ser>
        <c:ser>
          <c:idx val="2"/>
          <c:order val="2"/>
          <c:tx>
            <c:strRef>
              <c:f>'[傷害保險投保率圖1.5.2(1100817).xlsx]107'!$D$1</c:f>
              <c:strCache>
                <c:ptCount val="1"/>
                <c:pt idx="0">
                  <c:v>平均</c:v>
                </c:pt>
              </c:strCache>
            </c:strRef>
          </c:tx>
          <c:spPr>
            <a:pattFill prst="smCheck">
              <a:fgClr>
                <a:schemeClr val="accent3"/>
              </a:fgClr>
              <a:bgClr>
                <a:schemeClr val="bg1"/>
              </a:bgClr>
            </a:pattFill>
            <a:ln>
              <a:solidFill>
                <a:schemeClr val="accent3"/>
              </a:solidFill>
            </a:ln>
          </c:spPr>
          <c:invertIfNegative val="0"/>
          <c:cat>
            <c:strRef>
              <c:f>'[傷害保險投保率圖1.5.2(1100817).xlsx]107'!$A$2:$A$8</c:f>
              <c:strCache>
                <c:ptCount val="7"/>
                <c:pt idx="0">
                  <c:v>0-14歲</c:v>
                </c:pt>
                <c:pt idx="1">
                  <c:v>5-19歲</c:v>
                </c:pt>
                <c:pt idx="2">
                  <c:v>20-39歲</c:v>
                </c:pt>
                <c:pt idx="3">
                  <c:v>40-59歲</c:v>
                </c:pt>
                <c:pt idx="4">
                  <c:v>60-64歲</c:v>
                </c:pt>
                <c:pt idx="5">
                  <c:v>65歲以上</c:v>
                </c:pt>
                <c:pt idx="6">
                  <c:v>全體</c:v>
                </c:pt>
              </c:strCache>
            </c:strRef>
          </c:cat>
          <c:val>
            <c:numRef>
              <c:f>'[傷害保險投保率圖1.5.2(1100817).xlsx]107'!$D$2:$D$8</c:f>
              <c:numCache>
                <c:formatCode>0.0_ </c:formatCode>
                <c:ptCount val="7"/>
                <c:pt idx="0">
                  <c:v>57.24</c:v>
                </c:pt>
                <c:pt idx="1">
                  <c:v>57.73</c:v>
                </c:pt>
                <c:pt idx="2">
                  <c:v>63.39</c:v>
                </c:pt>
                <c:pt idx="3">
                  <c:v>65.91</c:v>
                </c:pt>
                <c:pt idx="4">
                  <c:v>57.83</c:v>
                </c:pt>
                <c:pt idx="5">
                  <c:v>29.92</c:v>
                </c:pt>
                <c:pt idx="6">
                  <c:v>57.37</c:v>
                </c:pt>
              </c:numCache>
            </c:numRef>
          </c:val>
        </c:ser>
        <c:dLbls>
          <c:showLegendKey val="0"/>
          <c:showVal val="0"/>
          <c:showCatName val="0"/>
          <c:showSerName val="0"/>
          <c:showPercent val="0"/>
          <c:showBubbleSize val="0"/>
        </c:dLbls>
        <c:gapWidth val="150"/>
        <c:axId val="337270272"/>
        <c:axId val="322796864"/>
      </c:barChart>
      <c:catAx>
        <c:axId val="337270272"/>
        <c:scaling>
          <c:orientation val="minMax"/>
        </c:scaling>
        <c:delete val="0"/>
        <c:axPos val="b"/>
        <c:majorTickMark val="none"/>
        <c:minorTickMark val="none"/>
        <c:tickLblPos val="nextTo"/>
        <c:crossAx val="322796864"/>
        <c:crosses val="autoZero"/>
        <c:auto val="1"/>
        <c:lblAlgn val="ctr"/>
        <c:lblOffset val="100"/>
        <c:noMultiLvlLbl val="0"/>
      </c:catAx>
      <c:valAx>
        <c:axId val="322796864"/>
        <c:scaling>
          <c:orientation val="minMax"/>
        </c:scaling>
        <c:delete val="0"/>
        <c:axPos val="l"/>
        <c:numFmt formatCode="0.0_ " sourceLinked="1"/>
        <c:majorTickMark val="out"/>
        <c:minorTickMark val="none"/>
        <c:tickLblPos val="nextTo"/>
        <c:txPr>
          <a:bodyPr/>
          <a:lstStyle/>
          <a:p>
            <a:pPr>
              <a:defRPr sz="1050"/>
            </a:pPr>
            <a:endParaRPr lang="zh-TW"/>
          </a:p>
        </c:txPr>
        <c:crossAx val="337270272"/>
        <c:crosses val="autoZero"/>
        <c:crossBetween val="between"/>
      </c:valAx>
      <c:dTable>
        <c:showHorzBorder val="1"/>
        <c:showVertBorder val="1"/>
        <c:showOutline val="1"/>
        <c:showKeys val="1"/>
        <c:txPr>
          <a:bodyPr/>
          <a:lstStyle/>
          <a:p>
            <a:pPr rtl="0">
              <a:defRPr sz="1050"/>
            </a:pPr>
            <a:endParaRPr lang="zh-TW"/>
          </a:p>
        </c:txPr>
      </c:dTable>
      <c:spPr>
        <a:noFill/>
        <a:ln w="25400">
          <a:noFill/>
        </a:ln>
      </c:spPr>
    </c:plotArea>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3956568079329029"/>
          <c:y val="3.9543648992536443E-2"/>
          <c:w val="0.85119266330291032"/>
          <c:h val="0.65864302324404045"/>
        </c:manualLayout>
      </c:layout>
      <c:barChart>
        <c:barDir val="col"/>
        <c:grouping val="clustered"/>
        <c:varyColors val="0"/>
        <c:ser>
          <c:idx val="0"/>
          <c:order val="0"/>
          <c:tx>
            <c:strRef>
              <c:f>'[人壽保險投保率圖1.5.1(110817).xlsx]109'!$B$1</c:f>
              <c:strCache>
                <c:ptCount val="1"/>
                <c:pt idx="0">
                  <c:v>男</c:v>
                </c:pt>
              </c:strCache>
            </c:strRef>
          </c:tx>
          <c:spPr>
            <a:solidFill>
              <a:srgbClr val="FF9900"/>
            </a:solidFill>
            <a:ln>
              <a:solidFill>
                <a:srgbClr val="FF9900"/>
              </a:solidFill>
            </a:ln>
          </c:spPr>
          <c:invertIfNegative val="0"/>
          <c:dPt>
            <c:idx val="0"/>
            <c:invertIfNegative val="0"/>
            <c:bubble3D val="0"/>
            <c:spPr>
              <a:solidFill>
                <a:schemeClr val="accent6"/>
              </a:solidFill>
              <a:ln>
                <a:solidFill>
                  <a:srgbClr val="FF9900"/>
                </a:solidFill>
              </a:ln>
            </c:spPr>
          </c:dPt>
          <c:dPt>
            <c:idx val="1"/>
            <c:invertIfNegative val="0"/>
            <c:bubble3D val="0"/>
            <c:spPr>
              <a:solidFill>
                <a:schemeClr val="accent6"/>
              </a:solidFill>
              <a:ln>
                <a:solidFill>
                  <a:srgbClr val="FF9900"/>
                </a:solidFill>
              </a:ln>
            </c:spPr>
          </c:dPt>
          <c:dPt>
            <c:idx val="2"/>
            <c:invertIfNegative val="0"/>
            <c:bubble3D val="0"/>
            <c:spPr>
              <a:solidFill>
                <a:schemeClr val="accent6"/>
              </a:solidFill>
              <a:ln>
                <a:solidFill>
                  <a:srgbClr val="FF9900"/>
                </a:solidFill>
              </a:ln>
            </c:spPr>
          </c:dPt>
          <c:dPt>
            <c:idx val="3"/>
            <c:invertIfNegative val="0"/>
            <c:bubble3D val="0"/>
            <c:spPr>
              <a:solidFill>
                <a:schemeClr val="accent6"/>
              </a:solidFill>
              <a:ln>
                <a:solidFill>
                  <a:srgbClr val="FF9900"/>
                </a:solidFill>
              </a:ln>
            </c:spPr>
          </c:dPt>
          <c:dPt>
            <c:idx val="4"/>
            <c:invertIfNegative val="0"/>
            <c:bubble3D val="0"/>
            <c:spPr>
              <a:solidFill>
                <a:schemeClr val="accent6"/>
              </a:solidFill>
              <a:ln>
                <a:solidFill>
                  <a:srgbClr val="FF9900"/>
                </a:solidFill>
              </a:ln>
            </c:spPr>
          </c:dPt>
          <c:dPt>
            <c:idx val="5"/>
            <c:invertIfNegative val="0"/>
            <c:bubble3D val="0"/>
            <c:spPr>
              <a:solidFill>
                <a:schemeClr val="accent6"/>
              </a:solidFill>
              <a:ln>
                <a:solidFill>
                  <a:srgbClr val="FF9900"/>
                </a:solidFill>
              </a:ln>
            </c:spPr>
          </c:dPt>
          <c:dPt>
            <c:idx val="6"/>
            <c:invertIfNegative val="0"/>
            <c:bubble3D val="0"/>
            <c:spPr>
              <a:solidFill>
                <a:schemeClr val="accent6"/>
              </a:solidFill>
              <a:ln>
                <a:solidFill>
                  <a:srgbClr val="FF9900"/>
                </a:solidFill>
              </a:ln>
            </c:spPr>
          </c:dPt>
          <c:cat>
            <c:strRef>
              <c:f>'[人壽保險投保率圖1.5.1(110817).xlsx]109'!$A$2:$A$8</c:f>
              <c:strCache>
                <c:ptCount val="7"/>
                <c:pt idx="0">
                  <c:v>0-14歲</c:v>
                </c:pt>
                <c:pt idx="1">
                  <c:v>15-19歲</c:v>
                </c:pt>
                <c:pt idx="2">
                  <c:v>20-39歲</c:v>
                </c:pt>
                <c:pt idx="3">
                  <c:v>40-59歲</c:v>
                </c:pt>
                <c:pt idx="4">
                  <c:v>60-64歲</c:v>
                </c:pt>
                <c:pt idx="5">
                  <c:v>65歲以上</c:v>
                </c:pt>
                <c:pt idx="6">
                  <c:v>全體</c:v>
                </c:pt>
              </c:strCache>
            </c:strRef>
          </c:cat>
          <c:val>
            <c:numRef>
              <c:f>'[人壽保險投保率圖1.5.1(110817).xlsx]109'!$B$2:$B$8</c:f>
              <c:numCache>
                <c:formatCode>0.0_ </c:formatCode>
                <c:ptCount val="7"/>
                <c:pt idx="0">
                  <c:v>47.71</c:v>
                </c:pt>
                <c:pt idx="1">
                  <c:v>62.81</c:v>
                </c:pt>
                <c:pt idx="2">
                  <c:v>74.03</c:v>
                </c:pt>
                <c:pt idx="3">
                  <c:v>73.930000000000007</c:v>
                </c:pt>
                <c:pt idx="4">
                  <c:v>67.94</c:v>
                </c:pt>
                <c:pt idx="5">
                  <c:v>57.32</c:v>
                </c:pt>
                <c:pt idx="6">
                  <c:v>67.06</c:v>
                </c:pt>
              </c:numCache>
            </c:numRef>
          </c:val>
        </c:ser>
        <c:ser>
          <c:idx val="1"/>
          <c:order val="1"/>
          <c:tx>
            <c:strRef>
              <c:f>'[人壽保險投保率圖1.5.1(110817).xlsx]109'!$C$1</c:f>
              <c:strCache>
                <c:ptCount val="1"/>
                <c:pt idx="0">
                  <c:v>女</c:v>
                </c:pt>
              </c:strCache>
            </c:strRef>
          </c:tx>
          <c:spPr>
            <a:solidFill>
              <a:srgbClr val="FFCC00"/>
            </a:solidFill>
            <a:ln>
              <a:solidFill>
                <a:srgbClr val="FFCC00"/>
              </a:solidFill>
            </a:ln>
          </c:spPr>
          <c:invertIfNegative val="0"/>
          <c:cat>
            <c:strRef>
              <c:f>'[人壽保險投保率圖1.5.1(110817).xlsx]109'!$A$2:$A$8</c:f>
              <c:strCache>
                <c:ptCount val="7"/>
                <c:pt idx="0">
                  <c:v>0-14歲</c:v>
                </c:pt>
                <c:pt idx="1">
                  <c:v>15-19歲</c:v>
                </c:pt>
                <c:pt idx="2">
                  <c:v>20-39歲</c:v>
                </c:pt>
                <c:pt idx="3">
                  <c:v>40-59歲</c:v>
                </c:pt>
                <c:pt idx="4">
                  <c:v>60-64歲</c:v>
                </c:pt>
                <c:pt idx="5">
                  <c:v>65歲以上</c:v>
                </c:pt>
                <c:pt idx="6">
                  <c:v>全體</c:v>
                </c:pt>
              </c:strCache>
            </c:strRef>
          </c:cat>
          <c:val>
            <c:numRef>
              <c:f>'[人壽保險投保率圖1.5.1(110817).xlsx]109'!$C$2:$C$8</c:f>
              <c:numCache>
                <c:formatCode>0.0_ </c:formatCode>
                <c:ptCount val="7"/>
                <c:pt idx="0">
                  <c:v>47.59</c:v>
                </c:pt>
                <c:pt idx="1">
                  <c:v>61.38</c:v>
                </c:pt>
                <c:pt idx="2">
                  <c:v>77.239999999999995</c:v>
                </c:pt>
                <c:pt idx="3">
                  <c:v>81.62</c:v>
                </c:pt>
                <c:pt idx="4">
                  <c:v>75.36</c:v>
                </c:pt>
                <c:pt idx="5">
                  <c:v>63.17</c:v>
                </c:pt>
                <c:pt idx="6">
                  <c:v>71.77</c:v>
                </c:pt>
              </c:numCache>
            </c:numRef>
          </c:val>
        </c:ser>
        <c:ser>
          <c:idx val="2"/>
          <c:order val="2"/>
          <c:tx>
            <c:strRef>
              <c:f>'[人壽保險投保率圖1.5.1(110817).xlsx]109'!$D$1</c:f>
              <c:strCache>
                <c:ptCount val="1"/>
                <c:pt idx="0">
                  <c:v>平均</c:v>
                </c:pt>
              </c:strCache>
            </c:strRef>
          </c:tx>
          <c:spPr>
            <a:pattFill prst="smCheck">
              <a:fgClr>
                <a:schemeClr val="accent6">
                  <a:lumMod val="60000"/>
                  <a:lumOff val="40000"/>
                </a:schemeClr>
              </a:fgClr>
              <a:bgClr>
                <a:schemeClr val="bg1"/>
              </a:bgClr>
            </a:pattFill>
            <a:ln>
              <a:solidFill>
                <a:schemeClr val="accent6">
                  <a:lumMod val="40000"/>
                  <a:lumOff val="60000"/>
                </a:schemeClr>
              </a:solidFill>
            </a:ln>
          </c:spPr>
          <c:invertIfNegative val="0"/>
          <c:cat>
            <c:strRef>
              <c:f>'[人壽保險投保率圖1.5.1(110817).xlsx]109'!$A$2:$A$8</c:f>
              <c:strCache>
                <c:ptCount val="7"/>
                <c:pt idx="0">
                  <c:v>0-14歲</c:v>
                </c:pt>
                <c:pt idx="1">
                  <c:v>15-19歲</c:v>
                </c:pt>
                <c:pt idx="2">
                  <c:v>20-39歲</c:v>
                </c:pt>
                <c:pt idx="3">
                  <c:v>40-59歲</c:v>
                </c:pt>
                <c:pt idx="4">
                  <c:v>60-64歲</c:v>
                </c:pt>
                <c:pt idx="5">
                  <c:v>65歲以上</c:v>
                </c:pt>
                <c:pt idx="6">
                  <c:v>全體</c:v>
                </c:pt>
              </c:strCache>
            </c:strRef>
          </c:cat>
          <c:val>
            <c:numRef>
              <c:f>'[人壽保險投保率圖1.5.1(110817).xlsx]109'!$D$2:$D$8</c:f>
              <c:numCache>
                <c:formatCode>0.0_ </c:formatCode>
                <c:ptCount val="7"/>
                <c:pt idx="0">
                  <c:v>47.65</c:v>
                </c:pt>
                <c:pt idx="1">
                  <c:v>62.12</c:v>
                </c:pt>
                <c:pt idx="2">
                  <c:v>75.599999999999994</c:v>
                </c:pt>
                <c:pt idx="3">
                  <c:v>77.84</c:v>
                </c:pt>
                <c:pt idx="4">
                  <c:v>71.78</c:v>
                </c:pt>
                <c:pt idx="5">
                  <c:v>60.5</c:v>
                </c:pt>
                <c:pt idx="6">
                  <c:v>69.430000000000007</c:v>
                </c:pt>
              </c:numCache>
            </c:numRef>
          </c:val>
        </c:ser>
        <c:dLbls>
          <c:showLegendKey val="0"/>
          <c:showVal val="0"/>
          <c:showCatName val="0"/>
          <c:showSerName val="0"/>
          <c:showPercent val="0"/>
          <c:showBubbleSize val="0"/>
        </c:dLbls>
        <c:gapWidth val="150"/>
        <c:axId val="337039360"/>
        <c:axId val="280659072"/>
      </c:barChart>
      <c:catAx>
        <c:axId val="337039360"/>
        <c:scaling>
          <c:orientation val="minMax"/>
        </c:scaling>
        <c:delete val="0"/>
        <c:axPos val="b"/>
        <c:majorTickMark val="none"/>
        <c:minorTickMark val="none"/>
        <c:tickLblPos val="nextTo"/>
        <c:crossAx val="280659072"/>
        <c:crosses val="autoZero"/>
        <c:auto val="1"/>
        <c:lblAlgn val="ctr"/>
        <c:lblOffset val="100"/>
        <c:noMultiLvlLbl val="0"/>
      </c:catAx>
      <c:valAx>
        <c:axId val="280659072"/>
        <c:scaling>
          <c:orientation val="minMax"/>
          <c:max val="90"/>
        </c:scaling>
        <c:delete val="0"/>
        <c:axPos val="l"/>
        <c:numFmt formatCode="0.0_ " sourceLinked="1"/>
        <c:majorTickMark val="out"/>
        <c:minorTickMark val="none"/>
        <c:tickLblPos val="nextTo"/>
        <c:txPr>
          <a:bodyPr/>
          <a:lstStyle/>
          <a:p>
            <a:pPr>
              <a:defRPr sz="1050"/>
            </a:pPr>
            <a:endParaRPr lang="zh-TW"/>
          </a:p>
        </c:txPr>
        <c:crossAx val="337039360"/>
        <c:crosses val="autoZero"/>
        <c:crossBetween val="between"/>
      </c:valAx>
      <c:dTable>
        <c:showHorzBorder val="1"/>
        <c:showVertBorder val="1"/>
        <c:showOutline val="1"/>
        <c:showKeys val="1"/>
        <c:txPr>
          <a:bodyPr/>
          <a:lstStyle/>
          <a:p>
            <a:pPr rtl="0">
              <a:defRPr sz="1050"/>
            </a:pPr>
            <a:endParaRPr lang="zh-TW"/>
          </a:p>
        </c:txPr>
      </c:dTable>
      <c:spPr>
        <a:noFill/>
        <a:ln w="25400">
          <a:noFill/>
        </a:ln>
      </c:spPr>
    </c:plotArea>
    <c:plotVisOnly val="1"/>
    <c:dispBlanksAs val="gap"/>
    <c:showDLblsOverMax val="0"/>
  </c:chart>
  <c:externalData r:id="rId1">
    <c:autoUpdate val="0"/>
  </c:externalData>
  <c:userShapes r:id="rId2"/>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總收入及支出!$D$3</c:f>
              <c:strCache>
                <c:ptCount val="1"/>
                <c:pt idx="0">
                  <c:v>保費收入</c:v>
                </c:pt>
              </c:strCache>
            </c:strRef>
          </c:tx>
          <c:spPr>
            <a:solidFill>
              <a:schemeClr val="dk1">
                <a:tint val="88500"/>
              </a:schemeClr>
            </a:solidFill>
            <a:ln>
              <a:noFill/>
            </a:ln>
            <a:effectLst/>
          </c:spPr>
          <c:invertIfNegative val="0"/>
          <c:cat>
            <c:numRef>
              <c:f>總收入及支出!$B$4:$B$13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總收入及支出!$D$4:$D$13</c:f>
              <c:numCache>
                <c:formatCode>General</c:formatCode>
                <c:ptCount val="10"/>
                <c:pt idx="0">
                  <c:v>185288</c:v>
                </c:pt>
                <c:pt idx="1">
                  <c:v>189850</c:v>
                </c:pt>
                <c:pt idx="2">
                  <c:v>193687</c:v>
                </c:pt>
                <c:pt idx="3">
                  <c:v>194334</c:v>
                </c:pt>
                <c:pt idx="4">
                  <c:v>201647</c:v>
                </c:pt>
                <c:pt idx="5">
                  <c:v>207317</c:v>
                </c:pt>
                <c:pt idx="6">
                  <c:v>215422</c:v>
                </c:pt>
                <c:pt idx="7">
                  <c:v>225244</c:v>
                </c:pt>
                <c:pt idx="8">
                  <c:v>236404</c:v>
                </c:pt>
                <c:pt idx="9">
                  <c:v>247797</c:v>
                </c:pt>
              </c:numCache>
            </c:numRef>
          </c:val>
        </c:ser>
        <c:ser>
          <c:idx val="1"/>
          <c:order val="1"/>
          <c:tx>
            <c:strRef>
              <c:f>總收入及支出!$E$3</c:f>
              <c:strCache>
                <c:ptCount val="1"/>
                <c:pt idx="0">
                  <c:v>政府補助</c:v>
                </c:pt>
              </c:strCache>
            </c:strRef>
          </c:tx>
          <c:spPr>
            <a:solidFill>
              <a:schemeClr val="dk1">
                <a:tint val="55000"/>
              </a:schemeClr>
            </a:solidFill>
            <a:ln>
              <a:noFill/>
            </a:ln>
            <a:effectLst/>
          </c:spPr>
          <c:invertIfNegative val="0"/>
          <c:cat>
            <c:numRef>
              <c:f>總收入及支出!$B$4:$B$13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總收入及支出!$E$4:$E$13</c:f>
              <c:numCache>
                <c:formatCode>General</c:formatCode>
                <c:ptCount val="10"/>
                <c:pt idx="0">
                  <c:v>64886</c:v>
                </c:pt>
                <c:pt idx="1">
                  <c:v>64575</c:v>
                </c:pt>
                <c:pt idx="2">
                  <c:v>65569</c:v>
                </c:pt>
                <c:pt idx="3">
                  <c:v>65276</c:v>
                </c:pt>
                <c:pt idx="4">
                  <c:v>66639</c:v>
                </c:pt>
                <c:pt idx="5">
                  <c:v>67701</c:v>
                </c:pt>
                <c:pt idx="6">
                  <c:v>69709</c:v>
                </c:pt>
                <c:pt idx="7">
                  <c:v>73047</c:v>
                </c:pt>
                <c:pt idx="8">
                  <c:v>74764</c:v>
                </c:pt>
                <c:pt idx="9">
                  <c:v>77561</c:v>
                </c:pt>
              </c:numCache>
            </c:numRef>
          </c:val>
        </c:ser>
        <c:ser>
          <c:idx val="2"/>
          <c:order val="2"/>
          <c:tx>
            <c:strRef>
              <c:f>總收入及支出!$F$3</c:f>
              <c:strCache>
                <c:ptCount val="1"/>
                <c:pt idx="0">
                  <c:v>其他</c:v>
                </c:pt>
              </c:strCache>
            </c:strRef>
          </c:tx>
          <c:spPr>
            <a:solidFill>
              <a:schemeClr val="dk1">
                <a:tint val="75000"/>
              </a:schemeClr>
            </a:solidFill>
            <a:ln>
              <a:noFill/>
            </a:ln>
            <a:effectLst/>
          </c:spPr>
          <c:invertIfNegative val="0"/>
          <c:cat>
            <c:numRef>
              <c:f>總收入及支出!$B$4:$B$13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總收入及支出!$F$4:$F$13</c:f>
              <c:numCache>
                <c:formatCode>General</c:formatCode>
                <c:ptCount val="10"/>
                <c:pt idx="0">
                  <c:v>1080</c:v>
                </c:pt>
                <c:pt idx="1">
                  <c:v>1346</c:v>
                </c:pt>
                <c:pt idx="2">
                  <c:v>1211</c:v>
                </c:pt>
                <c:pt idx="3">
                  <c:v>1059</c:v>
                </c:pt>
                <c:pt idx="4">
                  <c:v>1073</c:v>
                </c:pt>
                <c:pt idx="5">
                  <c:v>1143</c:v>
                </c:pt>
                <c:pt idx="6">
                  <c:v>1057</c:v>
                </c:pt>
                <c:pt idx="7">
                  <c:v>1170</c:v>
                </c:pt>
                <c:pt idx="8">
                  <c:v>1114</c:v>
                </c:pt>
                <c:pt idx="9">
                  <c:v>1319</c:v>
                </c:pt>
              </c:numCache>
            </c:numRef>
          </c:val>
        </c:ser>
        <c:dLbls>
          <c:showLegendKey val="0"/>
          <c:showVal val="0"/>
          <c:showCatName val="0"/>
          <c:showSerName val="0"/>
          <c:showPercent val="0"/>
          <c:showBubbleSize val="0"/>
        </c:dLbls>
        <c:gapWidth val="150"/>
        <c:overlap val="100"/>
        <c:axId val="319184384"/>
        <c:axId val="280663104"/>
      </c:barChart>
      <c:lineChart>
        <c:grouping val="standard"/>
        <c:varyColors val="0"/>
        <c:ser>
          <c:idx val="3"/>
          <c:order val="3"/>
          <c:tx>
            <c:strRef>
              <c:f>總收入及支出!$G$3</c:f>
              <c:strCache>
                <c:ptCount val="1"/>
                <c:pt idx="0">
                  <c:v>總支出</c:v>
                </c:pt>
              </c:strCache>
            </c:strRef>
          </c:tx>
          <c:spPr>
            <a:ln w="30152" cap="rnd">
              <a:solidFill>
                <a:schemeClr val="dk1">
                  <a:tint val="98500"/>
                </a:schemeClr>
              </a:solidFill>
              <a:round/>
            </a:ln>
            <a:effectLst/>
          </c:spPr>
          <c:marker>
            <c:symbol val="none"/>
          </c:marker>
          <c:val>
            <c:numRef>
              <c:f>總收入及支出!$G$4:$G$13</c:f>
              <c:numCache>
                <c:formatCode>General</c:formatCode>
                <c:ptCount val="10"/>
                <c:pt idx="0">
                  <c:v>249197</c:v>
                </c:pt>
                <c:pt idx="1">
                  <c:v>251045</c:v>
                </c:pt>
                <c:pt idx="2">
                  <c:v>255370</c:v>
                </c:pt>
                <c:pt idx="3">
                  <c:v>258770</c:v>
                </c:pt>
                <c:pt idx="4">
                  <c:v>266193</c:v>
                </c:pt>
                <c:pt idx="5">
                  <c:v>277749</c:v>
                </c:pt>
                <c:pt idx="6">
                  <c:v>288430</c:v>
                </c:pt>
                <c:pt idx="7">
                  <c:v>298932</c:v>
                </c:pt>
                <c:pt idx="8">
                  <c:v>307851</c:v>
                </c:pt>
                <c:pt idx="9">
                  <c:v>324816</c:v>
                </c:pt>
              </c:numCache>
            </c:numRef>
          </c:val>
          <c:smooth val="0"/>
        </c:ser>
        <c:ser>
          <c:idx val="4"/>
          <c:order val="4"/>
          <c:tx>
            <c:strRef>
              <c:f>總收入及支出!$H$3</c:f>
              <c:strCache>
                <c:ptCount val="1"/>
                <c:pt idx="0">
                  <c:v>年金給付</c:v>
                </c:pt>
              </c:strCache>
            </c:strRef>
          </c:tx>
          <c:spPr>
            <a:ln w="30152" cap="rnd">
              <a:solidFill>
                <a:schemeClr val="tx1">
                  <a:lumMod val="50000"/>
                  <a:lumOff val="50000"/>
                </a:schemeClr>
              </a:solidFill>
              <a:prstDash val="sysDash"/>
              <a:round/>
            </a:ln>
            <a:effectLst/>
          </c:spPr>
          <c:marker>
            <c:symbol val="none"/>
          </c:marker>
          <c:val>
            <c:numRef>
              <c:f>總收入及支出!$H$4:$H$13</c:f>
              <c:numCache>
                <c:formatCode>General</c:formatCode>
                <c:ptCount val="10"/>
                <c:pt idx="0">
                  <c:v>224352</c:v>
                </c:pt>
                <c:pt idx="1">
                  <c:v>225411</c:v>
                </c:pt>
                <c:pt idx="2">
                  <c:v>229231</c:v>
                </c:pt>
                <c:pt idx="3">
                  <c:v>232297</c:v>
                </c:pt>
                <c:pt idx="4">
                  <c:v>238991</c:v>
                </c:pt>
                <c:pt idx="5">
                  <c:v>249568</c:v>
                </c:pt>
                <c:pt idx="6">
                  <c:v>259345</c:v>
                </c:pt>
                <c:pt idx="7">
                  <c:v>268860</c:v>
                </c:pt>
                <c:pt idx="8">
                  <c:v>277102</c:v>
                </c:pt>
                <c:pt idx="9">
                  <c:v>291359</c:v>
                </c:pt>
              </c:numCache>
            </c:numRef>
          </c:val>
          <c:smooth val="0"/>
        </c:ser>
        <c:dLbls>
          <c:showLegendKey val="0"/>
          <c:showVal val="0"/>
          <c:showCatName val="0"/>
          <c:showSerName val="0"/>
          <c:showPercent val="0"/>
          <c:showBubbleSize val="0"/>
        </c:dLbls>
        <c:marker val="1"/>
        <c:smooth val="0"/>
        <c:axId val="319184384"/>
        <c:axId val="280663104"/>
      </c:lineChart>
      <c:catAx>
        <c:axId val="319184384"/>
        <c:scaling>
          <c:orientation val="minMax"/>
        </c:scaling>
        <c:delete val="0"/>
        <c:axPos val="b"/>
        <c:title>
          <c:tx>
            <c:rich>
              <a:bodyPr/>
              <a:lstStyle/>
              <a:p>
                <a:pPr>
                  <a:defRPr sz="739" b="1" i="0" u="none" strike="noStrike" baseline="0">
                    <a:solidFill>
                      <a:srgbClr val="333333"/>
                    </a:solidFill>
                    <a:latin typeface="標楷體"/>
                    <a:ea typeface="標楷體"/>
                    <a:cs typeface="標楷體"/>
                  </a:defRPr>
                </a:pPr>
                <a:r>
                  <a:rPr lang="zh-TW" altLang="en-US"/>
                  <a:t>年度</a:t>
                </a:r>
              </a:p>
            </c:rich>
          </c:tx>
          <c:overlay val="0"/>
          <c:spPr>
            <a:noFill/>
            <a:ln w="26802">
              <a:noFill/>
            </a:ln>
          </c:spPr>
        </c:title>
        <c:numFmt formatCode="General" sourceLinked="1"/>
        <c:majorTickMark val="none"/>
        <c:minorTickMark val="none"/>
        <c:tickLblPos val="nextTo"/>
        <c:spPr>
          <a:noFill/>
          <a:ln w="10051" cap="flat" cmpd="sng" algn="ctr">
            <a:solidFill>
              <a:schemeClr val="tx1">
                <a:lumMod val="15000"/>
                <a:lumOff val="85000"/>
              </a:schemeClr>
            </a:solidFill>
            <a:round/>
          </a:ln>
          <a:effectLst/>
        </c:spPr>
        <c:txPr>
          <a:bodyPr rot="-60000000" spcFirstLastPara="1" vertOverflow="ellipsis" vert="horz" wrap="square" anchor="ctr" anchorCtr="1"/>
          <a:lstStyle/>
          <a:p>
            <a:pPr>
              <a:defRPr sz="739" b="1"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0663104"/>
        <c:crosses val="autoZero"/>
        <c:auto val="1"/>
        <c:lblAlgn val="ctr"/>
        <c:lblOffset val="100"/>
        <c:noMultiLvlLbl val="0"/>
      </c:catAx>
      <c:valAx>
        <c:axId val="280663104"/>
        <c:scaling>
          <c:orientation val="minMax"/>
        </c:scaling>
        <c:delete val="0"/>
        <c:axPos val="l"/>
        <c:majorGridlines>
          <c:spPr>
            <a:ln w="10051" cap="flat" cmpd="sng" algn="ctr">
              <a:solidFill>
                <a:schemeClr val="tx1">
                  <a:lumMod val="15000"/>
                  <a:lumOff val="85000"/>
                </a:schemeClr>
              </a:solidFill>
              <a:round/>
            </a:ln>
            <a:effectLst/>
          </c:spPr>
        </c:majorGridlines>
        <c:title>
          <c:tx>
            <c:rich>
              <a:bodyPr rot="0" vert="wordArtVertRtl"/>
              <a:lstStyle/>
              <a:p>
                <a:pPr algn="ctr">
                  <a:defRPr sz="739" b="1" i="0" u="none" strike="noStrike" baseline="0">
                    <a:solidFill>
                      <a:srgbClr val="333333"/>
                    </a:solidFill>
                    <a:latin typeface="標楷體"/>
                    <a:ea typeface="標楷體"/>
                    <a:cs typeface="標楷體"/>
                  </a:defRPr>
                </a:pPr>
                <a:r>
                  <a:rPr lang="zh-TW" altLang="en-US"/>
                  <a:t>百萬歐元</a:t>
                </a:r>
              </a:p>
            </c:rich>
          </c:tx>
          <c:overlay val="0"/>
          <c:spPr>
            <a:noFill/>
            <a:ln w="26802">
              <a:noFill/>
            </a:ln>
          </c:spPr>
        </c:title>
        <c:numFmt formatCode="#,##0_);[Red]\(#,##0\)" sourceLinked="0"/>
        <c:majorTickMark val="none"/>
        <c:minorTickMark val="none"/>
        <c:tickLblPos val="nextTo"/>
        <c:spPr>
          <a:ln w="10051">
            <a:noFill/>
          </a:ln>
        </c:spPr>
        <c:txPr>
          <a:bodyPr rot="-60000000" spcFirstLastPara="1" vertOverflow="ellipsis" vert="horz" wrap="square" anchor="ctr" anchorCtr="1"/>
          <a:lstStyle/>
          <a:p>
            <a:pPr>
              <a:defRPr sz="739" b="1"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19184384"/>
        <c:crosses val="autoZero"/>
        <c:crossBetween val="between"/>
      </c:valAx>
      <c:spPr>
        <a:noFill/>
        <a:ln w="26802">
          <a:noFill/>
        </a:ln>
      </c:spPr>
    </c:plotArea>
    <c:legend>
      <c:legendPos val="b"/>
      <c:overlay val="0"/>
      <c:spPr>
        <a:noFill/>
        <a:ln w="26802">
          <a:noFill/>
        </a:ln>
      </c:spPr>
      <c:txPr>
        <a:bodyPr rot="0" spcFirstLastPara="1" vertOverflow="ellipsis" vert="horz" wrap="square" anchor="ctr" anchorCtr="1"/>
        <a:lstStyle/>
        <a:p>
          <a:pPr>
            <a:defRPr sz="739" b="1"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legend>
    <c:plotVisOnly val="1"/>
    <c:dispBlanksAs val="gap"/>
    <c:showDLblsOverMax val="0"/>
  </c:chart>
  <c:spPr>
    <a:solidFill>
      <a:schemeClr val="bg1"/>
    </a:solidFill>
    <a:ln w="10051" cap="flat" cmpd="sng" algn="ctr">
      <a:solidFill>
        <a:schemeClr val="tx1">
          <a:lumMod val="15000"/>
          <a:lumOff val="85000"/>
        </a:schemeClr>
      </a:solidFill>
      <a:round/>
    </a:ln>
    <a:effectLst/>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保險費細目!$C$17</c:f>
              <c:strCache>
                <c:ptCount val="1"/>
                <c:pt idx="0">
                  <c:v>保費收入</c:v>
                </c:pt>
              </c:strCache>
            </c:strRef>
          </c:tx>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10364" cap="flat" cmpd="sng" algn="ctr">
              <a:solidFill>
                <a:schemeClr val="dk1">
                  <a:tint val="88500"/>
                  <a:shade val="95000"/>
                </a:schemeClr>
              </a:solidFill>
              <a:round/>
            </a:ln>
            <a:effectLst/>
          </c:spPr>
          <c:invertIfNegative val="0"/>
          <c:cat>
            <c:numRef>
              <c:f>保險費細目!$B$18:$B$27</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保險費細目!$C$18:$C$27</c:f>
              <c:numCache>
                <c:formatCode>General</c:formatCode>
                <c:ptCount val="10"/>
                <c:pt idx="0">
                  <c:v>185288</c:v>
                </c:pt>
                <c:pt idx="1">
                  <c:v>189850</c:v>
                </c:pt>
                <c:pt idx="2">
                  <c:v>193687</c:v>
                </c:pt>
                <c:pt idx="3">
                  <c:v>194334</c:v>
                </c:pt>
                <c:pt idx="4">
                  <c:v>201647</c:v>
                </c:pt>
                <c:pt idx="5">
                  <c:v>207317</c:v>
                </c:pt>
                <c:pt idx="6">
                  <c:v>215422</c:v>
                </c:pt>
                <c:pt idx="7">
                  <c:v>225244</c:v>
                </c:pt>
                <c:pt idx="8">
                  <c:v>236404</c:v>
                </c:pt>
                <c:pt idx="9">
                  <c:v>247797</c:v>
                </c:pt>
              </c:numCache>
            </c:numRef>
          </c:val>
        </c:ser>
        <c:dLbls>
          <c:showLegendKey val="0"/>
          <c:showVal val="0"/>
          <c:showCatName val="0"/>
          <c:showSerName val="0"/>
          <c:showPercent val="0"/>
          <c:showBubbleSize val="0"/>
        </c:dLbls>
        <c:gapWidth val="150"/>
        <c:axId val="337811968"/>
        <c:axId val="280664832"/>
      </c:barChart>
      <c:lineChart>
        <c:grouping val="standard"/>
        <c:varyColors val="0"/>
        <c:ser>
          <c:idx val="1"/>
          <c:order val="1"/>
          <c:tx>
            <c:strRef>
              <c:f>保險費細目!$D$17</c:f>
              <c:strCache>
                <c:ptCount val="1"/>
                <c:pt idx="0">
                  <c:v>保險費率</c:v>
                </c:pt>
              </c:strCache>
            </c:strRef>
          </c:tx>
          <c:spPr>
            <a:ln w="17273" cap="rnd">
              <a:solidFill>
                <a:schemeClr val="tx1"/>
              </a:solidFill>
              <a:round/>
            </a:ln>
            <a:effectLst/>
          </c:spPr>
          <c:marker>
            <c:symbol val="none"/>
          </c:marker>
          <c:val>
            <c:numRef>
              <c:f>保險費細目!$D$18:$D$27</c:f>
              <c:numCache>
                <c:formatCode>0.00%</c:formatCode>
                <c:ptCount val="10"/>
                <c:pt idx="0">
                  <c:v>0.19900000000000001</c:v>
                </c:pt>
                <c:pt idx="1">
                  <c:v>0.19900000000000001</c:v>
                </c:pt>
                <c:pt idx="2">
                  <c:v>0.19600000000000001</c:v>
                </c:pt>
                <c:pt idx="3">
                  <c:v>0.189</c:v>
                </c:pt>
                <c:pt idx="4">
                  <c:v>0.189</c:v>
                </c:pt>
                <c:pt idx="5">
                  <c:v>0.187</c:v>
                </c:pt>
                <c:pt idx="6">
                  <c:v>0.187</c:v>
                </c:pt>
                <c:pt idx="7">
                  <c:v>0.187</c:v>
                </c:pt>
                <c:pt idx="8">
                  <c:v>0.186</c:v>
                </c:pt>
                <c:pt idx="9">
                  <c:v>0.186</c:v>
                </c:pt>
              </c:numCache>
            </c:numRef>
          </c:val>
          <c:smooth val="0"/>
        </c:ser>
        <c:ser>
          <c:idx val="2"/>
          <c:order val="2"/>
          <c:tx>
            <c:strRef>
              <c:f>保險費細目!$E$17</c:f>
              <c:strCache>
                <c:ptCount val="1"/>
                <c:pt idx="0">
                  <c:v>被保險人數年成長率</c:v>
                </c:pt>
              </c:strCache>
            </c:strRef>
          </c:tx>
          <c:spPr>
            <a:ln w="17273" cap="rnd">
              <a:solidFill>
                <a:schemeClr val="tx1"/>
              </a:solidFill>
              <a:prstDash val="sysDot"/>
              <a:round/>
            </a:ln>
            <a:effectLst/>
          </c:spPr>
          <c:marker>
            <c:symbol val="none"/>
          </c:marker>
          <c:val>
            <c:numRef>
              <c:f>保險費細目!$E$18:$E$27</c:f>
              <c:numCache>
                <c:formatCode>0.00%</c:formatCode>
                <c:ptCount val="10"/>
                <c:pt idx="0">
                  <c:v>3.4479455990805481E-4</c:v>
                </c:pt>
                <c:pt idx="1">
                  <c:v>3.8297301955077263E-3</c:v>
                </c:pt>
                <c:pt idx="2">
                  <c:v>4.7498235507315491E-3</c:v>
                </c:pt>
                <c:pt idx="3">
                  <c:v>5.6956257594167684E-3</c:v>
                </c:pt>
                <c:pt idx="4">
                  <c:v>6.1919504643962852E-3</c:v>
                </c:pt>
                <c:pt idx="5">
                  <c:v>9.6247654784240144E-3</c:v>
                </c:pt>
                <c:pt idx="6">
                  <c:v>1.1744374036013602E-2</c:v>
                </c:pt>
                <c:pt idx="7">
                  <c:v>1.2159059601432638E-2</c:v>
                </c:pt>
                <c:pt idx="8">
                  <c:v>1.8001342842107172E-2</c:v>
                </c:pt>
                <c:pt idx="9">
                  <c:v>1.1194495445551613E-2</c:v>
                </c:pt>
              </c:numCache>
            </c:numRef>
          </c:val>
          <c:smooth val="0"/>
        </c:ser>
        <c:ser>
          <c:idx val="3"/>
          <c:order val="3"/>
          <c:tx>
            <c:strRef>
              <c:f>保險費細目!$F$17</c:f>
              <c:strCache>
                <c:ptCount val="1"/>
                <c:pt idx="0">
                  <c:v>受僱者薪資成長率</c:v>
                </c:pt>
              </c:strCache>
            </c:strRef>
          </c:tx>
          <c:spPr>
            <a:ln w="17273" cap="rnd">
              <a:solidFill>
                <a:schemeClr val="dk1">
                  <a:tint val="98500"/>
                </a:schemeClr>
              </a:solidFill>
              <a:prstDash val="dash"/>
              <a:round/>
            </a:ln>
            <a:effectLst/>
          </c:spPr>
          <c:marker>
            <c:symbol val="none"/>
          </c:marker>
          <c:val>
            <c:numRef>
              <c:f>保險費細目!$F$18:$F$27</c:f>
              <c:numCache>
                <c:formatCode>0.00%</c:formatCode>
                <c:ptCount val="10"/>
                <c:pt idx="0">
                  <c:v>2.9713122898500123E-2</c:v>
                </c:pt>
                <c:pt idx="1">
                  <c:v>4.3831682633297543E-2</c:v>
                </c:pt>
                <c:pt idx="2">
                  <c:v>3.9713353892574299E-2</c:v>
                </c:pt>
                <c:pt idx="3">
                  <c:v>2.8963859192397554E-2</c:v>
                </c:pt>
                <c:pt idx="4">
                  <c:v>3.9637497321323753E-2</c:v>
                </c:pt>
                <c:pt idx="5">
                  <c:v>4.0486718308454316E-2</c:v>
                </c:pt>
                <c:pt idx="6">
                  <c:v>3.8508729326959944E-2</c:v>
                </c:pt>
                <c:pt idx="7">
                  <c:v>4.2821980185834808E-2</c:v>
                </c:pt>
                <c:pt idx="8">
                  <c:v>4.5194106296726787E-2</c:v>
                </c:pt>
                <c:pt idx="9">
                  <c:v>4.3527844270809884E-2</c:v>
                </c:pt>
              </c:numCache>
            </c:numRef>
          </c:val>
          <c:smooth val="0"/>
        </c:ser>
        <c:dLbls>
          <c:showLegendKey val="0"/>
          <c:showVal val="0"/>
          <c:showCatName val="0"/>
          <c:showSerName val="0"/>
          <c:showPercent val="0"/>
          <c:showBubbleSize val="0"/>
        </c:dLbls>
        <c:marker val="1"/>
        <c:smooth val="0"/>
        <c:axId val="337812992"/>
        <c:axId val="280665408"/>
      </c:lineChart>
      <c:catAx>
        <c:axId val="337811968"/>
        <c:scaling>
          <c:orientation val="minMax"/>
        </c:scaling>
        <c:delete val="0"/>
        <c:axPos val="b"/>
        <c:title>
          <c:tx>
            <c:rich>
              <a:bodyPr/>
              <a:lstStyle/>
              <a:p>
                <a:pPr>
                  <a:defRPr sz="762" b="1" i="0" u="none" strike="noStrike" baseline="0">
                    <a:solidFill>
                      <a:srgbClr val="808080"/>
                    </a:solidFill>
                    <a:latin typeface="標楷體"/>
                    <a:ea typeface="標楷體"/>
                    <a:cs typeface="標楷體"/>
                  </a:defRPr>
                </a:pPr>
                <a:r>
                  <a:rPr lang="zh-TW" altLang="en-US"/>
                  <a:t>年度</a:t>
                </a:r>
              </a:p>
            </c:rich>
          </c:tx>
          <c:overlay val="0"/>
          <c:spPr>
            <a:noFill/>
            <a:ln w="27637">
              <a:noFill/>
            </a:ln>
          </c:spPr>
        </c:title>
        <c:numFmt formatCode="General" sourceLinked="1"/>
        <c:majorTickMark val="none"/>
        <c:minorTickMark val="none"/>
        <c:tickLblPos val="nextTo"/>
        <c:spPr>
          <a:noFill/>
          <a:ln w="10364" cap="flat" cmpd="sng" algn="ctr">
            <a:solidFill>
              <a:schemeClr val="tx1">
                <a:lumMod val="15000"/>
                <a:lumOff val="85000"/>
              </a:schemeClr>
            </a:solidFill>
            <a:round/>
          </a:ln>
          <a:effectLst/>
        </c:spPr>
        <c:txPr>
          <a:bodyPr rot="-60000000" spcFirstLastPara="1" vertOverflow="ellipsis" vert="horz" wrap="square" anchor="ctr" anchorCtr="1"/>
          <a:lstStyle/>
          <a:p>
            <a:pPr>
              <a:defRPr sz="762" b="1" i="0" u="none" strike="noStrike" kern="1200" baseline="0">
                <a:solidFill>
                  <a:schemeClr val="tx1">
                    <a:lumMod val="50000"/>
                    <a:lumOff val="50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0664832"/>
        <c:crosses val="autoZero"/>
        <c:auto val="1"/>
        <c:lblAlgn val="ctr"/>
        <c:lblOffset val="100"/>
        <c:noMultiLvlLbl val="0"/>
      </c:catAx>
      <c:valAx>
        <c:axId val="280664832"/>
        <c:scaling>
          <c:orientation val="minMax"/>
        </c:scaling>
        <c:delete val="0"/>
        <c:axPos val="l"/>
        <c:majorGridlines>
          <c:spPr>
            <a:ln w="10364" cap="flat" cmpd="sng" algn="ctr">
              <a:solidFill>
                <a:schemeClr val="tx1">
                  <a:lumMod val="15000"/>
                  <a:lumOff val="85000"/>
                </a:schemeClr>
              </a:solidFill>
              <a:round/>
            </a:ln>
            <a:effectLst/>
          </c:spPr>
        </c:majorGridlines>
        <c:title>
          <c:tx>
            <c:rich>
              <a:bodyPr rot="0" vert="wordArtVertRtl"/>
              <a:lstStyle/>
              <a:p>
                <a:pPr algn="ctr">
                  <a:defRPr sz="762" b="1" i="0" u="none" strike="noStrike" baseline="0">
                    <a:solidFill>
                      <a:srgbClr val="808080"/>
                    </a:solidFill>
                    <a:latin typeface="標楷體"/>
                    <a:ea typeface="標楷體"/>
                    <a:cs typeface="標楷體"/>
                  </a:defRPr>
                </a:pPr>
                <a:r>
                  <a:rPr lang="zh-TW" altLang="en-US"/>
                  <a:t>百萬歐元</a:t>
                </a:r>
              </a:p>
            </c:rich>
          </c:tx>
          <c:overlay val="0"/>
          <c:spPr>
            <a:noFill/>
            <a:ln w="27637">
              <a:noFill/>
            </a:ln>
          </c:spPr>
        </c:title>
        <c:numFmt formatCode="#,##0_);[Red]\(#,##0\)" sourceLinked="0"/>
        <c:majorTickMark val="none"/>
        <c:minorTickMark val="none"/>
        <c:tickLblPos val="nextTo"/>
        <c:spPr>
          <a:ln w="10364">
            <a:noFill/>
          </a:ln>
        </c:spPr>
        <c:txPr>
          <a:bodyPr rot="-60000000" spcFirstLastPara="1" vertOverflow="ellipsis" vert="horz" wrap="square" anchor="ctr" anchorCtr="1"/>
          <a:lstStyle/>
          <a:p>
            <a:pPr>
              <a:defRPr sz="762" b="1" i="0" u="none" strike="noStrike" kern="1200" baseline="0">
                <a:solidFill>
                  <a:schemeClr val="tx1">
                    <a:lumMod val="50000"/>
                    <a:lumOff val="50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7811968"/>
        <c:crosses val="autoZero"/>
        <c:crossBetween val="between"/>
      </c:valAx>
      <c:catAx>
        <c:axId val="337812992"/>
        <c:scaling>
          <c:orientation val="minMax"/>
        </c:scaling>
        <c:delete val="1"/>
        <c:axPos val="b"/>
        <c:majorTickMark val="out"/>
        <c:minorTickMark val="none"/>
        <c:tickLblPos val="nextTo"/>
        <c:crossAx val="280665408"/>
        <c:crosses val="autoZero"/>
        <c:auto val="1"/>
        <c:lblAlgn val="ctr"/>
        <c:lblOffset val="100"/>
        <c:noMultiLvlLbl val="0"/>
      </c:catAx>
      <c:valAx>
        <c:axId val="280665408"/>
        <c:scaling>
          <c:orientation val="minMax"/>
          <c:max val="0.22000000000000003"/>
        </c:scaling>
        <c:delete val="0"/>
        <c:axPos val="r"/>
        <c:numFmt formatCode="0%" sourceLinked="0"/>
        <c:majorTickMark val="none"/>
        <c:minorTickMark val="none"/>
        <c:tickLblPos val="nextTo"/>
        <c:spPr>
          <a:ln w="10364">
            <a:noFill/>
          </a:ln>
        </c:spPr>
        <c:txPr>
          <a:bodyPr rot="-60000000" spcFirstLastPara="1" vertOverflow="ellipsis" vert="horz" wrap="square" anchor="ctr" anchorCtr="1"/>
          <a:lstStyle/>
          <a:p>
            <a:pPr>
              <a:defRPr sz="762" b="1" i="0" u="none" strike="noStrike" kern="1200" baseline="0">
                <a:solidFill>
                  <a:schemeClr val="tx1">
                    <a:lumMod val="50000"/>
                    <a:lumOff val="50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7812992"/>
        <c:crosses val="max"/>
        <c:crossBetween val="between"/>
      </c:valAx>
      <c:spPr>
        <a:noFill/>
        <a:ln w="27637">
          <a:noFill/>
        </a:ln>
      </c:spPr>
    </c:plotArea>
    <c:legend>
      <c:legendPos val="b"/>
      <c:layout>
        <c:manualLayout>
          <c:xMode val="edge"/>
          <c:yMode val="edge"/>
          <c:x val="0.126041803575767"/>
          <c:y val="0.84629691303692778"/>
          <c:w val="0.81162701779121327"/>
          <c:h val="0.12475240066290805"/>
        </c:manualLayout>
      </c:layout>
      <c:overlay val="0"/>
      <c:spPr>
        <a:noFill/>
        <a:ln w="27637">
          <a:noFill/>
        </a:ln>
      </c:spPr>
      <c:txPr>
        <a:bodyPr rot="0" spcFirstLastPara="1" vertOverflow="ellipsis" vert="horz" wrap="square" anchor="ctr" anchorCtr="1"/>
        <a:lstStyle/>
        <a:p>
          <a:pPr>
            <a:defRPr sz="762" b="1" i="0" u="none" strike="noStrike" kern="1200" baseline="0">
              <a:solidFill>
                <a:schemeClr val="tx1">
                  <a:lumMod val="50000"/>
                  <a:lumOff val="50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legend>
    <c:plotVisOnly val="1"/>
    <c:dispBlanksAs val="gap"/>
    <c:showDLblsOverMax val="0"/>
  </c:chart>
  <c:spPr>
    <a:solidFill>
      <a:schemeClr val="bg1"/>
    </a:solidFill>
    <a:ln w="10364" cap="flat" cmpd="sng" algn="ctr">
      <a:solidFill>
        <a:schemeClr val="tx1">
          <a:lumMod val="15000"/>
          <a:lumOff val="85000"/>
        </a:schemeClr>
      </a:solidFill>
      <a:round/>
    </a:ln>
    <a:effectLst/>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圖表!$C$20</c:f>
              <c:strCache>
                <c:ptCount val="1"/>
                <c:pt idx="0">
                  <c:v>被保險人及雇主負擔</c:v>
                </c:pt>
              </c:strCache>
            </c:strRef>
          </c:tx>
          <c:spPr>
            <a:solidFill>
              <a:schemeClr val="tx1">
                <a:lumMod val="50000"/>
                <a:lumOff val="50000"/>
              </a:schemeClr>
            </a:solidFill>
          </c:spPr>
          <c:invertIfNegative val="0"/>
          <c:cat>
            <c:numRef>
              <c:f>圖表!$B$21:$B$33</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圖表!$C$21:$C$33</c:f>
              <c:numCache>
                <c:formatCode>General</c:formatCode>
                <c:ptCount val="13"/>
                <c:pt idx="0">
                  <c:v>129803</c:v>
                </c:pt>
                <c:pt idx="1">
                  <c:v>152465</c:v>
                </c:pt>
                <c:pt idx="2">
                  <c:v>160004</c:v>
                </c:pt>
                <c:pt idx="3">
                  <c:v>181935</c:v>
                </c:pt>
                <c:pt idx="4">
                  <c:v>202860</c:v>
                </c:pt>
                <c:pt idx="5">
                  <c:v>217600</c:v>
                </c:pt>
                <c:pt idx="6">
                  <c:v>237484</c:v>
                </c:pt>
                <c:pt idx="7">
                  <c:v>258951</c:v>
                </c:pt>
                <c:pt idx="8">
                  <c:v>266801</c:v>
                </c:pt>
                <c:pt idx="9">
                  <c:v>290260</c:v>
                </c:pt>
                <c:pt idx="10">
                  <c:v>298487</c:v>
                </c:pt>
                <c:pt idx="11" formatCode="0_);[Red]\(0\)">
                  <c:v>322889</c:v>
                </c:pt>
                <c:pt idx="12" formatCode="0_);[Red]\(0\)">
                  <c:v>329924</c:v>
                </c:pt>
              </c:numCache>
            </c:numRef>
          </c:val>
        </c:ser>
        <c:ser>
          <c:idx val="2"/>
          <c:order val="1"/>
          <c:tx>
            <c:strRef>
              <c:f>圖表!$D$20</c:f>
              <c:strCache>
                <c:ptCount val="1"/>
                <c:pt idx="0">
                  <c:v>政府補助</c:v>
                </c:pt>
              </c:strCache>
            </c:strRef>
          </c:tx>
          <c:spPr>
            <a:solidFill>
              <a:schemeClr val="bg1">
                <a:lumMod val="65000"/>
              </a:schemeClr>
            </a:solidFill>
          </c:spPr>
          <c:invertIfNegative val="0"/>
          <c:val>
            <c:numRef>
              <c:f>圖表!$D$21:$D$33</c:f>
              <c:numCache>
                <c:formatCode>General</c:formatCode>
                <c:ptCount val="13"/>
                <c:pt idx="0">
                  <c:v>31495</c:v>
                </c:pt>
                <c:pt idx="1">
                  <c:v>39347</c:v>
                </c:pt>
                <c:pt idx="2">
                  <c:v>40862</c:v>
                </c:pt>
                <c:pt idx="3">
                  <c:v>45629</c:v>
                </c:pt>
                <c:pt idx="4">
                  <c:v>50487</c:v>
                </c:pt>
                <c:pt idx="5">
                  <c:v>52270</c:v>
                </c:pt>
                <c:pt idx="6">
                  <c:v>56124</c:v>
                </c:pt>
                <c:pt idx="7">
                  <c:v>60506</c:v>
                </c:pt>
                <c:pt idx="8">
                  <c:v>61349</c:v>
                </c:pt>
                <c:pt idx="9">
                  <c:v>65135</c:v>
                </c:pt>
                <c:pt idx="10">
                  <c:v>65783</c:v>
                </c:pt>
                <c:pt idx="11" formatCode="#,##0">
                  <c:v>70030</c:v>
                </c:pt>
                <c:pt idx="12" formatCode="#,##0">
                  <c:v>70868</c:v>
                </c:pt>
              </c:numCache>
            </c:numRef>
          </c:val>
        </c:ser>
        <c:dLbls>
          <c:showLegendKey val="0"/>
          <c:showVal val="0"/>
          <c:showCatName val="0"/>
          <c:showSerName val="0"/>
          <c:showPercent val="0"/>
          <c:showBubbleSize val="0"/>
        </c:dLbls>
        <c:gapWidth val="150"/>
        <c:overlap val="100"/>
        <c:axId val="338094080"/>
        <c:axId val="337994880"/>
      </c:barChart>
      <c:lineChart>
        <c:grouping val="standard"/>
        <c:varyColors val="0"/>
        <c:ser>
          <c:idx val="3"/>
          <c:order val="2"/>
          <c:tx>
            <c:strRef>
              <c:f>圖表!$E$20</c:f>
              <c:strCache>
                <c:ptCount val="1"/>
                <c:pt idx="0">
                  <c:v>實計保險給付</c:v>
                </c:pt>
              </c:strCache>
            </c:strRef>
          </c:tx>
          <c:spPr>
            <a:ln w="27614">
              <a:solidFill>
                <a:schemeClr val="tx1">
                  <a:lumMod val="50000"/>
                  <a:lumOff val="50000"/>
                </a:schemeClr>
              </a:solidFill>
            </a:ln>
          </c:spPr>
          <c:marker>
            <c:spPr>
              <a:noFill/>
              <a:ln>
                <a:noFill/>
              </a:ln>
            </c:spPr>
          </c:marker>
          <c:val>
            <c:numRef>
              <c:f>圖表!$E$21:$E$33</c:f>
              <c:numCache>
                <c:formatCode>General</c:formatCode>
                <c:ptCount val="13"/>
                <c:pt idx="0">
                  <c:v>352185</c:v>
                </c:pt>
                <c:pt idx="1">
                  <c:v>133746</c:v>
                </c:pt>
                <c:pt idx="2">
                  <c:v>123928</c:v>
                </c:pt>
                <c:pt idx="3">
                  <c:v>136999</c:v>
                </c:pt>
                <c:pt idx="4">
                  <c:v>254731</c:v>
                </c:pt>
                <c:pt idx="5">
                  <c:v>273084</c:v>
                </c:pt>
                <c:pt idx="6">
                  <c:v>241719</c:v>
                </c:pt>
                <c:pt idx="7">
                  <c:v>275479</c:v>
                </c:pt>
                <c:pt idx="8">
                  <c:v>319342</c:v>
                </c:pt>
                <c:pt idx="9">
                  <c:v>382933</c:v>
                </c:pt>
                <c:pt idx="10">
                  <c:v>389564</c:v>
                </c:pt>
                <c:pt idx="11" formatCode="#,##0">
                  <c:v>415733</c:v>
                </c:pt>
                <c:pt idx="12" formatCode="#,##0">
                  <c:v>448856</c:v>
                </c:pt>
              </c:numCache>
            </c:numRef>
          </c:val>
          <c:smooth val="0"/>
        </c:ser>
        <c:dLbls>
          <c:showLegendKey val="0"/>
          <c:showVal val="0"/>
          <c:showCatName val="0"/>
          <c:showSerName val="0"/>
          <c:showPercent val="0"/>
          <c:showBubbleSize val="0"/>
        </c:dLbls>
        <c:marker val="1"/>
        <c:smooth val="0"/>
        <c:axId val="338094080"/>
        <c:axId val="337994880"/>
      </c:lineChart>
      <c:catAx>
        <c:axId val="338094080"/>
        <c:scaling>
          <c:orientation val="minMax"/>
        </c:scaling>
        <c:delete val="0"/>
        <c:axPos val="b"/>
        <c:title>
          <c:tx>
            <c:rich>
              <a:bodyPr/>
              <a:lstStyle/>
              <a:p>
                <a:pPr>
                  <a:defRPr sz="761" b="1" i="0" u="none" strike="noStrike" baseline="0">
                    <a:solidFill>
                      <a:srgbClr val="000000"/>
                    </a:solidFill>
                    <a:latin typeface="標楷體"/>
                    <a:ea typeface="標楷體"/>
                    <a:cs typeface="標楷體"/>
                  </a:defRPr>
                </a:pPr>
                <a:r>
                  <a:rPr lang="zh-TW" altLang="en-US"/>
                  <a:t>年度</a:t>
                </a:r>
              </a:p>
            </c:rich>
          </c:tx>
          <c:overlay val="0"/>
        </c:title>
        <c:numFmt formatCode="General" sourceLinked="1"/>
        <c:majorTickMark val="out"/>
        <c:minorTickMark val="none"/>
        <c:tickLblPos val="nextTo"/>
        <c:txPr>
          <a:bodyPr/>
          <a:lstStyle/>
          <a:p>
            <a:pPr>
              <a:defRPr sz="761" b="1"/>
            </a:pPr>
            <a:endParaRPr lang="zh-TW"/>
          </a:p>
        </c:txPr>
        <c:crossAx val="337994880"/>
        <c:crosses val="autoZero"/>
        <c:auto val="1"/>
        <c:lblAlgn val="ctr"/>
        <c:lblOffset val="100"/>
        <c:noMultiLvlLbl val="0"/>
      </c:catAx>
      <c:valAx>
        <c:axId val="337994880"/>
        <c:scaling>
          <c:orientation val="minMax"/>
          <c:max val="450000"/>
        </c:scaling>
        <c:delete val="0"/>
        <c:axPos val="l"/>
        <c:majorGridlines/>
        <c:title>
          <c:tx>
            <c:rich>
              <a:bodyPr rot="0" vert="wordArtVertRtl"/>
              <a:lstStyle/>
              <a:p>
                <a:pPr algn="ctr">
                  <a:defRPr sz="761" b="1" i="0" u="none" strike="noStrike" baseline="0">
                    <a:solidFill>
                      <a:srgbClr val="000000"/>
                    </a:solidFill>
                    <a:latin typeface="標楷體"/>
                    <a:ea typeface="標楷體"/>
                    <a:cs typeface="標楷體"/>
                  </a:defRPr>
                </a:pPr>
                <a:r>
                  <a:rPr lang="zh-TW" altLang="en-US"/>
                  <a:t>金額（百萬元）</a:t>
                </a:r>
              </a:p>
            </c:rich>
          </c:tx>
          <c:overlay val="0"/>
        </c:title>
        <c:numFmt formatCode="#,##0_);[Red]\(#,##0\)" sourceLinked="0"/>
        <c:majorTickMark val="out"/>
        <c:minorTickMark val="none"/>
        <c:tickLblPos val="nextTo"/>
        <c:txPr>
          <a:bodyPr/>
          <a:lstStyle/>
          <a:p>
            <a:pPr>
              <a:defRPr sz="761" b="1"/>
            </a:pPr>
            <a:endParaRPr lang="zh-TW"/>
          </a:p>
        </c:txPr>
        <c:crossAx val="338094080"/>
        <c:crosses val="autoZero"/>
        <c:crossBetween val="between"/>
      </c:valAx>
    </c:plotArea>
    <c:legend>
      <c:legendPos val="b"/>
      <c:overlay val="0"/>
      <c:txPr>
        <a:bodyPr/>
        <a:lstStyle/>
        <a:p>
          <a:pPr>
            <a:defRPr sz="761" b="1"/>
          </a:pPr>
          <a:endParaRPr lang="zh-TW"/>
        </a:p>
      </c:txPr>
    </c:legend>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圖表!$K$20</c:f>
              <c:strCache>
                <c:ptCount val="1"/>
                <c:pt idx="0">
                  <c:v>被保險人及雇主負擔</c:v>
                </c:pt>
              </c:strCache>
            </c:strRef>
          </c:tx>
          <c:spPr>
            <a:solidFill>
              <a:schemeClr val="tx1">
                <a:lumMod val="50000"/>
                <a:lumOff val="50000"/>
              </a:schemeClr>
            </a:solidFill>
          </c:spPr>
          <c:invertIfNegative val="0"/>
          <c:cat>
            <c:numRef>
              <c:f>圖表!$J$21:$J$32</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圖表!$K$21:$K$32</c:f>
              <c:numCache>
                <c:formatCode>General</c:formatCode>
                <c:ptCount val="12"/>
                <c:pt idx="0">
                  <c:v>152465</c:v>
                </c:pt>
                <c:pt idx="1">
                  <c:v>160004</c:v>
                </c:pt>
                <c:pt idx="2">
                  <c:v>181935</c:v>
                </c:pt>
                <c:pt idx="3">
                  <c:v>202860</c:v>
                </c:pt>
                <c:pt idx="4">
                  <c:v>217600</c:v>
                </c:pt>
                <c:pt idx="5">
                  <c:v>237484</c:v>
                </c:pt>
                <c:pt idx="6">
                  <c:v>258951</c:v>
                </c:pt>
                <c:pt idx="7">
                  <c:v>266801</c:v>
                </c:pt>
                <c:pt idx="8">
                  <c:v>290260</c:v>
                </c:pt>
                <c:pt idx="9">
                  <c:v>298487</c:v>
                </c:pt>
                <c:pt idx="10" formatCode="#,##0">
                  <c:v>392919</c:v>
                </c:pt>
                <c:pt idx="11" formatCode="#,##0">
                  <c:v>400162</c:v>
                </c:pt>
              </c:numCache>
            </c:numRef>
          </c:val>
        </c:ser>
        <c:ser>
          <c:idx val="2"/>
          <c:order val="1"/>
          <c:tx>
            <c:strRef>
              <c:f>圖表!$L$20</c:f>
              <c:strCache>
                <c:ptCount val="1"/>
                <c:pt idx="0">
                  <c:v>政府補助</c:v>
                </c:pt>
              </c:strCache>
            </c:strRef>
          </c:tx>
          <c:spPr>
            <a:solidFill>
              <a:schemeClr val="bg1">
                <a:lumMod val="65000"/>
              </a:schemeClr>
            </a:solidFill>
          </c:spPr>
          <c:invertIfNegative val="0"/>
          <c:val>
            <c:numRef>
              <c:f>圖表!$L$21:$L$32</c:f>
              <c:numCache>
                <c:formatCode>General</c:formatCode>
                <c:ptCount val="12"/>
                <c:pt idx="0">
                  <c:v>39347</c:v>
                </c:pt>
                <c:pt idx="1">
                  <c:v>40862</c:v>
                </c:pt>
                <c:pt idx="2">
                  <c:v>45629</c:v>
                </c:pt>
                <c:pt idx="3">
                  <c:v>50487</c:v>
                </c:pt>
                <c:pt idx="4">
                  <c:v>52270</c:v>
                </c:pt>
                <c:pt idx="5">
                  <c:v>56124</c:v>
                </c:pt>
                <c:pt idx="6">
                  <c:v>60506</c:v>
                </c:pt>
                <c:pt idx="7">
                  <c:v>61349</c:v>
                </c:pt>
                <c:pt idx="8">
                  <c:v>65135</c:v>
                </c:pt>
                <c:pt idx="9">
                  <c:v>65783</c:v>
                </c:pt>
                <c:pt idx="10" formatCode="#,##0">
                  <c:v>70030</c:v>
                </c:pt>
                <c:pt idx="11" formatCode="#,##0">
                  <c:v>70868</c:v>
                </c:pt>
              </c:numCache>
            </c:numRef>
          </c:val>
        </c:ser>
        <c:dLbls>
          <c:showLegendKey val="0"/>
          <c:showVal val="0"/>
          <c:showCatName val="0"/>
          <c:showSerName val="0"/>
          <c:showPercent val="0"/>
          <c:showBubbleSize val="0"/>
        </c:dLbls>
        <c:gapWidth val="150"/>
        <c:overlap val="100"/>
        <c:axId val="338338816"/>
        <c:axId val="337996608"/>
      </c:barChart>
      <c:lineChart>
        <c:grouping val="standard"/>
        <c:varyColors val="0"/>
        <c:ser>
          <c:idx val="3"/>
          <c:order val="2"/>
          <c:tx>
            <c:strRef>
              <c:f>圖表!$M$20</c:f>
              <c:strCache>
                <c:ptCount val="1"/>
                <c:pt idx="0">
                  <c:v>保險費率</c:v>
                </c:pt>
              </c:strCache>
            </c:strRef>
          </c:tx>
          <c:spPr>
            <a:ln>
              <a:solidFill>
                <a:schemeClr val="tx1"/>
              </a:solidFill>
              <a:prstDash val="solid"/>
            </a:ln>
          </c:spPr>
          <c:marker>
            <c:symbol val="none"/>
          </c:marker>
          <c:val>
            <c:numRef>
              <c:f>圖表!$M$21:$M$32</c:f>
              <c:numCache>
                <c:formatCode>0.00%</c:formatCode>
                <c:ptCount val="12"/>
                <c:pt idx="0">
                  <c:v>6.5000000000000002E-2</c:v>
                </c:pt>
                <c:pt idx="1">
                  <c:v>6.5000000000000002E-2</c:v>
                </c:pt>
                <c:pt idx="2">
                  <c:v>7.0000000000000007E-2</c:v>
                </c:pt>
                <c:pt idx="3">
                  <c:v>7.4999999999999997E-2</c:v>
                </c:pt>
                <c:pt idx="4">
                  <c:v>0.08</c:v>
                </c:pt>
                <c:pt idx="5">
                  <c:v>8.5000000000000006E-2</c:v>
                </c:pt>
                <c:pt idx="6">
                  <c:v>0.09</c:v>
                </c:pt>
                <c:pt idx="7">
                  <c:v>0.09</c:v>
                </c:pt>
                <c:pt idx="8">
                  <c:v>9.5000000000000001E-2</c:v>
                </c:pt>
                <c:pt idx="9">
                  <c:v>9.5000000000000001E-2</c:v>
                </c:pt>
                <c:pt idx="10" formatCode="0%">
                  <c:v>0.1</c:v>
                </c:pt>
                <c:pt idx="11" formatCode="0%">
                  <c:v>0.1</c:v>
                </c:pt>
              </c:numCache>
            </c:numRef>
          </c:val>
          <c:smooth val="0"/>
        </c:ser>
        <c:ser>
          <c:idx val="4"/>
          <c:order val="3"/>
          <c:tx>
            <c:strRef>
              <c:f>圖表!$N$20</c:f>
              <c:strCache>
                <c:ptCount val="1"/>
                <c:pt idx="0">
                  <c:v>被保險人人數成長率</c:v>
                </c:pt>
              </c:strCache>
            </c:strRef>
          </c:tx>
          <c:spPr>
            <a:ln>
              <a:solidFill>
                <a:sysClr val="windowText" lastClr="000000"/>
              </a:solidFill>
              <a:prstDash val="lgDash"/>
            </a:ln>
          </c:spPr>
          <c:marker>
            <c:symbol val="none"/>
          </c:marker>
          <c:val>
            <c:numRef>
              <c:f>圖表!$N$21:$N$32</c:f>
              <c:numCache>
                <c:formatCode>0.00%</c:formatCode>
                <c:ptCount val="12"/>
                <c:pt idx="0">
                  <c:v>2.6608800570489883E-2</c:v>
                </c:pt>
                <c:pt idx="1">
                  <c:v>4.0792736607208613E-2</c:v>
                </c:pt>
                <c:pt idx="2">
                  <c:v>3.4918779331932125E-2</c:v>
                </c:pt>
                <c:pt idx="3">
                  <c:v>-1.6708204118937326E-3</c:v>
                </c:pt>
                <c:pt idx="4">
                  <c:v>3.7368514233106077E-3</c:v>
                </c:pt>
                <c:pt idx="5">
                  <c:v>1.7912034668493917E-2</c:v>
                </c:pt>
                <c:pt idx="6">
                  <c:v>1.5419398548097192E-2</c:v>
                </c:pt>
                <c:pt idx="7">
                  <c:v>9.1436523404829408E-3</c:v>
                </c:pt>
                <c:pt idx="8">
                  <c:v>1.0490157134461746E-2</c:v>
                </c:pt>
                <c:pt idx="9">
                  <c:v>9.7630750410506312E-3</c:v>
                </c:pt>
                <c:pt idx="10">
                  <c:v>9.302417058878994E-3</c:v>
                </c:pt>
                <c:pt idx="11">
                  <c:v>8.2243066714325526E-3</c:v>
                </c:pt>
              </c:numCache>
            </c:numRef>
          </c:val>
          <c:smooth val="0"/>
        </c:ser>
        <c:ser>
          <c:idx val="5"/>
          <c:order val="4"/>
          <c:tx>
            <c:strRef>
              <c:f>圖表!$O$20</c:f>
              <c:strCache>
                <c:ptCount val="1"/>
                <c:pt idx="0">
                  <c:v>平均投保薪資成長率</c:v>
                </c:pt>
              </c:strCache>
            </c:strRef>
          </c:tx>
          <c:spPr>
            <a:ln w="27070">
              <a:solidFill>
                <a:schemeClr val="tx1"/>
              </a:solidFill>
              <a:prstDash val="sysDot"/>
            </a:ln>
          </c:spPr>
          <c:marker>
            <c:symbol val="none"/>
          </c:marker>
          <c:val>
            <c:numRef>
              <c:f>圖表!$O$21:$O$32</c:f>
              <c:numCache>
                <c:formatCode>0.00%</c:formatCode>
                <c:ptCount val="12"/>
                <c:pt idx="0">
                  <c:v>-4.3041606886657101E-4</c:v>
                </c:pt>
                <c:pt idx="1">
                  <c:v>8.6120281326252327E-3</c:v>
                </c:pt>
                <c:pt idx="2">
                  <c:v>1.5796214600825389E-2</c:v>
                </c:pt>
                <c:pt idx="3">
                  <c:v>1.7476884281311292E-2</c:v>
                </c:pt>
                <c:pt idx="4">
                  <c:v>9.0186224226360533E-3</c:v>
                </c:pt>
                <c:pt idx="5">
                  <c:v>9.6203049841367318E-3</c:v>
                </c:pt>
                <c:pt idx="6">
                  <c:v>1.0778847778340936E-2</c:v>
                </c:pt>
                <c:pt idx="7">
                  <c:v>1.8051748345256403E-2</c:v>
                </c:pt>
                <c:pt idx="8">
                  <c:v>1.8092861364681159E-2</c:v>
                </c:pt>
                <c:pt idx="9">
                  <c:v>1.6416706982744719E-2</c:v>
                </c:pt>
                <c:pt idx="10">
                  <c:v>1.856317826997525E-2</c:v>
                </c:pt>
                <c:pt idx="11">
                  <c:v>1.3302595096420448E-2</c:v>
                </c:pt>
              </c:numCache>
            </c:numRef>
          </c:val>
          <c:smooth val="0"/>
        </c:ser>
        <c:dLbls>
          <c:showLegendKey val="0"/>
          <c:showVal val="0"/>
          <c:showCatName val="0"/>
          <c:showSerName val="0"/>
          <c:showPercent val="0"/>
          <c:showBubbleSize val="0"/>
        </c:dLbls>
        <c:marker val="1"/>
        <c:smooth val="0"/>
        <c:axId val="338064896"/>
        <c:axId val="337997184"/>
      </c:lineChart>
      <c:catAx>
        <c:axId val="338338816"/>
        <c:scaling>
          <c:orientation val="minMax"/>
        </c:scaling>
        <c:delete val="0"/>
        <c:axPos val="b"/>
        <c:title>
          <c:tx>
            <c:rich>
              <a:bodyPr/>
              <a:lstStyle/>
              <a:p>
                <a:pPr>
                  <a:defRPr sz="746" b="1" i="0" u="none" strike="noStrike" baseline="0">
                    <a:solidFill>
                      <a:srgbClr val="000000"/>
                    </a:solidFill>
                    <a:latin typeface="標楷體"/>
                    <a:ea typeface="標楷體"/>
                    <a:cs typeface="標楷體"/>
                  </a:defRPr>
                </a:pPr>
                <a:r>
                  <a:rPr lang="zh-TW" altLang="en-US"/>
                  <a:t>年度</a:t>
                </a:r>
              </a:p>
            </c:rich>
          </c:tx>
          <c:overlay val="0"/>
        </c:title>
        <c:numFmt formatCode="General" sourceLinked="1"/>
        <c:majorTickMark val="out"/>
        <c:minorTickMark val="none"/>
        <c:tickLblPos val="nextTo"/>
        <c:txPr>
          <a:bodyPr/>
          <a:lstStyle/>
          <a:p>
            <a:pPr>
              <a:defRPr sz="746" b="1"/>
            </a:pPr>
            <a:endParaRPr lang="zh-TW"/>
          </a:p>
        </c:txPr>
        <c:crossAx val="337996608"/>
        <c:crosses val="autoZero"/>
        <c:auto val="1"/>
        <c:lblAlgn val="ctr"/>
        <c:lblOffset val="100"/>
        <c:noMultiLvlLbl val="0"/>
      </c:catAx>
      <c:valAx>
        <c:axId val="337996608"/>
        <c:scaling>
          <c:orientation val="minMax"/>
        </c:scaling>
        <c:delete val="0"/>
        <c:axPos val="l"/>
        <c:majorGridlines/>
        <c:title>
          <c:tx>
            <c:rich>
              <a:bodyPr rot="0" vert="wordArtVertRtl"/>
              <a:lstStyle/>
              <a:p>
                <a:pPr algn="ctr">
                  <a:defRPr sz="746" b="1" i="0" u="none" strike="noStrike" baseline="0">
                    <a:solidFill>
                      <a:srgbClr val="000000"/>
                    </a:solidFill>
                    <a:latin typeface="標楷體"/>
                    <a:ea typeface="標楷體"/>
                    <a:cs typeface="標楷體"/>
                  </a:defRPr>
                </a:pPr>
                <a:r>
                  <a:rPr lang="zh-TW" altLang="en-US"/>
                  <a:t>保險費（百萬元）</a:t>
                </a:r>
              </a:p>
            </c:rich>
          </c:tx>
          <c:overlay val="0"/>
        </c:title>
        <c:numFmt formatCode="#,##0_);[Red]\(#,##0\)" sourceLinked="0"/>
        <c:majorTickMark val="out"/>
        <c:minorTickMark val="none"/>
        <c:tickLblPos val="nextTo"/>
        <c:txPr>
          <a:bodyPr/>
          <a:lstStyle/>
          <a:p>
            <a:pPr>
              <a:defRPr sz="746" b="1"/>
            </a:pPr>
            <a:endParaRPr lang="zh-TW"/>
          </a:p>
        </c:txPr>
        <c:crossAx val="338338816"/>
        <c:crosses val="autoZero"/>
        <c:crossBetween val="between"/>
      </c:valAx>
      <c:catAx>
        <c:axId val="338064896"/>
        <c:scaling>
          <c:orientation val="minMax"/>
        </c:scaling>
        <c:delete val="1"/>
        <c:axPos val="b"/>
        <c:majorTickMark val="out"/>
        <c:minorTickMark val="none"/>
        <c:tickLblPos val="nextTo"/>
        <c:crossAx val="337997184"/>
        <c:crosses val="autoZero"/>
        <c:auto val="1"/>
        <c:lblAlgn val="ctr"/>
        <c:lblOffset val="100"/>
        <c:noMultiLvlLbl val="0"/>
      </c:catAx>
      <c:valAx>
        <c:axId val="337997184"/>
        <c:scaling>
          <c:orientation val="minMax"/>
        </c:scaling>
        <c:delete val="0"/>
        <c:axPos val="r"/>
        <c:title>
          <c:tx>
            <c:rich>
              <a:bodyPr rot="0" vert="wordArtVertRtl"/>
              <a:lstStyle/>
              <a:p>
                <a:pPr>
                  <a:defRPr sz="746"/>
                </a:pPr>
                <a:r>
                  <a:rPr lang="zh-TW" sz="746"/>
                  <a:t>保險費率及相關成長率</a:t>
                </a:r>
              </a:p>
            </c:rich>
          </c:tx>
          <c:overlay val="0"/>
        </c:title>
        <c:numFmt formatCode="0%" sourceLinked="0"/>
        <c:majorTickMark val="out"/>
        <c:minorTickMark val="none"/>
        <c:tickLblPos val="nextTo"/>
        <c:txPr>
          <a:bodyPr/>
          <a:lstStyle/>
          <a:p>
            <a:pPr>
              <a:defRPr sz="639"/>
            </a:pPr>
            <a:endParaRPr lang="zh-TW"/>
          </a:p>
        </c:txPr>
        <c:crossAx val="338064896"/>
        <c:crosses val="max"/>
        <c:crossBetween val="between"/>
      </c:valAx>
    </c:plotArea>
    <c:legend>
      <c:legendPos val="b"/>
      <c:layout>
        <c:manualLayout>
          <c:xMode val="edge"/>
          <c:yMode val="edge"/>
          <c:x val="0.12593954812665961"/>
          <c:y val="0.8092517561518402"/>
          <c:w val="0.78152963883900484"/>
          <c:h val="0.15481996789236296"/>
        </c:manualLayout>
      </c:layout>
      <c:overlay val="0"/>
      <c:txPr>
        <a:bodyPr/>
        <a:lstStyle/>
        <a:p>
          <a:pPr>
            <a:defRPr sz="746"/>
          </a:pPr>
          <a:endParaRPr lang="zh-TW"/>
        </a:p>
      </c:txPr>
    </c:legend>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基金資產配置!$C$35</c:f>
              <c:strCache>
                <c:ptCount val="1"/>
                <c:pt idx="0">
                  <c:v>股票</c:v>
                </c:pt>
              </c:strCache>
            </c:strRef>
          </c:tx>
          <c:spPr>
            <a:solidFill>
              <a:schemeClr val="tx1">
                <a:lumMod val="50000"/>
                <a:lumOff val="50000"/>
              </a:schemeClr>
            </a:solidFill>
          </c:spPr>
          <c:invertIfNegative val="0"/>
          <c:cat>
            <c:numRef>
              <c:f>基金資產配置!$B$36:$B$48</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基金資產配置!$C$36:$C$48</c:f>
              <c:numCache>
                <c:formatCode>0.00%</c:formatCode>
                <c:ptCount val="13"/>
                <c:pt idx="0">
                  <c:v>0.33572397841891005</c:v>
                </c:pt>
                <c:pt idx="1">
                  <c:v>0.32256041644190314</c:v>
                </c:pt>
                <c:pt idx="2">
                  <c:v>0.3455086975103327</c:v>
                </c:pt>
                <c:pt idx="3">
                  <c:v>0.285702590517661</c:v>
                </c:pt>
                <c:pt idx="4">
                  <c:v>0.2934501746014711</c:v>
                </c:pt>
                <c:pt idx="5">
                  <c:v>0.26153196373409293</c:v>
                </c:pt>
                <c:pt idx="6">
                  <c:v>0.25307851601470938</c:v>
                </c:pt>
                <c:pt idx="7">
                  <c:v>0.22956203491308236</c:v>
                </c:pt>
                <c:pt idx="8">
                  <c:v>0.20340426020653546</c:v>
                </c:pt>
                <c:pt idx="9">
                  <c:v>0.21433530168300813</c:v>
                </c:pt>
                <c:pt idx="10">
                  <c:v>0.23790308472797247</c:v>
                </c:pt>
                <c:pt idx="11">
                  <c:v>0.22199370312940703</c:v>
                </c:pt>
                <c:pt idx="12">
                  <c:v>0.25064961532582669</c:v>
                </c:pt>
              </c:numCache>
            </c:numRef>
          </c:val>
        </c:ser>
        <c:ser>
          <c:idx val="2"/>
          <c:order val="1"/>
          <c:tx>
            <c:strRef>
              <c:f>基金資產配置!$D$35</c:f>
              <c:strCache>
                <c:ptCount val="1"/>
                <c:pt idx="0">
                  <c:v>債券</c:v>
                </c:pt>
              </c:strCache>
            </c:strRef>
          </c:tx>
          <c:spPr>
            <a:solidFill>
              <a:schemeClr val="bg1">
                <a:lumMod val="65000"/>
              </a:schemeClr>
            </a:solidFill>
          </c:spPr>
          <c:invertIfNegative val="0"/>
          <c:cat>
            <c:numRef>
              <c:f>基金資產配置!$B$36:$B$48</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基金資產配置!$D$36:$D$48</c:f>
              <c:numCache>
                <c:formatCode>0.00%</c:formatCode>
                <c:ptCount val="13"/>
                <c:pt idx="0">
                  <c:v>6.3437585976954675E-2</c:v>
                </c:pt>
                <c:pt idx="1">
                  <c:v>5.7803565648937315E-2</c:v>
                </c:pt>
                <c:pt idx="2">
                  <c:v>6.1823597023760543E-2</c:v>
                </c:pt>
                <c:pt idx="3">
                  <c:v>5.44389276832258E-2</c:v>
                </c:pt>
                <c:pt idx="4">
                  <c:v>6.8026466776188163E-2</c:v>
                </c:pt>
                <c:pt idx="5">
                  <c:v>6.685745346967456E-2</c:v>
                </c:pt>
                <c:pt idx="6">
                  <c:v>9.9571216738773158E-2</c:v>
                </c:pt>
                <c:pt idx="7">
                  <c:v>0.10294887162232053</c:v>
                </c:pt>
                <c:pt idx="8">
                  <c:v>9.7604010687125917E-2</c:v>
                </c:pt>
                <c:pt idx="9">
                  <c:v>9.6910566857048033E-2</c:v>
                </c:pt>
                <c:pt idx="10">
                  <c:v>0.11259257099539331</c:v>
                </c:pt>
                <c:pt idx="11">
                  <c:v>9.0644707241401182E-2</c:v>
                </c:pt>
                <c:pt idx="12">
                  <c:v>9.3125541346104859E-2</c:v>
                </c:pt>
              </c:numCache>
            </c:numRef>
          </c:val>
        </c:ser>
        <c:ser>
          <c:idx val="3"/>
          <c:order val="2"/>
          <c:tx>
            <c:strRef>
              <c:f>基金資產配置!$E$35</c:f>
              <c:strCache>
                <c:ptCount val="1"/>
                <c:pt idx="0">
                  <c:v>國外投資</c:v>
                </c:pt>
              </c:strCache>
            </c:strRef>
          </c:tx>
          <c:spPr>
            <a:solidFill>
              <a:schemeClr val="bg1">
                <a:lumMod val="95000"/>
              </a:schemeClr>
            </a:solidFill>
          </c:spPr>
          <c:invertIfNegative val="0"/>
          <c:cat>
            <c:numRef>
              <c:f>基金資產配置!$B$36:$B$48</c:f>
              <c:numCache>
                <c:formatCode>General</c:formatCode>
                <c:ptCount val="13"/>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numCache>
            </c:numRef>
          </c:cat>
          <c:val>
            <c:numRef>
              <c:f>基金資產配置!$E$36:$E$48</c:f>
              <c:numCache>
                <c:formatCode>0.00%</c:formatCode>
                <c:ptCount val="13"/>
                <c:pt idx="0">
                  <c:v>0.24069816784566817</c:v>
                </c:pt>
                <c:pt idx="1">
                  <c:v>0.30344427662099471</c:v>
                </c:pt>
                <c:pt idx="2">
                  <c:v>0.33793802775027409</c:v>
                </c:pt>
                <c:pt idx="3">
                  <c:v>0.422264556726761</c:v>
                </c:pt>
                <c:pt idx="4">
                  <c:v>0.42688614993436969</c:v>
                </c:pt>
                <c:pt idx="5">
                  <c:v>0.39575635098458489</c:v>
                </c:pt>
                <c:pt idx="6">
                  <c:v>0.38171670744579161</c:v>
                </c:pt>
                <c:pt idx="7">
                  <c:v>0.39862854500428963</c:v>
                </c:pt>
                <c:pt idx="8">
                  <c:v>0.44412157826051379</c:v>
                </c:pt>
                <c:pt idx="9">
                  <c:v>0.48663412205611872</c:v>
                </c:pt>
                <c:pt idx="10">
                  <c:v>0.48363315645227128</c:v>
                </c:pt>
                <c:pt idx="11">
                  <c:v>0.52461730924166294</c:v>
                </c:pt>
                <c:pt idx="12">
                  <c:v>0.50428363988383351</c:v>
                </c:pt>
              </c:numCache>
            </c:numRef>
          </c:val>
        </c:ser>
        <c:ser>
          <c:idx val="4"/>
          <c:order val="3"/>
          <c:tx>
            <c:strRef>
              <c:f>基金資產配置!$F$35</c:f>
              <c:strCache>
                <c:ptCount val="1"/>
                <c:pt idx="0">
                  <c:v>其他</c:v>
                </c:pt>
              </c:strCache>
            </c:strRef>
          </c:tx>
          <c:spPr>
            <a:pattFill prst="dkHorz">
              <a:fgClr>
                <a:schemeClr val="bg1">
                  <a:lumMod val="95000"/>
                </a:schemeClr>
              </a:fgClr>
              <a:bgClr>
                <a:schemeClr val="bg1">
                  <a:lumMod val="75000"/>
                </a:schemeClr>
              </a:bgClr>
            </a:pattFill>
            <a:ln w="23899"/>
          </c:spPr>
          <c:invertIfNegative val="0"/>
          <c:val>
            <c:numRef>
              <c:f>基金資產配置!$F$36:$F$48</c:f>
              <c:numCache>
                <c:formatCode>0.00%</c:formatCode>
                <c:ptCount val="13"/>
                <c:pt idx="0">
                  <c:v>0.36014026775846714</c:v>
                </c:pt>
                <c:pt idx="1">
                  <c:v>0.31619174128816485</c:v>
                </c:pt>
                <c:pt idx="2">
                  <c:v>0.25472967771563271</c:v>
                </c:pt>
                <c:pt idx="3">
                  <c:v>0.23759392507235216</c:v>
                </c:pt>
                <c:pt idx="4">
                  <c:v>0.21163720868797106</c:v>
                </c:pt>
                <c:pt idx="5">
                  <c:v>0.27585423181164759</c:v>
                </c:pt>
                <c:pt idx="6">
                  <c:v>0.26563355980072584</c:v>
                </c:pt>
                <c:pt idx="7">
                  <c:v>0.26886054846030749</c:v>
                </c:pt>
                <c:pt idx="8">
                  <c:v>0.25487015084582487</c:v>
                </c:pt>
                <c:pt idx="9">
                  <c:v>0.20212000940382516</c:v>
                </c:pt>
                <c:pt idx="10">
                  <c:v>0.16587118782436294</c:v>
                </c:pt>
                <c:pt idx="11">
                  <c:v>0.16274428038752881</c:v>
                </c:pt>
                <c:pt idx="12">
                  <c:v>0.15194120344423498</c:v>
                </c:pt>
              </c:numCache>
            </c:numRef>
          </c:val>
        </c:ser>
        <c:dLbls>
          <c:showLegendKey val="0"/>
          <c:showVal val="0"/>
          <c:showCatName val="0"/>
          <c:showSerName val="0"/>
          <c:showPercent val="0"/>
          <c:showBubbleSize val="0"/>
        </c:dLbls>
        <c:gapWidth val="150"/>
        <c:overlap val="100"/>
        <c:axId val="337936384"/>
        <c:axId val="337998912"/>
      </c:barChart>
      <c:lineChart>
        <c:grouping val="standard"/>
        <c:varyColors val="0"/>
        <c:ser>
          <c:idx val="5"/>
          <c:order val="4"/>
          <c:tx>
            <c:strRef>
              <c:f>基金資產配置!$G$35</c:f>
              <c:strCache>
                <c:ptCount val="1"/>
                <c:pt idx="0">
                  <c:v>報酬率</c:v>
                </c:pt>
              </c:strCache>
            </c:strRef>
          </c:tx>
          <c:spPr>
            <a:ln w="20911">
              <a:solidFill>
                <a:schemeClr val="tx1"/>
              </a:solidFill>
            </a:ln>
          </c:spPr>
          <c:marker>
            <c:symbol val="none"/>
          </c:marker>
          <c:dLbls>
            <c:spPr>
              <a:noFill/>
              <a:ln w="23899">
                <a:noFill/>
              </a:ln>
            </c:spPr>
            <c:txPr>
              <a:bodyPr rot="-1380000" wrap="square" lIns="0" tIns="0" rIns="0" bIns="0" anchor="ctr" anchorCtr="1">
                <a:spAutoFit/>
              </a:bodyPr>
              <a:lstStyle/>
              <a:p>
                <a:pPr>
                  <a:defRPr sz="565" b="1"/>
                </a:pPr>
                <a:endParaRPr lang="zh-TW"/>
              </a:p>
            </c:txPr>
            <c:dLblPos val="b"/>
            <c:showLegendKey val="0"/>
            <c:showVal val="1"/>
            <c:showCatName val="0"/>
            <c:showSerName val="0"/>
            <c:showPercent val="0"/>
            <c:showBubbleSize val="0"/>
            <c:showLeaderLines val="0"/>
          </c:dLbls>
          <c:val>
            <c:numRef>
              <c:f>基金資產配置!$G$36:$G$48</c:f>
              <c:numCache>
                <c:formatCode>0.0%</c:formatCode>
                <c:ptCount val="13"/>
                <c:pt idx="0">
                  <c:v>-0.1653</c:v>
                </c:pt>
                <c:pt idx="1">
                  <c:v>0.18210000000000001</c:v>
                </c:pt>
                <c:pt idx="2">
                  <c:v>3.9600000000000003E-2</c:v>
                </c:pt>
                <c:pt idx="3">
                  <c:v>-2.9700000000000001E-2</c:v>
                </c:pt>
                <c:pt idx="4">
                  <c:v>6.25E-2</c:v>
                </c:pt>
                <c:pt idx="5">
                  <c:v>6.3500000000000001E-2</c:v>
                </c:pt>
                <c:pt idx="6">
                  <c:v>5.6099999999999997E-2</c:v>
                </c:pt>
                <c:pt idx="7">
                  <c:v>-5.4999999999999997E-3</c:v>
                </c:pt>
                <c:pt idx="8">
                  <c:v>4.02E-2</c:v>
                </c:pt>
                <c:pt idx="9">
                  <c:v>7.8700000000000006E-2</c:v>
                </c:pt>
                <c:pt idx="10">
                  <c:v>-2.2200000000000001E-2</c:v>
                </c:pt>
                <c:pt idx="11" formatCode="0.00%">
                  <c:v>0.13300000000000001</c:v>
                </c:pt>
                <c:pt idx="12" formatCode="0.00%">
                  <c:v>8.8300000000000003E-2</c:v>
                </c:pt>
              </c:numCache>
            </c:numRef>
          </c:val>
          <c:smooth val="0"/>
        </c:ser>
        <c:dLbls>
          <c:showLegendKey val="0"/>
          <c:showVal val="0"/>
          <c:showCatName val="0"/>
          <c:showSerName val="0"/>
          <c:showPercent val="0"/>
          <c:showBubbleSize val="0"/>
        </c:dLbls>
        <c:marker val="1"/>
        <c:smooth val="0"/>
        <c:axId val="338065408"/>
        <c:axId val="337999488"/>
      </c:lineChart>
      <c:catAx>
        <c:axId val="337936384"/>
        <c:scaling>
          <c:orientation val="minMax"/>
        </c:scaling>
        <c:delete val="0"/>
        <c:axPos val="b"/>
        <c:title>
          <c:tx>
            <c:rich>
              <a:bodyPr/>
              <a:lstStyle/>
              <a:p>
                <a:pPr>
                  <a:defRPr sz="659" b="0" i="0" u="none" strike="noStrike" baseline="0">
                    <a:solidFill>
                      <a:srgbClr val="000000"/>
                    </a:solidFill>
                    <a:latin typeface="標楷體"/>
                    <a:ea typeface="標楷體"/>
                    <a:cs typeface="標楷體"/>
                  </a:defRPr>
                </a:pPr>
                <a:r>
                  <a:rPr lang="zh-TW" altLang="en-US"/>
                  <a:t>年度</a:t>
                </a:r>
              </a:p>
            </c:rich>
          </c:tx>
          <c:overlay val="0"/>
        </c:title>
        <c:numFmt formatCode="General" sourceLinked="1"/>
        <c:majorTickMark val="out"/>
        <c:minorTickMark val="none"/>
        <c:tickLblPos val="nextTo"/>
        <c:txPr>
          <a:bodyPr/>
          <a:lstStyle/>
          <a:p>
            <a:pPr>
              <a:defRPr sz="565"/>
            </a:pPr>
            <a:endParaRPr lang="zh-TW"/>
          </a:p>
        </c:txPr>
        <c:crossAx val="337998912"/>
        <c:crosses val="autoZero"/>
        <c:auto val="1"/>
        <c:lblAlgn val="ctr"/>
        <c:lblOffset val="100"/>
        <c:noMultiLvlLbl val="0"/>
      </c:catAx>
      <c:valAx>
        <c:axId val="337998912"/>
        <c:scaling>
          <c:orientation val="minMax"/>
          <c:max val="1"/>
        </c:scaling>
        <c:delete val="0"/>
        <c:axPos val="l"/>
        <c:majorGridlines/>
        <c:title>
          <c:tx>
            <c:rich>
              <a:bodyPr rot="0" vert="wordArtVertRtl"/>
              <a:lstStyle/>
              <a:p>
                <a:pPr algn="ctr">
                  <a:defRPr sz="659" b="0" i="0" u="none" strike="noStrike" baseline="0">
                    <a:solidFill>
                      <a:srgbClr val="000000"/>
                    </a:solidFill>
                    <a:latin typeface="標楷體"/>
                    <a:ea typeface="標楷體"/>
                    <a:cs typeface="標楷體"/>
                  </a:defRPr>
                </a:pPr>
                <a:r>
                  <a:rPr lang="zh-TW" altLang="en-US"/>
                  <a:t>各項投資項目比重</a:t>
                </a:r>
              </a:p>
            </c:rich>
          </c:tx>
          <c:layout>
            <c:manualLayout>
              <c:xMode val="edge"/>
              <c:yMode val="edge"/>
              <c:x val="3.1804210314418664E-2"/>
              <c:y val="0.1981665086366822"/>
            </c:manualLayout>
          </c:layout>
          <c:overlay val="0"/>
        </c:title>
        <c:numFmt formatCode="0%" sourceLinked="0"/>
        <c:majorTickMark val="out"/>
        <c:minorTickMark val="none"/>
        <c:tickLblPos val="nextTo"/>
        <c:txPr>
          <a:bodyPr/>
          <a:lstStyle/>
          <a:p>
            <a:pPr>
              <a:defRPr sz="565"/>
            </a:pPr>
            <a:endParaRPr lang="zh-TW"/>
          </a:p>
        </c:txPr>
        <c:crossAx val="337936384"/>
        <c:crosses val="autoZero"/>
        <c:crossBetween val="between"/>
      </c:valAx>
      <c:catAx>
        <c:axId val="338065408"/>
        <c:scaling>
          <c:orientation val="minMax"/>
        </c:scaling>
        <c:delete val="1"/>
        <c:axPos val="b"/>
        <c:majorTickMark val="out"/>
        <c:minorTickMark val="none"/>
        <c:tickLblPos val="nextTo"/>
        <c:crossAx val="337999488"/>
        <c:crosses val="autoZero"/>
        <c:auto val="1"/>
        <c:lblAlgn val="ctr"/>
        <c:lblOffset val="100"/>
        <c:noMultiLvlLbl val="0"/>
      </c:catAx>
      <c:valAx>
        <c:axId val="337999488"/>
        <c:scaling>
          <c:orientation val="minMax"/>
        </c:scaling>
        <c:delete val="0"/>
        <c:axPos val="r"/>
        <c:title>
          <c:tx>
            <c:rich>
              <a:bodyPr rot="0" vert="wordArtVertRtl"/>
              <a:lstStyle/>
              <a:p>
                <a:pPr>
                  <a:defRPr sz="659" b="0"/>
                </a:pPr>
                <a:r>
                  <a:rPr lang="zh-TW" sz="659" b="0"/>
                  <a:t>報酬率</a:t>
                </a:r>
              </a:p>
            </c:rich>
          </c:tx>
          <c:overlay val="0"/>
        </c:title>
        <c:numFmt formatCode="0%" sourceLinked="0"/>
        <c:majorTickMark val="out"/>
        <c:minorTickMark val="none"/>
        <c:tickLblPos val="nextTo"/>
        <c:txPr>
          <a:bodyPr/>
          <a:lstStyle/>
          <a:p>
            <a:pPr>
              <a:defRPr sz="565"/>
            </a:pPr>
            <a:endParaRPr lang="zh-TW"/>
          </a:p>
        </c:txPr>
        <c:crossAx val="338065408"/>
        <c:crosses val="max"/>
        <c:crossBetween val="between"/>
      </c:valAx>
    </c:plotArea>
    <c:legend>
      <c:legendPos val="r"/>
      <c:overlay val="0"/>
      <c:txPr>
        <a:bodyPr/>
        <a:lstStyle/>
        <a:p>
          <a:pPr>
            <a:defRPr sz="659"/>
          </a:pPr>
          <a:endParaRPr lang="zh-TW"/>
        </a:p>
      </c:txPr>
    </c:legend>
    <c:plotVisOnly val="1"/>
    <c:dispBlanksAs val="gap"/>
    <c:showDLblsOverMax val="0"/>
  </c:chart>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微軟正黑體" pitchFamily="34" charset="-120"/>
                <a:ea typeface="微軟正黑體" pitchFamily="34" charset="-120"/>
                <a:cs typeface="+mn-cs"/>
              </a:defRPr>
            </a:pPr>
            <a:r>
              <a:rPr lang="en-US" altLang="zh-TW" sz="1400" b="0" i="0" baseline="0">
                <a:solidFill>
                  <a:schemeClr val="tx1">
                    <a:lumMod val="75000"/>
                    <a:lumOff val="25000"/>
                  </a:schemeClr>
                </a:solidFill>
                <a:effectLst/>
                <a:latin typeface="微軟正黑體" pitchFamily="34" charset="-120"/>
                <a:ea typeface="微軟正黑體" pitchFamily="34" charset="-120"/>
              </a:rPr>
              <a:t>2020</a:t>
            </a:r>
            <a:r>
              <a:rPr lang="zh-TW" altLang="en-US" sz="1400" b="0" i="0" baseline="0">
                <a:solidFill>
                  <a:schemeClr val="tx1">
                    <a:lumMod val="75000"/>
                    <a:lumOff val="25000"/>
                  </a:schemeClr>
                </a:solidFill>
                <a:effectLst/>
                <a:latin typeface="微軟正黑體" pitchFamily="34" charset="-120"/>
                <a:ea typeface="微軟正黑體" pitchFamily="34" charset="-120"/>
              </a:rPr>
              <a:t>年</a:t>
            </a:r>
            <a:r>
              <a:rPr lang="zh-TW" altLang="zh-TW" sz="1400" b="0" i="0" baseline="0">
                <a:solidFill>
                  <a:schemeClr val="tx1">
                    <a:lumMod val="75000"/>
                    <a:lumOff val="25000"/>
                  </a:schemeClr>
                </a:solidFill>
                <a:effectLst/>
                <a:latin typeface="微軟正黑體" pitchFamily="34" charset="-120"/>
                <a:ea typeface="微軟正黑體" pitchFamily="34" charset="-120"/>
              </a:rPr>
              <a:t>各國 </a:t>
            </a:r>
            <a:r>
              <a:rPr lang="en-US" altLang="zh-TW" sz="1400" b="0" i="0" baseline="0">
                <a:solidFill>
                  <a:schemeClr val="tx1">
                    <a:lumMod val="75000"/>
                    <a:lumOff val="25000"/>
                  </a:schemeClr>
                </a:solidFill>
                <a:effectLst/>
                <a:latin typeface="微軟正黑體" pitchFamily="34" charset="-120"/>
                <a:ea typeface="微軟正黑體" pitchFamily="34" charset="-120"/>
              </a:rPr>
              <a:t>55-64</a:t>
            </a:r>
            <a:r>
              <a:rPr lang="zh-TW" altLang="zh-TW" sz="1400" b="0" i="0" baseline="0">
                <a:solidFill>
                  <a:schemeClr val="tx1">
                    <a:lumMod val="75000"/>
                    <a:lumOff val="25000"/>
                  </a:schemeClr>
                </a:solidFill>
                <a:effectLst/>
                <a:latin typeface="微軟正黑體" pitchFamily="34" charset="-120"/>
                <a:ea typeface="微軟正黑體" pitchFamily="34" charset="-120"/>
              </a:rPr>
              <a:t>歲就業率</a:t>
            </a:r>
            <a:endParaRPr lang="zh-TW" altLang="zh-TW" sz="1400" b="0">
              <a:solidFill>
                <a:schemeClr val="tx1">
                  <a:lumMod val="75000"/>
                  <a:lumOff val="25000"/>
                </a:schemeClr>
              </a:solidFill>
              <a:effectLst/>
              <a:latin typeface="微軟正黑體" pitchFamily="34" charset="-120"/>
              <a:ea typeface="微軟正黑體" pitchFamily="34" charset="-120"/>
            </a:endParaRPr>
          </a:p>
        </c:rich>
      </c:tx>
      <c:layout>
        <c:manualLayout>
          <c:xMode val="edge"/>
          <c:yMode val="edge"/>
          <c:x val="0.29905969643275288"/>
          <c:y val="2.6450652426084215E-2"/>
        </c:manualLayout>
      </c:layout>
      <c:overlay val="0"/>
      <c:spPr>
        <a:noFill/>
        <a:ln>
          <a:noFill/>
        </a:ln>
        <a:effectLst/>
      </c:spPr>
    </c:title>
    <c:autoTitleDeleted val="0"/>
    <c:plotArea>
      <c:layout>
        <c:manualLayout>
          <c:layoutTarget val="inner"/>
          <c:xMode val="edge"/>
          <c:yMode val="edge"/>
          <c:x val="5.6614476366585072E-2"/>
          <c:y val="0.12377974138161449"/>
          <c:w val="0.89853963153547101"/>
          <c:h val="0.59060490402039867"/>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FFFF"/>
              </a:solidFill>
              <a:ln>
                <a:noFill/>
              </a:ln>
              <a:effectLst/>
            </c:spPr>
            <c:extLst xmlns:c16r2="http://schemas.microsoft.com/office/drawing/2015/06/chart">
              <c:ext xmlns:c16="http://schemas.microsoft.com/office/drawing/2014/chart" uri="{C3380CC4-5D6E-409C-BE32-E72D297353CC}">
                <c16:uniqueId val="{00000001-E5EE-475B-A955-8DEE73F2E1C7}"/>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E5EE-475B-A955-8DEE73F2E1C7}"/>
              </c:ext>
            </c:extLst>
          </c:dPt>
          <c:dPt>
            <c:idx val="8"/>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5-E5EE-475B-A955-8DEE73F2E1C7}"/>
              </c:ext>
            </c:extLst>
          </c:dPt>
          <c:dPt>
            <c:idx val="9"/>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7-E5EE-475B-A955-8DEE73F2E1C7}"/>
              </c:ext>
            </c:extLst>
          </c:dPt>
          <c:dPt>
            <c:idx val="18"/>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9-E5EE-475B-A955-8DEE73F2E1C7}"/>
              </c:ext>
            </c:extLst>
          </c:dPt>
          <c:dPt>
            <c:idx val="20"/>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B-E5EE-475B-A955-8DEE73F2E1C7}"/>
              </c:ext>
            </c:extLst>
          </c:dPt>
          <c:dPt>
            <c:idx val="25"/>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D-E5EE-475B-A955-8DEE73F2E1C7}"/>
              </c:ext>
            </c:extLst>
          </c:dPt>
          <c:dPt>
            <c:idx val="26"/>
            <c:invertIfNegative val="0"/>
            <c:bubble3D val="0"/>
            <c:spPr>
              <a:solidFill>
                <a:srgbClr val="009900"/>
              </a:solidFill>
              <a:ln>
                <a:noFill/>
              </a:ln>
              <a:effectLst/>
            </c:spPr>
            <c:extLst xmlns:c16r2="http://schemas.microsoft.com/office/drawing/2015/06/chart">
              <c:ext xmlns:c16="http://schemas.microsoft.com/office/drawing/2014/chart" uri="{C3380CC4-5D6E-409C-BE32-E72D297353CC}">
                <c16:uniqueId val="{0000000F-E5EE-475B-A955-8DEE73F2E1C7}"/>
              </c:ext>
            </c:extLst>
          </c:dPt>
          <c:dPt>
            <c:idx val="34"/>
            <c:invertIfNegative val="0"/>
            <c:bubble3D val="0"/>
            <c:spPr>
              <a:solidFill>
                <a:srgbClr val="99FF66"/>
              </a:solidFill>
              <a:ln>
                <a:noFill/>
              </a:ln>
              <a:effectLst/>
            </c:spPr>
            <c:extLst xmlns:c16r2="http://schemas.microsoft.com/office/drawing/2015/06/chart">
              <c:ext xmlns:c16="http://schemas.microsoft.com/office/drawing/2014/chart" uri="{C3380CC4-5D6E-409C-BE32-E72D297353CC}">
                <c16:uniqueId val="{00000011-E5EE-475B-A955-8DEE73F2E1C7}"/>
              </c:ext>
            </c:extLst>
          </c:dPt>
          <c:dPt>
            <c:idx val="38"/>
            <c:invertIfNegative val="0"/>
            <c:bubble3D val="0"/>
            <c:spPr>
              <a:solidFill>
                <a:srgbClr val="FF00FF"/>
              </a:solidFill>
              <a:ln>
                <a:noFill/>
              </a:ln>
              <a:effectLst/>
            </c:spPr>
            <c:extLst xmlns:c16r2="http://schemas.microsoft.com/office/drawing/2015/06/chart">
              <c:ext xmlns:c16="http://schemas.microsoft.com/office/drawing/2014/chart" uri="{C3380CC4-5D6E-409C-BE32-E72D297353CC}">
                <c16:uniqueId val="{00000013-E5EE-475B-A955-8DEE73F2E1C7}"/>
              </c:ext>
            </c:extLst>
          </c:dPt>
          <c:dPt>
            <c:idx val="40"/>
            <c:invertIfNegative val="0"/>
            <c:bubble3D val="0"/>
            <c:spPr>
              <a:solidFill>
                <a:srgbClr val="CCCCFF"/>
              </a:solidFill>
              <a:ln>
                <a:noFill/>
              </a:ln>
              <a:effectLst/>
            </c:spPr>
            <c:extLst xmlns:c16r2="http://schemas.microsoft.com/office/drawing/2015/06/chart">
              <c:ext xmlns:c16="http://schemas.microsoft.com/office/drawing/2014/chart" uri="{C3380CC4-5D6E-409C-BE32-E72D297353CC}">
                <c16:uniqueId val="{00000015-E5EE-475B-A955-8DEE73F2E1C7}"/>
              </c:ext>
            </c:extLst>
          </c:dPt>
          <c:dPt>
            <c:idx val="41"/>
            <c:invertIfNegative val="0"/>
            <c:bubble3D val="0"/>
            <c:spPr>
              <a:solidFill>
                <a:srgbClr val="0000FF"/>
              </a:solidFill>
              <a:ln>
                <a:noFill/>
              </a:ln>
              <a:effectLst/>
            </c:spPr>
            <c:extLst xmlns:c16r2="http://schemas.microsoft.com/office/drawing/2015/06/chart">
              <c:ext xmlns:c16="http://schemas.microsoft.com/office/drawing/2014/chart" uri="{C3380CC4-5D6E-409C-BE32-E72D297353CC}">
                <c16:uniqueId val="{00000017-E5EE-475B-A955-8DEE73F2E1C7}"/>
              </c:ext>
            </c:extLst>
          </c:dPt>
          <c:dLbls>
            <c:dLbl>
              <c:idx val="0"/>
              <c:spPr>
                <a:noFill/>
                <a:ln>
                  <a:solidFill>
                    <a:srgbClr val="00FFFF"/>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EE-475B-A955-8DEE73F2E1C7}"/>
                </c:ext>
              </c:extLst>
            </c:dLbl>
            <c:dLbl>
              <c:idx val="4"/>
              <c:spPr>
                <a:noFill/>
                <a:ln>
                  <a:solidFill>
                    <a:srgbClr val="FF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EE-475B-A955-8DEE73F2E1C7}"/>
                </c:ext>
              </c:extLst>
            </c:dLbl>
            <c:dLbl>
              <c:idx val="8"/>
              <c:layout>
                <c:manualLayout>
                  <c:x val="3.0342802958538218E-17"/>
                  <c:y val="1.20048019207683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5EE-475B-A955-8DEE73F2E1C7}"/>
                </c:ext>
              </c:extLst>
            </c:dLbl>
            <c:dLbl>
              <c:idx val="9"/>
              <c:layout>
                <c:manualLayout>
                  <c:x val="-6.0685605917076436E-17"/>
                  <c:y val="-2.000800320128054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5EE-475B-A955-8DEE73F2E1C7}"/>
                </c:ext>
              </c:extLst>
            </c:dLbl>
            <c:dLbl>
              <c:idx val="18"/>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5EE-475B-A955-8DEE73F2E1C7}"/>
                </c:ext>
              </c:extLst>
            </c:dLbl>
            <c:dLbl>
              <c:idx val="2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5EE-475B-A955-8DEE73F2E1C7}"/>
                </c:ext>
              </c:extLst>
            </c:dLbl>
            <c:dLbl>
              <c:idx val="25"/>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5EE-475B-A955-8DEE73F2E1C7}"/>
                </c:ext>
              </c:extLst>
            </c:dLbl>
            <c:dLbl>
              <c:idx val="26"/>
              <c:layout>
                <c:manualLayout>
                  <c:x val="0"/>
                  <c:y val="-2.400960384153661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5EE-475B-A955-8DEE73F2E1C7}"/>
                </c:ext>
              </c:extLst>
            </c:dLbl>
            <c:dLbl>
              <c:idx val="3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5EE-475B-A955-8DEE73F2E1C7}"/>
                </c:ext>
              </c:extLst>
            </c:dLbl>
            <c:dLbl>
              <c:idx val="38"/>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5EE-475B-A955-8DEE73F2E1C7}"/>
                </c:ext>
              </c:extLst>
            </c:dLbl>
            <c:dLbl>
              <c:idx val="4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5EE-475B-A955-8DEE73F2E1C7}"/>
                </c:ext>
              </c:extLst>
            </c:dLbl>
            <c:dLbl>
              <c:idx val="41"/>
              <c:layout>
                <c:manualLayout>
                  <c:x val="-1.6550810989738498E-3"/>
                  <c:y val="-3.20128051220488E-2"/>
                </c:manualLayout>
              </c:layout>
              <c:spPr>
                <a:noFill/>
                <a:ln>
                  <a:solidFill>
                    <a:srgbClr val="0000FF"/>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5EE-475B-A955-8DEE73F2E1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('2020各國55-64歲就業率'!$K$2:$K$6,'2020各國55-64歲就業率'!$K$9:$K$18,'2020各國55-64歲就業率'!$K$20:$K$46)</c:f>
              <c:strCache>
                <c:ptCount val="42"/>
                <c:pt idx="0">
                  <c:v>土耳其</c:v>
                </c:pt>
                <c:pt idx="1">
                  <c:v>南非</c:v>
                </c:pt>
                <c:pt idx="2">
                  <c:v>盧森堡</c:v>
                </c:pt>
                <c:pt idx="3">
                  <c:v>希臘</c:v>
                </c:pt>
                <c:pt idx="4">
                  <c:v>台灣</c:v>
                </c:pt>
                <c:pt idx="5">
                  <c:v>俄羅斯</c:v>
                </c:pt>
                <c:pt idx="6">
                  <c:v>波蘭</c:v>
                </c:pt>
                <c:pt idx="7">
                  <c:v>比利時</c:v>
                </c:pt>
                <c:pt idx="8">
                  <c:v>法國</c:v>
                </c:pt>
                <c:pt idx="9">
                  <c:v>義大利</c:v>
                </c:pt>
                <c:pt idx="10">
                  <c:v>哥倫比亞</c:v>
                </c:pt>
                <c:pt idx="11">
                  <c:v>奧地利</c:v>
                </c:pt>
                <c:pt idx="12">
                  <c:v>西班牙</c:v>
                </c:pt>
                <c:pt idx="13">
                  <c:v>墨西哥</c:v>
                </c:pt>
                <c:pt idx="14">
                  <c:v>智利</c:v>
                </c:pt>
                <c:pt idx="15">
                  <c:v>匈牙利</c:v>
                </c:pt>
                <c:pt idx="16">
                  <c:v>歐盟27國</c:v>
                </c:pt>
                <c:pt idx="17">
                  <c:v>歐元區19國</c:v>
                </c:pt>
                <c:pt idx="18">
                  <c:v>美國</c:v>
                </c:pt>
                <c:pt idx="19">
                  <c:v>加拿大</c:v>
                </c:pt>
                <c:pt idx="20">
                  <c:v>OECD平均值</c:v>
                </c:pt>
                <c:pt idx="21">
                  <c:v>葡萄牙</c:v>
                </c:pt>
                <c:pt idx="22">
                  <c:v>愛爾蘭</c:v>
                </c:pt>
                <c:pt idx="23">
                  <c:v>澳大利亞</c:v>
                </c:pt>
                <c:pt idx="24">
                  <c:v>G7</c:v>
                </c:pt>
                <c:pt idx="25">
                  <c:v>韓國</c:v>
                </c:pt>
                <c:pt idx="26">
                  <c:v>英國</c:v>
                </c:pt>
                <c:pt idx="27">
                  <c:v>芬蘭</c:v>
                </c:pt>
                <c:pt idx="28">
                  <c:v>立陶宛</c:v>
                </c:pt>
                <c:pt idx="29">
                  <c:v>以色列</c:v>
                </c:pt>
                <c:pt idx="30">
                  <c:v>捷克</c:v>
                </c:pt>
                <c:pt idx="31">
                  <c:v>拉脫維亞</c:v>
                </c:pt>
                <c:pt idx="32">
                  <c:v>荷蘭</c:v>
                </c:pt>
                <c:pt idx="33">
                  <c:v>丹麥</c:v>
                </c:pt>
                <c:pt idx="34">
                  <c:v>德國</c:v>
                </c:pt>
                <c:pt idx="35">
                  <c:v>愛沙尼亞</c:v>
                </c:pt>
                <c:pt idx="36">
                  <c:v>挪威</c:v>
                </c:pt>
                <c:pt idx="37">
                  <c:v>瑞士</c:v>
                </c:pt>
                <c:pt idx="38">
                  <c:v>日本</c:v>
                </c:pt>
                <c:pt idx="39">
                  <c:v>紐西蘭</c:v>
                </c:pt>
                <c:pt idx="40">
                  <c:v>瑞典</c:v>
                </c:pt>
                <c:pt idx="41">
                  <c:v>冰島</c:v>
                </c:pt>
              </c:strCache>
              <c:extLst xmlns:c16r2="http://schemas.microsoft.com/office/drawing/2015/06/chart"/>
            </c:strRef>
          </c:cat>
          <c:val>
            <c:numRef>
              <c:f>('2020各國55-64歲就業率'!$L$2:$L$6,'2020各國55-64歲就業率'!$L$9:$L$18,'2020各國55-64歲就業率'!$L$20:$L$46)</c:f>
              <c:numCache>
                <c:formatCode>General</c:formatCode>
                <c:ptCount val="42"/>
                <c:pt idx="0">
                  <c:v>31.1</c:v>
                </c:pt>
                <c:pt idx="1">
                  <c:v>37.200000000000003</c:v>
                </c:pt>
                <c:pt idx="2">
                  <c:v>44</c:v>
                </c:pt>
                <c:pt idx="3">
                  <c:v>44.6</c:v>
                </c:pt>
                <c:pt idx="4">
                  <c:v>47</c:v>
                </c:pt>
                <c:pt idx="5">
                  <c:v>50.7</c:v>
                </c:pt>
                <c:pt idx="6">
                  <c:v>51.8</c:v>
                </c:pt>
                <c:pt idx="7">
                  <c:v>53.3</c:v>
                </c:pt>
                <c:pt idx="8">
                  <c:v>53.8</c:v>
                </c:pt>
                <c:pt idx="9">
                  <c:v>54.2</c:v>
                </c:pt>
                <c:pt idx="10">
                  <c:v>54.3</c:v>
                </c:pt>
                <c:pt idx="11">
                  <c:v>54.7</c:v>
                </c:pt>
                <c:pt idx="12">
                  <c:v>54.7</c:v>
                </c:pt>
                <c:pt idx="13">
                  <c:v>56</c:v>
                </c:pt>
                <c:pt idx="14">
                  <c:v>56.2</c:v>
                </c:pt>
                <c:pt idx="15">
                  <c:v>59.6</c:v>
                </c:pt>
                <c:pt idx="16">
                  <c:v>59.6</c:v>
                </c:pt>
                <c:pt idx="17">
                  <c:v>60.2</c:v>
                </c:pt>
                <c:pt idx="18">
                  <c:v>60.3</c:v>
                </c:pt>
                <c:pt idx="19">
                  <c:v>60.4</c:v>
                </c:pt>
                <c:pt idx="20">
                  <c:v>60.4</c:v>
                </c:pt>
                <c:pt idx="21">
                  <c:v>60.8</c:v>
                </c:pt>
                <c:pt idx="22">
                  <c:v>61.8</c:v>
                </c:pt>
                <c:pt idx="23">
                  <c:v>63.6</c:v>
                </c:pt>
                <c:pt idx="24">
                  <c:v>63.7</c:v>
                </c:pt>
                <c:pt idx="25">
                  <c:v>66.599999999999994</c:v>
                </c:pt>
                <c:pt idx="26">
                  <c:v>67</c:v>
                </c:pt>
                <c:pt idx="27">
                  <c:v>67.5</c:v>
                </c:pt>
                <c:pt idx="28">
                  <c:v>67.599999999999994</c:v>
                </c:pt>
                <c:pt idx="29">
                  <c:v>67.900000000000006</c:v>
                </c:pt>
                <c:pt idx="30">
                  <c:v>68.2</c:v>
                </c:pt>
                <c:pt idx="31">
                  <c:v>68.599999999999994</c:v>
                </c:pt>
                <c:pt idx="32">
                  <c:v>71</c:v>
                </c:pt>
                <c:pt idx="33">
                  <c:v>71.400000000000006</c:v>
                </c:pt>
                <c:pt idx="34">
                  <c:v>71.8</c:v>
                </c:pt>
                <c:pt idx="35">
                  <c:v>72</c:v>
                </c:pt>
                <c:pt idx="36">
                  <c:v>72.8</c:v>
                </c:pt>
                <c:pt idx="37">
                  <c:v>73.5</c:v>
                </c:pt>
                <c:pt idx="38">
                  <c:v>76.8</c:v>
                </c:pt>
                <c:pt idx="39">
                  <c:v>76.8</c:v>
                </c:pt>
                <c:pt idx="40">
                  <c:v>77.599999999999994</c:v>
                </c:pt>
                <c:pt idx="41">
                  <c:v>79.3</c:v>
                </c:pt>
              </c:numCache>
              <c:extLst xmlns:c16r2="http://schemas.microsoft.com/office/drawing/2015/06/chart"/>
            </c:numRef>
          </c:val>
          <c:extLst xmlns:c16r2="http://schemas.microsoft.com/office/drawing/2015/06/chart">
            <c:ext xmlns:c16="http://schemas.microsoft.com/office/drawing/2014/chart" uri="{C3380CC4-5D6E-409C-BE32-E72D297353CC}">
              <c16:uniqueId val="{00000018-E5EE-475B-A955-8DEE73F2E1C7}"/>
            </c:ext>
          </c:extLst>
        </c:ser>
        <c:dLbls>
          <c:showLegendKey val="0"/>
          <c:showVal val="0"/>
          <c:showCatName val="0"/>
          <c:showSerName val="0"/>
          <c:showPercent val="0"/>
          <c:showBubbleSize val="0"/>
        </c:dLbls>
        <c:gapWidth val="58"/>
        <c:overlap val="-27"/>
        <c:axId val="338066432"/>
        <c:axId val="338000064"/>
      </c:barChart>
      <c:catAx>
        <c:axId val="33806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a:t>
                </a:r>
                <a:endParaRPr lang="zh-TW" altLang="en-US"/>
              </a:p>
            </c:rich>
          </c:tx>
          <c:layout>
            <c:manualLayout>
              <c:xMode val="edge"/>
              <c:yMode val="edge"/>
              <c:x val="1.74797948980891E-2"/>
              <c:y val="4.9050743657042872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wordArtVertRtl" wrap="square" anchor="ctr" anchorCtr="1"/>
          <a:lstStyle/>
          <a:p>
            <a:pPr>
              <a:defRPr sz="700" b="0" i="0" u="none" strike="noStrike" kern="1200" baseline="0">
                <a:ln w="0">
                  <a:noFill/>
                </a:ln>
                <a:solidFill>
                  <a:schemeClr val="tx1"/>
                </a:solidFill>
                <a:latin typeface="微軟正黑體" pitchFamily="34" charset="-120"/>
                <a:ea typeface="微軟正黑體" pitchFamily="34" charset="-120"/>
                <a:cs typeface="+mn-cs"/>
              </a:defRPr>
            </a:pPr>
            <a:endParaRPr lang="zh-TW"/>
          </a:p>
        </c:txPr>
        <c:crossAx val="338000064"/>
        <c:crosses val="autoZero"/>
        <c:auto val="1"/>
        <c:lblAlgn val="ctr"/>
        <c:lblOffset val="100"/>
        <c:noMultiLvlLbl val="0"/>
      </c:catAx>
      <c:valAx>
        <c:axId val="33800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crossAx val="338066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微軟正黑體" pitchFamily="34" charset="-120"/>
                <a:ea typeface="微軟正黑體" pitchFamily="34" charset="-120"/>
                <a:cs typeface="+mn-cs"/>
              </a:defRPr>
            </a:pPr>
            <a:r>
              <a:rPr lang="en-US" sz="1400" dirty="0">
                <a:solidFill>
                  <a:schemeClr val="tx1">
                    <a:lumMod val="75000"/>
                    <a:lumOff val="25000"/>
                  </a:schemeClr>
                </a:solidFill>
                <a:latin typeface="微軟正黑體" pitchFamily="34" charset="-120"/>
                <a:ea typeface="微軟正黑體" pitchFamily="34" charset="-120"/>
                <a:cs typeface="Times New Roman" panose="02020603050405020304" pitchFamily="18" charset="0"/>
              </a:rPr>
              <a:t>2017-2020</a:t>
            </a:r>
            <a:r>
              <a:rPr lang="zh-TW" altLang="en-US" sz="1400" dirty="0">
                <a:solidFill>
                  <a:schemeClr val="tx1">
                    <a:lumMod val="75000"/>
                    <a:lumOff val="25000"/>
                  </a:schemeClr>
                </a:solidFill>
                <a:latin typeface="微軟正黑體" pitchFamily="34" charset="-120"/>
                <a:ea typeface="微軟正黑體" pitchFamily="34" charset="-120"/>
                <a:cs typeface="Times New Roman" panose="02020603050405020304" pitchFamily="18" charset="0"/>
              </a:rPr>
              <a:t>年</a:t>
            </a:r>
            <a:r>
              <a:rPr lang="zh-TW" sz="1400" dirty="0">
                <a:solidFill>
                  <a:schemeClr val="tx1">
                    <a:lumMod val="75000"/>
                    <a:lumOff val="25000"/>
                  </a:schemeClr>
                </a:solidFill>
                <a:latin typeface="微軟正黑體" pitchFamily="34" charset="-120"/>
                <a:ea typeface="微軟正黑體" pitchFamily="34" charset="-120"/>
              </a:rPr>
              <a:t>各國部分工時就業率</a:t>
            </a:r>
          </a:p>
        </c:rich>
      </c:tx>
      <c:layout>
        <c:manualLayout>
          <c:xMode val="edge"/>
          <c:yMode val="edge"/>
          <c:x val="0.27125879822051419"/>
          <c:y val="1.3088906846071448E-2"/>
        </c:manualLayout>
      </c:layout>
      <c:overlay val="0"/>
      <c:spPr>
        <a:noFill/>
        <a:ln>
          <a:noFill/>
        </a:ln>
        <a:effectLst/>
      </c:spPr>
    </c:title>
    <c:autoTitleDeleted val="0"/>
    <c:plotArea>
      <c:layout>
        <c:manualLayout>
          <c:layoutTarget val="inner"/>
          <c:xMode val="edge"/>
          <c:yMode val="edge"/>
          <c:x val="5.1557088421798514E-2"/>
          <c:y val="0.14000000000000001"/>
          <c:w val="0.91060804899387582"/>
          <c:h val="0.66426440430709255"/>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B279-432B-B9EE-DF2C234ED75C}"/>
              </c:ext>
            </c:extLst>
          </c:dPt>
          <c:dPt>
            <c:idx val="12"/>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3-B279-432B-B9EE-DF2C234ED75C}"/>
              </c:ext>
            </c:extLst>
          </c:dPt>
          <c:dPt>
            <c:idx val="14"/>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5-B279-432B-B9EE-DF2C234ED75C}"/>
              </c:ext>
            </c:extLst>
          </c:dPt>
          <c:dPt>
            <c:idx val="16"/>
            <c:invertIfNegative val="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07-B279-432B-B9EE-DF2C234ED75C}"/>
              </c:ext>
            </c:extLst>
          </c:dPt>
          <c:dPt>
            <c:idx val="21"/>
            <c:invertIfNegative val="0"/>
            <c:bubble3D val="0"/>
            <c:spPr>
              <a:solidFill>
                <a:srgbClr val="FF66FF"/>
              </a:solidFill>
              <a:ln>
                <a:noFill/>
              </a:ln>
              <a:effectLst/>
            </c:spPr>
            <c:extLst xmlns:c16r2="http://schemas.microsoft.com/office/drawing/2015/06/chart">
              <c:ext xmlns:c16="http://schemas.microsoft.com/office/drawing/2014/chart" uri="{C3380CC4-5D6E-409C-BE32-E72D297353CC}">
                <c16:uniqueId val="{00000009-B279-432B-B9EE-DF2C234ED75C}"/>
              </c:ext>
            </c:extLst>
          </c:dPt>
          <c:dPt>
            <c:idx val="2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B-B279-432B-B9EE-DF2C234ED75C}"/>
              </c:ext>
            </c:extLst>
          </c:dPt>
          <c:dPt>
            <c:idx val="29"/>
            <c:invertIfNegative val="0"/>
            <c:bubble3D val="0"/>
            <c:spPr>
              <a:solidFill>
                <a:srgbClr val="CCCCFF"/>
              </a:solidFill>
              <a:ln>
                <a:noFill/>
              </a:ln>
              <a:effectLst/>
            </c:spPr>
            <c:extLst xmlns:c16r2="http://schemas.microsoft.com/office/drawing/2015/06/chart">
              <c:ext xmlns:c16="http://schemas.microsoft.com/office/drawing/2014/chart" uri="{C3380CC4-5D6E-409C-BE32-E72D297353CC}">
                <c16:uniqueId val="{0000000D-B279-432B-B9EE-DF2C234ED75C}"/>
              </c:ext>
            </c:extLst>
          </c:dPt>
          <c:dPt>
            <c:idx val="36"/>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F-B279-432B-B9EE-DF2C234ED75C}"/>
              </c:ext>
            </c:extLst>
          </c:dPt>
          <c:dPt>
            <c:idx val="37"/>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11-B279-432B-B9EE-DF2C234ED75C}"/>
              </c:ext>
            </c:extLst>
          </c:dPt>
          <c:dPt>
            <c:idx val="39"/>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13-B279-432B-B9EE-DF2C234ED75C}"/>
              </c:ext>
            </c:extLst>
          </c:dPt>
          <c:dPt>
            <c:idx val="42"/>
            <c:invertIfNegative val="0"/>
            <c:bubble3D val="0"/>
            <c:spPr>
              <a:solidFill>
                <a:srgbClr val="0000FF"/>
              </a:solidFill>
              <a:ln>
                <a:noFill/>
              </a:ln>
              <a:effectLst/>
            </c:spPr>
            <c:extLst xmlns:c16r2="http://schemas.microsoft.com/office/drawing/2015/06/chart">
              <c:ext xmlns:c16="http://schemas.microsoft.com/office/drawing/2014/chart" uri="{C3380CC4-5D6E-409C-BE32-E72D297353CC}">
                <c16:uniqueId val="{00000015-B279-432B-B9EE-DF2C234ED75C}"/>
              </c:ext>
            </c:extLst>
          </c:dPt>
          <c:dLbls>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B279-432B-B9EE-DF2C234ED75C}"/>
                </c:ext>
              </c:extLst>
            </c:dLbl>
            <c:dLbl>
              <c:idx val="1"/>
              <c:layout>
                <c:manualLayout>
                  <c:x val="0"/>
                  <c:y val="-4.1551876421175353E-2"/>
                </c:manualLayout>
              </c:layout>
              <c:spPr>
                <a:noFill/>
                <a:ln>
                  <a:solidFill>
                    <a:srgbClr val="FF0000"/>
                  </a:solid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79-432B-B9EE-DF2C234ED75C}"/>
                </c:ext>
              </c:extLst>
            </c:dLbl>
            <c:dLbl>
              <c:idx val="2"/>
              <c:layout>
                <c:manualLayout>
                  <c:x val="0"/>
                  <c:y val="1.193317422434352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711A-4806-95B4-8AB260D86C1E}"/>
                </c:ext>
              </c:extLst>
            </c:dLbl>
            <c:dLbl>
              <c:idx val="12"/>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79-432B-B9EE-DF2C234ED75C}"/>
                </c:ext>
              </c:extLst>
            </c:dLbl>
            <c:dLbl>
              <c:idx val="1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79-432B-B9EE-DF2C234ED75C}"/>
                </c:ext>
              </c:extLst>
            </c:dLbl>
            <c:dLbl>
              <c:idx val="16"/>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279-432B-B9EE-DF2C234ED75C}"/>
                </c:ext>
              </c:extLst>
            </c:dLbl>
            <c:dLbl>
              <c:idx val="21"/>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79-432B-B9EE-DF2C234ED75C}"/>
                </c:ext>
              </c:extLst>
            </c:dLbl>
            <c:dLbl>
              <c:idx val="2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279-432B-B9EE-DF2C234ED75C}"/>
                </c:ext>
              </c:extLst>
            </c:dLbl>
            <c:dLbl>
              <c:idx val="29"/>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279-432B-B9EE-DF2C234ED75C}"/>
                </c:ext>
              </c:extLst>
            </c:dLbl>
            <c:dLbl>
              <c:idx val="36"/>
              <c:layout>
                <c:manualLayout>
                  <c:x val="-8.0612656187021361E-3"/>
                  <c:y val="-5.138746145940437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279-432B-B9EE-DF2C234ED75C}"/>
                </c:ext>
              </c:extLst>
            </c:dLbl>
            <c:dLbl>
              <c:idx val="37"/>
              <c:layout>
                <c:manualLayout>
                  <c:x val="0"/>
                  <c:y val="-7.19424460431655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B279-432B-B9EE-DF2C234ED75C}"/>
                </c:ext>
              </c:extLst>
            </c:dLbl>
            <c:dLbl>
              <c:idx val="39"/>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279-432B-B9EE-DF2C234ED75C}"/>
                </c:ext>
              </c:extLst>
            </c:dLbl>
            <c:dLbl>
              <c:idx val="42"/>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279-432B-B9EE-DF2C234ED75C}"/>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('各國 Part time 就業率'!$B$7:$B$8,'各國 Part time 就業率'!$B$11,'各國 Part time 就業率'!$B$13,'各國 Part time 就業率'!$B$15:$B$18,'各國 Part time 就業率'!$B$23:$B$28,'各國 Part time 就業率'!$B$30:$B$58)</c:f>
              <c:strCache>
                <c:ptCount val="43"/>
                <c:pt idx="0">
                  <c:v>保加利亞</c:v>
                </c:pt>
                <c:pt idx="1">
                  <c:v>台灣</c:v>
                </c:pt>
                <c:pt idx="2">
                  <c:v>俄羅斯</c:v>
                </c:pt>
                <c:pt idx="3">
                  <c:v>匈牙利</c:v>
                </c:pt>
                <c:pt idx="4">
                  <c:v>捷克</c:v>
                </c:pt>
                <c:pt idx="5">
                  <c:v>立陶宛</c:v>
                </c:pt>
                <c:pt idx="6">
                  <c:v>波蘭</c:v>
                </c:pt>
                <c:pt idx="7">
                  <c:v>葡萄牙</c:v>
                </c:pt>
                <c:pt idx="8">
                  <c:v>愛沙尼亞</c:v>
                </c:pt>
                <c:pt idx="9">
                  <c:v>希臘</c:v>
                </c:pt>
                <c:pt idx="10">
                  <c:v>南非</c:v>
                </c:pt>
                <c:pt idx="11">
                  <c:v>土耳其</c:v>
                </c:pt>
                <c:pt idx="12">
                  <c:v>美國</c:v>
                </c:pt>
                <c:pt idx="13">
                  <c:v>西班牙</c:v>
                </c:pt>
                <c:pt idx="14">
                  <c:v>法國</c:v>
                </c:pt>
                <c:pt idx="15">
                  <c:v>芬蘭</c:v>
                </c:pt>
                <c:pt idx="16">
                  <c:v>瑞典</c:v>
                </c:pt>
                <c:pt idx="17">
                  <c:v>以色列</c:v>
                </c:pt>
                <c:pt idx="18">
                  <c:v>巴西</c:v>
                </c:pt>
                <c:pt idx="19">
                  <c:v>哥倫比亞</c:v>
                </c:pt>
                <c:pt idx="20">
                  <c:v>歐盟27國</c:v>
                </c:pt>
                <c:pt idx="21">
                  <c:v>韓國</c:v>
                </c:pt>
                <c:pt idx="22">
                  <c:v>智利</c:v>
                </c:pt>
                <c:pt idx="23">
                  <c:v>比利時</c:v>
                </c:pt>
                <c:pt idx="24">
                  <c:v>OECD平均值</c:v>
                </c:pt>
                <c:pt idx="25">
                  <c:v>冰島</c:v>
                </c:pt>
                <c:pt idx="26">
                  <c:v>G7</c:v>
                </c:pt>
                <c:pt idx="27">
                  <c:v>哥斯大黎加</c:v>
                </c:pt>
                <c:pt idx="28">
                  <c:v>墨西哥</c:v>
                </c:pt>
                <c:pt idx="29">
                  <c:v>義大利</c:v>
                </c:pt>
                <c:pt idx="30">
                  <c:v>加拿大</c:v>
                </c:pt>
                <c:pt idx="31">
                  <c:v>丹麥</c:v>
                </c:pt>
                <c:pt idx="32">
                  <c:v>愛爾蘭</c:v>
                </c:pt>
                <c:pt idx="33">
                  <c:v>奧地利</c:v>
                </c:pt>
                <c:pt idx="34">
                  <c:v>紐西蘭</c:v>
                </c:pt>
                <c:pt idx="35">
                  <c:v>挪威 </c:v>
                </c:pt>
                <c:pt idx="36">
                  <c:v>德國</c:v>
                </c:pt>
                <c:pt idx="37">
                  <c:v>英國</c:v>
                </c:pt>
                <c:pt idx="38">
                  <c:v>澳大利亞</c:v>
                </c:pt>
                <c:pt idx="39">
                  <c:v>日本</c:v>
                </c:pt>
                <c:pt idx="40">
                  <c:v>印尼</c:v>
                </c:pt>
                <c:pt idx="41">
                  <c:v>瑞士</c:v>
                </c:pt>
                <c:pt idx="42">
                  <c:v>荷蘭</c:v>
                </c:pt>
              </c:strCache>
              <c:extLst xmlns:c16r2="http://schemas.microsoft.com/office/drawing/2015/06/chart"/>
            </c:strRef>
          </c:cat>
          <c:val>
            <c:numRef>
              <c:f>('各國 Part time 就業率'!$C$7:$C$8,'各國 Part time 就業率'!$C$11,'各國 Part time 就業率'!$C$13,'各國 Part time 就業率'!$C$15:$C$18,'各國 Part time 就業率'!$C$23:$C$28,'各國 Part time 就業率'!$C$30:$C$58)</c:f>
              <c:numCache>
                <c:formatCode>General</c:formatCode>
                <c:ptCount val="43"/>
                <c:pt idx="0">
                  <c:v>1.6</c:v>
                </c:pt>
                <c:pt idx="1">
                  <c:v>3.7</c:v>
                </c:pt>
                <c:pt idx="2">
                  <c:v>4.0999999999999996</c:v>
                </c:pt>
                <c:pt idx="3">
                  <c:v>4.4000000000000004</c:v>
                </c:pt>
                <c:pt idx="4">
                  <c:v>4.9000000000000004</c:v>
                </c:pt>
                <c:pt idx="5">
                  <c:v>5.5</c:v>
                </c:pt>
                <c:pt idx="6">
                  <c:v>5.8</c:v>
                </c:pt>
                <c:pt idx="7">
                  <c:v>6.2</c:v>
                </c:pt>
                <c:pt idx="8">
                  <c:v>9.6</c:v>
                </c:pt>
                <c:pt idx="9">
                  <c:v>9.8000000000000007</c:v>
                </c:pt>
                <c:pt idx="10">
                  <c:v>10.3</c:v>
                </c:pt>
                <c:pt idx="11">
                  <c:v>11.3</c:v>
                </c:pt>
                <c:pt idx="12">
                  <c:v>12.4</c:v>
                </c:pt>
                <c:pt idx="13">
                  <c:v>12.5</c:v>
                </c:pt>
                <c:pt idx="14">
                  <c:v>13.1</c:v>
                </c:pt>
                <c:pt idx="15">
                  <c:v>14.1</c:v>
                </c:pt>
                <c:pt idx="16">
                  <c:v>14.1</c:v>
                </c:pt>
                <c:pt idx="17">
                  <c:v>14.3</c:v>
                </c:pt>
                <c:pt idx="18">
                  <c:v>14.4</c:v>
                </c:pt>
                <c:pt idx="19">
                  <c:v>14.6</c:v>
                </c:pt>
                <c:pt idx="20">
                  <c:v>15.1</c:v>
                </c:pt>
                <c:pt idx="21">
                  <c:v>15.4</c:v>
                </c:pt>
                <c:pt idx="22">
                  <c:v>16.100000000000001</c:v>
                </c:pt>
                <c:pt idx="23">
                  <c:v>16.7</c:v>
                </c:pt>
                <c:pt idx="24">
                  <c:v>16.7</c:v>
                </c:pt>
                <c:pt idx="25">
                  <c:v>16.899999999999999</c:v>
                </c:pt>
                <c:pt idx="26">
                  <c:v>17.600000000000001</c:v>
                </c:pt>
                <c:pt idx="27">
                  <c:v>17.7</c:v>
                </c:pt>
                <c:pt idx="28">
                  <c:v>17.7</c:v>
                </c:pt>
                <c:pt idx="29">
                  <c:v>17.899999999999999</c:v>
                </c:pt>
                <c:pt idx="30">
                  <c:v>18</c:v>
                </c:pt>
                <c:pt idx="31">
                  <c:v>18.600000000000001</c:v>
                </c:pt>
                <c:pt idx="32">
                  <c:v>19.100000000000001</c:v>
                </c:pt>
                <c:pt idx="33">
                  <c:v>19.7</c:v>
                </c:pt>
                <c:pt idx="34">
                  <c:v>19.7</c:v>
                </c:pt>
                <c:pt idx="35">
                  <c:v>19.899999999999999</c:v>
                </c:pt>
                <c:pt idx="36">
                  <c:v>22</c:v>
                </c:pt>
                <c:pt idx="37">
                  <c:v>22.4</c:v>
                </c:pt>
                <c:pt idx="38">
                  <c:v>25.5</c:v>
                </c:pt>
                <c:pt idx="39">
                  <c:v>25.8</c:v>
                </c:pt>
                <c:pt idx="40">
                  <c:v>25.9</c:v>
                </c:pt>
                <c:pt idx="41">
                  <c:v>26.7</c:v>
                </c:pt>
                <c:pt idx="42">
                  <c:v>36.9</c:v>
                </c:pt>
              </c:numCache>
              <c:extLst xmlns:c16r2="http://schemas.microsoft.com/office/drawing/2015/06/chart"/>
            </c:numRef>
          </c:val>
          <c:extLst xmlns:c16r2="http://schemas.microsoft.com/office/drawing/2015/06/chart">
            <c:ext xmlns:c16="http://schemas.microsoft.com/office/drawing/2014/chart" uri="{C3380CC4-5D6E-409C-BE32-E72D297353CC}">
              <c16:uniqueId val="{00000017-B279-432B-B9EE-DF2C234ED75C}"/>
            </c:ext>
          </c:extLst>
        </c:ser>
        <c:dLbls>
          <c:showLegendKey val="0"/>
          <c:showVal val="0"/>
          <c:showCatName val="0"/>
          <c:showSerName val="0"/>
          <c:showPercent val="0"/>
          <c:showBubbleSize val="0"/>
        </c:dLbls>
        <c:gapWidth val="86"/>
        <c:overlap val="-27"/>
        <c:axId val="338095616"/>
        <c:axId val="142188544"/>
      </c:barChart>
      <c:catAx>
        <c:axId val="33809561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r>
                  <a:rPr lang="en-US" sz="900"/>
                  <a:t>%</a:t>
                </a:r>
                <a:endParaRPr lang="zh-TW" sz="900"/>
              </a:p>
            </c:rich>
          </c:tx>
          <c:layout>
            <c:manualLayout>
              <c:xMode val="edge"/>
              <c:yMode val="edge"/>
              <c:x val="1.9024713852917145E-2"/>
              <c:y val="4.3195409926277205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dk1"/>
                </a:solidFill>
                <a:latin typeface="微軟正黑體" pitchFamily="34" charset="-120"/>
                <a:ea typeface="微軟正黑體" pitchFamily="34" charset="-120"/>
                <a:cs typeface="+mn-cs"/>
              </a:defRPr>
            </a:pPr>
            <a:endParaRPr lang="zh-TW"/>
          </a:p>
        </c:txPr>
        <c:crossAx val="142188544"/>
        <c:crosses val="autoZero"/>
        <c:auto val="1"/>
        <c:lblAlgn val="ctr"/>
        <c:lblOffset val="100"/>
        <c:noMultiLvlLbl val="0"/>
      </c:catAx>
      <c:valAx>
        <c:axId val="14218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zh-TW"/>
          </a:p>
        </c:txPr>
        <c:crossAx val="33809561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3175"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zh-TW"/>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19803232472313"/>
          <c:y val="0.13016965270645517"/>
          <c:w val="0.8323731940895861"/>
          <c:h val="0.54963119052685971"/>
        </c:manualLayout>
      </c:layout>
      <c:barChart>
        <c:barDir val="col"/>
        <c:grouping val="stacked"/>
        <c:varyColors val="0"/>
        <c:ser>
          <c:idx val="0"/>
          <c:order val="0"/>
          <c:tx>
            <c:strRef>
              <c:f>工作表1!$A$2</c:f>
              <c:strCache>
                <c:ptCount val="1"/>
                <c:pt idx="0">
                  <c:v>軍公教退撫(新制)</c:v>
                </c:pt>
              </c:strCache>
            </c:strRef>
          </c:tx>
          <c:spPr>
            <a:solidFill>
              <a:srgbClr val="C96B69"/>
            </a:solidFill>
          </c:spPr>
          <c:invertIfNegative val="0"/>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工作表1!$B$2:$K$2</c:f>
              <c:numCache>
                <c:formatCode>#,##0.0_ </c:formatCode>
                <c:ptCount val="10"/>
                <c:pt idx="0">
                  <c:v>411</c:v>
                </c:pt>
                <c:pt idx="1">
                  <c:v>485.3</c:v>
                </c:pt>
                <c:pt idx="2">
                  <c:v>560.1</c:v>
                </c:pt>
                <c:pt idx="3">
                  <c:v>611.70000000000005</c:v>
                </c:pt>
                <c:pt idx="4">
                  <c:v>680.2</c:v>
                </c:pt>
                <c:pt idx="5">
                  <c:v>763</c:v>
                </c:pt>
                <c:pt idx="6">
                  <c:v>842.1</c:v>
                </c:pt>
                <c:pt idx="7">
                  <c:v>876.5</c:v>
                </c:pt>
                <c:pt idx="8">
                  <c:v>880.1</c:v>
                </c:pt>
                <c:pt idx="9">
                  <c:v>917.1</c:v>
                </c:pt>
              </c:numCache>
            </c:numRef>
          </c:val>
        </c:ser>
        <c:ser>
          <c:idx val="1"/>
          <c:order val="1"/>
          <c:tx>
            <c:strRef>
              <c:f>工作表1!$A$3</c:f>
              <c:strCache>
                <c:ptCount val="1"/>
                <c:pt idx="0">
                  <c:v>勞工退休金(新制)</c:v>
                </c:pt>
              </c:strCache>
            </c:strRef>
          </c:tx>
          <c:spPr>
            <a:solidFill>
              <a:srgbClr val="F7994B"/>
            </a:solidFill>
          </c:spPr>
          <c:invertIfNegative val="0"/>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工作表1!$B$3:$K$3</c:f>
              <c:numCache>
                <c:formatCode>#,##0.0_ </c:formatCode>
                <c:ptCount val="10"/>
                <c:pt idx="0">
                  <c:v>35.700000000000003</c:v>
                </c:pt>
                <c:pt idx="1">
                  <c:v>54.9</c:v>
                </c:pt>
                <c:pt idx="2">
                  <c:v>81.7</c:v>
                </c:pt>
                <c:pt idx="3">
                  <c:v>103.4</c:v>
                </c:pt>
                <c:pt idx="4">
                  <c:v>140.19999999999999</c:v>
                </c:pt>
                <c:pt idx="5">
                  <c:v>178.4</c:v>
                </c:pt>
                <c:pt idx="6">
                  <c:v>206.5</c:v>
                </c:pt>
                <c:pt idx="7">
                  <c:v>215.1</c:v>
                </c:pt>
                <c:pt idx="8">
                  <c:v>269</c:v>
                </c:pt>
                <c:pt idx="9">
                  <c:v>275.3</c:v>
                </c:pt>
              </c:numCache>
            </c:numRef>
          </c:val>
        </c:ser>
        <c:ser>
          <c:idx val="2"/>
          <c:order val="2"/>
          <c:tx>
            <c:strRef>
              <c:f>工作表1!$A$4</c:f>
              <c:strCache>
                <c:ptCount val="1"/>
                <c:pt idx="0">
                  <c:v>勞工退休金(舊制)</c:v>
                </c:pt>
              </c:strCache>
            </c:strRef>
          </c:tx>
          <c:spPr>
            <a:solidFill>
              <a:schemeClr val="accent6">
                <a:lumMod val="60000"/>
                <a:lumOff val="40000"/>
              </a:schemeClr>
            </a:solidFill>
          </c:spPr>
          <c:invertIfNegative val="0"/>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工作表1!$B$4:$K$4</c:f>
              <c:numCache>
                <c:formatCode>#,##0.0_ </c:formatCode>
                <c:ptCount val="10"/>
                <c:pt idx="0">
                  <c:v>277</c:v>
                </c:pt>
                <c:pt idx="1">
                  <c:v>348</c:v>
                </c:pt>
                <c:pt idx="2">
                  <c:v>447</c:v>
                </c:pt>
                <c:pt idx="3">
                  <c:v>537</c:v>
                </c:pt>
                <c:pt idx="4">
                  <c:v>547</c:v>
                </c:pt>
                <c:pt idx="5">
                  <c:v>664</c:v>
                </c:pt>
                <c:pt idx="6">
                  <c:v>747</c:v>
                </c:pt>
                <c:pt idx="7">
                  <c:v>741</c:v>
                </c:pt>
                <c:pt idx="8">
                  <c:v>786</c:v>
                </c:pt>
                <c:pt idx="9">
                  <c:v>838</c:v>
                </c:pt>
              </c:numCache>
            </c:numRef>
          </c:val>
        </c:ser>
        <c:ser>
          <c:idx val="3"/>
          <c:order val="3"/>
          <c:tx>
            <c:strRef>
              <c:f>工作表1!$A$5</c:f>
              <c:strCache>
                <c:ptCount val="1"/>
                <c:pt idx="0">
                  <c:v>私校教職員退撫(新制)</c:v>
                </c:pt>
              </c:strCache>
            </c:strRef>
          </c:tx>
          <c:spPr>
            <a:solidFill>
              <a:schemeClr val="accent4"/>
            </a:solidFill>
          </c:spPr>
          <c:invertIfNegative val="0"/>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工作表1!$B$5:$K$5</c:f>
              <c:numCache>
                <c:formatCode>#,##0.0_ </c:formatCode>
                <c:ptCount val="10"/>
                <c:pt idx="0">
                  <c:v>1.8</c:v>
                </c:pt>
                <c:pt idx="1">
                  <c:v>3.5</c:v>
                </c:pt>
                <c:pt idx="2">
                  <c:v>5.3</c:v>
                </c:pt>
                <c:pt idx="3">
                  <c:v>9.3000000000000007</c:v>
                </c:pt>
                <c:pt idx="4">
                  <c:v>12.8</c:v>
                </c:pt>
                <c:pt idx="5">
                  <c:v>14.6</c:v>
                </c:pt>
                <c:pt idx="6">
                  <c:v>17.5</c:v>
                </c:pt>
                <c:pt idx="7">
                  <c:v>22.5</c:v>
                </c:pt>
                <c:pt idx="8">
                  <c:v>24.6</c:v>
                </c:pt>
                <c:pt idx="9">
                  <c:v>31.1</c:v>
                </c:pt>
              </c:numCache>
            </c:numRef>
          </c:val>
        </c:ser>
        <c:ser>
          <c:idx val="4"/>
          <c:order val="4"/>
          <c:tx>
            <c:strRef>
              <c:f>工作表1!$A$6</c:f>
              <c:strCache>
                <c:ptCount val="1"/>
                <c:pt idx="0">
                  <c:v>私校教職員退撫(舊制)</c:v>
                </c:pt>
              </c:strCache>
            </c:strRef>
          </c:tx>
          <c:spPr>
            <a:solidFill>
              <a:schemeClr val="accent4">
                <a:lumMod val="40000"/>
                <a:lumOff val="60000"/>
              </a:schemeClr>
            </a:solidFill>
          </c:spPr>
          <c:invertIfNegative val="0"/>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工作表1!$B$6:$K$6</c:f>
              <c:numCache>
                <c:formatCode>#,##0.0_ </c:formatCode>
                <c:ptCount val="10"/>
                <c:pt idx="0">
                  <c:v>30</c:v>
                </c:pt>
                <c:pt idx="1">
                  <c:v>32</c:v>
                </c:pt>
                <c:pt idx="2">
                  <c:v>31</c:v>
                </c:pt>
                <c:pt idx="3">
                  <c:v>40</c:v>
                </c:pt>
                <c:pt idx="4">
                  <c:v>41</c:v>
                </c:pt>
                <c:pt idx="5">
                  <c:v>32.200000000000003</c:v>
                </c:pt>
                <c:pt idx="6">
                  <c:v>34.4</c:v>
                </c:pt>
                <c:pt idx="7">
                  <c:v>38.700000000000003</c:v>
                </c:pt>
                <c:pt idx="8">
                  <c:v>34.5</c:v>
                </c:pt>
                <c:pt idx="9">
                  <c:v>41.3</c:v>
                </c:pt>
              </c:numCache>
            </c:numRef>
          </c:val>
        </c:ser>
        <c:dLbls>
          <c:showLegendKey val="0"/>
          <c:showVal val="0"/>
          <c:showCatName val="0"/>
          <c:showSerName val="0"/>
          <c:showPercent val="0"/>
          <c:showBubbleSize val="0"/>
        </c:dLbls>
        <c:gapWidth val="86"/>
        <c:overlap val="100"/>
        <c:axId val="321654784"/>
        <c:axId val="318487296"/>
      </c:barChart>
      <c:lineChart>
        <c:grouping val="standard"/>
        <c:varyColors val="0"/>
        <c:ser>
          <c:idx val="5"/>
          <c:order val="5"/>
          <c:tx>
            <c:strRef>
              <c:f>工作表1!$A$7</c:f>
              <c:strCache>
                <c:ptCount val="1"/>
                <c:pt idx="0">
                  <c:v>總計</c:v>
                </c:pt>
              </c:strCache>
            </c:strRef>
          </c:tx>
          <c:spPr>
            <a:ln w="38100">
              <a:solidFill>
                <a:schemeClr val="accent1"/>
              </a:solidFill>
            </a:ln>
          </c:spPr>
          <c:marker>
            <c:symbol val="circle"/>
            <c:size val="8"/>
            <c:spPr>
              <a:solidFill>
                <a:schemeClr val="bg1"/>
              </a:solidFill>
              <a:ln w="31750">
                <a:solidFill>
                  <a:schemeClr val="accent1"/>
                </a:solidFill>
              </a:ln>
            </c:spPr>
          </c:marker>
          <c:dLbls>
            <c:dLblPos val="t"/>
            <c:showLegendKey val="0"/>
            <c:showVal val="1"/>
            <c:showCatName val="0"/>
            <c:showSerName val="0"/>
            <c:showPercent val="0"/>
            <c:showBubbleSize val="0"/>
            <c:showLeaderLines val="0"/>
          </c:dLbls>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工作表1!$B$7:$K$7</c:f>
              <c:numCache>
                <c:formatCode>#,##0.0_ </c:formatCode>
                <c:ptCount val="10"/>
                <c:pt idx="0">
                  <c:v>755.5</c:v>
                </c:pt>
                <c:pt idx="1">
                  <c:v>923.7</c:v>
                </c:pt>
                <c:pt idx="2">
                  <c:v>1125.1000000000001</c:v>
                </c:pt>
                <c:pt idx="3">
                  <c:v>1301.3999999999999</c:v>
                </c:pt>
                <c:pt idx="4">
                  <c:v>1421.2</c:v>
                </c:pt>
                <c:pt idx="5">
                  <c:v>1652.2</c:v>
                </c:pt>
                <c:pt idx="6">
                  <c:v>1847.5</c:v>
                </c:pt>
                <c:pt idx="7">
                  <c:v>1893.8</c:v>
                </c:pt>
                <c:pt idx="8">
                  <c:v>1994.1999999999998</c:v>
                </c:pt>
                <c:pt idx="9">
                  <c:v>2102.8000000000002</c:v>
                </c:pt>
              </c:numCache>
            </c:numRef>
          </c:val>
          <c:smooth val="0"/>
        </c:ser>
        <c:dLbls>
          <c:showLegendKey val="0"/>
          <c:showVal val="0"/>
          <c:showCatName val="0"/>
          <c:showSerName val="0"/>
          <c:showPercent val="0"/>
          <c:showBubbleSize val="0"/>
        </c:dLbls>
        <c:marker val="1"/>
        <c:smooth val="0"/>
        <c:axId val="257591296"/>
        <c:axId val="318487872"/>
      </c:lineChart>
      <c:valAx>
        <c:axId val="318487296"/>
        <c:scaling>
          <c:orientation val="minMax"/>
          <c:max val="2500"/>
        </c:scaling>
        <c:delete val="0"/>
        <c:axPos val="l"/>
        <c:title>
          <c:tx>
            <c:rich>
              <a:bodyPr rot="0" vert="wordArtVertRtl"/>
              <a:lstStyle/>
              <a:p>
                <a:pPr>
                  <a:defRPr b="1">
                    <a:latin typeface="+mn-ea"/>
                    <a:ea typeface="+mn-ea"/>
                  </a:defRPr>
                </a:pPr>
                <a:r>
                  <a:rPr lang="zh-TW" b="1">
                    <a:latin typeface="+mn-ea"/>
                    <a:ea typeface="+mn-ea"/>
                  </a:rPr>
                  <a:t>退休金給付總額</a:t>
                </a:r>
                <a:r>
                  <a:rPr lang="en-US" b="1">
                    <a:latin typeface="+mn-ea"/>
                    <a:ea typeface="+mn-ea"/>
                  </a:rPr>
                  <a:t>(</a:t>
                </a:r>
                <a:r>
                  <a:rPr lang="zh-TW" b="1">
                    <a:latin typeface="+mn-ea"/>
                    <a:ea typeface="+mn-ea"/>
                  </a:rPr>
                  <a:t>億元</a:t>
                </a:r>
                <a:r>
                  <a:rPr lang="en-US" b="1">
                    <a:latin typeface="+mn-ea"/>
                    <a:ea typeface="+mn-ea"/>
                  </a:rPr>
                  <a:t>)</a:t>
                </a:r>
                <a:endParaRPr lang="zh-TW" b="1">
                  <a:latin typeface="+mn-ea"/>
                  <a:ea typeface="+mn-ea"/>
                </a:endParaRPr>
              </a:p>
            </c:rich>
          </c:tx>
          <c:layout>
            <c:manualLayout>
              <c:xMode val="edge"/>
              <c:yMode val="edge"/>
              <c:x val="3.0301622911088393E-2"/>
              <c:y val="0.18000144407624721"/>
            </c:manualLayout>
          </c:layout>
          <c:overlay val="0"/>
        </c:title>
        <c:numFmt formatCode="#,##0_ " sourceLinked="0"/>
        <c:majorTickMark val="out"/>
        <c:minorTickMark val="none"/>
        <c:tickLblPos val="nextTo"/>
        <c:spPr>
          <a:ln>
            <a:noFill/>
          </a:ln>
        </c:spPr>
        <c:crossAx val="321654784"/>
        <c:crosses val="autoZero"/>
        <c:crossBetween val="between"/>
      </c:valAx>
      <c:catAx>
        <c:axId val="321654784"/>
        <c:scaling>
          <c:orientation val="minMax"/>
        </c:scaling>
        <c:delete val="0"/>
        <c:axPos val="b"/>
        <c:majorTickMark val="out"/>
        <c:minorTickMark val="none"/>
        <c:tickLblPos val="nextTo"/>
        <c:crossAx val="318487296"/>
        <c:crosses val="autoZero"/>
        <c:auto val="1"/>
        <c:lblAlgn val="ctr"/>
        <c:lblOffset val="100"/>
        <c:noMultiLvlLbl val="0"/>
      </c:catAx>
      <c:valAx>
        <c:axId val="318487872"/>
        <c:scaling>
          <c:orientation val="minMax"/>
        </c:scaling>
        <c:delete val="1"/>
        <c:axPos val="r"/>
        <c:numFmt formatCode="#,##0.0_ " sourceLinked="1"/>
        <c:majorTickMark val="out"/>
        <c:minorTickMark val="none"/>
        <c:tickLblPos val="none"/>
        <c:crossAx val="257591296"/>
        <c:crosses val="max"/>
        <c:crossBetween val="between"/>
      </c:valAx>
      <c:catAx>
        <c:axId val="257591296"/>
        <c:scaling>
          <c:orientation val="minMax"/>
        </c:scaling>
        <c:delete val="1"/>
        <c:axPos val="b"/>
        <c:majorTickMark val="out"/>
        <c:minorTickMark val="none"/>
        <c:tickLblPos val="none"/>
        <c:crossAx val="318487872"/>
        <c:crosses val="autoZero"/>
        <c:auto val="1"/>
        <c:lblAlgn val="ctr"/>
        <c:lblOffset val="100"/>
        <c:noMultiLvlLbl val="0"/>
      </c:catAx>
      <c:dTable>
        <c:showHorzBorder val="1"/>
        <c:showVertBorder val="1"/>
        <c:showOutline val="1"/>
        <c:showKeys val="0"/>
        <c:txPr>
          <a:bodyPr/>
          <a:lstStyle/>
          <a:p>
            <a:pPr rtl="0">
              <a:defRPr sz="900">
                <a:latin typeface="微軟正黑體" pitchFamily="34" charset="-120"/>
                <a:ea typeface="微軟正黑體" pitchFamily="34" charset="-120"/>
              </a:defRPr>
            </a:pPr>
            <a:endParaRPr lang="zh-TW"/>
          </a:p>
        </c:txPr>
      </c:dTable>
    </c:plotArea>
    <c:legend>
      <c:legendPos val="t"/>
      <c:layout>
        <c:manualLayout>
          <c:xMode val="edge"/>
          <c:yMode val="edge"/>
          <c:x val="0.20222871741510107"/>
          <c:y val="1.0202588696683185E-2"/>
          <c:w val="0.74219230867032815"/>
          <c:h val="9.1044411146389309E-2"/>
        </c:manualLayout>
      </c:layout>
      <c:overlay val="0"/>
      <c:txPr>
        <a:bodyPr/>
        <a:lstStyle/>
        <a:p>
          <a:pPr>
            <a:defRPr>
              <a:latin typeface="微軟正黑體" pitchFamily="34" charset="-120"/>
              <a:ea typeface="微軟正黑體" pitchFamily="34" charset="-120"/>
            </a:defRPr>
          </a:pPr>
          <a:endParaRPr lang="zh-TW"/>
        </a:p>
      </c:txPr>
    </c:legend>
    <c:plotVisOnly val="1"/>
    <c:dispBlanksAs val="zero"/>
    <c:showDLblsOverMax val="0"/>
  </c:chart>
  <c:txPr>
    <a:bodyPr/>
    <a:lstStyle/>
    <a:p>
      <a:pPr>
        <a:defRPr sz="1000"/>
      </a:pPr>
      <a:endParaRPr lang="zh-TW"/>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cap="all" spc="-20" normalizeH="0" baseline="0">
                <a:solidFill>
                  <a:schemeClr val="tx1">
                    <a:lumMod val="75000"/>
                    <a:lumOff val="25000"/>
                  </a:schemeClr>
                </a:solidFill>
                <a:latin typeface="微軟正黑體" pitchFamily="34" charset="-120"/>
                <a:ea typeface="微軟正黑體" pitchFamily="34" charset="-120"/>
                <a:cs typeface="+mn-cs"/>
              </a:defRPr>
            </a:pPr>
            <a:r>
              <a:rPr lang="en-US" sz="1300" b="0" spc="-40" baseline="0">
                <a:solidFill>
                  <a:schemeClr val="tx1">
                    <a:lumMod val="75000"/>
                    <a:lumOff val="25000"/>
                  </a:schemeClr>
                </a:solidFill>
                <a:latin typeface="微軟正黑體" pitchFamily="34" charset="-120"/>
                <a:ea typeface="微軟正黑體" pitchFamily="34" charset="-120"/>
              </a:rPr>
              <a:t>1980-2020</a:t>
            </a:r>
            <a:r>
              <a:rPr lang="zh-TW" sz="1300" b="0" spc="-40" baseline="0">
                <a:solidFill>
                  <a:schemeClr val="tx1">
                    <a:lumMod val="75000"/>
                    <a:lumOff val="25000"/>
                  </a:schemeClr>
                </a:solidFill>
                <a:latin typeface="微軟正黑體" pitchFamily="34" charset="-120"/>
                <a:ea typeface="微軟正黑體" pitchFamily="34" charset="-120"/>
              </a:rPr>
              <a:t>年中高齡</a:t>
            </a:r>
            <a:r>
              <a:rPr lang="zh-TW" altLang="en-US" sz="1300" b="0" spc="-40" baseline="0">
                <a:solidFill>
                  <a:schemeClr val="tx1">
                    <a:lumMod val="75000"/>
                    <a:lumOff val="25000"/>
                  </a:schemeClr>
                </a:solidFill>
                <a:latin typeface="微軟正黑體" pitchFamily="34" charset="-120"/>
                <a:ea typeface="微軟正黑體" pitchFamily="34" charset="-120"/>
              </a:rPr>
              <a:t>者與高齡者</a:t>
            </a:r>
            <a:r>
              <a:rPr lang="zh-TW" sz="1300" b="0" spc="-40" baseline="0">
                <a:solidFill>
                  <a:schemeClr val="tx1">
                    <a:lumMod val="75000"/>
                    <a:lumOff val="25000"/>
                  </a:schemeClr>
                </a:solidFill>
                <a:latin typeface="微軟正黑體" pitchFamily="34" charset="-120"/>
                <a:ea typeface="微軟正黑體" pitchFamily="34" charset="-120"/>
              </a:rPr>
              <a:t>就業率</a:t>
            </a:r>
            <a:r>
              <a:rPr lang="en-US" sz="1300" b="0" spc="-40" baseline="0">
                <a:solidFill>
                  <a:schemeClr val="tx1">
                    <a:lumMod val="75000"/>
                    <a:lumOff val="25000"/>
                  </a:schemeClr>
                </a:solidFill>
                <a:latin typeface="微軟正黑體" pitchFamily="34" charset="-120"/>
                <a:ea typeface="微軟正黑體" pitchFamily="34" charset="-120"/>
              </a:rPr>
              <a:t>-</a:t>
            </a:r>
            <a:r>
              <a:rPr lang="zh-TW" altLang="en-US" sz="1300" b="0" spc="-40" baseline="0">
                <a:solidFill>
                  <a:schemeClr val="tx1">
                    <a:lumMod val="75000"/>
                    <a:lumOff val="25000"/>
                  </a:schemeClr>
                </a:solidFill>
                <a:latin typeface="微軟正黑體" pitchFamily="34" charset="-120"/>
                <a:ea typeface="微軟正黑體" pitchFamily="34" charset="-120"/>
              </a:rPr>
              <a:t>按五</a:t>
            </a:r>
            <a:r>
              <a:rPr lang="zh-TW" sz="1300" b="0" spc="-40" baseline="0">
                <a:solidFill>
                  <a:schemeClr val="tx1">
                    <a:lumMod val="75000"/>
                    <a:lumOff val="25000"/>
                  </a:schemeClr>
                </a:solidFill>
                <a:latin typeface="微軟正黑體" pitchFamily="34" charset="-120"/>
                <a:ea typeface="微軟正黑體" pitchFamily="34" charset="-120"/>
              </a:rPr>
              <a:t>歲</a:t>
            </a:r>
            <a:r>
              <a:rPr lang="zh-TW" altLang="en-US" sz="1300" b="0" spc="-40" baseline="0">
                <a:solidFill>
                  <a:schemeClr val="tx1">
                    <a:lumMod val="75000"/>
                    <a:lumOff val="25000"/>
                  </a:schemeClr>
                </a:solidFill>
                <a:latin typeface="微軟正黑體" pitchFamily="34" charset="-120"/>
                <a:ea typeface="微軟正黑體" pitchFamily="34" charset="-120"/>
              </a:rPr>
              <a:t>年齡</a:t>
            </a:r>
            <a:r>
              <a:rPr lang="zh-TW" sz="1300" b="0" spc="-40" baseline="0">
                <a:solidFill>
                  <a:schemeClr val="tx1">
                    <a:lumMod val="75000"/>
                    <a:lumOff val="25000"/>
                  </a:schemeClr>
                </a:solidFill>
                <a:latin typeface="微軟正黑體" pitchFamily="34" charset="-120"/>
                <a:ea typeface="微軟正黑體" pitchFamily="34" charset="-120"/>
              </a:rPr>
              <a:t>分</a:t>
            </a:r>
            <a:endParaRPr lang="en-US" sz="1300" b="0" spc="-40" baseline="0">
              <a:solidFill>
                <a:schemeClr val="tx1">
                  <a:lumMod val="75000"/>
                  <a:lumOff val="25000"/>
                </a:schemeClr>
              </a:solidFill>
              <a:latin typeface="微軟正黑體" pitchFamily="34" charset="-120"/>
              <a:ea typeface="微軟正黑體" pitchFamily="34" charset="-120"/>
            </a:endParaRPr>
          </a:p>
        </c:rich>
      </c:tx>
      <c:layout>
        <c:manualLayout>
          <c:xMode val="edge"/>
          <c:yMode val="edge"/>
          <c:x val="0.1606321859103895"/>
          <c:y val="1.948178453146308E-2"/>
        </c:manualLayout>
      </c:layout>
      <c:overlay val="0"/>
      <c:spPr>
        <a:noFill/>
        <a:ln>
          <a:noFill/>
        </a:ln>
        <a:effectLst/>
      </c:spPr>
    </c:title>
    <c:autoTitleDeleted val="0"/>
    <c:plotArea>
      <c:layout>
        <c:manualLayout>
          <c:layoutTarget val="inner"/>
          <c:xMode val="edge"/>
          <c:yMode val="edge"/>
          <c:x val="6.6580927384076991E-2"/>
          <c:y val="0.15505598328554926"/>
          <c:w val="0.90286351706036749"/>
          <c:h val="0.64137133355116105"/>
        </c:manualLayout>
      </c:layout>
      <c:lineChart>
        <c:grouping val="standard"/>
        <c:varyColors val="0"/>
        <c:ser>
          <c:idx val="0"/>
          <c:order val="0"/>
          <c:tx>
            <c:strRef>
              <c:f>'我國1980-2020 45歲以上就業率'!$C$14</c:f>
              <c:strCache>
                <c:ptCount val="1"/>
                <c:pt idx="0">
                  <c:v>總計</c:v>
                </c:pt>
              </c:strCache>
            </c:strRef>
          </c:tx>
          <c:spPr>
            <a:ln w="28575" cap="rnd">
              <a:solidFill>
                <a:srgbClr val="FF0000"/>
              </a:solidFill>
              <a:round/>
            </a:ln>
            <a:effectLst/>
          </c:spPr>
          <c:marker>
            <c:symbol val="diamond"/>
            <c:size val="6"/>
            <c:spPr>
              <a:solidFill>
                <a:srgbClr val="FF0000"/>
              </a:solidFill>
              <a:ln w="28575">
                <a:solidFill>
                  <a:srgbClr val="FF0000"/>
                </a:solidFill>
                <a:round/>
              </a:ln>
              <a:effectLst/>
            </c:spPr>
          </c:marker>
          <c:dLbls>
            <c:dLbl>
              <c:idx val="0"/>
              <c:layout>
                <c:manualLayout>
                  <c:x val="-0.10348622047244097"/>
                  <c:y val="1.38888888888888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53-4ED3-8B6F-26AAC115700E}"/>
                </c:ext>
              </c:extLst>
            </c:dLbl>
            <c:dLbl>
              <c:idx val="1"/>
              <c:layout>
                <c:manualLayout>
                  <c:x val="-1.4597331583552108E-2"/>
                  <c:y val="-1.85185185185185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53-4ED3-8B6F-26AAC115700E}"/>
                </c:ext>
              </c:extLst>
            </c:dLbl>
            <c:dLbl>
              <c:idx val="2"/>
              <c:layout>
                <c:manualLayout>
                  <c:x val="-2.0152887139107713E-2"/>
                  <c:y val="-2.3148148148148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453-4ED3-8B6F-26AAC115700E}"/>
                </c:ext>
              </c:extLst>
            </c:dLbl>
            <c:dLbl>
              <c:idx val="3"/>
              <c:layout>
                <c:manualLayout>
                  <c:x val="-1.7375109361329834E-2"/>
                  <c:y val="-3.2407407407407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453-4ED3-8B6F-26AAC115700E}"/>
                </c:ext>
              </c:extLst>
            </c:dLbl>
            <c:dLbl>
              <c:idx val="4"/>
              <c:layout>
                <c:manualLayout>
                  <c:x val="-2.0152887139107713E-2"/>
                  <c:y val="-2.77777777777778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453-4ED3-8B6F-26AAC1157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'我國1980-2020 45歲以上就業率'!$B$15:$B$19</c:f>
              <c:strCache>
                <c:ptCount val="5"/>
                <c:pt idx="0">
                  <c:v>1980年</c:v>
                </c:pt>
                <c:pt idx="1">
                  <c:v>1990年</c:v>
                </c:pt>
                <c:pt idx="2">
                  <c:v>2000年</c:v>
                </c:pt>
                <c:pt idx="3">
                  <c:v>2010年</c:v>
                </c:pt>
                <c:pt idx="4">
                  <c:v>2020年</c:v>
                </c:pt>
              </c:strCache>
            </c:strRef>
          </c:cat>
          <c:val>
            <c:numRef>
              <c:f>'我國1980-2020 45歲以上就業率'!$C$15:$C$19</c:f>
              <c:numCache>
                <c:formatCode>General</c:formatCode>
                <c:ptCount val="5"/>
                <c:pt idx="0">
                  <c:v>57.55</c:v>
                </c:pt>
                <c:pt idx="1">
                  <c:v>58.25</c:v>
                </c:pt>
                <c:pt idx="2">
                  <c:v>55.95</c:v>
                </c:pt>
                <c:pt idx="3">
                  <c:v>55.05</c:v>
                </c:pt>
                <c:pt idx="4">
                  <c:v>56.86</c:v>
                </c:pt>
              </c:numCache>
            </c:numRef>
          </c:val>
          <c:smooth val="0"/>
          <c:extLst xmlns:c16r2="http://schemas.microsoft.com/office/drawing/2015/06/chart">
            <c:ext xmlns:c16="http://schemas.microsoft.com/office/drawing/2014/chart" uri="{C3380CC4-5D6E-409C-BE32-E72D297353CC}">
              <c16:uniqueId val="{00000005-3453-4ED3-8B6F-26AAC115700E}"/>
            </c:ext>
          </c:extLst>
        </c:ser>
        <c:ser>
          <c:idx val="1"/>
          <c:order val="1"/>
          <c:tx>
            <c:strRef>
              <c:f>'我國1980-2020 45歲以上就業率'!$D$14</c:f>
              <c:strCache>
                <c:ptCount val="1"/>
                <c:pt idx="0">
                  <c:v>45-49歲</c:v>
                </c:pt>
              </c:strCache>
            </c:strRef>
          </c:tx>
          <c:spPr>
            <a:ln w="22225" cap="rnd">
              <a:solidFill>
                <a:schemeClr val="accent2"/>
              </a:solidFill>
              <a:prstDash val="sysDot"/>
              <a:round/>
            </a:ln>
            <a:effectLst/>
          </c:spPr>
          <c:marker>
            <c:symbol val="square"/>
            <c:size val="6"/>
            <c:spPr>
              <a:solidFill>
                <a:schemeClr val="accent2"/>
              </a:solidFill>
              <a:ln w="9525">
                <a:solidFill>
                  <a:schemeClr val="accent2"/>
                </a:solidFill>
                <a:prstDash val="sysDot"/>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'我國1980-2020 45歲以上就業率'!$B$15:$B$19</c:f>
              <c:strCache>
                <c:ptCount val="5"/>
                <c:pt idx="0">
                  <c:v>1980年</c:v>
                </c:pt>
                <c:pt idx="1">
                  <c:v>1990年</c:v>
                </c:pt>
                <c:pt idx="2">
                  <c:v>2000年</c:v>
                </c:pt>
                <c:pt idx="3">
                  <c:v>2010年</c:v>
                </c:pt>
                <c:pt idx="4">
                  <c:v>2020年</c:v>
                </c:pt>
              </c:strCache>
            </c:strRef>
          </c:cat>
          <c:val>
            <c:numRef>
              <c:f>'我國1980-2020 45歲以上就業率'!$D$15:$D$19</c:f>
              <c:numCache>
                <c:formatCode>General</c:formatCode>
                <c:ptCount val="5"/>
                <c:pt idx="0">
                  <c:v>69.42</c:v>
                </c:pt>
                <c:pt idx="1">
                  <c:v>71.86</c:v>
                </c:pt>
                <c:pt idx="2">
                  <c:v>72.02</c:v>
                </c:pt>
                <c:pt idx="3">
                  <c:v>74.2</c:v>
                </c:pt>
                <c:pt idx="4">
                  <c:v>82.11</c:v>
                </c:pt>
              </c:numCache>
            </c:numRef>
          </c:val>
          <c:smooth val="0"/>
          <c:extLst xmlns:c16r2="http://schemas.microsoft.com/office/drawing/2015/06/chart">
            <c:ext xmlns:c16="http://schemas.microsoft.com/office/drawing/2014/chart" uri="{C3380CC4-5D6E-409C-BE32-E72D297353CC}">
              <c16:uniqueId val="{00000006-3453-4ED3-8B6F-26AAC115700E}"/>
            </c:ext>
          </c:extLst>
        </c:ser>
        <c:ser>
          <c:idx val="2"/>
          <c:order val="2"/>
          <c:tx>
            <c:strRef>
              <c:f>'我國1980-2020 45歲以上就業率'!$E$14</c:f>
              <c:strCache>
                <c:ptCount val="1"/>
                <c:pt idx="0">
                  <c:v>50-54歲</c:v>
                </c:pt>
              </c:strCache>
            </c:strRef>
          </c:tx>
          <c:spPr>
            <a:ln w="22225" cap="rnd">
              <a:solidFill>
                <a:schemeClr val="accent6">
                  <a:lumMod val="75000"/>
                </a:schemeClr>
              </a:solidFill>
              <a:prstDash val="lgDash"/>
              <a:round/>
            </a:ln>
            <a:effectLst/>
          </c:spPr>
          <c:marker>
            <c:symbol val="triangle"/>
            <c:size val="6"/>
            <c:spPr>
              <a:solidFill>
                <a:schemeClr val="accent3"/>
              </a:solidFill>
              <a:ln w="9525">
                <a:solidFill>
                  <a:schemeClr val="accent6">
                    <a:lumMod val="75000"/>
                  </a:schemeClr>
                </a:solidFill>
                <a:prstDash val="lgDash"/>
                <a:round/>
              </a:ln>
              <a:effectLst/>
            </c:spPr>
          </c:marker>
          <c:dLbls>
            <c:dLbl>
              <c:idx val="1"/>
              <c:layout>
                <c:manualLayout>
                  <c:x val="-0.10141666666666667"/>
                  <c:y val="-1.85185185185185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453-4ED3-8B6F-26AAC115700E}"/>
                </c:ext>
              </c:extLst>
            </c:dLbl>
            <c:dLbl>
              <c:idx val="2"/>
              <c:layout>
                <c:manualLayout>
                  <c:x val="-0.10697222222222222"/>
                  <c:y val="-2.3148148148148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453-4ED3-8B6F-26AAC115700E}"/>
                </c:ext>
              </c:extLst>
            </c:dLbl>
            <c:dLbl>
              <c:idx val="3"/>
              <c:layout>
                <c:manualLayout>
                  <c:x val="-0.10697222222222222"/>
                  <c:y val="-2.3148148148148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453-4ED3-8B6F-26AAC115700E}"/>
                </c:ext>
              </c:extLst>
            </c:dLbl>
            <c:dLbl>
              <c:idx val="4"/>
              <c:layout>
                <c:manualLayout>
                  <c:x val="-6.9722222222222225E-3"/>
                  <c:y val="0"/>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453-4ED3-8B6F-26AAC1157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TW"/>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'我國1980-2020 45歲以上就業率'!$B$15:$B$19</c:f>
              <c:strCache>
                <c:ptCount val="5"/>
                <c:pt idx="0">
                  <c:v>1980年</c:v>
                </c:pt>
                <c:pt idx="1">
                  <c:v>1990年</c:v>
                </c:pt>
                <c:pt idx="2">
                  <c:v>2000年</c:v>
                </c:pt>
                <c:pt idx="3">
                  <c:v>2010年</c:v>
                </c:pt>
                <c:pt idx="4">
                  <c:v>2020年</c:v>
                </c:pt>
              </c:strCache>
            </c:strRef>
          </c:cat>
          <c:val>
            <c:numRef>
              <c:f>'我國1980-2020 45歲以上就業率'!$E$15:$E$19</c:f>
              <c:numCache>
                <c:formatCode>General</c:formatCode>
                <c:ptCount val="5"/>
                <c:pt idx="0">
                  <c:v>65.739999999999995</c:v>
                </c:pt>
                <c:pt idx="1">
                  <c:v>64.69</c:v>
                </c:pt>
                <c:pt idx="2">
                  <c:v>62.73</c:v>
                </c:pt>
                <c:pt idx="3">
                  <c:v>63.63</c:v>
                </c:pt>
                <c:pt idx="4">
                  <c:v>73.44</c:v>
                </c:pt>
              </c:numCache>
            </c:numRef>
          </c:val>
          <c:smooth val="0"/>
          <c:extLst xmlns:c16r2="http://schemas.microsoft.com/office/drawing/2015/06/chart">
            <c:ext xmlns:c16="http://schemas.microsoft.com/office/drawing/2014/chart" uri="{C3380CC4-5D6E-409C-BE32-E72D297353CC}">
              <c16:uniqueId val="{0000000B-3453-4ED3-8B6F-26AAC115700E}"/>
            </c:ext>
          </c:extLst>
        </c:ser>
        <c:ser>
          <c:idx val="3"/>
          <c:order val="3"/>
          <c:tx>
            <c:strRef>
              <c:f>'我國1980-2020 45歲以上就業率'!$F$14</c:f>
              <c:strCache>
                <c:ptCount val="1"/>
                <c:pt idx="0">
                  <c:v>55-59歲</c:v>
                </c:pt>
              </c:strCache>
            </c:strRef>
          </c:tx>
          <c:spPr>
            <a:ln w="28575" cap="rnd">
              <a:solidFill>
                <a:srgbClr val="0000FF"/>
              </a:solidFill>
              <a:prstDash val="sysDash"/>
              <a:round/>
            </a:ln>
            <a:effectLst/>
          </c:spPr>
          <c:marker>
            <c:symbol val="x"/>
            <c:size val="6"/>
            <c:spPr>
              <a:solidFill>
                <a:srgbClr val="00B0F0"/>
              </a:solidFill>
              <a:ln w="28575">
                <a:solidFill>
                  <a:srgbClr val="0000FF"/>
                </a:solidFill>
                <a:prstDash val="sysDash"/>
                <a:round/>
              </a:ln>
              <a:effectLst/>
            </c:spPr>
          </c:marker>
          <c:dLbls>
            <c:dLbl>
              <c:idx val="0"/>
              <c:layout>
                <c:manualLayout>
                  <c:x val="-4.515288713910761E-2"/>
                  <c:y val="4.16320355788859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453-4ED3-8B6F-26AAC115700E}"/>
                </c:ext>
              </c:extLst>
            </c:dLbl>
            <c:dLbl>
              <c:idx val="1"/>
              <c:layout>
                <c:manualLayout>
                  <c:x val="-5.3486220472440997E-2"/>
                  <c:y val="4.62616652085155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453-4ED3-8B6F-26AAC115700E}"/>
                </c:ext>
              </c:extLst>
            </c:dLbl>
            <c:dLbl>
              <c:idx val="2"/>
              <c:layout>
                <c:manualLayout>
                  <c:x val="-5.0708442694663167E-2"/>
                  <c:y val="4.16320355788859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453-4ED3-8B6F-26AAC115700E}"/>
                </c:ext>
              </c:extLst>
            </c:dLbl>
            <c:dLbl>
              <c:idx val="3"/>
              <c:layout>
                <c:manualLayout>
                  <c:x val="-5.0708442694663167E-2"/>
                  <c:y val="4.62616652085155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453-4ED3-8B6F-26AAC115700E}"/>
                </c:ext>
              </c:extLst>
            </c:dLbl>
            <c:dLbl>
              <c:idx val="4"/>
              <c:layout>
                <c:manualLayout>
                  <c:x val="-2.0152887139107713E-2"/>
                  <c:y val="3.70024059492562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453-4ED3-8B6F-26AAC1157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'我國1980-2020 45歲以上就業率'!$B$15:$B$19</c:f>
              <c:strCache>
                <c:ptCount val="5"/>
                <c:pt idx="0">
                  <c:v>1980年</c:v>
                </c:pt>
                <c:pt idx="1">
                  <c:v>1990年</c:v>
                </c:pt>
                <c:pt idx="2">
                  <c:v>2000年</c:v>
                </c:pt>
                <c:pt idx="3">
                  <c:v>2010年</c:v>
                </c:pt>
                <c:pt idx="4">
                  <c:v>2020年</c:v>
                </c:pt>
              </c:strCache>
            </c:strRef>
          </c:cat>
          <c:val>
            <c:numRef>
              <c:f>'我國1980-2020 45歲以上就業率'!$F$15:$F$19</c:f>
              <c:numCache>
                <c:formatCode>General</c:formatCode>
                <c:ptCount val="5"/>
                <c:pt idx="0">
                  <c:v>56.05</c:v>
                </c:pt>
                <c:pt idx="1">
                  <c:v>56.23</c:v>
                </c:pt>
                <c:pt idx="2">
                  <c:v>49.73</c:v>
                </c:pt>
                <c:pt idx="3">
                  <c:v>49.12</c:v>
                </c:pt>
                <c:pt idx="4">
                  <c:v>56.34</c:v>
                </c:pt>
              </c:numCache>
            </c:numRef>
          </c:val>
          <c:smooth val="0"/>
          <c:extLst xmlns:c16r2="http://schemas.microsoft.com/office/drawing/2015/06/chart">
            <c:ext xmlns:c16="http://schemas.microsoft.com/office/drawing/2014/chart" uri="{C3380CC4-5D6E-409C-BE32-E72D297353CC}">
              <c16:uniqueId val="{00000011-3453-4ED3-8B6F-26AAC115700E}"/>
            </c:ext>
          </c:extLst>
        </c:ser>
        <c:ser>
          <c:idx val="4"/>
          <c:order val="4"/>
          <c:tx>
            <c:strRef>
              <c:f>'我國1980-2020 45歲以上就業率'!$G$14</c:f>
              <c:strCache>
                <c:ptCount val="1"/>
                <c:pt idx="0">
                  <c:v>60-64歲</c:v>
                </c:pt>
              </c:strCache>
            </c:strRef>
          </c:tx>
          <c:spPr>
            <a:ln w="22225" cap="rnd" cmpd="dbl">
              <a:solidFill>
                <a:srgbClr val="FF00FF"/>
              </a:solidFill>
              <a:round/>
            </a:ln>
            <a:effectLst/>
          </c:spPr>
          <c:marker>
            <c:symbol val="star"/>
            <c:size val="6"/>
            <c:spPr>
              <a:noFill/>
              <a:ln w="9525">
                <a:solidFill>
                  <a:srgbClr val="FF00FF"/>
                </a:solidFill>
                <a:round/>
              </a:ln>
              <a:effectLst/>
            </c:spPr>
          </c:marker>
          <c:dLbls>
            <c:dLbl>
              <c:idx val="0"/>
              <c:layout>
                <c:manualLayout>
                  <c:x val="-6.1819553805774301E-2"/>
                  <c:y val="4.62616652085155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453-4ED3-8B6F-26AAC115700E}"/>
                </c:ext>
              </c:extLst>
            </c:dLbl>
            <c:dLbl>
              <c:idx val="1"/>
              <c:layout>
                <c:manualLayout>
                  <c:x val="-5.3486220472440997E-2"/>
                  <c:y val="4.6261665208515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3453-4ED3-8B6F-26AAC115700E}"/>
                </c:ext>
              </c:extLst>
            </c:dLbl>
            <c:dLbl>
              <c:idx val="2"/>
              <c:layout>
                <c:manualLayout>
                  <c:x val="-6.181955380577428E-2"/>
                  <c:y val="3.23727763196267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3453-4ED3-8B6F-26AAC115700E}"/>
                </c:ext>
              </c:extLst>
            </c:dLbl>
            <c:dLbl>
              <c:idx val="3"/>
              <c:layout>
                <c:manualLayout>
                  <c:x val="-5.6263998250218723E-2"/>
                  <c:y val="4.16320355788858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3453-4ED3-8B6F-26AAC115700E}"/>
                </c:ext>
              </c:extLst>
            </c:dLbl>
            <c:dLbl>
              <c:idx val="4"/>
              <c:layout>
                <c:manualLayout>
                  <c:x val="-1.7375109361329834E-2"/>
                  <c:y val="5.5520924467774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3453-4ED3-8B6F-26AAC1157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'我國1980-2020 45歲以上就業率'!$B$15:$B$19</c:f>
              <c:strCache>
                <c:ptCount val="5"/>
                <c:pt idx="0">
                  <c:v>1980年</c:v>
                </c:pt>
                <c:pt idx="1">
                  <c:v>1990年</c:v>
                </c:pt>
                <c:pt idx="2">
                  <c:v>2000年</c:v>
                </c:pt>
                <c:pt idx="3">
                  <c:v>2010年</c:v>
                </c:pt>
                <c:pt idx="4">
                  <c:v>2020年</c:v>
                </c:pt>
              </c:strCache>
            </c:strRef>
          </c:cat>
          <c:val>
            <c:numRef>
              <c:f>'我國1980-2020 45歲以上就業率'!$G$15:$G$19</c:f>
              <c:numCache>
                <c:formatCode>General</c:formatCode>
                <c:ptCount val="5"/>
                <c:pt idx="0">
                  <c:v>40.71</c:v>
                </c:pt>
                <c:pt idx="1">
                  <c:v>40.81</c:v>
                </c:pt>
                <c:pt idx="2">
                  <c:v>35.35</c:v>
                </c:pt>
                <c:pt idx="3">
                  <c:v>31.72</c:v>
                </c:pt>
                <c:pt idx="4">
                  <c:v>36.82</c:v>
                </c:pt>
              </c:numCache>
            </c:numRef>
          </c:val>
          <c:smooth val="0"/>
          <c:extLst xmlns:c16r2="http://schemas.microsoft.com/office/drawing/2015/06/chart">
            <c:ext xmlns:c16="http://schemas.microsoft.com/office/drawing/2014/chart" uri="{C3380CC4-5D6E-409C-BE32-E72D297353CC}">
              <c16:uniqueId val="{00000017-3453-4ED3-8B6F-26AAC115700E}"/>
            </c:ext>
          </c:extLst>
        </c:ser>
        <c:ser>
          <c:idx val="5"/>
          <c:order val="5"/>
          <c:tx>
            <c:strRef>
              <c:f>'我國1980-2020 45歲以上就業率'!$H$14</c:f>
              <c:strCache>
                <c:ptCount val="1"/>
                <c:pt idx="0">
                  <c:v>65歲以上</c:v>
                </c:pt>
              </c:strCache>
            </c:strRef>
          </c:tx>
          <c:spPr>
            <a:ln w="22225" cap="rnd">
              <a:solidFill>
                <a:srgbClr val="7030A0"/>
              </a:solidFill>
              <a:prstDash val="lgDashDotDot"/>
              <a:round/>
            </a:ln>
            <a:effectLst/>
          </c:spPr>
          <c:marker>
            <c:symbol val="circle"/>
            <c:size val="6"/>
            <c:spPr>
              <a:solidFill>
                <a:schemeClr val="accent6"/>
              </a:solidFill>
              <a:ln w="9525">
                <a:solidFill>
                  <a:srgbClr val="7030A0"/>
                </a:solidFill>
                <a:prstDash val="lgDashDotDot"/>
                <a:round/>
              </a:ln>
              <a:effectLst/>
            </c:spPr>
          </c:marker>
          <c:dLbls>
            <c:dLbl>
              <c:idx val="0"/>
              <c:layout>
                <c:manualLayout>
                  <c:x val="-6.6666666666666693E-2"/>
                  <c:y val="-3.70370370370371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3453-4ED3-8B6F-26AAC115700E}"/>
                </c:ext>
              </c:extLst>
            </c:dLbl>
            <c:dLbl>
              <c:idx val="1"/>
              <c:layout>
                <c:manualLayout>
                  <c:x val="-4.4444444444444446E-2"/>
                  <c:y val="-5.5555555555555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3453-4ED3-8B6F-26AAC115700E}"/>
                </c:ext>
              </c:extLst>
            </c:dLbl>
            <c:dLbl>
              <c:idx val="2"/>
              <c:layout>
                <c:manualLayout>
                  <c:x val="-2.7777777777777779E-3"/>
                  <c:y val="-3.2407407407407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3453-4ED3-8B6F-26AAC115700E}"/>
                </c:ext>
              </c:extLst>
            </c:dLbl>
            <c:dLbl>
              <c:idx val="3"/>
              <c:layout>
                <c:manualLayout>
                  <c:x val="-2.7777777777777779E-3"/>
                  <c:y val="-2.77777777777778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3453-4ED3-8B6F-26AAC1157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zh-TW"/>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'我國1980-2020 45歲以上就業率'!$B$15:$B$19</c:f>
              <c:strCache>
                <c:ptCount val="5"/>
                <c:pt idx="0">
                  <c:v>1980年</c:v>
                </c:pt>
                <c:pt idx="1">
                  <c:v>1990年</c:v>
                </c:pt>
                <c:pt idx="2">
                  <c:v>2000年</c:v>
                </c:pt>
                <c:pt idx="3">
                  <c:v>2010年</c:v>
                </c:pt>
                <c:pt idx="4">
                  <c:v>2020年</c:v>
                </c:pt>
              </c:strCache>
            </c:strRef>
          </c:cat>
          <c:val>
            <c:numRef>
              <c:f>'我國1980-2020 45歲以上就業率'!$H$15:$H$19</c:f>
              <c:numCache>
                <c:formatCode>General</c:formatCode>
                <c:ptCount val="5"/>
                <c:pt idx="0">
                  <c:v>8.48</c:v>
                </c:pt>
                <c:pt idx="1">
                  <c:v>9.76</c:v>
                </c:pt>
                <c:pt idx="2">
                  <c:v>7.69</c:v>
                </c:pt>
                <c:pt idx="3">
                  <c:v>8.08</c:v>
                </c:pt>
                <c:pt idx="4">
                  <c:v>8.74</c:v>
                </c:pt>
              </c:numCache>
            </c:numRef>
          </c:val>
          <c:smooth val="0"/>
          <c:extLst xmlns:c16r2="http://schemas.microsoft.com/office/drawing/2015/06/chart">
            <c:ext xmlns:c16="http://schemas.microsoft.com/office/drawing/2014/chart" uri="{C3380CC4-5D6E-409C-BE32-E72D297353CC}">
              <c16:uniqueId val="{0000001C-3453-4ED3-8B6F-26AAC115700E}"/>
            </c:ext>
          </c:extLst>
        </c:ser>
        <c:dLbls>
          <c:showLegendKey val="0"/>
          <c:showVal val="0"/>
          <c:showCatName val="0"/>
          <c:showSerName val="0"/>
          <c:showPercent val="0"/>
          <c:showBubbleSize val="0"/>
        </c:dLbls>
        <c:marker val="1"/>
        <c:smooth val="0"/>
        <c:axId val="338339840"/>
        <c:axId val="142190272"/>
      </c:lineChart>
      <c:catAx>
        <c:axId val="338339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t>
                </a:r>
                <a:endParaRPr lang="zh-TW"/>
              </a:p>
            </c:rich>
          </c:tx>
          <c:layout>
            <c:manualLayout>
              <c:xMode val="edge"/>
              <c:yMode val="edge"/>
              <c:x val="1.9193132108486409E-2"/>
              <c:y val="8.7591863517060345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zh-TW"/>
          </a:p>
        </c:txPr>
        <c:crossAx val="142190272"/>
        <c:crosses val="autoZero"/>
        <c:auto val="1"/>
        <c:lblAlgn val="ctr"/>
        <c:lblOffset val="100"/>
        <c:noMultiLvlLbl val="0"/>
      </c:catAx>
      <c:valAx>
        <c:axId val="14219027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38339840"/>
        <c:crosses val="autoZero"/>
        <c:crossBetween val="between"/>
      </c:valAx>
      <c:spPr>
        <a:noFill/>
        <a:ln>
          <a:noFill/>
        </a:ln>
        <a:effectLst/>
      </c:spPr>
    </c:plotArea>
    <c:legend>
      <c:legendPos val="t"/>
      <c:layout>
        <c:manualLayout>
          <c:xMode val="edge"/>
          <c:yMode val="edge"/>
          <c:x val="5.2777777777777778E-2"/>
          <c:y val="0.90196777486147561"/>
          <c:w val="0.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微軟正黑體" pitchFamily="34" charset="-120"/>
              <a:ea typeface="微軟正黑體" pitchFamily="34" charset="-120"/>
              <a:cs typeface="+mn-cs"/>
            </a:defRPr>
          </a:pPr>
          <a:endParaRPr lang="zh-TW"/>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cap="all" spc="120" normalizeH="0" baseline="0">
                <a:solidFill>
                  <a:schemeClr val="tx1">
                    <a:lumMod val="65000"/>
                    <a:lumOff val="35000"/>
                  </a:schemeClr>
                </a:solidFill>
                <a:latin typeface="微軟正黑體" pitchFamily="34" charset="-120"/>
                <a:ea typeface="微軟正黑體" pitchFamily="34" charset="-120"/>
                <a:cs typeface="+mn-cs"/>
              </a:defRPr>
            </a:pPr>
            <a:r>
              <a:rPr lang="en-US" altLang="zh-TW" sz="1300" b="0">
                <a:latin typeface="微軟正黑體" pitchFamily="34" charset="-120"/>
                <a:ea typeface="微軟正黑體" pitchFamily="34" charset="-120"/>
              </a:rPr>
              <a:t>2020</a:t>
            </a:r>
            <a:r>
              <a:rPr lang="zh-TW" altLang="en-US" sz="1300" b="0">
                <a:latin typeface="微軟正黑體" pitchFamily="34" charset="-120"/>
                <a:ea typeface="微軟正黑體" pitchFamily="34" charset="-120"/>
              </a:rPr>
              <a:t>年</a:t>
            </a:r>
            <a:r>
              <a:rPr lang="zh-TW" sz="1300" b="0">
                <a:latin typeface="微軟正黑體" pitchFamily="34" charset="-120"/>
                <a:ea typeface="微軟正黑體" pitchFamily="34" charset="-120"/>
              </a:rPr>
              <a:t>我國與主要國家女性就業率</a:t>
            </a:r>
            <a:r>
              <a:rPr lang="en-US" sz="1300" b="0">
                <a:latin typeface="微軟正黑體" pitchFamily="34" charset="-120"/>
                <a:ea typeface="微軟正黑體" pitchFamily="34" charset="-120"/>
              </a:rPr>
              <a:t>-</a:t>
            </a:r>
            <a:r>
              <a:rPr lang="zh-TW" sz="1300" b="0">
                <a:latin typeface="微軟正黑體" pitchFamily="34" charset="-120"/>
                <a:ea typeface="微軟正黑體" pitchFamily="34" charset="-120"/>
              </a:rPr>
              <a:t>按</a:t>
            </a:r>
            <a:r>
              <a:rPr lang="zh-TW" altLang="en-US" sz="1300" b="0">
                <a:latin typeface="微軟正黑體" pitchFamily="34" charset="-120"/>
                <a:ea typeface="微軟正黑體" pitchFamily="34" charset="-120"/>
              </a:rPr>
              <a:t>五</a:t>
            </a:r>
            <a:r>
              <a:rPr lang="zh-TW" sz="1300" b="0">
                <a:latin typeface="微軟正黑體" pitchFamily="34" charset="-120"/>
                <a:ea typeface="微軟正黑體" pitchFamily="34" charset="-120"/>
              </a:rPr>
              <a:t>歲年齡分</a:t>
            </a:r>
          </a:p>
        </c:rich>
      </c:tx>
      <c:layout>
        <c:manualLayout>
          <c:xMode val="edge"/>
          <c:yMode val="edge"/>
          <c:x val="0.23173904227636782"/>
          <c:y val="0"/>
        </c:manualLayout>
      </c:layout>
      <c:overlay val="0"/>
      <c:spPr>
        <a:noFill/>
        <a:ln>
          <a:noFill/>
        </a:ln>
        <a:effectLst/>
      </c:spPr>
    </c:title>
    <c:autoTitleDeleted val="0"/>
    <c:plotArea>
      <c:layout>
        <c:manualLayout>
          <c:layoutTarget val="inner"/>
          <c:xMode val="edge"/>
          <c:yMode val="edge"/>
          <c:x val="7.9247594050743664E-2"/>
          <c:y val="0.11910626556295846"/>
          <c:w val="0.89019685039370078"/>
          <c:h val="0.69967472014716114"/>
        </c:manualLayout>
      </c:layout>
      <c:lineChart>
        <c:grouping val="standard"/>
        <c:varyColors val="0"/>
        <c:ser>
          <c:idx val="0"/>
          <c:order val="0"/>
          <c:tx>
            <c:strRef>
              <c:f>'2020年我國與主要國家女性就業率比較'!$B$3</c:f>
              <c:strCache>
                <c:ptCount val="1"/>
                <c:pt idx="0">
                  <c:v>台灣</c:v>
                </c:pt>
              </c:strCache>
            </c:strRef>
          </c:tx>
          <c:spPr>
            <a:ln w="22225" cap="rnd">
              <a:solidFill>
                <a:srgbClr val="FF0000"/>
              </a:solidFill>
              <a:round/>
            </a:ln>
            <a:effectLst/>
          </c:spPr>
          <c:marker>
            <c:symbol val="diamond"/>
            <c:size val="6"/>
            <c:spPr>
              <a:solidFill>
                <a:srgbClr val="FF0000"/>
              </a:solidFill>
              <a:ln w="9525">
                <a:solidFill>
                  <a:srgbClr val="FF0000"/>
                </a:solidFill>
                <a:round/>
              </a:ln>
              <a:effectLst/>
            </c:spPr>
          </c:marker>
          <c:cat>
            <c:strRef>
              <c:f>'2020年我國與主要國家女性就業率比較'!$A$4:$A$14</c:f>
              <c:strCache>
                <c:ptCount val="11"/>
                <c:pt idx="0">
                  <c:v>15-19</c:v>
                </c:pt>
                <c:pt idx="1">
                  <c:v>20-24</c:v>
                </c:pt>
                <c:pt idx="2">
                  <c:v>25-29</c:v>
                </c:pt>
                <c:pt idx="3">
                  <c:v>30-34</c:v>
                </c:pt>
                <c:pt idx="4">
                  <c:v>35-39</c:v>
                </c:pt>
                <c:pt idx="5">
                  <c:v>40-44</c:v>
                </c:pt>
                <c:pt idx="6">
                  <c:v>45-49</c:v>
                </c:pt>
                <c:pt idx="7">
                  <c:v>50-54</c:v>
                </c:pt>
                <c:pt idx="8">
                  <c:v>55-59</c:v>
                </c:pt>
                <c:pt idx="9">
                  <c:v>60-64</c:v>
                </c:pt>
                <c:pt idx="10">
                  <c:v>65以上</c:v>
                </c:pt>
              </c:strCache>
            </c:strRef>
          </c:cat>
          <c:val>
            <c:numRef>
              <c:f>'2020年我國與主要國家女性就業率比較'!$B$4:$B$14</c:f>
              <c:numCache>
                <c:formatCode>General</c:formatCode>
                <c:ptCount val="11"/>
                <c:pt idx="0">
                  <c:v>7.2</c:v>
                </c:pt>
                <c:pt idx="1">
                  <c:v>49.8</c:v>
                </c:pt>
                <c:pt idx="2">
                  <c:v>84.5</c:v>
                </c:pt>
                <c:pt idx="3">
                  <c:v>83.9</c:v>
                </c:pt>
                <c:pt idx="4">
                  <c:v>79.599999999999994</c:v>
                </c:pt>
                <c:pt idx="5">
                  <c:v>74.400000000000006</c:v>
                </c:pt>
                <c:pt idx="6">
                  <c:v>74</c:v>
                </c:pt>
                <c:pt idx="7">
                  <c:v>62.7</c:v>
                </c:pt>
                <c:pt idx="8">
                  <c:v>43.7</c:v>
                </c:pt>
                <c:pt idx="9">
                  <c:v>24</c:v>
                </c:pt>
                <c:pt idx="10">
                  <c:v>4.5999999999999996</c:v>
                </c:pt>
              </c:numCache>
            </c:numRef>
          </c:val>
          <c:smooth val="0"/>
          <c:extLst xmlns:c16r2="http://schemas.microsoft.com/office/drawing/2015/06/chart">
            <c:ext xmlns:c16="http://schemas.microsoft.com/office/drawing/2014/chart" uri="{C3380CC4-5D6E-409C-BE32-E72D297353CC}">
              <c16:uniqueId val="{00000000-4DAB-4529-8987-710D7ACB6B72}"/>
            </c:ext>
          </c:extLst>
        </c:ser>
        <c:ser>
          <c:idx val="1"/>
          <c:order val="1"/>
          <c:tx>
            <c:strRef>
              <c:f>'2020年我國與主要國家女性就業率比較'!$C$3</c:f>
              <c:strCache>
                <c:ptCount val="1"/>
                <c:pt idx="0">
                  <c:v>韓國</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'2020年我國與主要國家女性就業率比較'!$A$4:$A$14</c:f>
              <c:strCache>
                <c:ptCount val="11"/>
                <c:pt idx="0">
                  <c:v>15-19</c:v>
                </c:pt>
                <c:pt idx="1">
                  <c:v>20-24</c:v>
                </c:pt>
                <c:pt idx="2">
                  <c:v>25-29</c:v>
                </c:pt>
                <c:pt idx="3">
                  <c:v>30-34</c:v>
                </c:pt>
                <c:pt idx="4">
                  <c:v>35-39</c:v>
                </c:pt>
                <c:pt idx="5">
                  <c:v>40-44</c:v>
                </c:pt>
                <c:pt idx="6">
                  <c:v>45-49</c:v>
                </c:pt>
                <c:pt idx="7">
                  <c:v>50-54</c:v>
                </c:pt>
                <c:pt idx="8">
                  <c:v>55-59</c:v>
                </c:pt>
                <c:pt idx="9">
                  <c:v>60-64</c:v>
                </c:pt>
                <c:pt idx="10">
                  <c:v>65以上</c:v>
                </c:pt>
              </c:strCache>
            </c:strRef>
          </c:cat>
          <c:val>
            <c:numRef>
              <c:f>'2020年我國與主要國家女性就業率比較'!$C$4:$C$14</c:f>
              <c:numCache>
                <c:formatCode>General</c:formatCode>
                <c:ptCount val="11"/>
                <c:pt idx="0">
                  <c:v>7.5</c:v>
                </c:pt>
                <c:pt idx="1">
                  <c:v>44.1</c:v>
                </c:pt>
                <c:pt idx="2">
                  <c:v>68.7</c:v>
                </c:pt>
                <c:pt idx="3">
                  <c:v>64.5</c:v>
                </c:pt>
                <c:pt idx="4">
                  <c:v>58.6</c:v>
                </c:pt>
                <c:pt idx="5">
                  <c:v>61.4</c:v>
                </c:pt>
                <c:pt idx="6">
                  <c:v>66</c:v>
                </c:pt>
                <c:pt idx="7">
                  <c:v>65.5</c:v>
                </c:pt>
                <c:pt idx="8">
                  <c:v>60.6</c:v>
                </c:pt>
                <c:pt idx="9">
                  <c:v>50.1</c:v>
                </c:pt>
                <c:pt idx="10">
                  <c:v>26.9</c:v>
                </c:pt>
              </c:numCache>
            </c:numRef>
          </c:val>
          <c:smooth val="0"/>
          <c:extLst xmlns:c16r2="http://schemas.microsoft.com/office/drawing/2015/06/chart">
            <c:ext xmlns:c16="http://schemas.microsoft.com/office/drawing/2014/chart" uri="{C3380CC4-5D6E-409C-BE32-E72D297353CC}">
              <c16:uniqueId val="{00000001-4DAB-4529-8987-710D7ACB6B72}"/>
            </c:ext>
          </c:extLst>
        </c:ser>
        <c:ser>
          <c:idx val="2"/>
          <c:order val="2"/>
          <c:tx>
            <c:strRef>
              <c:f>'2020年我國與主要國家女性就業率比較'!$D$3</c:f>
              <c:strCache>
                <c:ptCount val="1"/>
                <c:pt idx="0">
                  <c:v>日本</c:v>
                </c:pt>
              </c:strCache>
            </c:strRef>
          </c:tx>
          <c:spPr>
            <a:ln w="22225" cap="rnd">
              <a:solidFill>
                <a:schemeClr val="accent4"/>
              </a:solidFill>
              <a:round/>
            </a:ln>
            <a:effectLst/>
          </c:spPr>
          <c:marker>
            <c:symbol val="triangle"/>
            <c:size val="6"/>
            <c:spPr>
              <a:solidFill>
                <a:schemeClr val="accent4">
                  <a:lumMod val="20000"/>
                  <a:lumOff val="80000"/>
                </a:schemeClr>
              </a:solidFill>
              <a:ln w="9525">
                <a:solidFill>
                  <a:schemeClr val="accent4"/>
                </a:solidFill>
                <a:round/>
              </a:ln>
              <a:effectLst/>
            </c:spPr>
          </c:marker>
          <c:cat>
            <c:strRef>
              <c:f>'2020年我國與主要國家女性就業率比較'!$A$4:$A$14</c:f>
              <c:strCache>
                <c:ptCount val="11"/>
                <c:pt idx="0">
                  <c:v>15-19</c:v>
                </c:pt>
                <c:pt idx="1">
                  <c:v>20-24</c:v>
                </c:pt>
                <c:pt idx="2">
                  <c:v>25-29</c:v>
                </c:pt>
                <c:pt idx="3">
                  <c:v>30-34</c:v>
                </c:pt>
                <c:pt idx="4">
                  <c:v>35-39</c:v>
                </c:pt>
                <c:pt idx="5">
                  <c:v>40-44</c:v>
                </c:pt>
                <c:pt idx="6">
                  <c:v>45-49</c:v>
                </c:pt>
                <c:pt idx="7">
                  <c:v>50-54</c:v>
                </c:pt>
                <c:pt idx="8">
                  <c:v>55-59</c:v>
                </c:pt>
                <c:pt idx="9">
                  <c:v>60-64</c:v>
                </c:pt>
                <c:pt idx="10">
                  <c:v>65以上</c:v>
                </c:pt>
              </c:strCache>
            </c:strRef>
          </c:cat>
          <c:val>
            <c:numRef>
              <c:f>'2020年我國與主要國家女性就業率比較'!$D$4:$D$14</c:f>
              <c:numCache>
                <c:formatCode>General</c:formatCode>
                <c:ptCount val="11"/>
                <c:pt idx="0">
                  <c:v>19.600000000000001</c:v>
                </c:pt>
                <c:pt idx="1">
                  <c:v>72.2</c:v>
                </c:pt>
                <c:pt idx="2">
                  <c:v>82.6</c:v>
                </c:pt>
                <c:pt idx="3">
                  <c:v>75.3</c:v>
                </c:pt>
                <c:pt idx="4">
                  <c:v>74.3</c:v>
                </c:pt>
                <c:pt idx="5">
                  <c:v>77.8</c:v>
                </c:pt>
                <c:pt idx="6">
                  <c:v>79.2</c:v>
                </c:pt>
                <c:pt idx="7">
                  <c:v>78.099999999999994</c:v>
                </c:pt>
                <c:pt idx="8">
                  <c:v>72.8</c:v>
                </c:pt>
                <c:pt idx="9">
                  <c:v>59.7</c:v>
                </c:pt>
                <c:pt idx="10">
                  <c:v>18</c:v>
                </c:pt>
              </c:numCache>
            </c:numRef>
          </c:val>
          <c:smooth val="0"/>
          <c:extLst xmlns:c16r2="http://schemas.microsoft.com/office/drawing/2015/06/chart">
            <c:ext xmlns:c16="http://schemas.microsoft.com/office/drawing/2014/chart" uri="{C3380CC4-5D6E-409C-BE32-E72D297353CC}">
              <c16:uniqueId val="{00000002-4DAB-4529-8987-710D7ACB6B72}"/>
            </c:ext>
          </c:extLst>
        </c:ser>
        <c:ser>
          <c:idx val="3"/>
          <c:order val="3"/>
          <c:tx>
            <c:strRef>
              <c:f>'2020年我國與主要國家女性就業率比較'!$E$3</c:f>
              <c:strCache>
                <c:ptCount val="1"/>
                <c:pt idx="0">
                  <c:v>美國</c:v>
                </c:pt>
              </c:strCache>
            </c:strRef>
          </c:tx>
          <c:spPr>
            <a:ln w="22225" cap="rnd">
              <a:solidFill>
                <a:srgbClr val="FF00FF"/>
              </a:solidFill>
              <a:prstDash val="dash"/>
              <a:round/>
            </a:ln>
            <a:effectLst/>
          </c:spPr>
          <c:marker>
            <c:symbol val="x"/>
            <c:size val="6"/>
            <c:spPr>
              <a:noFill/>
              <a:ln w="9525">
                <a:solidFill>
                  <a:srgbClr val="FF00FF"/>
                </a:solidFill>
                <a:prstDash val="dash"/>
                <a:round/>
              </a:ln>
              <a:effectLst/>
            </c:spPr>
          </c:marker>
          <c:cat>
            <c:strRef>
              <c:f>'2020年我國與主要國家女性就業率比較'!$A$4:$A$14</c:f>
              <c:strCache>
                <c:ptCount val="11"/>
                <c:pt idx="0">
                  <c:v>15-19</c:v>
                </c:pt>
                <c:pt idx="1">
                  <c:v>20-24</c:v>
                </c:pt>
                <c:pt idx="2">
                  <c:v>25-29</c:v>
                </c:pt>
                <c:pt idx="3">
                  <c:v>30-34</c:v>
                </c:pt>
                <c:pt idx="4">
                  <c:v>35-39</c:v>
                </c:pt>
                <c:pt idx="5">
                  <c:v>40-44</c:v>
                </c:pt>
                <c:pt idx="6">
                  <c:v>45-49</c:v>
                </c:pt>
                <c:pt idx="7">
                  <c:v>50-54</c:v>
                </c:pt>
                <c:pt idx="8">
                  <c:v>55-59</c:v>
                </c:pt>
                <c:pt idx="9">
                  <c:v>60-64</c:v>
                </c:pt>
                <c:pt idx="10">
                  <c:v>65以上</c:v>
                </c:pt>
              </c:strCache>
            </c:strRef>
          </c:cat>
          <c:val>
            <c:numRef>
              <c:f>'2020年我國與主要國家女性就業率比較'!$E$4:$E$14</c:f>
              <c:numCache>
                <c:formatCode>General</c:formatCode>
                <c:ptCount val="11"/>
                <c:pt idx="0">
                  <c:v>28.8</c:v>
                </c:pt>
                <c:pt idx="1">
                  <c:v>58.2</c:v>
                </c:pt>
                <c:pt idx="2">
                  <c:v>69.8</c:v>
                </c:pt>
                <c:pt idx="3">
                  <c:v>68.900000000000006</c:v>
                </c:pt>
                <c:pt idx="4">
                  <c:v>69.2</c:v>
                </c:pt>
                <c:pt idx="5">
                  <c:v>70.8</c:v>
                </c:pt>
                <c:pt idx="6">
                  <c:v>70.8</c:v>
                </c:pt>
                <c:pt idx="7">
                  <c:v>68.3</c:v>
                </c:pt>
                <c:pt idx="8">
                  <c:v>61.7</c:v>
                </c:pt>
                <c:pt idx="9">
                  <c:v>47.8</c:v>
                </c:pt>
                <c:pt idx="10">
                  <c:v>14.5</c:v>
                </c:pt>
              </c:numCache>
            </c:numRef>
          </c:val>
          <c:smooth val="0"/>
          <c:extLst xmlns:c16r2="http://schemas.microsoft.com/office/drawing/2015/06/chart">
            <c:ext xmlns:c16="http://schemas.microsoft.com/office/drawing/2014/chart" uri="{C3380CC4-5D6E-409C-BE32-E72D297353CC}">
              <c16:uniqueId val="{00000003-4DAB-4529-8987-710D7ACB6B72}"/>
            </c:ext>
          </c:extLst>
        </c:ser>
        <c:ser>
          <c:idx val="6"/>
          <c:order val="4"/>
          <c:tx>
            <c:strRef>
              <c:f>'2020年我國與主要國家女性就業率比較'!$F$3</c:f>
              <c:strCache>
                <c:ptCount val="1"/>
                <c:pt idx="0">
                  <c:v>法國</c:v>
                </c:pt>
              </c:strCache>
            </c:strRef>
          </c:tx>
          <c:spPr>
            <a:ln w="22225" cap="rnd">
              <a:solidFill>
                <a:schemeClr val="accent1">
                  <a:lumMod val="60000"/>
                </a:schemeClr>
              </a:solidFill>
              <a:round/>
            </a:ln>
            <a:effectLst/>
          </c:spPr>
          <c:marker>
            <c:symbol val="circle"/>
            <c:size val="6"/>
            <c:spPr>
              <a:solidFill>
                <a:schemeClr val="accent1">
                  <a:lumMod val="60000"/>
                </a:schemeClr>
              </a:solidFill>
              <a:ln w="9525">
                <a:solidFill>
                  <a:schemeClr val="accent6">
                    <a:lumMod val="75000"/>
                  </a:schemeClr>
                </a:solidFill>
                <a:round/>
              </a:ln>
              <a:effectLst/>
            </c:spPr>
          </c:marker>
          <c:cat>
            <c:strRef>
              <c:f>'2020年我國與主要國家女性就業率比較'!$A$4:$A$14</c:f>
              <c:strCache>
                <c:ptCount val="11"/>
                <c:pt idx="0">
                  <c:v>15-19</c:v>
                </c:pt>
                <c:pt idx="1">
                  <c:v>20-24</c:v>
                </c:pt>
                <c:pt idx="2">
                  <c:v>25-29</c:v>
                </c:pt>
                <c:pt idx="3">
                  <c:v>30-34</c:v>
                </c:pt>
                <c:pt idx="4">
                  <c:v>35-39</c:v>
                </c:pt>
                <c:pt idx="5">
                  <c:v>40-44</c:v>
                </c:pt>
                <c:pt idx="6">
                  <c:v>45-49</c:v>
                </c:pt>
                <c:pt idx="7">
                  <c:v>50-54</c:v>
                </c:pt>
                <c:pt idx="8">
                  <c:v>55-59</c:v>
                </c:pt>
                <c:pt idx="9">
                  <c:v>60-64</c:v>
                </c:pt>
                <c:pt idx="10">
                  <c:v>65以上</c:v>
                </c:pt>
              </c:strCache>
            </c:strRef>
          </c:cat>
          <c:val>
            <c:numRef>
              <c:f>'2020年我國與主要國家女性就業率比較'!$F$4:$F$14</c:f>
              <c:numCache>
                <c:formatCode>General</c:formatCode>
                <c:ptCount val="11"/>
                <c:pt idx="0">
                  <c:v>7.6</c:v>
                </c:pt>
                <c:pt idx="1">
                  <c:v>46.9</c:v>
                </c:pt>
                <c:pt idx="2">
                  <c:v>70.900000000000006</c:v>
                </c:pt>
                <c:pt idx="3">
                  <c:v>73.7</c:v>
                </c:pt>
                <c:pt idx="4">
                  <c:v>75.599999999999994</c:v>
                </c:pt>
                <c:pt idx="5">
                  <c:v>79.400000000000006</c:v>
                </c:pt>
                <c:pt idx="6">
                  <c:v>81</c:v>
                </c:pt>
                <c:pt idx="7">
                  <c:v>78.599999999999994</c:v>
                </c:pt>
                <c:pt idx="8">
                  <c:v>70.2</c:v>
                </c:pt>
                <c:pt idx="9">
                  <c:v>32.5</c:v>
                </c:pt>
                <c:pt idx="10">
                  <c:v>2.5</c:v>
                </c:pt>
              </c:numCache>
            </c:numRef>
          </c:val>
          <c:smooth val="0"/>
          <c:extLst xmlns:c16r2="http://schemas.microsoft.com/office/drawing/2015/06/chart">
            <c:ext xmlns:c16="http://schemas.microsoft.com/office/drawing/2014/chart" uri="{C3380CC4-5D6E-409C-BE32-E72D297353CC}">
              <c16:uniqueId val="{00000004-4DAB-4529-8987-710D7ACB6B72}"/>
            </c:ext>
          </c:extLst>
        </c:ser>
        <c:ser>
          <c:idx val="7"/>
          <c:order val="5"/>
          <c:tx>
            <c:strRef>
              <c:f>'2020年我國與主要國家女性就業率比較'!$G$3</c:f>
              <c:strCache>
                <c:ptCount val="1"/>
                <c:pt idx="0">
                  <c:v>義大利</c:v>
                </c:pt>
              </c:strCache>
            </c:strRef>
          </c:tx>
          <c:spPr>
            <a:ln w="22225" cap="rnd">
              <a:solidFill>
                <a:srgbClr val="C00000"/>
              </a:solidFill>
              <a:prstDash val="sysDot"/>
              <a:round/>
            </a:ln>
            <a:effectLst/>
          </c:spPr>
          <c:marker>
            <c:symbol val="dot"/>
            <c:size val="6"/>
            <c:spPr>
              <a:solidFill>
                <a:srgbClr val="FF0000"/>
              </a:solidFill>
              <a:ln w="9525">
                <a:solidFill>
                  <a:srgbClr val="C00000"/>
                </a:solidFill>
                <a:prstDash val="sysDot"/>
                <a:round/>
              </a:ln>
              <a:effectLst/>
            </c:spPr>
          </c:marker>
          <c:cat>
            <c:strRef>
              <c:f>'2020年我國與主要國家女性就業率比較'!$A$4:$A$14</c:f>
              <c:strCache>
                <c:ptCount val="11"/>
                <c:pt idx="0">
                  <c:v>15-19</c:v>
                </c:pt>
                <c:pt idx="1">
                  <c:v>20-24</c:v>
                </c:pt>
                <c:pt idx="2">
                  <c:v>25-29</c:v>
                </c:pt>
                <c:pt idx="3">
                  <c:v>30-34</c:v>
                </c:pt>
                <c:pt idx="4">
                  <c:v>35-39</c:v>
                </c:pt>
                <c:pt idx="5">
                  <c:v>40-44</c:v>
                </c:pt>
                <c:pt idx="6">
                  <c:v>45-49</c:v>
                </c:pt>
                <c:pt idx="7">
                  <c:v>50-54</c:v>
                </c:pt>
                <c:pt idx="8">
                  <c:v>55-59</c:v>
                </c:pt>
                <c:pt idx="9">
                  <c:v>60-64</c:v>
                </c:pt>
                <c:pt idx="10">
                  <c:v>65以上</c:v>
                </c:pt>
              </c:strCache>
            </c:strRef>
          </c:cat>
          <c:val>
            <c:numRef>
              <c:f>'2020年我國與主要國家女性就業率比較'!$G$4:$G$14</c:f>
              <c:numCache>
                <c:formatCode>General</c:formatCode>
                <c:ptCount val="11"/>
                <c:pt idx="0">
                  <c:v>2.2000000000000002</c:v>
                </c:pt>
                <c:pt idx="1">
                  <c:v>23.2</c:v>
                </c:pt>
                <c:pt idx="2">
                  <c:v>47.1</c:v>
                </c:pt>
                <c:pt idx="3">
                  <c:v>56.4</c:v>
                </c:pt>
                <c:pt idx="4">
                  <c:v>60.9</c:v>
                </c:pt>
                <c:pt idx="5">
                  <c:v>62.5</c:v>
                </c:pt>
                <c:pt idx="6">
                  <c:v>62.7</c:v>
                </c:pt>
                <c:pt idx="7">
                  <c:v>60.9</c:v>
                </c:pt>
                <c:pt idx="8">
                  <c:v>54.1</c:v>
                </c:pt>
                <c:pt idx="9">
                  <c:v>33.5</c:v>
                </c:pt>
                <c:pt idx="10">
                  <c:v>2.9</c:v>
                </c:pt>
              </c:numCache>
            </c:numRef>
          </c:val>
          <c:smooth val="0"/>
          <c:extLst xmlns:c16r2="http://schemas.microsoft.com/office/drawing/2015/06/chart">
            <c:ext xmlns:c16="http://schemas.microsoft.com/office/drawing/2014/chart" uri="{C3380CC4-5D6E-409C-BE32-E72D297353CC}">
              <c16:uniqueId val="{00000005-4DAB-4529-8987-710D7ACB6B72}"/>
            </c:ext>
          </c:extLst>
        </c:ser>
        <c:ser>
          <c:idx val="8"/>
          <c:order val="6"/>
          <c:tx>
            <c:strRef>
              <c:f>'2020年我國與主要國家女性就業率比較'!$H$3</c:f>
              <c:strCache>
                <c:ptCount val="1"/>
                <c:pt idx="0">
                  <c:v>瑞典</c:v>
                </c:pt>
              </c:strCache>
            </c:strRef>
          </c:tx>
          <c:spPr>
            <a:ln w="22225" cap="rnd" cmpd="dbl">
              <a:solidFill>
                <a:srgbClr val="0000FF"/>
              </a:solidFill>
              <a:prstDash val="lgDashDotDot"/>
              <a:round/>
            </a:ln>
            <a:effectLst/>
          </c:spPr>
          <c:marker>
            <c:symbol val="dash"/>
            <c:size val="6"/>
            <c:spPr>
              <a:solidFill>
                <a:schemeClr val="accent6">
                  <a:lumMod val="75000"/>
                </a:schemeClr>
              </a:solidFill>
              <a:ln w="9525">
                <a:solidFill>
                  <a:srgbClr val="0000FF"/>
                </a:solidFill>
                <a:prstDash val="lgDashDotDot"/>
                <a:round/>
              </a:ln>
              <a:effectLst/>
            </c:spPr>
          </c:marker>
          <c:cat>
            <c:strRef>
              <c:f>'2020年我國與主要國家女性就業率比較'!$A$4:$A$14</c:f>
              <c:strCache>
                <c:ptCount val="11"/>
                <c:pt idx="0">
                  <c:v>15-19</c:v>
                </c:pt>
                <c:pt idx="1">
                  <c:v>20-24</c:v>
                </c:pt>
                <c:pt idx="2">
                  <c:v>25-29</c:v>
                </c:pt>
                <c:pt idx="3">
                  <c:v>30-34</c:v>
                </c:pt>
                <c:pt idx="4">
                  <c:v>35-39</c:v>
                </c:pt>
                <c:pt idx="5">
                  <c:v>40-44</c:v>
                </c:pt>
                <c:pt idx="6">
                  <c:v>45-49</c:v>
                </c:pt>
                <c:pt idx="7">
                  <c:v>50-54</c:v>
                </c:pt>
                <c:pt idx="8">
                  <c:v>55-59</c:v>
                </c:pt>
                <c:pt idx="9">
                  <c:v>60-64</c:v>
                </c:pt>
                <c:pt idx="10">
                  <c:v>65以上</c:v>
                </c:pt>
              </c:strCache>
            </c:strRef>
          </c:cat>
          <c:val>
            <c:numRef>
              <c:f>'2020年我國與主要國家女性就業率比較'!$H$4:$H$14</c:f>
              <c:numCache>
                <c:formatCode>General</c:formatCode>
                <c:ptCount val="11"/>
                <c:pt idx="0">
                  <c:v>24.2</c:v>
                </c:pt>
                <c:pt idx="1">
                  <c:v>55.8</c:v>
                </c:pt>
                <c:pt idx="2">
                  <c:v>74.5</c:v>
                </c:pt>
                <c:pt idx="3">
                  <c:v>79.599999999999994</c:v>
                </c:pt>
                <c:pt idx="4">
                  <c:v>81.8</c:v>
                </c:pt>
                <c:pt idx="5">
                  <c:v>84.8</c:v>
                </c:pt>
                <c:pt idx="6">
                  <c:v>86.6</c:v>
                </c:pt>
                <c:pt idx="7">
                  <c:v>86.3</c:v>
                </c:pt>
                <c:pt idx="8">
                  <c:v>84.4</c:v>
                </c:pt>
                <c:pt idx="9">
                  <c:v>65.900000000000006</c:v>
                </c:pt>
                <c:pt idx="10">
                  <c:v>14</c:v>
                </c:pt>
              </c:numCache>
            </c:numRef>
          </c:val>
          <c:smooth val="0"/>
          <c:extLst xmlns:c16r2="http://schemas.microsoft.com/office/drawing/2015/06/chart">
            <c:ext xmlns:c16="http://schemas.microsoft.com/office/drawing/2014/chart" uri="{C3380CC4-5D6E-409C-BE32-E72D297353CC}">
              <c16:uniqueId val="{00000006-4DAB-4529-8987-710D7ACB6B72}"/>
            </c:ext>
          </c:extLst>
        </c:ser>
        <c:ser>
          <c:idx val="9"/>
          <c:order val="7"/>
          <c:tx>
            <c:strRef>
              <c:f>'2020年我國與主要國家女性就業率比較'!$I$3</c:f>
              <c:strCache>
                <c:ptCount val="1"/>
                <c:pt idx="0">
                  <c:v>丹麥</c:v>
                </c:pt>
              </c:strCache>
            </c:strRef>
          </c:tx>
          <c:spPr>
            <a:ln w="22225" cap="rnd">
              <a:solidFill>
                <a:schemeClr val="accent1">
                  <a:lumMod val="60000"/>
                  <a:lumOff val="40000"/>
                </a:schemeClr>
              </a:solidFill>
              <a:prstDash val="dash"/>
              <a:round/>
            </a:ln>
            <a:effectLst/>
          </c:spPr>
          <c:marker>
            <c:symbol val="diamond"/>
            <c:size val="6"/>
            <c:spPr>
              <a:solidFill>
                <a:schemeClr val="accent1">
                  <a:lumMod val="60000"/>
                  <a:lumOff val="40000"/>
                </a:schemeClr>
              </a:solidFill>
              <a:ln w="9525">
                <a:solidFill>
                  <a:schemeClr val="accent1">
                    <a:lumMod val="60000"/>
                    <a:lumOff val="40000"/>
                  </a:schemeClr>
                </a:solidFill>
                <a:prstDash val="dash"/>
                <a:round/>
              </a:ln>
              <a:effectLst/>
            </c:spPr>
          </c:marker>
          <c:cat>
            <c:strRef>
              <c:f>'2020年我國與主要國家女性就業率比較'!$A$4:$A$14</c:f>
              <c:strCache>
                <c:ptCount val="11"/>
                <c:pt idx="0">
                  <c:v>15-19</c:v>
                </c:pt>
                <c:pt idx="1">
                  <c:v>20-24</c:v>
                </c:pt>
                <c:pt idx="2">
                  <c:v>25-29</c:v>
                </c:pt>
                <c:pt idx="3">
                  <c:v>30-34</c:v>
                </c:pt>
                <c:pt idx="4">
                  <c:v>35-39</c:v>
                </c:pt>
                <c:pt idx="5">
                  <c:v>40-44</c:v>
                </c:pt>
                <c:pt idx="6">
                  <c:v>45-49</c:v>
                </c:pt>
                <c:pt idx="7">
                  <c:v>50-54</c:v>
                </c:pt>
                <c:pt idx="8">
                  <c:v>55-59</c:v>
                </c:pt>
                <c:pt idx="9">
                  <c:v>60-64</c:v>
                </c:pt>
                <c:pt idx="10">
                  <c:v>65以上</c:v>
                </c:pt>
              </c:strCache>
            </c:strRef>
          </c:cat>
          <c:val>
            <c:numRef>
              <c:f>'2020年我國與主要國家女性就業率比較'!$I$4:$I$14</c:f>
              <c:numCache>
                <c:formatCode>General</c:formatCode>
                <c:ptCount val="11"/>
                <c:pt idx="0">
                  <c:v>42.3</c:v>
                </c:pt>
                <c:pt idx="1">
                  <c:v>64.3</c:v>
                </c:pt>
                <c:pt idx="2">
                  <c:v>68.599999999999994</c:v>
                </c:pt>
                <c:pt idx="3">
                  <c:v>75.7</c:v>
                </c:pt>
                <c:pt idx="4">
                  <c:v>77.8</c:v>
                </c:pt>
                <c:pt idx="5">
                  <c:v>81.900000000000006</c:v>
                </c:pt>
                <c:pt idx="6">
                  <c:v>84.4</c:v>
                </c:pt>
                <c:pt idx="7">
                  <c:v>81.400000000000006</c:v>
                </c:pt>
                <c:pt idx="8">
                  <c:v>78.900000000000006</c:v>
                </c:pt>
                <c:pt idx="9">
                  <c:v>53.9</c:v>
                </c:pt>
                <c:pt idx="10">
                  <c:v>4.7</c:v>
                </c:pt>
              </c:numCache>
            </c:numRef>
          </c:val>
          <c:smooth val="0"/>
          <c:extLst xmlns:c16r2="http://schemas.microsoft.com/office/drawing/2015/06/chart">
            <c:ext xmlns:c16="http://schemas.microsoft.com/office/drawing/2014/chart" uri="{C3380CC4-5D6E-409C-BE32-E72D297353CC}">
              <c16:uniqueId val="{00000007-4DAB-4529-8987-710D7ACB6B72}"/>
            </c:ext>
          </c:extLst>
        </c:ser>
        <c:ser>
          <c:idx val="10"/>
          <c:order val="8"/>
          <c:tx>
            <c:strRef>
              <c:f>'2020年我國與主要國家女性就業率比較'!$J$3</c:f>
              <c:strCache>
                <c:ptCount val="1"/>
                <c:pt idx="0">
                  <c:v>荷蘭</c:v>
                </c:pt>
              </c:strCache>
            </c:strRef>
          </c:tx>
          <c:spPr>
            <a:ln w="22225" cap="rnd">
              <a:solidFill>
                <a:srgbClr val="7030A0"/>
              </a:solidFill>
              <a:prstDash val="sysDot"/>
              <a:round/>
            </a:ln>
            <a:effectLst/>
          </c:spPr>
          <c:marker>
            <c:symbol val="square"/>
            <c:size val="6"/>
            <c:spPr>
              <a:solidFill>
                <a:srgbClr val="7030A0"/>
              </a:solidFill>
              <a:ln w="9525">
                <a:solidFill>
                  <a:srgbClr val="7030A0"/>
                </a:solidFill>
                <a:prstDash val="sysDot"/>
                <a:round/>
              </a:ln>
              <a:effectLst/>
            </c:spPr>
          </c:marker>
          <c:cat>
            <c:strRef>
              <c:f>'2020年我國與主要國家女性就業率比較'!$A$4:$A$14</c:f>
              <c:strCache>
                <c:ptCount val="11"/>
                <c:pt idx="0">
                  <c:v>15-19</c:v>
                </c:pt>
                <c:pt idx="1">
                  <c:v>20-24</c:v>
                </c:pt>
                <c:pt idx="2">
                  <c:v>25-29</c:v>
                </c:pt>
                <c:pt idx="3">
                  <c:v>30-34</c:v>
                </c:pt>
                <c:pt idx="4">
                  <c:v>35-39</c:v>
                </c:pt>
                <c:pt idx="5">
                  <c:v>40-44</c:v>
                </c:pt>
                <c:pt idx="6">
                  <c:v>45-49</c:v>
                </c:pt>
                <c:pt idx="7">
                  <c:v>50-54</c:v>
                </c:pt>
                <c:pt idx="8">
                  <c:v>55-59</c:v>
                </c:pt>
                <c:pt idx="9">
                  <c:v>60-64</c:v>
                </c:pt>
                <c:pt idx="10">
                  <c:v>65以上</c:v>
                </c:pt>
              </c:strCache>
            </c:strRef>
          </c:cat>
          <c:val>
            <c:numRef>
              <c:f>'2020年我國與主要國家女性就業率比較'!$J$4:$J$14</c:f>
              <c:numCache>
                <c:formatCode>General</c:formatCode>
                <c:ptCount val="11"/>
                <c:pt idx="0">
                  <c:v>57.8</c:v>
                </c:pt>
                <c:pt idx="1">
                  <c:v>69</c:v>
                </c:pt>
                <c:pt idx="2">
                  <c:v>83.6</c:v>
                </c:pt>
                <c:pt idx="3">
                  <c:v>83.6</c:v>
                </c:pt>
                <c:pt idx="4">
                  <c:v>81.7</c:v>
                </c:pt>
                <c:pt idx="5">
                  <c:v>79.099999999999994</c:v>
                </c:pt>
                <c:pt idx="6">
                  <c:v>81</c:v>
                </c:pt>
                <c:pt idx="7">
                  <c:v>78.2</c:v>
                </c:pt>
                <c:pt idx="8">
                  <c:v>71.599999999999994</c:v>
                </c:pt>
                <c:pt idx="9">
                  <c:v>52.6</c:v>
                </c:pt>
                <c:pt idx="10">
                  <c:v>5.6</c:v>
                </c:pt>
              </c:numCache>
            </c:numRef>
          </c:val>
          <c:smooth val="0"/>
          <c:extLst xmlns:c16r2="http://schemas.microsoft.com/office/drawing/2015/06/chart">
            <c:ext xmlns:c16="http://schemas.microsoft.com/office/drawing/2014/chart" uri="{C3380CC4-5D6E-409C-BE32-E72D297353CC}">
              <c16:uniqueId val="{00000008-4DAB-4529-8987-710D7ACB6B72}"/>
            </c:ext>
          </c:extLst>
        </c:ser>
        <c:dLbls>
          <c:showLegendKey val="0"/>
          <c:showVal val="0"/>
          <c:showCatName val="0"/>
          <c:showSerName val="0"/>
          <c:showPercent val="0"/>
          <c:showBubbleSize val="0"/>
        </c:dLbls>
        <c:marker val="1"/>
        <c:smooth val="0"/>
        <c:axId val="338341376"/>
        <c:axId val="142192000"/>
      </c:lineChart>
      <c:catAx>
        <c:axId val="338341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a:t>
                </a:r>
                <a:endParaRPr lang="zh-TW"/>
              </a:p>
            </c:rich>
          </c:tx>
          <c:layout>
            <c:manualLayout>
              <c:xMode val="edge"/>
              <c:yMode val="edge"/>
              <c:x val="4.2950767517696643E-2"/>
              <c:y val="5.6752288997294363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zh-TW"/>
          </a:p>
        </c:txPr>
        <c:crossAx val="142192000"/>
        <c:crosses val="autoZero"/>
        <c:auto val="1"/>
        <c:lblAlgn val="ctr"/>
        <c:lblOffset val="100"/>
        <c:noMultiLvlLbl val="0"/>
      </c:catAx>
      <c:valAx>
        <c:axId val="142192000"/>
        <c:scaling>
          <c:orientation val="minMax"/>
          <c:max val="95"/>
          <c:min val="0"/>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38341376"/>
        <c:crosses val="autoZero"/>
        <c:crossBetween val="between"/>
      </c:valAx>
      <c:spPr>
        <a:noFill/>
        <a:ln>
          <a:noFill/>
        </a:ln>
        <a:effectLst/>
      </c:spPr>
    </c:plotArea>
    <c:legend>
      <c:legendPos val="t"/>
      <c:layout>
        <c:manualLayout>
          <c:xMode val="edge"/>
          <c:yMode val="edge"/>
          <c:x val="0.10412851921624461"/>
          <c:y val="0.89459171189258713"/>
          <c:w val="0.80298396548281525"/>
          <c:h val="0.10540828810741287"/>
        </c:manualLayout>
      </c:layout>
      <c:overlay val="0"/>
      <c:spPr>
        <a:noFill/>
        <a:ln>
          <a:solidFill>
            <a:schemeClr val="bg2"/>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endParaRPr lang="zh-TW"/>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baseline="0">
                <a:solidFill>
                  <a:schemeClr val="tx1">
                    <a:lumMod val="65000"/>
                    <a:lumOff val="35000"/>
                  </a:schemeClr>
                </a:solidFill>
                <a:latin typeface="微軟正黑體" pitchFamily="34" charset="-120"/>
                <a:ea typeface="微軟正黑體" pitchFamily="34" charset="-120"/>
                <a:cs typeface="+mn-cs"/>
              </a:defRPr>
            </a:pPr>
            <a:r>
              <a:rPr lang="zh-TW" sz="1300" b="0">
                <a:solidFill>
                  <a:schemeClr val="tx1">
                    <a:lumMod val="65000"/>
                    <a:lumOff val="35000"/>
                  </a:schemeClr>
                </a:solidFill>
                <a:latin typeface="微軟正黑體" pitchFamily="34" charset="-120"/>
                <a:ea typeface="微軟正黑體" pitchFamily="34" charset="-120"/>
              </a:rPr>
              <a:t>中高齡及高齡就業者之從業身分結構</a:t>
            </a:r>
            <a:r>
              <a:rPr lang="en-US" sz="1300" b="0">
                <a:solidFill>
                  <a:schemeClr val="tx1">
                    <a:lumMod val="65000"/>
                    <a:lumOff val="35000"/>
                  </a:schemeClr>
                </a:solidFill>
                <a:latin typeface="微軟正黑體" pitchFamily="34" charset="-120"/>
                <a:ea typeface="微軟正黑體" pitchFamily="34" charset="-120"/>
              </a:rPr>
              <a:t>–</a:t>
            </a:r>
            <a:r>
              <a:rPr lang="zh-TW" sz="1300" b="0">
                <a:solidFill>
                  <a:schemeClr val="tx1">
                    <a:lumMod val="65000"/>
                    <a:lumOff val="35000"/>
                  </a:schemeClr>
                </a:solidFill>
                <a:latin typeface="微軟正黑體" pitchFamily="34" charset="-120"/>
                <a:ea typeface="微軟正黑體" pitchFamily="34" charset="-120"/>
              </a:rPr>
              <a:t>按年齡別分</a:t>
            </a:r>
          </a:p>
        </c:rich>
      </c:tx>
      <c:layout>
        <c:manualLayout>
          <c:xMode val="edge"/>
          <c:yMode val="edge"/>
          <c:x val="0.25481233148170773"/>
          <c:y val="1.6573739093424132E-3"/>
        </c:manualLayout>
      </c:layout>
      <c:overlay val="0"/>
      <c:spPr>
        <a:noFill/>
        <a:ln>
          <a:noFill/>
        </a:ln>
        <a:effectLst/>
      </c:spPr>
    </c:title>
    <c:autoTitleDeleted val="0"/>
    <c:plotArea>
      <c:layout>
        <c:manualLayout>
          <c:layoutTarget val="inner"/>
          <c:xMode val="edge"/>
          <c:yMode val="edge"/>
          <c:x val="8.381960588622793E-2"/>
          <c:y val="0.12691980137021949"/>
          <c:w val="0.87663183103074582"/>
          <c:h val="0.67349815538791913"/>
        </c:manualLayout>
      </c:layout>
      <c:barChart>
        <c:barDir val="col"/>
        <c:grouping val="clustered"/>
        <c:varyColors val="0"/>
        <c:dLbls>
          <c:showLegendKey val="0"/>
          <c:showVal val="0"/>
          <c:showCatName val="0"/>
          <c:showSerName val="0"/>
          <c:showPercent val="0"/>
          <c:showBubbleSize val="0"/>
        </c:dLbls>
        <c:gapWidth val="80"/>
        <c:axId val="338651136"/>
        <c:axId val="14219372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非典型受雇者比例!$M$66:$M$68</c15:sqref>
                        </c15:formulaRef>
                      </c:ext>
                    </c:extLst>
                    <c:strCache>
                      <c:ptCount val="3"/>
                      <c:pt idx="0">
                        <c:v>就業人數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4441410902484203E-2"/>
                        <c:y val="6.0345481488346973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15-3AFF-4ABD-8FAC-0BE850776FA6}"/>
                      </c:ext>
                    </c:extLst>
                  </c:dLbl>
                  <c:dLbl>
                    <c:idx val="1"/>
                    <c:layout>
                      <c:manualLayout>
                        <c:x val="5.858310082044018E-2"/>
                        <c:y val="5.6361140797598248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16-3AFF-4ABD-8FAC-0BE850776FA6}"/>
                      </c:ext>
                    </c:extLst>
                  </c:dLbl>
                  <c:dLbl>
                    <c:idx val="2"/>
                    <c:layout>
                      <c:manualLayout>
                        <c:x val="3.9331709817758818E-2"/>
                        <c:y val="7.7695627149477101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17-3AFF-4ABD-8FAC-0BE850776FA6}"/>
                      </c:ext>
                    </c:extLst>
                  </c:dLbl>
                  <c:dLbl>
                    <c:idx val="3"/>
                    <c:layout>
                      <c:manualLayout>
                        <c:x val="3.7102630519612115E-2"/>
                        <c:y val="7.5201233578284191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18-3AFF-4ABD-8FAC-0BE850776FA6}"/>
                      </c:ext>
                    </c:extLst>
                  </c:dLbl>
                  <c:dLbl>
                    <c:idx val="4"/>
                    <c:layout>
                      <c:manualLayout>
                        <c:x val="4.6866480656352148E-2"/>
                        <c:y val="5.6396771868679071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19-3AFF-4ABD-8FAC-0BE850776F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zh-TW"/>
                    </a:p>
                  </c:txPr>
                  <c:dLblPos val="inBase"/>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非典型受雇者比例!$L$70:$L$74</c15:sqref>
                        </c15:formulaRef>
                      </c:ext>
                    </c:extLst>
                    <c:strCache>
                      <c:ptCount val="5"/>
                      <c:pt idx="0">
                        <c:v>45~49 歲</c:v>
                      </c:pt>
                      <c:pt idx="1">
                        <c:v>50~54 歲</c:v>
                      </c:pt>
                      <c:pt idx="2">
                        <c:v>55~59 歲</c:v>
                      </c:pt>
                      <c:pt idx="3">
                        <c:v>60~64 歲</c:v>
                      </c:pt>
                      <c:pt idx="4">
                        <c:v>65 歲以上</c:v>
                      </c:pt>
                    </c:strCache>
                  </c:strRef>
                </c:cat>
                <c:val>
                  <c:numRef>
                    <c:extLst>
                      <c:ext uri="{02D57815-91ED-43cb-92C2-25804820EDAC}">
                        <c15:formulaRef>
                          <c15:sqref>非典型受雇者比例!$M$70:$M$74</c15:sqref>
                        </c15:formulaRef>
                      </c:ext>
                    </c:extLst>
                    <c:numCache>
                      <c:formatCode>#,##0</c:formatCode>
                      <c:ptCount val="5"/>
                      <c:pt idx="0">
                        <c:v>1431</c:v>
                      </c:pt>
                      <c:pt idx="1">
                        <c:v>1312</c:v>
                      </c:pt>
                      <c:pt idx="2">
                        <c:v>1019</c:v>
                      </c:pt>
                      <c:pt idx="3" formatCode="General">
                        <c:v>608</c:v>
                      </c:pt>
                      <c:pt idx="4" formatCode="General">
                        <c:v>321</c:v>
                      </c:pt>
                    </c:numCache>
                  </c:numRef>
                </c:val>
                <c:extLst>
                  <c:ext xmlns:c16="http://schemas.microsoft.com/office/drawing/2014/chart" uri="{C3380CC4-5D6E-409C-BE32-E72D297353CC}">
                    <c16:uniqueId val="{0000001A-3AFF-4ABD-8FAC-0BE850776FA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非典型受雇者比例!$N$66:$N$68</c15:sqref>
                        </c15:formulaRef>
                      </c:ext>
                    </c:extLst>
                    <c:strCache>
                      <c:ptCount val="3"/>
                      <c:pt idx="0">
                        <c:v>就業人數</c:v>
                      </c:pt>
                      <c:pt idx="1">
                        <c:v>總計</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非典型受雇者比例!$L$70:$L$74</c15:sqref>
                        </c15:formulaRef>
                      </c:ext>
                    </c:extLst>
                    <c:strCache>
                      <c:ptCount val="5"/>
                      <c:pt idx="0">
                        <c:v>45~49 歲</c:v>
                      </c:pt>
                      <c:pt idx="1">
                        <c:v>50~54 歲</c:v>
                      </c:pt>
                      <c:pt idx="2">
                        <c:v>55~59 歲</c:v>
                      </c:pt>
                      <c:pt idx="3">
                        <c:v>60~64 歲</c:v>
                      </c:pt>
                      <c:pt idx="4">
                        <c:v>65 歲以上</c:v>
                      </c:pt>
                    </c:strCache>
                  </c:strRef>
                </c:cat>
                <c:val>
                  <c:numRef>
                    <c:extLst xmlns:c15="http://schemas.microsoft.com/office/drawing/2012/chart">
                      <c:ext xmlns:c15="http://schemas.microsoft.com/office/drawing/2012/chart" uri="{02D57815-91ED-43cb-92C2-25804820EDAC}">
                        <c15:formulaRef>
                          <c15:sqref>非典型受雇者比例!$N$70:$N$74</c15:sqref>
                        </c15:formulaRef>
                      </c:ext>
                    </c:extLst>
                    <c:numCache>
                      <c:formatCode>General</c:formatCode>
                      <c:ptCount val="5"/>
                      <c:pt idx="0">
                        <c:v>100</c:v>
                      </c:pt>
                      <c:pt idx="1">
                        <c:v>100</c:v>
                      </c:pt>
                      <c:pt idx="2">
                        <c:v>100</c:v>
                      </c:pt>
                      <c:pt idx="3">
                        <c:v>100</c:v>
                      </c:pt>
                      <c:pt idx="4">
                        <c:v>100</c:v>
                      </c:pt>
                    </c:numCache>
                  </c:numRef>
                </c:val>
                <c:extLst xmlns:c15="http://schemas.microsoft.com/office/drawing/2012/chart">
                  <c:ext xmlns:c16="http://schemas.microsoft.com/office/drawing/2014/chart" uri="{C3380CC4-5D6E-409C-BE32-E72D297353CC}">
                    <c16:uniqueId val="{0000001B-3AFF-4ABD-8FAC-0BE850776FA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非典型受雇者比例!$B$77</c15:sqref>
                        </c15:formulaRef>
                      </c:ext>
                    </c:extLst>
                    <c:strCache>
                      <c:ptCount val="1"/>
                      <c:pt idx="0">
                        <c:v>男</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Lit>
                    <c:ptCount val="0"/>
                  </c:numLit>
                </c:val>
                <c:extLst xmlns:c15="http://schemas.microsoft.com/office/drawing/2012/chart">
                  <c:ext xmlns:c16="http://schemas.microsoft.com/office/drawing/2014/chart" uri="{C3380CC4-5D6E-409C-BE32-E72D297353CC}">
                    <c16:uniqueId val="{00000000-3AFF-4ABD-8FAC-0BE850776FA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非典型受雇者比例!$B$78</c15:sqref>
                        </c15:formulaRef>
                      </c:ext>
                    </c:extLst>
                    <c:strCache>
                      <c:ptCount val="1"/>
                      <c:pt idx="0">
                        <c:v>女</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Lit>
                    <c:ptCount val="0"/>
                  </c:numLit>
                </c:val>
                <c:extLst xmlns:c15="http://schemas.microsoft.com/office/drawing/2012/chart">
                  <c:ext xmlns:c16="http://schemas.microsoft.com/office/drawing/2014/chart" uri="{C3380CC4-5D6E-409C-BE32-E72D297353CC}">
                    <c16:uniqueId val="{00000001-3AFF-4ABD-8FAC-0BE850776FA6}"/>
                  </c:ext>
                </c:extLst>
              </c15:ser>
            </c15:filteredBarSeries>
          </c:ext>
        </c:extLst>
      </c:barChart>
      <c:lineChart>
        <c:grouping val="standard"/>
        <c:varyColors val="0"/>
        <c:ser>
          <c:idx val="2"/>
          <c:order val="0"/>
          <c:tx>
            <c:v>雇主</c:v>
          </c:tx>
          <c:spPr>
            <a:ln w="28575" cap="rnd">
              <a:solidFill>
                <a:schemeClr val="accent1"/>
              </a:solidFill>
              <a:prstDash val="lgDashDotDot"/>
              <a:round/>
            </a:ln>
            <a:effectLst>
              <a:outerShdw blurRad="57150" dist="19050" dir="5400000" algn="ctr" rotWithShape="0">
                <a:srgbClr val="000000">
                  <a:alpha val="63000"/>
                </a:srgbClr>
              </a:outerShdw>
            </a:effectLst>
          </c:spPr>
          <c:marker>
            <c:symbol val="circle"/>
            <c:size val="6"/>
            <c:spPr>
              <a:solidFill>
                <a:srgbClr val="FFFF00"/>
              </a:solidFill>
              <a:ln w="28575">
                <a:solidFill>
                  <a:schemeClr val="accent1"/>
                </a:solidFill>
                <a:prstDash val="lgDashDotDot"/>
                <a:round/>
              </a:ln>
              <a:effectLst>
                <a:outerShdw blurRad="57150" dist="19050" dir="5400000" algn="ctr" rotWithShape="0">
                  <a:srgbClr val="000000">
                    <a:alpha val="63000"/>
                  </a:srgbClr>
                </a:outerShdw>
              </a:effectLst>
            </c:spPr>
          </c:marker>
          <c:dLbls>
            <c:dLbl>
              <c:idx val="0"/>
              <c:layout>
                <c:manualLayout>
                  <c:x val="-7.4800932778275125E-2"/>
                  <c:y val="-2.5836171997014809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FF-4ABD-8FAC-0BE850776FA6}"/>
                </c:ext>
              </c:extLst>
            </c:dLbl>
            <c:dLbl>
              <c:idx val="3"/>
              <c:layout>
                <c:manualLayout>
                  <c:x val="-7.7623377394182057E-3"/>
                  <c:y val="3.05170287009370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FF-4ABD-8FAC-0BE850776FA6}"/>
                </c:ext>
              </c:extLst>
            </c:dLbl>
            <c:dLbl>
              <c:idx val="4"/>
              <c:layout>
                <c:manualLayout>
                  <c:x val="-9.7151077667662119E-3"/>
                  <c:y val="2.77408654940182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AFF-4ABD-8FAC-0BE850776FA6}"/>
                </c:ext>
              </c:extLst>
            </c:dLbl>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非典型受雇者比例!$L$70:$L$74</c:f>
              <c:strCache>
                <c:ptCount val="5"/>
                <c:pt idx="0">
                  <c:v>45~49 歲</c:v>
                </c:pt>
                <c:pt idx="1">
                  <c:v>50~54 歲</c:v>
                </c:pt>
                <c:pt idx="2">
                  <c:v>55~59 歲</c:v>
                </c:pt>
                <c:pt idx="3">
                  <c:v>60~64 歲</c:v>
                </c:pt>
                <c:pt idx="4">
                  <c:v>65 歲以上</c:v>
                </c:pt>
              </c:strCache>
              <c:extLst xmlns:c16r2="http://schemas.microsoft.com/office/drawing/2015/06/chart"/>
            </c:strRef>
          </c:cat>
          <c:val>
            <c:numRef>
              <c:f>非典型受雇者比例!$O$70:$O$74</c:f>
              <c:numCache>
                <c:formatCode>General</c:formatCode>
                <c:ptCount val="5"/>
                <c:pt idx="0">
                  <c:v>4.82</c:v>
                </c:pt>
                <c:pt idx="1">
                  <c:v>6.43</c:v>
                </c:pt>
                <c:pt idx="2">
                  <c:v>7.95</c:v>
                </c:pt>
                <c:pt idx="3">
                  <c:v>8.41</c:v>
                </c:pt>
                <c:pt idx="4">
                  <c:v>9.17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5-3AFF-4ABD-8FAC-0BE850776FA6}"/>
            </c:ext>
          </c:extLst>
        </c:ser>
        <c:ser>
          <c:idx val="3"/>
          <c:order val="1"/>
          <c:tx>
            <c:strRef>
              <c:f>非典型受雇者比例!$P$66:$P$68</c:f>
              <c:strCache>
                <c:ptCount val="3"/>
                <c:pt idx="0">
                  <c:v>自營作業者</c:v>
                </c:pt>
              </c:strCache>
            </c:strRef>
          </c:tx>
          <c:spPr>
            <a:ln w="28575" cap="rnd">
              <a:solidFill>
                <a:srgbClr val="FF0000"/>
              </a:solidFill>
              <a:round/>
            </a:ln>
            <a:effectLst>
              <a:outerShdw blurRad="57150" dist="19050" dir="5400000" algn="ctr" rotWithShape="0">
                <a:srgbClr val="000000">
                  <a:alpha val="63000"/>
                </a:srgbClr>
              </a:outerShdw>
            </a:effectLst>
          </c:spPr>
          <c:marker>
            <c:symbol val="circle"/>
            <c:size val="6"/>
            <c:spPr>
              <a:solidFill>
                <a:srgbClr val="0000FF"/>
              </a:solidFill>
              <a:ln w="28575">
                <a:solidFill>
                  <a:srgbClr val="FF0000"/>
                </a:solidFill>
                <a:round/>
              </a:ln>
              <a:effectLst>
                <a:outerShdw blurRad="57150" dist="19050" dir="5400000" algn="ctr" rotWithShape="0">
                  <a:srgbClr val="000000">
                    <a:alpha val="63000"/>
                  </a:srgbClr>
                </a:outerShdw>
              </a:effectLst>
            </c:spPr>
          </c:marker>
          <c:dLbls>
            <c:dLbl>
              <c:idx val="0"/>
              <c:layout>
                <c:manualLayout>
                  <c:x val="5.2285033078694173E-3"/>
                  <c:y val="-5.27263343562875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AFF-4ABD-8FAC-0BE850776FA6}"/>
                </c:ext>
              </c:extLst>
            </c:dLbl>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非典型受雇者比例!$L$70:$L$74</c:f>
              <c:strCache>
                <c:ptCount val="5"/>
                <c:pt idx="0">
                  <c:v>45~49 歲</c:v>
                </c:pt>
                <c:pt idx="1">
                  <c:v>50~54 歲</c:v>
                </c:pt>
                <c:pt idx="2">
                  <c:v>55~59 歲</c:v>
                </c:pt>
                <c:pt idx="3">
                  <c:v>60~64 歲</c:v>
                </c:pt>
                <c:pt idx="4">
                  <c:v>65 歲以上</c:v>
                </c:pt>
              </c:strCache>
              <c:extLst xmlns:c16r2="http://schemas.microsoft.com/office/drawing/2015/06/chart"/>
            </c:strRef>
          </c:cat>
          <c:val>
            <c:numRef>
              <c:f>非典型受雇者比例!$P$70:$P$74</c:f>
              <c:numCache>
                <c:formatCode>General</c:formatCode>
                <c:ptCount val="5"/>
                <c:pt idx="0">
                  <c:v>11.53</c:v>
                </c:pt>
                <c:pt idx="1">
                  <c:v>16.350000000000001</c:v>
                </c:pt>
                <c:pt idx="2">
                  <c:v>20.96</c:v>
                </c:pt>
                <c:pt idx="3">
                  <c:v>28.13</c:v>
                </c:pt>
                <c:pt idx="4">
                  <c:v>51.37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7-3AFF-4ABD-8FAC-0BE850776FA6}"/>
            </c:ext>
          </c:extLst>
        </c:ser>
        <c:ser>
          <c:idx val="4"/>
          <c:order val="2"/>
          <c:tx>
            <c:strRef>
              <c:f>非典型受雇者比例!$Q$67</c:f>
              <c:strCache>
                <c:ptCount val="1"/>
                <c:pt idx="0">
                  <c:v>全體受僱者</c:v>
                </c:pt>
              </c:strCache>
            </c:strRef>
          </c:tx>
          <c:spPr>
            <a:ln w="28575" cap="rnd">
              <a:solidFill>
                <a:srgbClr val="7030A0"/>
              </a:solidFill>
              <a:prstDash val="sysDot"/>
              <a:round/>
            </a:ln>
            <a:effectLst>
              <a:outerShdw blurRad="57150" dist="19050" dir="5400000" algn="ctr" rotWithShape="0">
                <a:srgbClr val="000000">
                  <a:alpha val="63000"/>
                </a:srgbClr>
              </a:outerShdw>
            </a:effectLst>
          </c:spPr>
          <c:marker>
            <c:symbol val="circle"/>
            <c:size val="6"/>
            <c:spPr>
              <a:solidFill>
                <a:srgbClr val="92D050"/>
              </a:solidFill>
              <a:ln w="28575">
                <a:solidFill>
                  <a:srgbClr val="7030A0"/>
                </a:solidFill>
                <a:prstDash val="sysDot"/>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非典型受雇者比例!$L$70:$L$74</c:f>
              <c:strCache>
                <c:ptCount val="5"/>
                <c:pt idx="0">
                  <c:v>45~49 歲</c:v>
                </c:pt>
                <c:pt idx="1">
                  <c:v>50~54 歲</c:v>
                </c:pt>
                <c:pt idx="2">
                  <c:v>55~59 歲</c:v>
                </c:pt>
                <c:pt idx="3">
                  <c:v>60~64 歲</c:v>
                </c:pt>
                <c:pt idx="4">
                  <c:v>65 歲以上</c:v>
                </c:pt>
              </c:strCache>
              <c:extLst xmlns:c16r2="http://schemas.microsoft.com/office/drawing/2015/06/chart"/>
            </c:strRef>
          </c:cat>
          <c:val>
            <c:numRef>
              <c:f>非典型受雇者比例!$Q$70:$Q$74</c:f>
              <c:numCache>
                <c:formatCode>General</c:formatCode>
                <c:ptCount val="5"/>
                <c:pt idx="0">
                  <c:v>79.06</c:v>
                </c:pt>
                <c:pt idx="1">
                  <c:v>71.78</c:v>
                </c:pt>
                <c:pt idx="2">
                  <c:v>64.44</c:v>
                </c:pt>
                <c:pt idx="3">
                  <c:v>55.76</c:v>
                </c:pt>
                <c:pt idx="4">
                  <c:v>26.98</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8-3AFF-4ABD-8FAC-0BE850776FA6}"/>
            </c:ext>
          </c:extLst>
        </c:ser>
        <c:ser>
          <c:idx val="7"/>
          <c:order val="5"/>
          <c:tx>
            <c:strRef>
              <c:f>非典型受雇者比例!$T$66:$T$68</c:f>
              <c:strCache>
                <c:ptCount val="3"/>
                <c:pt idx="0">
                  <c:v>無酬家屬工作者</c:v>
                </c:pt>
              </c:strCache>
            </c:strRef>
          </c:tx>
          <c:spPr>
            <a:ln w="28575" cap="rnd">
              <a:solidFill>
                <a:schemeClr val="accent2"/>
              </a:solidFill>
              <a:prstDash val="dash"/>
              <a:round/>
            </a:ln>
            <a:effectLst>
              <a:outerShdw blurRad="57150" dist="19050" dir="5400000" algn="ctr" rotWithShape="0">
                <a:srgbClr val="000000">
                  <a:alpha val="63000"/>
                </a:srgbClr>
              </a:outerShdw>
            </a:effectLst>
          </c:spPr>
          <c:marker>
            <c:symbol val="circle"/>
            <c:size val="6"/>
            <c:spPr>
              <a:solidFill>
                <a:schemeClr val="accent4">
                  <a:lumMod val="75000"/>
                </a:schemeClr>
              </a:solidFill>
              <a:ln w="28575">
                <a:solidFill>
                  <a:schemeClr val="accent2"/>
                </a:solidFill>
                <a:prstDash val="dash"/>
                <a:round/>
              </a:ln>
              <a:effectLst>
                <a:outerShdw blurRad="57150" dist="19050" dir="5400000" algn="ctr" rotWithShape="0">
                  <a:srgbClr val="000000">
                    <a:alpha val="63000"/>
                  </a:srgbClr>
                </a:outerShdw>
              </a:effectLst>
            </c:spPr>
          </c:marker>
          <c:dLbls>
            <c:dLbl>
              <c:idx val="0"/>
              <c:layout>
                <c:manualLayout>
                  <c:x val="-7.8110801093920238E-3"/>
                  <c:y val="2.56472040198642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AFF-4ABD-8FAC-0BE850776FA6}"/>
                </c:ext>
              </c:extLst>
            </c:dLbl>
            <c:dLbl>
              <c:idx val="1"/>
              <c:layout>
                <c:manualLayout>
                  <c:x val="1.1716620164088037E-2"/>
                  <c:y val="3.33139584830258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AFF-4ABD-8FAC-0BE850776FA6}"/>
                </c:ext>
              </c:extLst>
            </c:dLbl>
            <c:dLbl>
              <c:idx val="2"/>
              <c:layout>
                <c:manualLayout>
                  <c:x val="1.9823312831601974E-2"/>
                  <c:y val="3.41698464200374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AFF-4ABD-8FAC-0BE850776FA6}"/>
                </c:ext>
              </c:extLst>
            </c:dLbl>
            <c:dLbl>
              <c:idx val="3"/>
              <c:layout>
                <c:manualLayout>
                  <c:x val="-5.858310082044018E-2"/>
                  <c:y val="3.33139584830257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AFF-4ABD-8FAC-0BE850776FA6}"/>
                </c:ext>
              </c:extLst>
            </c:dLbl>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zh-TW"/>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非典型受雇者比例!$L$70:$L$74</c:f>
              <c:strCache>
                <c:ptCount val="5"/>
                <c:pt idx="0">
                  <c:v>45~49 歲</c:v>
                </c:pt>
                <c:pt idx="1">
                  <c:v>50~54 歲</c:v>
                </c:pt>
                <c:pt idx="2">
                  <c:v>55~59 歲</c:v>
                </c:pt>
                <c:pt idx="3">
                  <c:v>60~64 歲</c:v>
                </c:pt>
                <c:pt idx="4">
                  <c:v>65 歲以上</c:v>
                </c:pt>
              </c:strCache>
              <c:extLst xmlns:c16r2="http://schemas.microsoft.com/office/drawing/2015/06/chart"/>
            </c:strRef>
          </c:cat>
          <c:val>
            <c:numRef>
              <c:f>非典型受雇者比例!$T$70:$T$74</c:f>
              <c:numCache>
                <c:formatCode>General</c:formatCode>
                <c:ptCount val="5"/>
                <c:pt idx="0">
                  <c:v>4.59</c:v>
                </c:pt>
                <c:pt idx="1">
                  <c:v>5.44</c:v>
                </c:pt>
                <c:pt idx="2">
                  <c:v>6.65</c:v>
                </c:pt>
                <c:pt idx="3">
                  <c:v>7.69</c:v>
                </c:pt>
                <c:pt idx="4">
                  <c:v>12.48</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D-3AFF-4ABD-8FAC-0BE850776FA6}"/>
            </c:ext>
          </c:extLst>
        </c:ser>
        <c:ser>
          <c:idx val="5"/>
          <c:order val="3"/>
          <c:tx>
            <c:strRef>
              <c:f>非典型受雇者比例!$R$67:$R$68</c:f>
              <c:strCache>
                <c:ptCount val="2"/>
                <c:pt idx="0">
                  <c:v>受政府</c:v>
                </c:pt>
                <c:pt idx="1">
                  <c:v>僱用者</c:v>
                </c:pt>
              </c:strCache>
            </c:strRef>
          </c:tx>
          <c:spPr>
            <a:ln w="28575" cap="rnd" cmpd="dbl">
              <a:solidFill>
                <a:srgbClr val="00B050"/>
              </a:solidFill>
              <a:round/>
            </a:ln>
            <a:effectLst>
              <a:outerShdw blurRad="57150" dist="19050" dir="5400000" algn="ctr" rotWithShape="0">
                <a:srgbClr val="000000">
                  <a:alpha val="63000"/>
                </a:srgbClr>
              </a:outerShdw>
            </a:effectLst>
          </c:spPr>
          <c:marker>
            <c:symbol val="circle"/>
            <c:size val="6"/>
            <c:spPr>
              <a:solidFill>
                <a:schemeClr val="accent6">
                  <a:lumMod val="75000"/>
                </a:schemeClr>
              </a:solidFill>
              <a:ln w="28575">
                <a:solidFill>
                  <a:srgbClr val="00B050"/>
                </a:solidFill>
                <a:round/>
              </a:ln>
              <a:effectLst>
                <a:outerShdw blurRad="57150" dist="19050" dir="5400000" algn="ctr" rotWithShape="0">
                  <a:srgbClr val="000000">
                    <a:alpha val="63000"/>
                  </a:srgbClr>
                </a:outerShdw>
              </a:effectLst>
            </c:spPr>
          </c:marker>
          <c:dLbls>
            <c:dLbl>
              <c:idx val="0"/>
              <c:layout>
                <c:manualLayout>
                  <c:x val="-7.8062058723946282E-2"/>
                  <c:y val="-2.0766575169865119E-5"/>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AFF-4ABD-8FAC-0BE850776FA6}"/>
                </c:ext>
              </c:extLst>
            </c:dLbl>
            <c:dLbl>
              <c:idx val="1"/>
              <c:layout>
                <c:manualLayout>
                  <c:x val="-2.4508032650314856E-3"/>
                  <c:y val="-1.94539090236015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AFF-4ABD-8FAC-0BE850776FA6}"/>
                </c:ext>
              </c:extLst>
            </c:dLbl>
            <c:dLbl>
              <c:idx val="2"/>
              <c:layout>
                <c:manualLayout>
                  <c:x val="-2.7290038012898123E-2"/>
                  <c:y val="-3.33347250581956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AFF-4ABD-8FAC-0BE850776FA6}"/>
                </c:ext>
              </c:extLst>
            </c:dLbl>
            <c:dLbl>
              <c:idx val="3"/>
              <c:layout>
                <c:manualLayout>
                  <c:x val="-3.3148348094942284E-2"/>
                  <c:y val="-3.33347250581954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3AFF-4ABD-8FAC-0BE850776FA6}"/>
                </c:ext>
              </c:extLst>
            </c:dLbl>
            <c:dLbl>
              <c:idx val="4"/>
              <c:layout>
                <c:manualLayout>
                  <c:x val="-3.8645697606724426E-3"/>
                  <c:y val="2.6098204663656709E-2"/>
                </c:manualLayout>
              </c:layout>
              <c:spPr>
                <a:solidFill>
                  <a:schemeClr val="lt1"/>
                </a:solidFill>
                <a:ln w="12700" cap="flat" cmpd="sng" algn="ctr">
                  <a:noFill/>
                  <a:prstDash val="solid"/>
                  <a:miter lim="800000"/>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3AFF-4ABD-8FAC-0BE850776FA6}"/>
                </c:ext>
              </c:extLst>
            </c:dLbl>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lgDash"/>
                      <a:round/>
                    </a:ln>
                    <a:effectLst/>
                  </c:spPr>
                </c15:leaderLines>
              </c:ext>
            </c:extLst>
          </c:dLbls>
          <c:cat>
            <c:strRef>
              <c:f>非典型受雇者比例!$L$70:$L$74</c:f>
              <c:strCache>
                <c:ptCount val="5"/>
                <c:pt idx="0">
                  <c:v>45~49 歲</c:v>
                </c:pt>
                <c:pt idx="1">
                  <c:v>50~54 歲</c:v>
                </c:pt>
                <c:pt idx="2">
                  <c:v>55~59 歲</c:v>
                </c:pt>
                <c:pt idx="3">
                  <c:v>60~64 歲</c:v>
                </c:pt>
                <c:pt idx="4">
                  <c:v>65 歲以上</c:v>
                </c:pt>
              </c:strCache>
              <c:extLst xmlns:c16r2="http://schemas.microsoft.com/office/drawing/2015/06/chart"/>
            </c:strRef>
          </c:cat>
          <c:val>
            <c:numRef>
              <c:f>非典型受雇者比例!$R$70:$R$74</c:f>
              <c:numCache>
                <c:formatCode>General</c:formatCode>
                <c:ptCount val="5"/>
                <c:pt idx="0">
                  <c:v>10.1</c:v>
                </c:pt>
                <c:pt idx="1">
                  <c:v>10.47</c:v>
                </c:pt>
                <c:pt idx="2">
                  <c:v>9.08</c:v>
                </c:pt>
                <c:pt idx="3">
                  <c:v>8.99</c:v>
                </c:pt>
                <c:pt idx="4">
                  <c:v>2.99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13-3AFF-4ABD-8FAC-0BE850776FA6}"/>
            </c:ext>
          </c:extLst>
        </c:ser>
        <c:ser>
          <c:idx val="6"/>
          <c:order val="4"/>
          <c:tx>
            <c:strRef>
              <c:f>非典型受雇者比例!$S$67:$S$68</c:f>
              <c:strCache>
                <c:ptCount val="2"/>
                <c:pt idx="0">
                  <c:v>受私人</c:v>
                </c:pt>
                <c:pt idx="1">
                  <c:v>僱用者</c:v>
                </c:pt>
              </c:strCache>
            </c:strRef>
          </c:tx>
          <c:spPr>
            <a:ln w="19050" cap="rnd">
              <a:solidFill>
                <a:srgbClr val="0000FF"/>
              </a:solidFill>
              <a:prstDash val="sysDash"/>
              <a:round/>
            </a:ln>
            <a:effectLst>
              <a:outerShdw blurRad="57150" dist="19050" dir="5400000" algn="ctr" rotWithShape="0">
                <a:srgbClr val="000000">
                  <a:alpha val="63000"/>
                </a:srgbClr>
              </a:outerShdw>
            </a:effectLst>
          </c:spPr>
          <c:marker>
            <c:symbol val="circle"/>
            <c:size val="6"/>
            <c:spPr>
              <a:solidFill>
                <a:schemeClr val="accent4"/>
              </a:solidFill>
              <a:ln w="19050">
                <a:solidFill>
                  <a:srgbClr val="0000FF"/>
                </a:solidFill>
                <a:prstDash val="sysDash"/>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非典型受雇者比例!$L$70:$L$74</c:f>
              <c:strCache>
                <c:ptCount val="5"/>
                <c:pt idx="0">
                  <c:v>45~49 歲</c:v>
                </c:pt>
                <c:pt idx="1">
                  <c:v>50~54 歲</c:v>
                </c:pt>
                <c:pt idx="2">
                  <c:v>55~59 歲</c:v>
                </c:pt>
                <c:pt idx="3">
                  <c:v>60~64 歲</c:v>
                </c:pt>
                <c:pt idx="4">
                  <c:v>65 歲以上</c:v>
                </c:pt>
              </c:strCache>
              <c:extLst xmlns:c16r2="http://schemas.microsoft.com/office/drawing/2015/06/chart"/>
            </c:strRef>
          </c:cat>
          <c:val>
            <c:numRef>
              <c:f>非典型受雇者比例!$S$70:$S$74</c:f>
              <c:numCache>
                <c:formatCode>General</c:formatCode>
                <c:ptCount val="5"/>
                <c:pt idx="0">
                  <c:v>68.959999999999994</c:v>
                </c:pt>
                <c:pt idx="1">
                  <c:v>61.31</c:v>
                </c:pt>
                <c:pt idx="2">
                  <c:v>55.36</c:v>
                </c:pt>
                <c:pt idx="3">
                  <c:v>46.77</c:v>
                </c:pt>
                <c:pt idx="4">
                  <c:v>23.98</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14-3AFF-4ABD-8FAC-0BE850776FA6}"/>
            </c:ext>
          </c:extLst>
        </c:ser>
        <c:dLbls>
          <c:showLegendKey val="0"/>
          <c:showVal val="0"/>
          <c:showCatName val="0"/>
          <c:showSerName val="0"/>
          <c:showPercent val="0"/>
          <c:showBubbleSize val="0"/>
        </c:dLbls>
        <c:marker val="1"/>
        <c:smooth val="0"/>
        <c:axId val="338651136"/>
        <c:axId val="142193728"/>
      </c:lineChart>
      <c:catAx>
        <c:axId val="3386511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r>
                  <a:rPr lang="en-US"/>
                  <a:t>%</a:t>
                </a:r>
              </a:p>
            </c:rich>
          </c:tx>
          <c:layout>
            <c:manualLayout>
              <c:xMode val="edge"/>
              <c:yMode val="edge"/>
              <c:x val="3.4922282934075011E-2"/>
              <c:y val="5.0247262845688041E-2"/>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zh-TW"/>
          </a:p>
        </c:txPr>
        <c:crossAx val="142193728"/>
        <c:crosses val="autoZero"/>
        <c:auto val="1"/>
        <c:lblAlgn val="ctr"/>
        <c:lblOffset val="100"/>
        <c:noMultiLvlLbl val="0"/>
      </c:catAx>
      <c:valAx>
        <c:axId val="142193728"/>
        <c:scaling>
          <c:orientation val="minMax"/>
          <c:max val="9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338651136"/>
        <c:crosses val="autoZero"/>
        <c:crossBetween val="between"/>
      </c:valAx>
      <c:spPr>
        <a:noFill/>
        <a:ln>
          <a:noFill/>
        </a:ln>
        <a:effectLst/>
      </c:spPr>
    </c:plotArea>
    <c:legend>
      <c:legendPos val="b"/>
      <c:legendEntry>
        <c:idx val="0"/>
        <c:txPr>
          <a:bodyPr rot="0" spcFirstLastPara="1" vertOverflow="ellipsis" vert="horz" wrap="square" anchor="ctr" anchorCtr="1"/>
          <a:lstStyle/>
          <a:p>
            <a:pPr>
              <a:lnSpc>
                <a:spcPts val="1080"/>
              </a:lnSpc>
              <a:defRPr sz="800" b="0" i="0" u="none" strike="noStrike" kern="1200" baseline="0">
                <a:solidFill>
                  <a:schemeClr val="dk1"/>
                </a:solidFill>
                <a:latin typeface="微軟正黑體" pitchFamily="34" charset="-120"/>
                <a:ea typeface="微軟正黑體" pitchFamily="34" charset="-120"/>
                <a:cs typeface="+mn-cs"/>
              </a:defRPr>
            </a:pPr>
            <a:endParaRPr lang="zh-TW"/>
          </a:p>
        </c:txPr>
      </c:legendEntry>
      <c:layout>
        <c:manualLayout>
          <c:xMode val="edge"/>
          <c:yMode val="edge"/>
          <c:x val="4.6329564314566557E-2"/>
          <c:y val="0.89492320404393899"/>
          <c:w val="0.90783831487121391"/>
          <c:h val="8.4133580524656637E-2"/>
        </c:manualLayout>
      </c:layout>
      <c:overlay val="0"/>
      <c:spPr>
        <a:solidFill>
          <a:schemeClr val="bg1"/>
        </a:solidFill>
        <a:ln>
          <a:solidFill>
            <a:schemeClr val="accent4"/>
          </a:solidFill>
        </a:ln>
        <a:effectLst/>
      </c:spPr>
      <c:txPr>
        <a:bodyPr rot="0" spcFirstLastPara="1" vertOverflow="ellipsis" vert="horz" wrap="square" anchor="ctr" anchorCtr="1"/>
        <a:lstStyle/>
        <a:p>
          <a:pPr>
            <a:defRPr sz="800" b="0" i="0" u="none" strike="noStrike" kern="1200" baseline="0">
              <a:solidFill>
                <a:schemeClr val="dk1"/>
              </a:solidFill>
              <a:latin typeface="微軟正黑體" pitchFamily="34" charset="-120"/>
              <a:ea typeface="微軟正黑體" pitchFamily="34" charset="-120"/>
              <a:cs typeface="+mn-cs"/>
            </a:defRPr>
          </a:pPr>
          <a:endParaRPr lang="zh-TW"/>
        </a:p>
      </c:txPr>
    </c:legend>
    <c:plotVisOnly val="1"/>
    <c:dispBlanksAs val="gap"/>
    <c:showDLblsOverMax val="0"/>
  </c:chart>
  <c:spPr>
    <a:solidFill>
      <a:schemeClr val="lt1"/>
    </a:solidFill>
    <a:ln w="12700" cap="flat" cmpd="sng" algn="ctr">
      <a:solidFill>
        <a:schemeClr val="bg2"/>
      </a:solidFill>
      <a:prstDash val="solid"/>
      <a:miter lim="800000"/>
    </a:ln>
    <a:effectLst/>
  </c:spPr>
  <c:txPr>
    <a:bodyPr/>
    <a:lstStyle/>
    <a:p>
      <a:pPr>
        <a:defRPr>
          <a:solidFill>
            <a:schemeClr val="dk1"/>
          </a:solidFill>
          <a:latin typeface="+mn-lt"/>
          <a:ea typeface="+mn-ea"/>
          <a:cs typeface="+mn-cs"/>
        </a:defRPr>
      </a:pPr>
      <a:endParaRPr lang="zh-TW"/>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微軟正黑體" pitchFamily="34" charset="-120"/>
                <a:ea typeface="微軟正黑體" pitchFamily="34" charset="-120"/>
                <a:cs typeface="+mn-cs"/>
              </a:defRPr>
            </a:pPr>
            <a:r>
              <a:rPr lang="en-US" altLang="zh-TW" sz="1300" b="0" i="0" baseline="0">
                <a:solidFill>
                  <a:schemeClr val="tx1">
                    <a:lumMod val="65000"/>
                    <a:lumOff val="35000"/>
                  </a:schemeClr>
                </a:solidFill>
                <a:effectLst/>
                <a:latin typeface="微軟正黑體" pitchFamily="34" charset="-120"/>
                <a:ea typeface="微軟正黑體" pitchFamily="34" charset="-120"/>
              </a:rPr>
              <a:t>2020</a:t>
            </a:r>
            <a:r>
              <a:rPr lang="zh-TW" altLang="zh-TW" sz="1300" b="0" i="0" baseline="0">
                <a:solidFill>
                  <a:schemeClr val="tx1">
                    <a:lumMod val="65000"/>
                    <a:lumOff val="35000"/>
                  </a:schemeClr>
                </a:solidFill>
                <a:effectLst/>
                <a:latin typeface="微軟正黑體" pitchFamily="34" charset="-120"/>
                <a:ea typeface="微軟正黑體" pitchFamily="34" charset="-120"/>
              </a:rPr>
              <a:t>年我國與主要國家</a:t>
            </a:r>
            <a:r>
              <a:rPr lang="en-US" altLang="zh-TW" sz="1300" b="0" i="0" baseline="0">
                <a:solidFill>
                  <a:schemeClr val="tx1">
                    <a:lumMod val="65000"/>
                    <a:lumOff val="35000"/>
                  </a:schemeClr>
                </a:solidFill>
                <a:effectLst/>
                <a:latin typeface="微軟正黑體" pitchFamily="34" charset="-120"/>
                <a:ea typeface="微軟正黑體" pitchFamily="34" charset="-120"/>
              </a:rPr>
              <a:t>55-64</a:t>
            </a:r>
            <a:r>
              <a:rPr lang="zh-TW" altLang="en-US" sz="1300" b="0" i="0" baseline="0">
                <a:solidFill>
                  <a:schemeClr val="tx1">
                    <a:lumMod val="65000"/>
                    <a:lumOff val="35000"/>
                  </a:schemeClr>
                </a:solidFill>
                <a:effectLst/>
                <a:latin typeface="微軟正黑體" pitchFamily="34" charset="-120"/>
                <a:ea typeface="微軟正黑體" pitchFamily="34" charset="-120"/>
              </a:rPr>
              <a:t>歲</a:t>
            </a:r>
            <a:r>
              <a:rPr lang="zh-TW" altLang="zh-TW" sz="1300" b="0" i="0" baseline="0">
                <a:solidFill>
                  <a:schemeClr val="tx1">
                    <a:lumMod val="65000"/>
                    <a:lumOff val="35000"/>
                  </a:schemeClr>
                </a:solidFill>
                <a:effectLst/>
                <a:latin typeface="微軟正黑體" pitchFamily="34" charset="-120"/>
                <a:ea typeface="微軟正黑體" pitchFamily="34" charset="-120"/>
              </a:rPr>
              <a:t>及</a:t>
            </a:r>
            <a:r>
              <a:rPr lang="en-US" altLang="zh-TW" sz="1300" b="0" i="0" baseline="0">
                <a:solidFill>
                  <a:schemeClr val="tx1">
                    <a:lumMod val="65000"/>
                    <a:lumOff val="35000"/>
                  </a:schemeClr>
                </a:solidFill>
                <a:effectLst/>
                <a:latin typeface="微軟正黑體" pitchFamily="34" charset="-120"/>
                <a:ea typeface="微軟正黑體" pitchFamily="34" charset="-120"/>
              </a:rPr>
              <a:t>65</a:t>
            </a:r>
            <a:r>
              <a:rPr lang="zh-TW" altLang="zh-TW" sz="1300" b="0" i="0" baseline="0">
                <a:solidFill>
                  <a:schemeClr val="tx1">
                    <a:lumMod val="65000"/>
                    <a:lumOff val="35000"/>
                  </a:schemeClr>
                </a:solidFill>
                <a:effectLst/>
                <a:latin typeface="微軟正黑體" pitchFamily="34" charset="-120"/>
                <a:ea typeface="微軟正黑體" pitchFamily="34" charset="-120"/>
              </a:rPr>
              <a:t>歲以上就業率</a:t>
            </a:r>
            <a:endParaRPr lang="zh-TW" altLang="zh-TW" sz="1300">
              <a:solidFill>
                <a:schemeClr val="tx1">
                  <a:lumMod val="65000"/>
                  <a:lumOff val="35000"/>
                </a:schemeClr>
              </a:solidFill>
              <a:effectLst/>
              <a:latin typeface="微軟正黑體" pitchFamily="34" charset="-120"/>
              <a:ea typeface="微軟正黑體" pitchFamily="34" charset="-120"/>
            </a:endParaRPr>
          </a:p>
        </c:rich>
      </c:tx>
      <c:layout>
        <c:manualLayout>
          <c:xMode val="edge"/>
          <c:yMode val="edge"/>
          <c:x val="0.19217565925064736"/>
          <c:y val="0"/>
        </c:manualLayout>
      </c:layout>
      <c:overlay val="0"/>
      <c:spPr>
        <a:noFill/>
        <a:ln>
          <a:noFill/>
        </a:ln>
        <a:effectLst/>
      </c:spPr>
    </c:title>
    <c:autoTitleDeleted val="0"/>
    <c:plotArea>
      <c:layout>
        <c:manualLayout>
          <c:layoutTarget val="inner"/>
          <c:xMode val="edge"/>
          <c:yMode val="edge"/>
          <c:x val="0.11271603244716362"/>
          <c:y val="0.18900481189851268"/>
          <c:w val="0.82101420249298107"/>
          <c:h val="0.57563207356700152"/>
        </c:manualLayout>
      </c:layout>
      <c:barChart>
        <c:barDir val="col"/>
        <c:grouping val="clustered"/>
        <c:varyColors val="0"/>
        <c:ser>
          <c:idx val="2"/>
          <c:order val="2"/>
          <c:tx>
            <c:strRef>
              <c:f>'2019年我國與主要國家55-64及65歲以上就業率'!$A$6</c:f>
              <c:strCache>
                <c:ptCount val="1"/>
                <c:pt idx="0">
                  <c:v>15歲以上勞動人口</c:v>
                </c:pt>
              </c:strCache>
            </c:strRef>
          </c:tx>
          <c:spPr>
            <a:solidFill>
              <a:schemeClr val="accent6">
                <a:lumMod val="60000"/>
                <a:lumOff val="40000"/>
              </a:schemeClr>
            </a:solidFill>
            <a:ln>
              <a:noFill/>
            </a:ln>
            <a:effectLst/>
          </c:spPr>
          <c:invertIfNegative val="0"/>
          <c:cat>
            <c:strRef>
              <c:f>'2019年我國與主要國家55-64及65歲以上就業率'!$B$3:$L$3</c:f>
              <c:strCache>
                <c:ptCount val="11"/>
                <c:pt idx="0">
                  <c:v>台灣</c:v>
                </c:pt>
                <c:pt idx="1">
                  <c:v>韓國</c:v>
                </c:pt>
                <c:pt idx="2">
                  <c:v>日本</c:v>
                </c:pt>
                <c:pt idx="3">
                  <c:v>美國</c:v>
                </c:pt>
                <c:pt idx="4">
                  <c:v>英國</c:v>
                </c:pt>
                <c:pt idx="5">
                  <c:v>德國</c:v>
                </c:pt>
                <c:pt idx="6">
                  <c:v>法國</c:v>
                </c:pt>
                <c:pt idx="7">
                  <c:v>義大利</c:v>
                </c:pt>
                <c:pt idx="8">
                  <c:v>瑞典</c:v>
                </c:pt>
                <c:pt idx="9">
                  <c:v>丹麥</c:v>
                </c:pt>
                <c:pt idx="10">
                  <c:v>荷蘭</c:v>
                </c:pt>
              </c:strCache>
            </c:strRef>
          </c:cat>
          <c:val>
            <c:numRef>
              <c:f>'2019年我國與主要國家55-64及65歲以上就業率'!$B$6:$L$6</c:f>
              <c:numCache>
                <c:formatCode>_-* #,##0_-;\-* #,##0_-;_-* "-"??_-;_-@_-</c:formatCode>
                <c:ptCount val="11"/>
                <c:pt idx="0">
                  <c:v>11964</c:v>
                </c:pt>
                <c:pt idx="1">
                  <c:v>28012</c:v>
                </c:pt>
                <c:pt idx="2">
                  <c:v>68678</c:v>
                </c:pt>
                <c:pt idx="3">
                  <c:v>160742</c:v>
                </c:pt>
                <c:pt idx="4">
                  <c:v>34168</c:v>
                </c:pt>
                <c:pt idx="5">
                  <c:v>43773</c:v>
                </c:pt>
                <c:pt idx="6">
                  <c:v>29346</c:v>
                </c:pt>
                <c:pt idx="7">
                  <c:v>25214</c:v>
                </c:pt>
                <c:pt idx="8">
                  <c:v>5522</c:v>
                </c:pt>
                <c:pt idx="9">
                  <c:v>3023</c:v>
                </c:pt>
                <c:pt idx="10">
                  <c:v>9338</c:v>
                </c:pt>
              </c:numCache>
            </c:numRef>
          </c:val>
          <c:extLst xmlns:c16r2="http://schemas.microsoft.com/office/drawing/2015/06/chart">
            <c:ext xmlns:c16="http://schemas.microsoft.com/office/drawing/2014/chart" uri="{C3380CC4-5D6E-409C-BE32-E72D297353CC}">
              <c16:uniqueId val="{00000000-4143-429A-B05B-3826F751B65B}"/>
            </c:ext>
          </c:extLst>
        </c:ser>
        <c:dLbls>
          <c:showLegendKey val="0"/>
          <c:showVal val="0"/>
          <c:showCatName val="0"/>
          <c:showSerName val="0"/>
          <c:showPercent val="0"/>
          <c:showBubbleSize val="0"/>
        </c:dLbls>
        <c:gapWidth val="150"/>
        <c:axId val="339444736"/>
        <c:axId val="142195456"/>
      </c:barChart>
      <c:lineChart>
        <c:grouping val="standard"/>
        <c:varyColors val="0"/>
        <c:ser>
          <c:idx val="0"/>
          <c:order val="0"/>
          <c:tx>
            <c:strRef>
              <c:f>'2019年我國與主要國家55-64及65歲以上就業率'!$A$4</c:f>
              <c:strCache>
                <c:ptCount val="1"/>
                <c:pt idx="0">
                  <c:v>55-64歲</c:v>
                </c:pt>
              </c:strCache>
            </c:strRef>
          </c:tx>
          <c:spPr>
            <a:ln w="28575" cap="rnd">
              <a:solidFill>
                <a:srgbClr val="0000FF"/>
              </a:solidFill>
              <a:prstDash val="sysDot"/>
              <a:round/>
            </a:ln>
            <a:effectLst/>
          </c:spPr>
          <c:marker>
            <c:symbol val="circle"/>
            <c:size val="5"/>
            <c:spPr>
              <a:solidFill>
                <a:schemeClr val="accent1"/>
              </a:solidFill>
              <a:ln w="9525">
                <a:solidFill>
                  <a:srgbClr val="0000FF"/>
                </a:solidFill>
                <a:prstDash val="sysDot"/>
              </a:ln>
              <a:effectLst/>
            </c:spPr>
          </c:marker>
          <c:dLbls>
            <c:dLbl>
              <c:idx val="0"/>
              <c:layout>
                <c:manualLayout>
                  <c:x val="-3.0476190476190476E-2"/>
                  <c:y val="3.0030030030030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143-429A-B05B-3826F751B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'2019年我國與主要國家55-64及65歲以上就業率'!$B$3:$L$3</c:f>
              <c:strCache>
                <c:ptCount val="11"/>
                <c:pt idx="0">
                  <c:v>台灣</c:v>
                </c:pt>
                <c:pt idx="1">
                  <c:v>韓國</c:v>
                </c:pt>
                <c:pt idx="2">
                  <c:v>日本</c:v>
                </c:pt>
                <c:pt idx="3">
                  <c:v>美國</c:v>
                </c:pt>
                <c:pt idx="4">
                  <c:v>英國</c:v>
                </c:pt>
                <c:pt idx="5">
                  <c:v>德國</c:v>
                </c:pt>
                <c:pt idx="6">
                  <c:v>法國</c:v>
                </c:pt>
                <c:pt idx="7">
                  <c:v>義大利</c:v>
                </c:pt>
                <c:pt idx="8">
                  <c:v>瑞典</c:v>
                </c:pt>
                <c:pt idx="9">
                  <c:v>丹麥</c:v>
                </c:pt>
                <c:pt idx="10">
                  <c:v>荷蘭</c:v>
                </c:pt>
              </c:strCache>
            </c:strRef>
          </c:cat>
          <c:val>
            <c:numRef>
              <c:f>'2019年我國與主要國家55-64及65歲以上就業率'!$B$4:$L$4</c:f>
              <c:numCache>
                <c:formatCode>General</c:formatCode>
                <c:ptCount val="11"/>
                <c:pt idx="0">
                  <c:v>47</c:v>
                </c:pt>
                <c:pt idx="1">
                  <c:v>66.599999999999994</c:v>
                </c:pt>
                <c:pt idx="2">
                  <c:v>76.8</c:v>
                </c:pt>
                <c:pt idx="3">
                  <c:v>60.3</c:v>
                </c:pt>
                <c:pt idx="4">
                  <c:v>67</c:v>
                </c:pt>
                <c:pt idx="5">
                  <c:v>71.8</c:v>
                </c:pt>
                <c:pt idx="6">
                  <c:v>53.8</c:v>
                </c:pt>
                <c:pt idx="7">
                  <c:v>54.2</c:v>
                </c:pt>
                <c:pt idx="8">
                  <c:v>77.599999999999994</c:v>
                </c:pt>
                <c:pt idx="9">
                  <c:v>71.400000000000006</c:v>
                </c:pt>
                <c:pt idx="10">
                  <c:v>71</c:v>
                </c:pt>
              </c:numCache>
            </c:numRef>
          </c:val>
          <c:smooth val="0"/>
          <c:extLst xmlns:c16r2="http://schemas.microsoft.com/office/drawing/2015/06/chart">
            <c:ext xmlns:c16="http://schemas.microsoft.com/office/drawing/2014/chart" uri="{C3380CC4-5D6E-409C-BE32-E72D297353CC}">
              <c16:uniqueId val="{00000002-4143-429A-B05B-3826F751B65B}"/>
            </c:ext>
          </c:extLst>
        </c:ser>
        <c:ser>
          <c:idx val="1"/>
          <c:order val="1"/>
          <c:tx>
            <c:strRef>
              <c:f>'2019年我國與主要國家55-64及65歲以上就業率'!$A$5</c:f>
              <c:strCache>
                <c:ptCount val="1"/>
                <c:pt idx="0">
                  <c:v>65以上</c:v>
                </c:pt>
              </c:strCache>
            </c:strRef>
          </c:tx>
          <c:spPr>
            <a:ln w="28575" cap="rnd">
              <a:solidFill>
                <a:srgbClr val="FF00FF"/>
              </a:solidFill>
              <a:prstDash val="lgDash"/>
              <a:round/>
            </a:ln>
            <a:effectLst/>
          </c:spPr>
          <c:marker>
            <c:symbol val="circle"/>
            <c:size val="5"/>
            <c:spPr>
              <a:solidFill>
                <a:schemeClr val="accent2"/>
              </a:solidFill>
              <a:ln w="9525">
                <a:solidFill>
                  <a:srgbClr val="FF00FF"/>
                </a:solidFill>
                <a:prstDash val="lgDash"/>
              </a:ln>
              <a:effectLst/>
            </c:spPr>
          </c:marker>
          <c:dLbls>
            <c:dLbl>
              <c:idx val="1"/>
              <c:layout>
                <c:manualLayout>
                  <c:x val="-3.8269545575095799E-2"/>
                  <c:y val="6.2600001576379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43-429A-B05B-3826F751B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'2019年我國與主要國家55-64及65歲以上就業率'!$B$3:$L$3</c:f>
              <c:strCache>
                <c:ptCount val="11"/>
                <c:pt idx="0">
                  <c:v>台灣</c:v>
                </c:pt>
                <c:pt idx="1">
                  <c:v>韓國</c:v>
                </c:pt>
                <c:pt idx="2">
                  <c:v>日本</c:v>
                </c:pt>
                <c:pt idx="3">
                  <c:v>美國</c:v>
                </c:pt>
                <c:pt idx="4">
                  <c:v>英國</c:v>
                </c:pt>
                <c:pt idx="5">
                  <c:v>德國</c:v>
                </c:pt>
                <c:pt idx="6">
                  <c:v>法國</c:v>
                </c:pt>
                <c:pt idx="7">
                  <c:v>義大利</c:v>
                </c:pt>
                <c:pt idx="8">
                  <c:v>瑞典</c:v>
                </c:pt>
                <c:pt idx="9">
                  <c:v>丹麥</c:v>
                </c:pt>
                <c:pt idx="10">
                  <c:v>荷蘭</c:v>
                </c:pt>
              </c:strCache>
            </c:strRef>
          </c:cat>
          <c:val>
            <c:numRef>
              <c:f>'2019年我國與主要國家55-64及65歲以上就業率'!$B$5:$L$5</c:f>
              <c:numCache>
                <c:formatCode>General</c:formatCode>
                <c:ptCount val="11"/>
                <c:pt idx="0">
                  <c:v>8.6999999999999993</c:v>
                </c:pt>
                <c:pt idx="1">
                  <c:v>34.1</c:v>
                </c:pt>
                <c:pt idx="2">
                  <c:v>25.1</c:v>
                </c:pt>
                <c:pt idx="3">
                  <c:v>18</c:v>
                </c:pt>
                <c:pt idx="4">
                  <c:v>10.5</c:v>
                </c:pt>
                <c:pt idx="5">
                  <c:v>7.4</c:v>
                </c:pt>
                <c:pt idx="6">
                  <c:v>3.3</c:v>
                </c:pt>
                <c:pt idx="7">
                  <c:v>5</c:v>
                </c:pt>
                <c:pt idx="8">
                  <c:v>10.7</c:v>
                </c:pt>
                <c:pt idx="9">
                  <c:v>8.5</c:v>
                </c:pt>
                <c:pt idx="10">
                  <c:v>9.1</c:v>
                </c:pt>
              </c:numCache>
            </c:numRef>
          </c:val>
          <c:smooth val="0"/>
          <c:extLst xmlns:c16r2="http://schemas.microsoft.com/office/drawing/2015/06/chart">
            <c:ext xmlns:c16="http://schemas.microsoft.com/office/drawing/2014/chart" uri="{C3380CC4-5D6E-409C-BE32-E72D297353CC}">
              <c16:uniqueId val="{00000004-4143-429A-B05B-3826F751B65B}"/>
            </c:ext>
          </c:extLst>
        </c:ser>
        <c:ser>
          <c:idx val="3"/>
          <c:order val="3"/>
          <c:tx>
            <c:strRef>
              <c:f>'2019年我國與主要國家55-64及65歲以上就業率'!$A$7</c:f>
              <c:strCache>
                <c:ptCount val="1"/>
                <c:pt idx="0">
                  <c:v>全體就業率</c:v>
                </c:pt>
              </c:strCache>
            </c:strRef>
          </c:tx>
          <c:spPr>
            <a:ln w="28575" cap="rnd">
              <a:solidFill>
                <a:srgbClr val="FF0000"/>
              </a:solidFill>
              <a:prstDash val="sysDash"/>
              <a:round/>
            </a:ln>
            <a:effectLst/>
          </c:spPr>
          <c:marker>
            <c:symbol val="circle"/>
            <c:size val="5"/>
            <c:spPr>
              <a:solidFill>
                <a:srgbClr val="C00000"/>
              </a:solidFill>
              <a:ln w="9525">
                <a:solidFill>
                  <a:srgbClr val="FF0000"/>
                </a:solidFill>
                <a:prstDash val="sysDash"/>
              </a:ln>
              <a:effectLst/>
            </c:spPr>
          </c:marker>
          <c:dLbls>
            <c:dLbl>
              <c:idx val="0"/>
              <c:layout>
                <c:manualLayout>
                  <c:x val="-5.4570312857234307E-2"/>
                  <c:y val="-3.25699715463495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43-429A-B05B-3826F751B6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'2019年我國與主要國家55-64及65歲以上就業率'!$B$3:$L$3</c:f>
              <c:strCache>
                <c:ptCount val="11"/>
                <c:pt idx="0">
                  <c:v>台灣</c:v>
                </c:pt>
                <c:pt idx="1">
                  <c:v>韓國</c:v>
                </c:pt>
                <c:pt idx="2">
                  <c:v>日本</c:v>
                </c:pt>
                <c:pt idx="3">
                  <c:v>美國</c:v>
                </c:pt>
                <c:pt idx="4">
                  <c:v>英國</c:v>
                </c:pt>
                <c:pt idx="5">
                  <c:v>德國</c:v>
                </c:pt>
                <c:pt idx="6">
                  <c:v>法國</c:v>
                </c:pt>
                <c:pt idx="7">
                  <c:v>義大利</c:v>
                </c:pt>
                <c:pt idx="8">
                  <c:v>瑞典</c:v>
                </c:pt>
                <c:pt idx="9">
                  <c:v>丹麥</c:v>
                </c:pt>
                <c:pt idx="10">
                  <c:v>荷蘭</c:v>
                </c:pt>
              </c:strCache>
            </c:strRef>
          </c:cat>
          <c:val>
            <c:numRef>
              <c:f>'2019年我國與主要國家55-64及65歲以上就業率'!$B$7:$L$7</c:f>
              <c:numCache>
                <c:formatCode>_-* #,##0.0_-;\-* #,##0.0_-;_-* "-"??_-;_-@_-</c:formatCode>
                <c:ptCount val="11"/>
                <c:pt idx="0">
                  <c:v>56.86</c:v>
                </c:pt>
                <c:pt idx="1">
                  <c:v>60.1</c:v>
                </c:pt>
                <c:pt idx="2">
                  <c:v>60.3</c:v>
                </c:pt>
                <c:pt idx="3">
                  <c:v>56.8</c:v>
                </c:pt>
                <c:pt idx="4">
                  <c:v>60.6</c:v>
                </c:pt>
                <c:pt idx="5">
                  <c:v>59.3</c:v>
                </c:pt>
                <c:pt idx="6">
                  <c:v>50.2</c:v>
                </c:pt>
                <c:pt idx="7">
                  <c:v>44.1</c:v>
                </c:pt>
                <c:pt idx="8">
                  <c:v>60.7</c:v>
                </c:pt>
                <c:pt idx="9">
                  <c:v>58.5</c:v>
                </c:pt>
                <c:pt idx="10">
                  <c:v>62.1</c:v>
                </c:pt>
              </c:numCache>
            </c:numRef>
          </c:val>
          <c:smooth val="0"/>
          <c:extLst xmlns:c16r2="http://schemas.microsoft.com/office/drawing/2015/06/chart">
            <c:ext xmlns:c16="http://schemas.microsoft.com/office/drawing/2014/chart" uri="{C3380CC4-5D6E-409C-BE32-E72D297353CC}">
              <c16:uniqueId val="{00000006-4143-429A-B05B-3826F751B65B}"/>
            </c:ext>
          </c:extLst>
        </c:ser>
        <c:dLbls>
          <c:showLegendKey val="0"/>
          <c:showVal val="0"/>
          <c:showCatName val="0"/>
          <c:showSerName val="0"/>
          <c:showPercent val="0"/>
          <c:showBubbleSize val="0"/>
        </c:dLbls>
        <c:marker val="1"/>
        <c:smooth val="0"/>
        <c:axId val="339445248"/>
        <c:axId val="142196032"/>
      </c:lineChart>
      <c:catAx>
        <c:axId val="3394447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ltLang="zh-TW" sz="900"/>
                  <a:t>%</a:t>
                </a:r>
                <a:endParaRPr lang="zh-TW" altLang="en-US" sz="900"/>
              </a:p>
            </c:rich>
          </c:tx>
          <c:layout>
            <c:manualLayout>
              <c:xMode val="edge"/>
              <c:yMode val="edge"/>
              <c:x val="0.94929737441356399"/>
              <c:y val="9.6804826480023351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42195456"/>
        <c:crosses val="autoZero"/>
        <c:auto val="1"/>
        <c:lblAlgn val="ctr"/>
        <c:lblOffset val="100"/>
        <c:noMultiLvlLbl val="0"/>
      </c:catAx>
      <c:valAx>
        <c:axId val="142195456"/>
        <c:scaling>
          <c:orientation val="minMax"/>
          <c:max val="170000"/>
          <c:min val="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crossAx val="339444736"/>
        <c:crosses val="autoZero"/>
        <c:crossBetween val="between"/>
      </c:valAx>
      <c:valAx>
        <c:axId val="142196032"/>
        <c:scaling>
          <c:orientation val="minMax"/>
          <c:max val="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crossAx val="339445248"/>
        <c:crosses val="max"/>
        <c:crossBetween val="between"/>
      </c:valAx>
      <c:catAx>
        <c:axId val="339445248"/>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zh-TW" altLang="en-US" sz="800"/>
                  <a:t>千人</a:t>
                </a:r>
              </a:p>
            </c:rich>
          </c:tx>
          <c:layout>
            <c:manualLayout>
              <c:xMode val="edge"/>
              <c:yMode val="edge"/>
              <c:x val="2.3803853786569344E-2"/>
              <c:y val="8.8494823563721195E-2"/>
            </c:manualLayout>
          </c:layout>
          <c:overlay val="0"/>
          <c:spPr>
            <a:noFill/>
            <a:ln>
              <a:noFill/>
            </a:ln>
            <a:effectLst/>
          </c:spPr>
        </c:title>
        <c:numFmt formatCode="General" sourceLinked="1"/>
        <c:majorTickMark val="out"/>
        <c:minorTickMark val="none"/>
        <c:tickLblPos val="nextTo"/>
        <c:crossAx val="142196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微軟正黑體" pitchFamily="34" charset="-120"/>
              <a:ea typeface="微軟正黑體" pitchFamily="34" charset="-120"/>
              <a:cs typeface="+mn-cs"/>
            </a:defRPr>
          </a:pPr>
          <a:endParaRPr lang="zh-TW"/>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30" baseline="0">
                <a:solidFill>
                  <a:schemeClr val="tx1">
                    <a:lumMod val="65000"/>
                    <a:lumOff val="35000"/>
                  </a:schemeClr>
                </a:solidFill>
                <a:latin typeface="微軟正黑體" pitchFamily="34" charset="-120"/>
                <a:ea typeface="微軟正黑體" pitchFamily="34" charset="-120"/>
                <a:cs typeface="+mn-cs"/>
              </a:defRPr>
            </a:pPr>
            <a:r>
              <a:rPr lang="en-US" altLang="zh-TW" sz="1300" spc="-30" baseline="0">
                <a:solidFill>
                  <a:schemeClr val="tx1">
                    <a:lumMod val="65000"/>
                    <a:lumOff val="35000"/>
                  </a:schemeClr>
                </a:solidFill>
                <a:effectLst/>
                <a:latin typeface="微軟正黑體" pitchFamily="34" charset="-120"/>
                <a:ea typeface="微軟正黑體" pitchFamily="34" charset="-120"/>
              </a:rPr>
              <a:t>OECD</a:t>
            </a:r>
            <a:r>
              <a:rPr lang="zh-TW" altLang="zh-TW" sz="1300" spc="-30" baseline="0">
                <a:solidFill>
                  <a:schemeClr val="tx1">
                    <a:lumMod val="65000"/>
                    <a:lumOff val="35000"/>
                  </a:schemeClr>
                </a:solidFill>
                <a:effectLst/>
                <a:latin typeface="微軟正黑體" pitchFamily="34" charset="-120"/>
                <a:ea typeface="微軟正黑體" pitchFamily="34" charset="-120"/>
              </a:rPr>
              <a:t>國家</a:t>
            </a:r>
            <a:r>
              <a:rPr lang="en-US" altLang="zh-TW" sz="1300" spc="-30" baseline="0">
                <a:solidFill>
                  <a:schemeClr val="tx1">
                    <a:lumMod val="65000"/>
                    <a:lumOff val="35000"/>
                  </a:schemeClr>
                </a:solidFill>
                <a:effectLst/>
                <a:latin typeface="微軟正黑體" pitchFamily="34" charset="-120"/>
                <a:ea typeface="微軟正黑體" pitchFamily="34" charset="-120"/>
              </a:rPr>
              <a:t>2000-2018</a:t>
            </a:r>
            <a:r>
              <a:rPr lang="zh-TW" altLang="zh-TW" sz="1300" spc="-30" baseline="0">
                <a:solidFill>
                  <a:schemeClr val="tx1">
                    <a:lumMod val="65000"/>
                    <a:lumOff val="35000"/>
                  </a:schemeClr>
                </a:solidFill>
                <a:effectLst/>
                <a:latin typeface="微軟正黑體" pitchFamily="34" charset="-120"/>
                <a:ea typeface="微軟正黑體" pitchFamily="34" charset="-120"/>
              </a:rPr>
              <a:t>年</a:t>
            </a:r>
            <a:r>
              <a:rPr lang="en-US" altLang="zh-TW" sz="1300" spc="-30" baseline="0">
                <a:solidFill>
                  <a:schemeClr val="tx1">
                    <a:lumMod val="65000"/>
                    <a:lumOff val="35000"/>
                  </a:schemeClr>
                </a:solidFill>
                <a:effectLst/>
                <a:latin typeface="微軟正黑體" pitchFamily="34" charset="-120"/>
                <a:ea typeface="微軟正黑體" pitchFamily="34" charset="-120"/>
              </a:rPr>
              <a:t>55-64</a:t>
            </a:r>
            <a:r>
              <a:rPr lang="zh-TW" altLang="zh-TW" sz="1300" spc="-30" baseline="0">
                <a:solidFill>
                  <a:schemeClr val="tx1">
                    <a:lumMod val="65000"/>
                    <a:lumOff val="35000"/>
                  </a:schemeClr>
                </a:solidFill>
                <a:effectLst/>
                <a:latin typeface="微軟正黑體" pitchFamily="34" charset="-120"/>
                <a:ea typeface="微軟正黑體" pitchFamily="34" charset="-120"/>
              </a:rPr>
              <a:t>歲</a:t>
            </a:r>
            <a:r>
              <a:rPr lang="zh-TW" altLang="en-US" sz="1300" spc="-30" baseline="0">
                <a:solidFill>
                  <a:schemeClr val="tx1">
                    <a:lumMod val="65000"/>
                    <a:lumOff val="35000"/>
                  </a:schemeClr>
                </a:solidFill>
                <a:effectLst/>
                <a:latin typeface="微軟正黑體" pitchFamily="34" charset="-120"/>
                <a:ea typeface="微軟正黑體" pitchFamily="34" charset="-120"/>
              </a:rPr>
              <a:t>與</a:t>
            </a:r>
            <a:r>
              <a:rPr lang="en-US" altLang="zh-TW" sz="1300" spc="-30" baseline="0">
                <a:solidFill>
                  <a:schemeClr val="tx1">
                    <a:lumMod val="65000"/>
                    <a:lumOff val="35000"/>
                  </a:schemeClr>
                </a:solidFill>
                <a:effectLst/>
                <a:latin typeface="微軟正黑體" pitchFamily="34" charset="-120"/>
                <a:ea typeface="微軟正黑體" pitchFamily="34" charset="-120"/>
              </a:rPr>
              <a:t>25-54</a:t>
            </a:r>
            <a:r>
              <a:rPr lang="zh-TW" altLang="en-US" sz="1300" spc="-30" baseline="0">
                <a:solidFill>
                  <a:schemeClr val="tx1">
                    <a:lumMod val="65000"/>
                    <a:lumOff val="35000"/>
                  </a:schemeClr>
                </a:solidFill>
                <a:effectLst/>
                <a:latin typeface="微軟正黑體" pitchFamily="34" charset="-120"/>
                <a:ea typeface="微軟正黑體" pitchFamily="34" charset="-120"/>
              </a:rPr>
              <a:t>歲</a:t>
            </a:r>
            <a:r>
              <a:rPr lang="zh-TW" altLang="zh-TW" sz="1300" spc="-30" baseline="0">
                <a:solidFill>
                  <a:schemeClr val="tx1">
                    <a:lumMod val="65000"/>
                    <a:lumOff val="35000"/>
                  </a:schemeClr>
                </a:solidFill>
                <a:effectLst/>
                <a:latin typeface="微軟正黑體" pitchFamily="34" charset="-120"/>
                <a:ea typeface="微軟正黑體" pitchFamily="34" charset="-120"/>
              </a:rPr>
              <a:t>就業</a:t>
            </a:r>
            <a:r>
              <a:rPr lang="zh-TW" altLang="en-US" sz="1300" spc="-30" baseline="0">
                <a:solidFill>
                  <a:schemeClr val="tx1">
                    <a:lumMod val="65000"/>
                    <a:lumOff val="35000"/>
                  </a:schemeClr>
                </a:solidFill>
                <a:effectLst/>
                <a:latin typeface="微軟正黑體" pitchFamily="34" charset="-120"/>
                <a:ea typeface="微軟正黑體" pitchFamily="34" charset="-120"/>
              </a:rPr>
              <a:t>率</a:t>
            </a:r>
            <a:r>
              <a:rPr lang="zh-TW" altLang="zh-TW" sz="1300" spc="-30" baseline="0">
                <a:solidFill>
                  <a:schemeClr val="tx1">
                    <a:lumMod val="65000"/>
                    <a:lumOff val="35000"/>
                  </a:schemeClr>
                </a:solidFill>
                <a:effectLst/>
                <a:latin typeface="微軟正黑體" pitchFamily="34" charset="-120"/>
                <a:ea typeface="微軟正黑體" pitchFamily="34" charset="-120"/>
              </a:rPr>
              <a:t>成長比例</a:t>
            </a:r>
          </a:p>
        </c:rich>
      </c:tx>
      <c:layout>
        <c:manualLayout>
          <c:xMode val="edge"/>
          <c:yMode val="edge"/>
          <c:x val="0.20698541370853232"/>
          <c:y val="0"/>
        </c:manualLayout>
      </c:layout>
      <c:overlay val="0"/>
      <c:spPr>
        <a:noFill/>
        <a:ln>
          <a:noFill/>
        </a:ln>
        <a:effectLst/>
      </c:spPr>
    </c:title>
    <c:autoTitleDeleted val="0"/>
    <c:plotArea>
      <c:layout>
        <c:manualLayout>
          <c:layoutTarget val="inner"/>
          <c:xMode val="edge"/>
          <c:yMode val="edge"/>
          <c:x val="6.7647204476798894E-2"/>
          <c:y val="0.18843530798236546"/>
          <c:w val="0.87465629749837148"/>
          <c:h val="0.55727040152730123"/>
        </c:manualLayout>
      </c:layout>
      <c:barChart>
        <c:barDir val="col"/>
        <c:grouping val="clustered"/>
        <c:varyColors val="0"/>
        <c:ser>
          <c:idx val="1"/>
          <c:order val="1"/>
          <c:tx>
            <c:strRef>
              <c:f>'OECD-2010-2019 55-64歲就業成長率'!$D$2</c:f>
              <c:strCache>
                <c:ptCount val="1"/>
                <c:pt idx="0">
                  <c:v>55-64歲</c:v>
                </c:pt>
              </c:strCache>
            </c:strRef>
          </c:tx>
          <c:spPr>
            <a:solidFill>
              <a:schemeClr val="accent1"/>
            </a:solidFill>
            <a:ln w="25400">
              <a:noFill/>
            </a:ln>
            <a:effectLst/>
          </c:spPr>
          <c:invertIfNegative val="0"/>
          <c:dPt>
            <c:idx val="17"/>
            <c:invertIfNegative val="0"/>
            <c:bubble3D val="0"/>
            <c:spPr>
              <a:solidFill>
                <a:srgbClr val="0000FF"/>
              </a:solidFill>
              <a:ln w="25400">
                <a:noFill/>
              </a:ln>
              <a:effectLst/>
            </c:spPr>
            <c:extLst xmlns:c16r2="http://schemas.microsoft.com/office/drawing/2015/06/chart">
              <c:ext xmlns:c16="http://schemas.microsoft.com/office/drawing/2014/chart" uri="{C3380CC4-5D6E-409C-BE32-E72D297353CC}">
                <c16:uniqueId val="{00000001-9C18-4671-81C1-110B88DBFFDC}"/>
              </c:ext>
            </c:extLst>
          </c:dPt>
          <c:dPt>
            <c:idx val="36"/>
            <c:invertIfNegative val="0"/>
            <c:bubble3D val="0"/>
            <c:spPr>
              <a:solidFill>
                <a:srgbClr val="FF0000"/>
              </a:solidFill>
              <a:ln w="25400">
                <a:noFill/>
              </a:ln>
              <a:effectLst/>
            </c:spPr>
            <c:extLst xmlns:c16r2="http://schemas.microsoft.com/office/drawing/2015/06/chart">
              <c:ext xmlns:c16="http://schemas.microsoft.com/office/drawing/2014/chart" uri="{C3380CC4-5D6E-409C-BE32-E72D297353CC}">
                <c16:uniqueId val="{00000003-9C18-4671-81C1-110B88DBFFDC}"/>
              </c:ext>
            </c:extLst>
          </c:dPt>
          <c:dLbls>
            <c:dLbl>
              <c:idx val="5"/>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18-4671-81C1-110B88DBFFDC}"/>
                </c:ext>
              </c:extLst>
            </c:dLbl>
            <c:dLbl>
              <c:idx val="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18-4671-81C1-110B88DBFFDC}"/>
                </c:ext>
              </c:extLst>
            </c:dLbl>
            <c:dLbl>
              <c:idx val="9"/>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C18-4671-81C1-110B88DBFFDC}"/>
                </c:ext>
              </c:extLst>
            </c:dLbl>
            <c:dLbl>
              <c:idx val="1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18-4671-81C1-110B88DBFFDC}"/>
                </c:ext>
              </c:extLst>
            </c:dLbl>
            <c:dLbl>
              <c:idx val="14"/>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C18-4671-81C1-110B88DBFFDC}"/>
                </c:ext>
              </c:extLst>
            </c:dLbl>
            <c:dLbl>
              <c:idx val="17"/>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18-4671-81C1-110B88DBFFDC}"/>
                </c:ext>
              </c:extLst>
            </c:dLbl>
            <c:dLbl>
              <c:idx val="19"/>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C18-4671-81C1-110B88DBFFDC}"/>
                </c:ext>
              </c:extLst>
            </c:dLbl>
            <c:dLbl>
              <c:idx val="29"/>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C18-4671-81C1-110B88DBFFDC}"/>
                </c:ext>
              </c:extLst>
            </c:dLbl>
            <c:dLbl>
              <c:idx val="33"/>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C18-4671-81C1-110B88DBFFDC}"/>
                </c:ext>
              </c:extLst>
            </c:dLbl>
            <c:dLbl>
              <c:idx val="36"/>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18-4671-81C1-110B88DBFFD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'OECD-2010-2019 55-64歲就業成長率'!$B$3:$B$46</c:f>
              <c:strCache>
                <c:ptCount val="44"/>
                <c:pt idx="0">
                  <c:v>冰島</c:v>
                </c:pt>
                <c:pt idx="1">
                  <c:v>土耳其</c:v>
                </c:pt>
                <c:pt idx="2">
                  <c:v>希臘</c:v>
                </c:pt>
                <c:pt idx="3">
                  <c:v>墨西哥</c:v>
                </c:pt>
                <c:pt idx="4">
                  <c:v>挪威 </c:v>
                </c:pt>
                <c:pt idx="5">
                  <c:v>美國</c:v>
                </c:pt>
                <c:pt idx="6">
                  <c:v>葡萄牙</c:v>
                </c:pt>
                <c:pt idx="7">
                  <c:v>韓國</c:v>
                </c:pt>
                <c:pt idx="8">
                  <c:v>瑞士</c:v>
                </c:pt>
                <c:pt idx="9">
                  <c:v>日本</c:v>
                </c:pt>
                <c:pt idx="10">
                  <c:v>瑞典</c:v>
                </c:pt>
                <c:pt idx="11">
                  <c:v>盧森堡</c:v>
                </c:pt>
                <c:pt idx="12">
                  <c:v>英國</c:v>
                </c:pt>
                <c:pt idx="13">
                  <c:v>加拿大</c:v>
                </c:pt>
                <c:pt idx="14">
                  <c:v>丹麥</c:v>
                </c:pt>
                <c:pt idx="15">
                  <c:v>西班牙</c:v>
                </c:pt>
                <c:pt idx="16">
                  <c:v>愛爾蘭</c:v>
                </c:pt>
                <c:pt idx="17">
                  <c:v>OECD</c:v>
                </c:pt>
                <c:pt idx="18">
                  <c:v>澳大利亞</c:v>
                </c:pt>
                <c:pt idx="19">
                  <c:v>法國</c:v>
                </c:pt>
                <c:pt idx="20">
                  <c:v>智利</c:v>
                </c:pt>
                <c:pt idx="21">
                  <c:v>波蘭</c:v>
                </c:pt>
                <c:pt idx="22">
                  <c:v>以色列</c:v>
                </c:pt>
                <c:pt idx="23">
                  <c:v>紐西蘭</c:v>
                </c:pt>
                <c:pt idx="24">
                  <c:v>芬蘭</c:v>
                </c:pt>
                <c:pt idx="25">
                  <c:v>比利時</c:v>
                </c:pt>
                <c:pt idx="26">
                  <c:v>斯洛文尼亞</c:v>
                </c:pt>
                <c:pt idx="27">
                  <c:v>奧地利</c:v>
                </c:pt>
                <c:pt idx="28">
                  <c:v>愛沙尼亞</c:v>
                </c:pt>
                <c:pt idx="29">
                  <c:v>義大利</c:v>
                </c:pt>
                <c:pt idx="30">
                  <c:v>立陶宛</c:v>
                </c:pt>
                <c:pt idx="31">
                  <c:v>捷克</c:v>
                </c:pt>
                <c:pt idx="32">
                  <c:v>拉脫維亞</c:v>
                </c:pt>
                <c:pt idx="33">
                  <c:v>荷蘭</c:v>
                </c:pt>
                <c:pt idx="34">
                  <c:v>匈牙利</c:v>
                </c:pt>
                <c:pt idx="35">
                  <c:v>斯洛伐克</c:v>
                </c:pt>
                <c:pt idx="36">
                  <c:v>德國</c:v>
                </c:pt>
                <c:pt idx="38">
                  <c:v>印度</c:v>
                </c:pt>
                <c:pt idx="39">
                  <c:v>巴西</c:v>
                </c:pt>
                <c:pt idx="40">
                  <c:v>南非</c:v>
                </c:pt>
                <c:pt idx="41">
                  <c:v>中國</c:v>
                </c:pt>
                <c:pt idx="42">
                  <c:v>印尼</c:v>
                </c:pt>
                <c:pt idx="43">
                  <c:v>俄羅斯</c:v>
                </c:pt>
              </c:strCache>
            </c:strRef>
          </c:cat>
          <c:val>
            <c:numRef>
              <c:f>'OECD-2010-2019 55-64歲就業成長率'!$D$3:$D$46</c:f>
              <c:numCache>
                <c:formatCode>0.0</c:formatCode>
                <c:ptCount val="44"/>
                <c:pt idx="0">
                  <c:v>-3.68</c:v>
                </c:pt>
                <c:pt idx="1">
                  <c:v>-1.1499999999999999</c:v>
                </c:pt>
                <c:pt idx="2">
                  <c:v>2.11</c:v>
                </c:pt>
                <c:pt idx="3">
                  <c:v>3.65</c:v>
                </c:pt>
                <c:pt idx="4">
                  <c:v>4.91</c:v>
                </c:pt>
                <c:pt idx="5">
                  <c:v>5.29</c:v>
                </c:pt>
                <c:pt idx="6">
                  <c:v>8.3800000000000008</c:v>
                </c:pt>
                <c:pt idx="7">
                  <c:v>8.99</c:v>
                </c:pt>
                <c:pt idx="8">
                  <c:v>9.2899999999999991</c:v>
                </c:pt>
                <c:pt idx="9">
                  <c:v>12.46</c:v>
                </c:pt>
                <c:pt idx="10">
                  <c:v>12.99</c:v>
                </c:pt>
                <c:pt idx="11">
                  <c:v>13.24</c:v>
                </c:pt>
                <c:pt idx="12">
                  <c:v>14.31</c:v>
                </c:pt>
                <c:pt idx="13">
                  <c:v>14.85</c:v>
                </c:pt>
                <c:pt idx="14">
                  <c:v>14.97</c:v>
                </c:pt>
                <c:pt idx="15">
                  <c:v>15.12</c:v>
                </c:pt>
                <c:pt idx="16">
                  <c:v>15.16</c:v>
                </c:pt>
                <c:pt idx="17">
                  <c:v>17.55</c:v>
                </c:pt>
                <c:pt idx="18">
                  <c:v>17.760000000000002</c:v>
                </c:pt>
                <c:pt idx="19">
                  <c:v>17.940000000000001</c:v>
                </c:pt>
                <c:pt idx="20">
                  <c:v>17.95</c:v>
                </c:pt>
                <c:pt idx="21">
                  <c:v>20.53</c:v>
                </c:pt>
                <c:pt idx="22">
                  <c:v>20.76</c:v>
                </c:pt>
                <c:pt idx="23">
                  <c:v>21.05</c:v>
                </c:pt>
                <c:pt idx="24">
                  <c:v>23.17</c:v>
                </c:pt>
                <c:pt idx="25">
                  <c:v>24.01</c:v>
                </c:pt>
                <c:pt idx="26">
                  <c:v>24.3</c:v>
                </c:pt>
                <c:pt idx="27">
                  <c:v>25.72</c:v>
                </c:pt>
                <c:pt idx="28">
                  <c:v>25.92</c:v>
                </c:pt>
                <c:pt idx="29">
                  <c:v>26.04</c:v>
                </c:pt>
                <c:pt idx="30">
                  <c:v>28.23</c:v>
                </c:pt>
                <c:pt idx="31">
                  <c:v>28.89</c:v>
                </c:pt>
                <c:pt idx="32">
                  <c:v>29.47</c:v>
                </c:pt>
                <c:pt idx="33">
                  <c:v>30.04</c:v>
                </c:pt>
                <c:pt idx="34">
                  <c:v>32.5</c:v>
                </c:pt>
                <c:pt idx="35">
                  <c:v>32.89</c:v>
                </c:pt>
                <c:pt idx="36">
                  <c:v>33.81</c:v>
                </c:pt>
                <c:pt idx="38">
                  <c:v>-7.82</c:v>
                </c:pt>
                <c:pt idx="39">
                  <c:v>-2.87</c:v>
                </c:pt>
                <c:pt idx="40">
                  <c:v>-2.35</c:v>
                </c:pt>
                <c:pt idx="41">
                  <c:v>-0.19</c:v>
                </c:pt>
                <c:pt idx="42">
                  <c:v>0.71</c:v>
                </c:pt>
                <c:pt idx="43">
                  <c:v>14.41</c:v>
                </c:pt>
              </c:numCache>
            </c:numRef>
          </c:val>
          <c:extLst xmlns:c16r2="http://schemas.microsoft.com/office/drawing/2015/06/chart">
            <c:ext xmlns:c16="http://schemas.microsoft.com/office/drawing/2014/chart" uri="{C3380CC4-5D6E-409C-BE32-E72D297353CC}">
              <c16:uniqueId val="{0000000C-9C18-4671-81C1-110B88DBFFDC}"/>
            </c:ext>
          </c:extLst>
        </c:ser>
        <c:dLbls>
          <c:showLegendKey val="0"/>
          <c:showVal val="0"/>
          <c:showCatName val="0"/>
          <c:showSerName val="0"/>
          <c:showPercent val="0"/>
          <c:showBubbleSize val="0"/>
        </c:dLbls>
        <c:gapWidth val="80"/>
        <c:axId val="339445760"/>
        <c:axId val="339133568"/>
      </c:barChart>
      <c:scatterChart>
        <c:scatterStyle val="lineMarker"/>
        <c:varyColors val="0"/>
        <c:ser>
          <c:idx val="0"/>
          <c:order val="0"/>
          <c:tx>
            <c:strRef>
              <c:f>'OECD-2010-2019 55-64歲就業成長率'!$C$2</c:f>
              <c:strCache>
                <c:ptCount val="1"/>
                <c:pt idx="0">
                  <c:v>25-54歲</c:v>
                </c:pt>
              </c:strCache>
            </c:strRef>
          </c:tx>
          <c:spPr>
            <a:ln w="25400" cap="rnd">
              <a:noFill/>
              <a:round/>
            </a:ln>
            <a:effectLst/>
          </c:spPr>
          <c:marker>
            <c:symbol val="diamond"/>
            <c:size val="6"/>
            <c:spPr>
              <a:solidFill>
                <a:schemeClr val="tx1"/>
              </a:solidFill>
              <a:ln w="9525">
                <a:solidFill>
                  <a:schemeClr val="accent1"/>
                </a:solidFill>
                <a:miter lim="800000"/>
              </a:ln>
              <a:effectLst/>
            </c:spPr>
          </c:marker>
          <c:xVal>
            <c:strRef>
              <c:f>'OECD-2010-2019 55-64歲就業成長率'!$B$3:$B$46</c:f>
              <c:strCache>
                <c:ptCount val="44"/>
                <c:pt idx="0">
                  <c:v>冰島</c:v>
                </c:pt>
                <c:pt idx="1">
                  <c:v>土耳其</c:v>
                </c:pt>
                <c:pt idx="2">
                  <c:v>希臘</c:v>
                </c:pt>
                <c:pt idx="3">
                  <c:v>墨西哥</c:v>
                </c:pt>
                <c:pt idx="4">
                  <c:v>挪威 </c:v>
                </c:pt>
                <c:pt idx="5">
                  <c:v>美國</c:v>
                </c:pt>
                <c:pt idx="6">
                  <c:v>葡萄牙</c:v>
                </c:pt>
                <c:pt idx="7">
                  <c:v>韓國</c:v>
                </c:pt>
                <c:pt idx="8">
                  <c:v>瑞士</c:v>
                </c:pt>
                <c:pt idx="9">
                  <c:v>日本</c:v>
                </c:pt>
                <c:pt idx="10">
                  <c:v>瑞典</c:v>
                </c:pt>
                <c:pt idx="11">
                  <c:v>盧森堡</c:v>
                </c:pt>
                <c:pt idx="12">
                  <c:v>英國</c:v>
                </c:pt>
                <c:pt idx="13">
                  <c:v>加拿大</c:v>
                </c:pt>
                <c:pt idx="14">
                  <c:v>丹麥</c:v>
                </c:pt>
                <c:pt idx="15">
                  <c:v>西班牙</c:v>
                </c:pt>
                <c:pt idx="16">
                  <c:v>愛爾蘭</c:v>
                </c:pt>
                <c:pt idx="17">
                  <c:v>OECD</c:v>
                </c:pt>
                <c:pt idx="18">
                  <c:v>澳大利亞</c:v>
                </c:pt>
                <c:pt idx="19">
                  <c:v>法國</c:v>
                </c:pt>
                <c:pt idx="20">
                  <c:v>智利</c:v>
                </c:pt>
                <c:pt idx="21">
                  <c:v>波蘭</c:v>
                </c:pt>
                <c:pt idx="22">
                  <c:v>以色列</c:v>
                </c:pt>
                <c:pt idx="23">
                  <c:v>紐西蘭</c:v>
                </c:pt>
                <c:pt idx="24">
                  <c:v>芬蘭</c:v>
                </c:pt>
                <c:pt idx="25">
                  <c:v>比利時</c:v>
                </c:pt>
                <c:pt idx="26">
                  <c:v>斯洛文尼亞</c:v>
                </c:pt>
                <c:pt idx="27">
                  <c:v>奧地利</c:v>
                </c:pt>
                <c:pt idx="28">
                  <c:v>愛沙尼亞</c:v>
                </c:pt>
                <c:pt idx="29">
                  <c:v>義大利</c:v>
                </c:pt>
                <c:pt idx="30">
                  <c:v>立陶宛</c:v>
                </c:pt>
                <c:pt idx="31">
                  <c:v>捷克</c:v>
                </c:pt>
                <c:pt idx="32">
                  <c:v>拉脫維亞</c:v>
                </c:pt>
                <c:pt idx="33">
                  <c:v>荷蘭</c:v>
                </c:pt>
                <c:pt idx="34">
                  <c:v>匈牙利</c:v>
                </c:pt>
                <c:pt idx="35">
                  <c:v>斯洛伐克</c:v>
                </c:pt>
                <c:pt idx="36">
                  <c:v>德國</c:v>
                </c:pt>
                <c:pt idx="38">
                  <c:v>印度</c:v>
                </c:pt>
                <c:pt idx="39">
                  <c:v>巴西</c:v>
                </c:pt>
                <c:pt idx="40">
                  <c:v>南非</c:v>
                </c:pt>
                <c:pt idx="41">
                  <c:v>中國</c:v>
                </c:pt>
                <c:pt idx="42">
                  <c:v>印尼</c:v>
                </c:pt>
                <c:pt idx="43">
                  <c:v>俄羅斯</c:v>
                </c:pt>
              </c:strCache>
            </c:strRef>
          </c:xVal>
          <c:yVal>
            <c:numRef>
              <c:f>'OECD-2010-2019 55-64歲就業成長率'!$C$3:$C$46</c:f>
              <c:numCache>
                <c:formatCode>0.0</c:formatCode>
                <c:ptCount val="44"/>
                <c:pt idx="0">
                  <c:v>-1.67</c:v>
                </c:pt>
                <c:pt idx="1">
                  <c:v>4.7300000000000004</c:v>
                </c:pt>
                <c:pt idx="2">
                  <c:v>-1.57</c:v>
                </c:pt>
                <c:pt idx="3">
                  <c:v>4.45</c:v>
                </c:pt>
                <c:pt idx="4">
                  <c:v>-1.95</c:v>
                </c:pt>
                <c:pt idx="5">
                  <c:v>-2.09</c:v>
                </c:pt>
                <c:pt idx="6">
                  <c:v>2.52</c:v>
                </c:pt>
                <c:pt idx="7">
                  <c:v>4.16</c:v>
                </c:pt>
                <c:pt idx="8">
                  <c:v>1.31</c:v>
                </c:pt>
                <c:pt idx="9">
                  <c:v>6.62</c:v>
                </c:pt>
                <c:pt idx="10">
                  <c:v>2.93</c:v>
                </c:pt>
                <c:pt idx="11">
                  <c:v>5.72</c:v>
                </c:pt>
                <c:pt idx="12">
                  <c:v>3.33</c:v>
                </c:pt>
                <c:pt idx="13">
                  <c:v>2.82</c:v>
                </c:pt>
                <c:pt idx="14">
                  <c:v>-1.34</c:v>
                </c:pt>
                <c:pt idx="15">
                  <c:v>6.29</c:v>
                </c:pt>
                <c:pt idx="16">
                  <c:v>3.58</c:v>
                </c:pt>
                <c:pt idx="17">
                  <c:v>4.3899999999999997</c:v>
                </c:pt>
                <c:pt idx="18">
                  <c:v>4.74</c:v>
                </c:pt>
                <c:pt idx="19">
                  <c:v>2.94</c:v>
                </c:pt>
                <c:pt idx="20">
                  <c:v>9.33</c:v>
                </c:pt>
                <c:pt idx="21">
                  <c:v>11.42</c:v>
                </c:pt>
                <c:pt idx="22">
                  <c:v>8.73</c:v>
                </c:pt>
                <c:pt idx="23">
                  <c:v>6.32</c:v>
                </c:pt>
                <c:pt idx="24">
                  <c:v>1.57</c:v>
                </c:pt>
                <c:pt idx="25">
                  <c:v>3.02</c:v>
                </c:pt>
                <c:pt idx="26">
                  <c:v>4.9630000000000001</c:v>
                </c:pt>
                <c:pt idx="27">
                  <c:v>2.02</c:v>
                </c:pt>
                <c:pt idx="28">
                  <c:v>9.7200000000000006</c:v>
                </c:pt>
                <c:pt idx="29">
                  <c:v>1.84</c:v>
                </c:pt>
                <c:pt idx="30">
                  <c:v>9.69</c:v>
                </c:pt>
                <c:pt idx="31">
                  <c:v>5.89</c:v>
                </c:pt>
                <c:pt idx="32">
                  <c:v>9.16</c:v>
                </c:pt>
                <c:pt idx="33">
                  <c:v>3.56</c:v>
                </c:pt>
                <c:pt idx="34">
                  <c:v>11.13</c:v>
                </c:pt>
                <c:pt idx="35">
                  <c:v>6.51</c:v>
                </c:pt>
                <c:pt idx="36">
                  <c:v>5.54</c:v>
                </c:pt>
                <c:pt idx="38">
                  <c:v>-8.82</c:v>
                </c:pt>
                <c:pt idx="39">
                  <c:v>-0.66</c:v>
                </c:pt>
                <c:pt idx="40">
                  <c:v>-3.04</c:v>
                </c:pt>
                <c:pt idx="41">
                  <c:v>-2.2200000000000002</c:v>
                </c:pt>
                <c:pt idx="42">
                  <c:v>0.35</c:v>
                </c:pt>
                <c:pt idx="43">
                  <c:v>7.27</c:v>
                </c:pt>
              </c:numCache>
            </c:numRef>
          </c:yVal>
          <c:smooth val="0"/>
          <c:extLst xmlns:c16r2="http://schemas.microsoft.com/office/drawing/2015/06/chart">
            <c:ext xmlns:c16="http://schemas.microsoft.com/office/drawing/2014/chart" uri="{C3380CC4-5D6E-409C-BE32-E72D297353CC}">
              <c16:uniqueId val="{0000000D-9C18-4671-81C1-110B88DBFFDC}"/>
            </c:ext>
          </c:extLst>
        </c:ser>
        <c:dLbls>
          <c:showLegendKey val="0"/>
          <c:showVal val="0"/>
          <c:showCatName val="0"/>
          <c:showSerName val="0"/>
          <c:showPercent val="0"/>
          <c:showBubbleSize val="0"/>
        </c:dLbls>
        <c:axId val="339445760"/>
        <c:axId val="339133568"/>
      </c:scatterChart>
      <c:catAx>
        <c:axId val="33944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wordArtVertRtl" wrap="square" anchor="ctr" anchorCtr="1"/>
          <a:lstStyle/>
          <a:p>
            <a:pPr>
              <a:defRPr sz="700" b="0" i="0" u="none" strike="noStrike" kern="1200" baseline="0">
                <a:solidFill>
                  <a:schemeClr val="tx1">
                    <a:lumMod val="85000"/>
                    <a:lumOff val="15000"/>
                  </a:schemeClr>
                </a:solidFill>
                <a:latin typeface="+mn-ea"/>
                <a:ea typeface="+mn-ea"/>
                <a:cs typeface="+mn-cs"/>
              </a:defRPr>
            </a:pPr>
            <a:endParaRPr lang="zh-TW"/>
          </a:p>
        </c:txPr>
        <c:crossAx val="339133568"/>
        <c:crossesAt val="-10"/>
        <c:auto val="0"/>
        <c:lblAlgn val="ctr"/>
        <c:lblOffset val="100"/>
        <c:noMultiLvlLbl val="0"/>
      </c:catAx>
      <c:valAx>
        <c:axId val="339133568"/>
        <c:scaling>
          <c:orientation val="minMax"/>
          <c:max val="35"/>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crossAx val="33944576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ln>
                  <a:noFill/>
                </a:ln>
                <a:solidFill>
                  <a:schemeClr val="tx1">
                    <a:lumMod val="85000"/>
                    <a:lumOff val="15000"/>
                  </a:schemeClr>
                </a:solidFill>
                <a:latin typeface="微軟正黑體" pitchFamily="34" charset="-120"/>
                <a:ea typeface="微軟正黑體" pitchFamily="34" charset="-120"/>
                <a:cs typeface="+mn-cs"/>
              </a:defRPr>
            </a:pPr>
            <a:endParaRPr lang="zh-TW"/>
          </a:p>
        </c:txPr>
      </c:legendEntry>
      <c:layout>
        <c:manualLayout>
          <c:xMode val="edge"/>
          <c:yMode val="edge"/>
          <c:x val="6.4977163287659914E-2"/>
          <c:y val="0.1143836359298063"/>
          <c:w val="0.20185409864097911"/>
          <c:h val="6.944493049479927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微軟正黑體" pitchFamily="34" charset="-120"/>
              <a:ea typeface="微軟正黑體" pitchFamily="34" charset="-120"/>
              <a:cs typeface="+mn-cs"/>
            </a:defRPr>
          </a:pPr>
          <a:endParaRPr lang="zh-TW"/>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微軟正黑體" pitchFamily="34" charset="-120"/>
                <a:ea typeface="微軟正黑體" pitchFamily="34" charset="-120"/>
                <a:cs typeface="+mn-cs"/>
              </a:defRPr>
            </a:pPr>
            <a:r>
              <a:rPr lang="zh-TW" sz="1300" baseline="0" dirty="0">
                <a:solidFill>
                  <a:schemeClr val="tx1">
                    <a:lumMod val="65000"/>
                    <a:lumOff val="35000"/>
                  </a:schemeClr>
                </a:solidFill>
                <a:latin typeface="微軟正黑體" pitchFamily="34" charset="-120"/>
                <a:ea typeface="微軟正黑體" pitchFamily="34" charset="-120"/>
              </a:rPr>
              <a:t>台灣與</a:t>
            </a:r>
            <a:r>
              <a:rPr lang="en-US" sz="1300" baseline="0" dirty="0">
                <a:solidFill>
                  <a:schemeClr val="tx1">
                    <a:lumMod val="65000"/>
                    <a:lumOff val="35000"/>
                  </a:schemeClr>
                </a:solidFill>
                <a:latin typeface="微軟正黑體" pitchFamily="34" charset="-120"/>
                <a:ea typeface="微軟正黑體" pitchFamily="34" charset="-120"/>
              </a:rPr>
              <a:t>OECD</a:t>
            </a:r>
            <a:r>
              <a:rPr lang="zh-TW" sz="1300" baseline="0" dirty="0">
                <a:solidFill>
                  <a:schemeClr val="tx1">
                    <a:lumMod val="65000"/>
                    <a:lumOff val="35000"/>
                  </a:schemeClr>
                </a:solidFill>
                <a:latin typeface="微軟正黑體" pitchFamily="34" charset="-120"/>
                <a:ea typeface="微軟正黑體" pitchFamily="34" charset="-120"/>
              </a:rPr>
              <a:t>主要國家老年貧窮率之比較</a:t>
            </a:r>
          </a:p>
        </c:rich>
      </c:tx>
      <c:layout>
        <c:manualLayout>
          <c:xMode val="edge"/>
          <c:yMode val="edge"/>
          <c:x val="0.21465925249909798"/>
          <c:y val="2.745338650850462E-3"/>
        </c:manualLayout>
      </c:layout>
      <c:overlay val="0"/>
      <c:spPr>
        <a:noFill/>
        <a:ln>
          <a:noFill/>
        </a:ln>
        <a:effectLst/>
      </c:spPr>
    </c:title>
    <c:autoTitleDeleted val="0"/>
    <c:plotArea>
      <c:layout>
        <c:manualLayout>
          <c:layoutTarget val="inner"/>
          <c:xMode val="edge"/>
          <c:yMode val="edge"/>
          <c:x val="6.6580927384076991E-2"/>
          <c:y val="0.1912912912912913"/>
          <c:w val="0.86683814523184599"/>
          <c:h val="0.6329405677567016"/>
        </c:manualLayout>
      </c:layout>
      <c:barChart>
        <c:barDir val="col"/>
        <c:grouping val="clustered"/>
        <c:varyColors val="0"/>
        <c:ser>
          <c:idx val="0"/>
          <c:order val="0"/>
          <c:tx>
            <c:strRef>
              <c:f>六國老年貧窮率比較!$B$3</c:f>
              <c:strCache>
                <c:ptCount val="1"/>
                <c:pt idx="0">
                  <c:v>全體貧窮率</c:v>
                </c:pt>
              </c:strCache>
            </c:strRef>
          </c:tx>
          <c:spPr>
            <a:solidFill>
              <a:schemeClr val="accent1"/>
            </a:solidFill>
            <a:ln>
              <a:noFill/>
            </a:ln>
            <a:effectLst/>
          </c:spPr>
          <c:invertIfNegative val="0"/>
          <c:dLbls>
            <c:dLbl>
              <c:idx val="6"/>
              <c:layout>
                <c:manualLayout>
                  <c:x val="-1.2318840579710146E-2"/>
                  <c:y val="-3.503488192566908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41-4779-837D-5CFC303CF461}"/>
                </c:ext>
              </c:extLst>
            </c:dLbl>
            <c:spPr>
              <a:noFill/>
              <a:ln>
                <a:noFill/>
              </a:ln>
              <a:effectLst/>
            </c:spPr>
            <c:txPr>
              <a:bodyPr rot="0" spcFirstLastPara="1" vertOverflow="ellipsis" vert="horz" wrap="square" anchor="ctr" anchorCtr="1"/>
              <a:lstStyle/>
              <a:p>
                <a:pPr>
                  <a:defRPr sz="1100" b="0" i="0" u="none" strike="noStrike" kern="1200" baseline="0">
                    <a:solidFill>
                      <a:schemeClr val="dk1"/>
                    </a:solidFill>
                    <a:latin typeface="+mn-lt"/>
                    <a:ea typeface="+mn-ea"/>
                    <a:cs typeface="+mn-cs"/>
                  </a:defRPr>
                </a:pPr>
                <a:endParaRPr lang="zh-TW"/>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六國老年貧窮率比較!$A$4:$A$12</c:f>
              <c:strCache>
                <c:ptCount val="9"/>
                <c:pt idx="0">
                  <c:v>OECD</c:v>
                </c:pt>
                <c:pt idx="1">
                  <c:v>台灣</c:v>
                </c:pt>
                <c:pt idx="2">
                  <c:v>南韓</c:v>
                </c:pt>
                <c:pt idx="3">
                  <c:v>日本</c:v>
                </c:pt>
                <c:pt idx="4">
                  <c:v>美國</c:v>
                </c:pt>
                <c:pt idx="5">
                  <c:v>英國</c:v>
                </c:pt>
                <c:pt idx="6">
                  <c:v>德國</c:v>
                </c:pt>
                <c:pt idx="7">
                  <c:v>中國</c:v>
                </c:pt>
                <c:pt idx="8">
                  <c:v>印度</c:v>
                </c:pt>
              </c:strCache>
            </c:strRef>
          </c:cat>
          <c:val>
            <c:numRef>
              <c:f>六國老年貧窮率比較!$B$4:$B$12</c:f>
              <c:numCache>
                <c:formatCode>General</c:formatCode>
                <c:ptCount val="9"/>
                <c:pt idx="0">
                  <c:v>11.8</c:v>
                </c:pt>
                <c:pt idx="1">
                  <c:v>7.6</c:v>
                </c:pt>
                <c:pt idx="2">
                  <c:v>17.399999999999999</c:v>
                </c:pt>
                <c:pt idx="3">
                  <c:v>15.7</c:v>
                </c:pt>
                <c:pt idx="4">
                  <c:v>17.8</c:v>
                </c:pt>
                <c:pt idx="5">
                  <c:v>11.9</c:v>
                </c:pt>
                <c:pt idx="6">
                  <c:v>10.4</c:v>
                </c:pt>
                <c:pt idx="7">
                  <c:v>28.8</c:v>
                </c:pt>
                <c:pt idx="8">
                  <c:v>12.7</c:v>
                </c:pt>
              </c:numCache>
            </c:numRef>
          </c:val>
          <c:extLst xmlns:c16r2="http://schemas.microsoft.com/office/drawing/2015/06/chart">
            <c:ext xmlns:c16="http://schemas.microsoft.com/office/drawing/2014/chart" uri="{C3380CC4-5D6E-409C-BE32-E72D297353CC}">
              <c16:uniqueId val="{00000001-4541-4779-837D-5CFC303CF461}"/>
            </c:ext>
          </c:extLst>
        </c:ser>
        <c:ser>
          <c:idx val="2"/>
          <c:order val="2"/>
          <c:tx>
            <c:strRef>
              <c:f>六國老年貧窮率比較!$D$3</c:f>
              <c:strCache>
                <c:ptCount val="1"/>
                <c:pt idx="0">
                  <c:v>男性</c:v>
                </c:pt>
              </c:strCache>
            </c:strRef>
          </c:tx>
          <c:spPr>
            <a:solidFill>
              <a:schemeClr val="accent6"/>
            </a:solidFill>
            <a:ln>
              <a:noFill/>
            </a:ln>
            <a:effectLst/>
          </c:spPr>
          <c:invertIfNegative val="0"/>
          <c:cat>
            <c:strRef>
              <c:f>六國老年貧窮率比較!$A$4:$A$12</c:f>
              <c:strCache>
                <c:ptCount val="9"/>
                <c:pt idx="0">
                  <c:v>OECD</c:v>
                </c:pt>
                <c:pt idx="1">
                  <c:v>台灣</c:v>
                </c:pt>
                <c:pt idx="2">
                  <c:v>南韓</c:v>
                </c:pt>
                <c:pt idx="3">
                  <c:v>日本</c:v>
                </c:pt>
                <c:pt idx="4">
                  <c:v>美國</c:v>
                </c:pt>
                <c:pt idx="5">
                  <c:v>英國</c:v>
                </c:pt>
                <c:pt idx="6">
                  <c:v>德國</c:v>
                </c:pt>
                <c:pt idx="7">
                  <c:v>中國</c:v>
                </c:pt>
                <c:pt idx="8">
                  <c:v>印度</c:v>
                </c:pt>
              </c:strCache>
            </c:strRef>
          </c:cat>
          <c:val>
            <c:numRef>
              <c:f>六國老年貧窮率比較!$D$4:$D$12</c:f>
              <c:numCache>
                <c:formatCode>General</c:formatCode>
                <c:ptCount val="9"/>
                <c:pt idx="0">
                  <c:v>10.3</c:v>
                </c:pt>
                <c:pt idx="2">
                  <c:v>37.1</c:v>
                </c:pt>
                <c:pt idx="3">
                  <c:v>16.2</c:v>
                </c:pt>
                <c:pt idx="4">
                  <c:v>19.600000000000001</c:v>
                </c:pt>
                <c:pt idx="5">
                  <c:v>12.5</c:v>
                </c:pt>
                <c:pt idx="6">
                  <c:v>7.4</c:v>
                </c:pt>
                <c:pt idx="7">
                  <c:v>37.9</c:v>
                </c:pt>
                <c:pt idx="8">
                  <c:v>21.9</c:v>
                </c:pt>
              </c:numCache>
            </c:numRef>
          </c:val>
          <c:extLst xmlns:c16r2="http://schemas.microsoft.com/office/drawing/2015/06/chart">
            <c:ext xmlns:c16="http://schemas.microsoft.com/office/drawing/2014/chart" uri="{C3380CC4-5D6E-409C-BE32-E72D297353CC}">
              <c16:uniqueId val="{00000002-4541-4779-837D-5CFC303CF461}"/>
            </c:ext>
          </c:extLst>
        </c:ser>
        <c:ser>
          <c:idx val="3"/>
          <c:order val="3"/>
          <c:tx>
            <c:strRef>
              <c:f>六國老年貧窮率比較!$E$3</c:f>
              <c:strCache>
                <c:ptCount val="1"/>
                <c:pt idx="0">
                  <c:v>女性</c:v>
                </c:pt>
              </c:strCache>
            </c:strRef>
          </c:tx>
          <c:spPr>
            <a:solidFill>
              <a:srgbClr val="CC66FF"/>
            </a:solidFill>
            <a:ln>
              <a:noFill/>
            </a:ln>
            <a:effectLst/>
          </c:spPr>
          <c:invertIfNegative val="0"/>
          <c:cat>
            <c:strRef>
              <c:f>六國老年貧窮率比較!$A$4:$A$12</c:f>
              <c:strCache>
                <c:ptCount val="9"/>
                <c:pt idx="0">
                  <c:v>OECD</c:v>
                </c:pt>
                <c:pt idx="1">
                  <c:v>台灣</c:v>
                </c:pt>
                <c:pt idx="2">
                  <c:v>南韓</c:v>
                </c:pt>
                <c:pt idx="3">
                  <c:v>日本</c:v>
                </c:pt>
                <c:pt idx="4">
                  <c:v>美國</c:v>
                </c:pt>
                <c:pt idx="5">
                  <c:v>英國</c:v>
                </c:pt>
                <c:pt idx="6">
                  <c:v>德國</c:v>
                </c:pt>
                <c:pt idx="7">
                  <c:v>中國</c:v>
                </c:pt>
                <c:pt idx="8">
                  <c:v>印度</c:v>
                </c:pt>
              </c:strCache>
            </c:strRef>
          </c:cat>
          <c:val>
            <c:numRef>
              <c:f>六國老年貧窮率比較!$E$4:$E$12</c:f>
              <c:numCache>
                <c:formatCode>General</c:formatCode>
                <c:ptCount val="9"/>
                <c:pt idx="0">
                  <c:v>15.7</c:v>
                </c:pt>
                <c:pt idx="2">
                  <c:v>49</c:v>
                </c:pt>
                <c:pt idx="3">
                  <c:v>22.3</c:v>
                </c:pt>
                <c:pt idx="4">
                  <c:v>25.9</c:v>
                </c:pt>
                <c:pt idx="5">
                  <c:v>25.9</c:v>
                </c:pt>
                <c:pt idx="6">
                  <c:v>10.6</c:v>
                </c:pt>
                <c:pt idx="7">
                  <c:v>40.1</c:v>
                </c:pt>
                <c:pt idx="8">
                  <c:v>24</c:v>
                </c:pt>
              </c:numCache>
            </c:numRef>
          </c:val>
          <c:extLst xmlns:c16r2="http://schemas.microsoft.com/office/drawing/2015/06/chart">
            <c:ext xmlns:c16="http://schemas.microsoft.com/office/drawing/2014/chart" uri="{C3380CC4-5D6E-409C-BE32-E72D297353CC}">
              <c16:uniqueId val="{00000003-4541-4779-837D-5CFC303CF461}"/>
            </c:ext>
          </c:extLst>
        </c:ser>
        <c:dLbls>
          <c:showLegendKey val="0"/>
          <c:showVal val="0"/>
          <c:showCatName val="0"/>
          <c:showSerName val="0"/>
          <c:showPercent val="0"/>
          <c:showBubbleSize val="0"/>
        </c:dLbls>
        <c:gapWidth val="150"/>
        <c:axId val="339792384"/>
        <c:axId val="339135296"/>
      </c:barChart>
      <c:lineChart>
        <c:grouping val="standard"/>
        <c:varyColors val="0"/>
        <c:ser>
          <c:idx val="1"/>
          <c:order val="1"/>
          <c:tx>
            <c:strRef>
              <c:f>六國老年貧窮率比較!$C$3</c:f>
              <c:strCache>
                <c:ptCount val="1"/>
                <c:pt idx="0">
                  <c:v>老年貧窮率</c:v>
                </c:pt>
              </c:strCache>
            </c:strRef>
          </c:tx>
          <c:spPr>
            <a:ln w="28575" cap="rnd">
              <a:solidFill>
                <a:srgbClr val="C00000"/>
              </a:solidFill>
              <a:round/>
            </a:ln>
            <a:effectLst/>
          </c:spPr>
          <c:marker>
            <c:symbol val="circle"/>
            <c:size val="5"/>
            <c:spPr>
              <a:solidFill>
                <a:srgbClr val="FF0000"/>
              </a:solidFill>
              <a:ln w="9525">
                <a:solidFill>
                  <a:srgbClr val="C00000"/>
                </a:solidFill>
              </a:ln>
              <a:effectLst/>
            </c:spPr>
          </c:marker>
          <c:dLbls>
            <c:dLbl>
              <c:idx val="1"/>
              <c:layout>
                <c:manualLayout>
                  <c:x val="-5.8801447373426151E-2"/>
                  <c:y val="-5.69654340403072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541-4779-837D-5CFC303CF461}"/>
                </c:ext>
              </c:extLst>
            </c:dLbl>
            <c:dLbl>
              <c:idx val="5"/>
              <c:layout>
                <c:manualLayout>
                  <c:x val="-4.5763998250218721E-2"/>
                  <c:y val="-9.75601585837807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541-4779-837D-5CFC303CF461}"/>
                </c:ext>
              </c:extLst>
            </c:dLbl>
            <c:dLbl>
              <c:idx val="6"/>
              <c:layout>
                <c:manualLayout>
                  <c:x val="-6.6275343299479978E-3"/>
                  <c:y val="-4.78455069997235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541-4779-837D-5CFC303CF461}"/>
                </c:ext>
              </c:extLst>
            </c:dLbl>
            <c:spPr>
              <a:noFill/>
              <a:ln>
                <a:noFill/>
              </a:ln>
              <a:effectLst/>
            </c:spPr>
            <c:txPr>
              <a:bodyPr rot="0" spcFirstLastPara="1" vertOverflow="ellipsis" vert="horz" wrap="square" anchor="ctr" anchorCtr="1"/>
              <a:lstStyle/>
              <a:p>
                <a:pPr>
                  <a:defRPr sz="1100" b="0" i="0" u="none" strike="noStrike" kern="1200" baseline="0">
                    <a:solidFill>
                      <a:schemeClr val="dk1"/>
                    </a:solidFill>
                    <a:latin typeface="+mn-lt"/>
                    <a:ea typeface="+mn-ea"/>
                    <a:cs typeface="+mn-cs"/>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六國老年貧窮率比較!$A$4:$A$12</c:f>
              <c:strCache>
                <c:ptCount val="9"/>
                <c:pt idx="0">
                  <c:v>OECD</c:v>
                </c:pt>
                <c:pt idx="1">
                  <c:v>台灣</c:v>
                </c:pt>
                <c:pt idx="2">
                  <c:v>南韓</c:v>
                </c:pt>
                <c:pt idx="3">
                  <c:v>日本</c:v>
                </c:pt>
                <c:pt idx="4">
                  <c:v>美國</c:v>
                </c:pt>
                <c:pt idx="5">
                  <c:v>英國</c:v>
                </c:pt>
                <c:pt idx="6">
                  <c:v>德國</c:v>
                </c:pt>
                <c:pt idx="7">
                  <c:v>中國</c:v>
                </c:pt>
                <c:pt idx="8">
                  <c:v>印度</c:v>
                </c:pt>
              </c:strCache>
            </c:strRef>
          </c:cat>
          <c:val>
            <c:numRef>
              <c:f>六國老年貧窮率比較!$C$4:$C$12</c:f>
              <c:numCache>
                <c:formatCode>General</c:formatCode>
                <c:ptCount val="9"/>
                <c:pt idx="0">
                  <c:v>13.5</c:v>
                </c:pt>
                <c:pt idx="1">
                  <c:v>22.6</c:v>
                </c:pt>
                <c:pt idx="2">
                  <c:v>43.8</c:v>
                </c:pt>
                <c:pt idx="3">
                  <c:v>19.600000000000001</c:v>
                </c:pt>
                <c:pt idx="4">
                  <c:v>23.1</c:v>
                </c:pt>
                <c:pt idx="5">
                  <c:v>15.3</c:v>
                </c:pt>
                <c:pt idx="6">
                  <c:v>9.6</c:v>
                </c:pt>
                <c:pt idx="7">
                  <c:v>39</c:v>
                </c:pt>
                <c:pt idx="8">
                  <c:v>22.9</c:v>
                </c:pt>
              </c:numCache>
            </c:numRef>
          </c:val>
          <c:smooth val="0"/>
          <c:extLst xmlns:c16r2="http://schemas.microsoft.com/office/drawing/2015/06/chart">
            <c:ext xmlns:c16="http://schemas.microsoft.com/office/drawing/2014/chart" uri="{C3380CC4-5D6E-409C-BE32-E72D297353CC}">
              <c16:uniqueId val="{00000007-4541-4779-837D-5CFC303CF461}"/>
            </c:ext>
          </c:extLst>
        </c:ser>
        <c:dLbls>
          <c:showLegendKey val="0"/>
          <c:showVal val="0"/>
          <c:showCatName val="0"/>
          <c:showSerName val="0"/>
          <c:showPercent val="0"/>
          <c:showBubbleSize val="0"/>
        </c:dLbls>
        <c:marker val="1"/>
        <c:smooth val="0"/>
        <c:axId val="339792896"/>
        <c:axId val="339135872"/>
      </c:lineChart>
      <c:catAx>
        <c:axId val="339792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sz="1000" dirty="0"/>
                  <a:t>%</a:t>
                </a:r>
              </a:p>
            </c:rich>
          </c:tx>
          <c:layout>
            <c:manualLayout>
              <c:xMode val="edge"/>
              <c:yMode val="edge"/>
              <c:x val="0.94116806741794423"/>
              <c:y val="9.1922233947560675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339135296"/>
        <c:crosses val="autoZero"/>
        <c:auto val="1"/>
        <c:lblAlgn val="ctr"/>
        <c:lblOffset val="100"/>
        <c:noMultiLvlLbl val="0"/>
      </c:catAx>
      <c:valAx>
        <c:axId val="33913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339792384"/>
        <c:crosses val="autoZero"/>
        <c:crossBetween val="between"/>
      </c:valAx>
      <c:valAx>
        <c:axId val="3391358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zh-TW"/>
          </a:p>
        </c:txPr>
        <c:crossAx val="339792896"/>
        <c:crosses val="max"/>
        <c:crossBetween val="between"/>
      </c:valAx>
      <c:catAx>
        <c:axId val="339792896"/>
        <c:scaling>
          <c:orientation val="minMax"/>
        </c:scaling>
        <c:delete val="1"/>
        <c:axPos val="b"/>
        <c:numFmt formatCode="General" sourceLinked="1"/>
        <c:majorTickMark val="out"/>
        <c:minorTickMark val="none"/>
        <c:tickLblPos val="nextTo"/>
        <c:crossAx val="339135872"/>
        <c:crosses val="autoZero"/>
        <c:auto val="1"/>
        <c:lblAlgn val="ctr"/>
        <c:lblOffset val="100"/>
        <c:noMultiLvlLbl val="0"/>
      </c:catAx>
      <c:spPr>
        <a:noFill/>
        <a:ln>
          <a:noFill/>
        </a:ln>
        <a:effectLst/>
      </c:spPr>
    </c:plotArea>
    <c:legend>
      <c:legendPos val="b"/>
      <c:layout>
        <c:manualLayout>
          <c:xMode val="edge"/>
          <c:yMode val="edge"/>
          <c:x val="0.17949951876804618"/>
          <c:y val="0.91964229471316083"/>
          <c:w val="0.64100096246390759"/>
          <c:h val="8.03577052868391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微軟正黑體" pitchFamily="34" charset="-120"/>
              <a:ea typeface="微軟正黑體" pitchFamily="34" charset="-120"/>
              <a:cs typeface="+mn-cs"/>
            </a:defRPr>
          </a:pPr>
          <a:endParaRPr lang="zh-TW"/>
        </a:p>
      </c:txPr>
    </c:legend>
    <c:plotVisOnly val="1"/>
    <c:dispBlanksAs val="gap"/>
    <c:showDLblsOverMax val="0"/>
  </c:chart>
  <c:spPr>
    <a:solidFill>
      <a:schemeClr val="lt1"/>
    </a:solidFill>
    <a:ln w="1270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zh-TW"/>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微軟正黑體" pitchFamily="34" charset="-120"/>
                <a:ea typeface="微軟正黑體" pitchFamily="34" charset="-120"/>
              </a:defRPr>
            </a:pPr>
            <a:r>
              <a:rPr lang="zh-TW" altLang="en-US" sz="1100" b="0">
                <a:latin typeface="微軟正黑體" pitchFamily="34" charset="-120"/>
                <a:ea typeface="微軟正黑體" pitchFamily="34" charset="-120"/>
              </a:rPr>
              <a:t>生活費使用情形</a:t>
            </a:r>
          </a:p>
        </c:rich>
      </c:tx>
      <c:layout>
        <c:manualLayout>
          <c:xMode val="edge"/>
          <c:yMode val="edge"/>
          <c:x val="0.38231707317073171"/>
          <c:y val="0.11145006245288522"/>
        </c:manualLayout>
      </c:layout>
      <c:overlay val="0"/>
    </c:title>
    <c:autoTitleDeleted val="0"/>
    <c:view3D>
      <c:rotX val="10"/>
      <c:rotY val="10"/>
      <c:rAngAx val="1"/>
    </c:view3D>
    <c:floor>
      <c:thickness val="0"/>
    </c:floor>
    <c:sideWall>
      <c:thickness val="0"/>
    </c:sideWall>
    <c:backWall>
      <c:thickness val="0"/>
    </c:backWall>
    <c:plotArea>
      <c:layout/>
      <c:bar3DChart>
        <c:barDir val="col"/>
        <c:grouping val="clustered"/>
        <c:varyColors val="0"/>
        <c:ser>
          <c:idx val="0"/>
          <c:order val="0"/>
          <c:spPr>
            <a:solidFill>
              <a:schemeClr val="accent2">
                <a:lumMod val="40000"/>
                <a:lumOff val="60000"/>
              </a:schemeClr>
            </a:solidFill>
          </c:spPr>
          <c:invertIfNegative val="0"/>
          <c:dLbls>
            <c:txPr>
              <a:bodyPr/>
              <a:lstStyle/>
              <a:p>
                <a:pPr>
                  <a:defRPr sz="1050" b="0">
                    <a:solidFill>
                      <a:srgbClr val="FF0000"/>
                    </a:solidFill>
                  </a:defRPr>
                </a:pPr>
                <a:endParaRPr lang="zh-TW"/>
              </a:p>
            </c:txPr>
            <c:showLegendKey val="0"/>
            <c:showVal val="1"/>
            <c:showCatName val="0"/>
            <c:showSerName val="0"/>
            <c:showPercent val="0"/>
            <c:showBubbleSize val="0"/>
            <c:showLeaderLines val="0"/>
          </c:dLbls>
          <c:cat>
            <c:strRef>
              <c:f>工作表1!$B$2:$F$2</c:f>
              <c:strCache>
                <c:ptCount val="5"/>
                <c:pt idx="0">
                  <c:v>相當充裕
且有餘</c:v>
                </c:pt>
                <c:pt idx="1">
                  <c:v>大致夠用
不感覺欠缺</c:v>
                </c:pt>
                <c:pt idx="2">
                  <c:v>有點不夠用
略有困難</c:v>
                </c:pt>
                <c:pt idx="3">
                  <c:v>相當困難</c:v>
                </c:pt>
                <c:pt idx="4">
                  <c:v>代答者
不訪問</c:v>
                </c:pt>
              </c:strCache>
            </c:strRef>
          </c:cat>
          <c:val>
            <c:numRef>
              <c:f>工作表1!$B$3:$F$3</c:f>
              <c:numCache>
                <c:formatCode>General</c:formatCode>
                <c:ptCount val="5"/>
                <c:pt idx="0">
                  <c:v>6.9</c:v>
                </c:pt>
                <c:pt idx="1">
                  <c:v>62.6</c:v>
                </c:pt>
                <c:pt idx="2">
                  <c:v>19.399999999999999</c:v>
                </c:pt>
                <c:pt idx="3">
                  <c:v>2.2999999999999998</c:v>
                </c:pt>
                <c:pt idx="4">
                  <c:v>8.8000000000000007</c:v>
                </c:pt>
              </c:numCache>
            </c:numRef>
          </c:val>
        </c:ser>
        <c:dLbls>
          <c:showLegendKey val="0"/>
          <c:showVal val="0"/>
          <c:showCatName val="0"/>
          <c:showSerName val="0"/>
          <c:showPercent val="0"/>
          <c:showBubbleSize val="0"/>
        </c:dLbls>
        <c:gapWidth val="99"/>
        <c:gapDepth val="104"/>
        <c:shape val="cylinder"/>
        <c:axId val="339793408"/>
        <c:axId val="339137600"/>
        <c:axId val="0"/>
      </c:bar3DChart>
      <c:catAx>
        <c:axId val="339793408"/>
        <c:scaling>
          <c:orientation val="minMax"/>
        </c:scaling>
        <c:delete val="0"/>
        <c:axPos val="b"/>
        <c:majorTickMark val="out"/>
        <c:minorTickMark val="none"/>
        <c:tickLblPos val="nextTo"/>
        <c:txPr>
          <a:bodyPr/>
          <a:lstStyle/>
          <a:p>
            <a:pPr>
              <a:lnSpc>
                <a:spcPts val="900"/>
              </a:lnSpc>
              <a:defRPr sz="700">
                <a:latin typeface="微軟正黑體" pitchFamily="34" charset="-120"/>
                <a:ea typeface="微軟正黑體" pitchFamily="34" charset="-120"/>
              </a:defRPr>
            </a:pPr>
            <a:endParaRPr lang="zh-TW"/>
          </a:p>
        </c:txPr>
        <c:crossAx val="339137600"/>
        <c:crosses val="autoZero"/>
        <c:auto val="1"/>
        <c:lblAlgn val="ctr"/>
        <c:lblOffset val="100"/>
        <c:noMultiLvlLbl val="0"/>
      </c:catAx>
      <c:valAx>
        <c:axId val="339137600"/>
        <c:scaling>
          <c:orientation val="minMax"/>
          <c:max val="80"/>
        </c:scaling>
        <c:delete val="0"/>
        <c:axPos val="l"/>
        <c:numFmt formatCode="General" sourceLinked="1"/>
        <c:majorTickMark val="out"/>
        <c:minorTickMark val="none"/>
        <c:tickLblPos val="nextTo"/>
        <c:crossAx val="339793408"/>
        <c:crosses val="autoZero"/>
        <c:crossBetween val="between"/>
        <c:majorUnit val="20"/>
      </c:valAx>
    </c:plotArea>
    <c:plotVisOnly val="1"/>
    <c:dispBlanksAs val="gap"/>
    <c:showDLblsOverMax val="0"/>
  </c:chart>
  <c:spPr>
    <a:noFill/>
    <a:ln>
      <a:noFill/>
    </a:ln>
  </c:sp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66030724654041E-2"/>
          <c:y val="0.17694444444444443"/>
          <c:w val="0.8946496204103519"/>
          <c:h val="0.57854913969087196"/>
        </c:manualLayout>
      </c:layout>
      <c:lineChart>
        <c:grouping val="stacked"/>
        <c:varyColors val="0"/>
        <c:ser>
          <c:idx val="1"/>
          <c:order val="0"/>
          <c:tx>
            <c:strRef>
              <c:f>'2021我國薪資投保級距'!$D$3</c:f>
              <c:strCache>
                <c:ptCount val="1"/>
                <c:pt idx="0">
                  <c:v>15-29歲</c:v>
                </c:pt>
              </c:strCache>
            </c:strRef>
          </c:tx>
          <c:spPr>
            <a:ln w="28575" cap="rnd">
              <a:solidFill>
                <a:schemeClr val="accent6"/>
              </a:solidFill>
              <a:prstDash val="sysDot"/>
              <a:round/>
            </a:ln>
            <a:effectLst/>
          </c:spPr>
          <c:marker>
            <c:symbol val="none"/>
          </c:marker>
          <c:cat>
            <c:strRef>
              <c:f>'2021我國薪資投保級距'!$B$5:$B$10</c:f>
              <c:strCache>
                <c:ptCount val="6"/>
                <c:pt idx="0">
                  <c:v>24000元以下</c:v>
                </c:pt>
                <c:pt idx="1">
                  <c:v>24000元</c:v>
                </c:pt>
                <c:pt idx="2">
                  <c:v>30300元</c:v>
                </c:pt>
                <c:pt idx="3">
                  <c:v>42000元</c:v>
                </c:pt>
                <c:pt idx="4">
                  <c:v>43900元</c:v>
                </c:pt>
                <c:pt idx="5">
                  <c:v>45800元</c:v>
                </c:pt>
              </c:strCache>
              <c:extLst xmlns:c16r2="http://schemas.microsoft.com/office/drawing/2015/06/chart"/>
            </c:strRef>
          </c:cat>
          <c:val>
            <c:numRef>
              <c:f>'2021我國薪資投保級距'!$D$5:$D$10</c:f>
              <c:numCache>
                <c:formatCode>General</c:formatCode>
                <c:ptCount val="6"/>
                <c:pt idx="0">
                  <c:v>276</c:v>
                </c:pt>
                <c:pt idx="1">
                  <c:v>712</c:v>
                </c:pt>
                <c:pt idx="2">
                  <c:v>109</c:v>
                </c:pt>
                <c:pt idx="3">
                  <c:v>44</c:v>
                </c:pt>
                <c:pt idx="4">
                  <c:v>34</c:v>
                </c:pt>
                <c:pt idx="5">
                  <c:v>198</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FAD5-4E12-B3E4-A96EECE014B9}"/>
            </c:ext>
          </c:extLst>
        </c:ser>
        <c:ser>
          <c:idx val="2"/>
          <c:order val="1"/>
          <c:tx>
            <c:strRef>
              <c:f>'2021我國薪資投保級距'!$E$3</c:f>
              <c:strCache>
                <c:ptCount val="1"/>
                <c:pt idx="0">
                  <c:v>55-59歲</c:v>
                </c:pt>
              </c:strCache>
            </c:strRef>
          </c:tx>
          <c:spPr>
            <a:ln w="28575" cap="rnd">
              <a:solidFill>
                <a:srgbClr val="FF0000"/>
              </a:solidFill>
              <a:prstDash val="lgDash"/>
              <a:round/>
            </a:ln>
            <a:effectLst/>
          </c:spPr>
          <c:marker>
            <c:symbol val="none"/>
          </c:marker>
          <c:cat>
            <c:strRef>
              <c:f>'2021我國薪資投保級距'!$B$5:$B$10</c:f>
              <c:strCache>
                <c:ptCount val="6"/>
                <c:pt idx="0">
                  <c:v>24000元以下</c:v>
                </c:pt>
                <c:pt idx="1">
                  <c:v>24000元</c:v>
                </c:pt>
                <c:pt idx="2">
                  <c:v>30300元</c:v>
                </c:pt>
                <c:pt idx="3">
                  <c:v>42000元</c:v>
                </c:pt>
                <c:pt idx="4">
                  <c:v>43900元</c:v>
                </c:pt>
                <c:pt idx="5">
                  <c:v>45800元</c:v>
                </c:pt>
              </c:strCache>
              <c:extLst xmlns:c16r2="http://schemas.microsoft.com/office/drawing/2015/06/chart"/>
            </c:strRef>
          </c:cat>
          <c:val>
            <c:numRef>
              <c:f>'2021我國薪資投保級距'!$E$5:$E$10</c:f>
              <c:numCache>
                <c:formatCode>General</c:formatCode>
                <c:ptCount val="6"/>
                <c:pt idx="0">
                  <c:v>32</c:v>
                </c:pt>
                <c:pt idx="1">
                  <c:v>189</c:v>
                </c:pt>
                <c:pt idx="2">
                  <c:v>51</c:v>
                </c:pt>
                <c:pt idx="3">
                  <c:v>19</c:v>
                </c:pt>
                <c:pt idx="4">
                  <c:v>58</c:v>
                </c:pt>
                <c:pt idx="5">
                  <c:v>376</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FAD5-4E12-B3E4-A96EECE014B9}"/>
            </c:ext>
          </c:extLst>
        </c:ser>
        <c:ser>
          <c:idx val="3"/>
          <c:order val="2"/>
          <c:tx>
            <c:strRef>
              <c:f>'2021我國薪資投保級距'!$F$3</c:f>
              <c:strCache>
                <c:ptCount val="1"/>
                <c:pt idx="0">
                  <c:v>60-64歲</c:v>
                </c:pt>
              </c:strCache>
            </c:strRef>
          </c:tx>
          <c:spPr>
            <a:ln w="28575" cap="rnd" cmpd="sng">
              <a:solidFill>
                <a:srgbClr val="FFCC00"/>
              </a:solidFill>
              <a:prstDash val="sysDash"/>
              <a:round/>
            </a:ln>
            <a:effectLst/>
          </c:spPr>
          <c:marker>
            <c:symbol val="none"/>
          </c:marker>
          <c:cat>
            <c:strRef>
              <c:f>'2021我國薪資投保級距'!$B$5:$B$10</c:f>
              <c:strCache>
                <c:ptCount val="6"/>
                <c:pt idx="0">
                  <c:v>24000元以下</c:v>
                </c:pt>
                <c:pt idx="1">
                  <c:v>24000元</c:v>
                </c:pt>
                <c:pt idx="2">
                  <c:v>30300元</c:v>
                </c:pt>
                <c:pt idx="3">
                  <c:v>42000元</c:v>
                </c:pt>
                <c:pt idx="4">
                  <c:v>43900元</c:v>
                </c:pt>
                <c:pt idx="5">
                  <c:v>45800元</c:v>
                </c:pt>
              </c:strCache>
              <c:extLst xmlns:c16r2="http://schemas.microsoft.com/office/drawing/2015/06/chart"/>
            </c:strRef>
          </c:cat>
          <c:val>
            <c:numRef>
              <c:f>'2021我國薪資投保級距'!$F$5:$F$10</c:f>
              <c:numCache>
                <c:formatCode>General</c:formatCode>
                <c:ptCount val="6"/>
                <c:pt idx="0">
                  <c:v>25</c:v>
                </c:pt>
                <c:pt idx="1">
                  <c:v>108</c:v>
                </c:pt>
                <c:pt idx="2">
                  <c:v>22</c:v>
                </c:pt>
                <c:pt idx="3">
                  <c:v>9</c:v>
                </c:pt>
                <c:pt idx="4">
                  <c:v>25</c:v>
                </c:pt>
                <c:pt idx="5">
                  <c:v>196</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FAD5-4E12-B3E4-A96EECE014B9}"/>
            </c:ext>
          </c:extLst>
        </c:ser>
        <c:ser>
          <c:idx val="4"/>
          <c:order val="3"/>
          <c:tx>
            <c:strRef>
              <c:f>'2021我國薪資投保級距'!$G$3</c:f>
              <c:strCache>
                <c:ptCount val="1"/>
                <c:pt idx="0">
                  <c:v>65歲以上</c:v>
                </c:pt>
              </c:strCache>
            </c:strRef>
          </c:tx>
          <c:spPr>
            <a:ln w="28575" cap="rnd" cmpd="dbl">
              <a:solidFill>
                <a:schemeClr val="accent5"/>
              </a:solidFill>
              <a:prstDash val="dashDot"/>
              <a:round/>
            </a:ln>
            <a:effectLst/>
          </c:spPr>
          <c:marker>
            <c:symbol val="none"/>
          </c:marker>
          <c:cat>
            <c:strRef>
              <c:f>'2021我國薪資投保級距'!$B$5:$B$10</c:f>
              <c:strCache>
                <c:ptCount val="6"/>
                <c:pt idx="0">
                  <c:v>24000元以下</c:v>
                </c:pt>
                <c:pt idx="1">
                  <c:v>24000元</c:v>
                </c:pt>
                <c:pt idx="2">
                  <c:v>30300元</c:v>
                </c:pt>
                <c:pt idx="3">
                  <c:v>42000元</c:v>
                </c:pt>
                <c:pt idx="4">
                  <c:v>43900元</c:v>
                </c:pt>
                <c:pt idx="5">
                  <c:v>45800元</c:v>
                </c:pt>
              </c:strCache>
              <c:extLst xmlns:c16r2="http://schemas.microsoft.com/office/drawing/2015/06/chart"/>
            </c:strRef>
          </c:cat>
          <c:val>
            <c:numRef>
              <c:f>'2021我國薪資投保級距'!$G$5:$G$10</c:f>
              <c:numCache>
                <c:formatCode>General</c:formatCode>
                <c:ptCount val="6"/>
                <c:pt idx="0">
                  <c:v>26</c:v>
                </c:pt>
                <c:pt idx="1">
                  <c:v>73</c:v>
                </c:pt>
                <c:pt idx="2">
                  <c:v>8</c:v>
                </c:pt>
                <c:pt idx="3">
                  <c:v>2</c:v>
                </c:pt>
                <c:pt idx="4">
                  <c:v>4</c:v>
                </c:pt>
                <c:pt idx="5">
                  <c:v>41</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3-FAD5-4E12-B3E4-A96EECE014B9}"/>
            </c:ext>
          </c:extLst>
        </c:ser>
        <c:dLbls>
          <c:showLegendKey val="0"/>
          <c:showVal val="0"/>
          <c:showCatName val="0"/>
          <c:showSerName val="0"/>
          <c:showPercent val="0"/>
          <c:showBubbleSize val="0"/>
        </c:dLbls>
        <c:marker val="1"/>
        <c:smooth val="0"/>
        <c:axId val="339795456"/>
        <c:axId val="339139328"/>
        <c:extLst xmlns:c16r2="http://schemas.microsoft.com/office/drawing/2015/06/chart">
          <c:ext xmlns:c15="http://schemas.microsoft.com/office/drawing/2012/chart" uri="{02D57815-91ED-43cb-92C2-25804820EDAC}">
            <c15:filteredLineSeries>
              <c15:ser>
                <c:idx val="0"/>
                <c:order val="0"/>
                <c:tx>
                  <c:strRef>
                    <c:extLst>
                      <c:ext uri="{02D57815-91ED-43cb-92C2-25804820EDAC}">
                        <c15:formulaRef>
                          <c15:sqref>'2021我國薪資投保級距'!$C$3</c15:sqref>
                        </c15:formulaRef>
                      </c:ext>
                    </c:extLst>
                    <c:strCache>
                      <c:ptCount val="1"/>
                      <c:pt idx="0">
                        <c:v>總計人次</c:v>
                      </c:pt>
                    </c:strCache>
                  </c:strRef>
                </c:tx>
                <c:spPr>
                  <a:ln w="28575" cap="rnd">
                    <a:solidFill>
                      <a:schemeClr val="accent1"/>
                    </a:solidFill>
                    <a:round/>
                  </a:ln>
                  <a:effectLst/>
                </c:spPr>
                <c:marker>
                  <c:symbol val="none"/>
                </c:marker>
                <c:cat>
                  <c:strRef>
                    <c:extLst>
                      <c:ext uri="{02D57815-91ED-43cb-92C2-25804820EDAC}">
                        <c15:formulaRef>
                          <c15:sqref>'2021我國薪資投保級距'!$B$5:$B$10</c15:sqref>
                        </c15:formulaRef>
                      </c:ext>
                    </c:extLst>
                    <c:strCache>
                      <c:ptCount val="6"/>
                      <c:pt idx="0">
                        <c:v>24000元以下</c:v>
                      </c:pt>
                      <c:pt idx="1">
                        <c:v>24000元</c:v>
                      </c:pt>
                      <c:pt idx="2">
                        <c:v>30300元</c:v>
                      </c:pt>
                      <c:pt idx="3">
                        <c:v>42000元</c:v>
                      </c:pt>
                      <c:pt idx="4">
                        <c:v>43900元</c:v>
                      </c:pt>
                      <c:pt idx="5">
                        <c:v>45800元</c:v>
                      </c:pt>
                    </c:strCache>
                  </c:strRef>
                </c:cat>
                <c:val>
                  <c:numRef>
                    <c:extLst>
                      <c:ext uri="{02D57815-91ED-43cb-92C2-25804820EDAC}">
                        <c15:formulaRef>
                          <c15:sqref>'2021我國薪資投保級距'!$C$5:$C$10</c15:sqref>
                        </c15:formulaRef>
                      </c:ext>
                    </c:extLst>
                    <c:numCache>
                      <c:formatCode>General</c:formatCode>
                      <c:ptCount val="6"/>
                      <c:pt idx="0">
                        <c:v>552</c:v>
                      </c:pt>
                      <c:pt idx="1">
                        <c:v>3212</c:v>
                      </c:pt>
                      <c:pt idx="2">
                        <c:v>473</c:v>
                      </c:pt>
                      <c:pt idx="3">
                        <c:v>236</c:v>
                      </c:pt>
                      <c:pt idx="4">
                        <c:v>291</c:v>
                      </c:pt>
                      <c:pt idx="5">
                        <c:v>2779</c:v>
                      </c:pt>
                    </c:numCache>
                  </c:numRef>
                </c:val>
                <c:smooth val="0"/>
                <c:extLst>
                  <c:ext xmlns:c16="http://schemas.microsoft.com/office/drawing/2014/chart" uri="{C3380CC4-5D6E-409C-BE32-E72D297353CC}">
                    <c16:uniqueId val="{00000004-FAD5-4E12-B3E4-A96EECE014B9}"/>
                  </c:ext>
                </c:extLst>
              </c15:ser>
            </c15:filteredLineSeries>
          </c:ext>
        </c:extLst>
      </c:lineChart>
      <c:catAx>
        <c:axId val="339795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千人</a:t>
                </a:r>
              </a:p>
            </c:rich>
          </c:tx>
          <c:layout>
            <c:manualLayout>
              <c:xMode val="edge"/>
              <c:yMode val="edge"/>
              <c:x val="1.1234959266455329E-2"/>
              <c:y val="7.441697410201347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39139328"/>
        <c:crosses val="autoZero"/>
        <c:auto val="1"/>
        <c:lblAlgn val="ctr"/>
        <c:lblOffset val="100"/>
        <c:noMultiLvlLbl val="0"/>
      </c:catAx>
      <c:valAx>
        <c:axId val="33913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3979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微軟正黑體" pitchFamily="34" charset="-120"/>
              <a:ea typeface="微軟正黑體" pitchFamily="34" charset="-120"/>
              <a:cs typeface="+mn-cs"/>
            </a:defRPr>
          </a:pPr>
          <a:endParaRPr lang="zh-TW"/>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微軟正黑體" pitchFamily="34" charset="-120"/>
                <a:ea typeface="微軟正黑體" pitchFamily="34" charset="-120"/>
              </a:defRPr>
            </a:pPr>
            <a:r>
              <a:rPr lang="zh-TW">
                <a:latin typeface="微軟正黑體" pitchFamily="34" charset="-120"/>
                <a:ea typeface="微軟正黑體" pitchFamily="34" charset="-120"/>
              </a:rPr>
              <a:t>一次退休金平均領取金額</a:t>
            </a:r>
            <a:r>
              <a:rPr lang="en-US">
                <a:solidFill>
                  <a:sysClr val="windowText" lastClr="000000"/>
                </a:solidFill>
                <a:latin typeface="微軟正黑體" pitchFamily="34" charset="-120"/>
                <a:ea typeface="微軟正黑體" pitchFamily="34" charset="-120"/>
              </a:rPr>
              <a:t>(109</a:t>
            </a:r>
            <a:r>
              <a:rPr lang="zh-TW">
                <a:solidFill>
                  <a:sysClr val="windowText" lastClr="000000"/>
                </a:solidFill>
                <a:latin typeface="微軟正黑體" pitchFamily="34" charset="-120"/>
                <a:ea typeface="微軟正黑體" pitchFamily="34" charset="-120"/>
              </a:rPr>
              <a:t>年</a:t>
            </a:r>
            <a:r>
              <a:rPr lang="en-US">
                <a:solidFill>
                  <a:sysClr val="windowText" lastClr="000000"/>
                </a:solidFill>
                <a:latin typeface="微軟正黑體" pitchFamily="34" charset="-120"/>
                <a:ea typeface="微軟正黑體" pitchFamily="34" charset="-120"/>
              </a:rPr>
              <a:t>)</a:t>
            </a:r>
            <a:endParaRPr lang="zh-TW">
              <a:solidFill>
                <a:sysClr val="windowText" lastClr="000000"/>
              </a:solidFill>
              <a:latin typeface="微軟正黑體" pitchFamily="34" charset="-120"/>
              <a:ea typeface="微軟正黑體" pitchFamily="34" charset="-120"/>
            </a:endParaRPr>
          </a:p>
        </c:rich>
      </c:tx>
      <c:layout>
        <c:manualLayout>
          <c:xMode val="edge"/>
          <c:yMode val="edge"/>
          <c:x val="0.27789005540974043"/>
          <c:y val="2.6161852894726483E-2"/>
        </c:manualLayout>
      </c:layout>
      <c:overlay val="0"/>
    </c:title>
    <c:autoTitleDeleted val="0"/>
    <c:plotArea>
      <c:layout>
        <c:manualLayout>
          <c:layoutTarget val="inner"/>
          <c:xMode val="edge"/>
          <c:yMode val="edge"/>
          <c:x val="0.20625673723940582"/>
          <c:y val="0.19503118480662643"/>
          <c:w val="0.73336458611705801"/>
          <c:h val="0.75032439415563512"/>
        </c:manualLayout>
      </c:layout>
      <c:barChart>
        <c:barDir val="bar"/>
        <c:grouping val="clustered"/>
        <c:varyColors val="0"/>
        <c:ser>
          <c:idx val="0"/>
          <c:order val="0"/>
          <c:tx>
            <c:strRef>
              <c:f>Sheet1!$B$1</c:f>
              <c:strCache>
                <c:ptCount val="1"/>
                <c:pt idx="0">
                  <c:v>109年</c:v>
                </c:pt>
              </c:strCache>
            </c:strRef>
          </c:tx>
          <c:spPr>
            <a:solidFill>
              <a:schemeClr val="accent6">
                <a:lumMod val="60000"/>
                <a:lumOff val="40000"/>
              </a:schemeClr>
            </a:solidFill>
          </c:spPr>
          <c:invertIfNegative val="0"/>
          <c:dPt>
            <c:idx val="0"/>
            <c:invertIfNegative val="0"/>
            <c:bubble3D val="0"/>
            <c:spPr>
              <a:solidFill>
                <a:srgbClr val="F7994B"/>
              </a:solidFill>
            </c:spPr>
          </c:dPt>
          <c:dPt>
            <c:idx val="2"/>
            <c:invertIfNegative val="0"/>
            <c:bubble3D val="0"/>
            <c:spPr>
              <a:solidFill>
                <a:schemeClr val="accent4">
                  <a:lumMod val="60000"/>
                  <a:lumOff val="40000"/>
                </a:schemeClr>
              </a:solidFill>
            </c:spPr>
          </c:dPt>
          <c:dLbls>
            <c:dLbl>
              <c:idx val="0"/>
              <c:tx>
                <c:rich>
                  <a:bodyPr/>
                  <a:lstStyle/>
                  <a:p>
                    <a:r>
                      <a:rPr lang="en-US" altLang="zh-TW" dirty="0" smtClean="0">
                        <a:latin typeface="微軟正黑體" pitchFamily="34" charset="-120"/>
                        <a:ea typeface="微軟正黑體" pitchFamily="34" charset="-120"/>
                      </a:rPr>
                      <a:t>28.2</a:t>
                    </a:r>
                    <a:r>
                      <a:rPr lang="zh-TW" altLang="en-US" dirty="0" smtClean="0">
                        <a:latin typeface="微軟正黑體" pitchFamily="34" charset="-120"/>
                        <a:ea typeface="微軟正黑體" pitchFamily="34" charset="-120"/>
                      </a:rPr>
                      <a:t>萬元</a:t>
                    </a:r>
                    <a:endParaRPr lang="en-US" altLang="en-US" dirty="0"/>
                  </a:p>
                </c:rich>
              </c:tx>
              <c:showLegendKey val="0"/>
              <c:showVal val="1"/>
              <c:showCatName val="0"/>
              <c:showSerName val="0"/>
              <c:showPercent val="0"/>
              <c:showBubbleSize val="0"/>
            </c:dLbl>
            <c:dLbl>
              <c:idx val="1"/>
              <c:tx>
                <c:rich>
                  <a:bodyPr/>
                  <a:lstStyle/>
                  <a:p>
                    <a:r>
                      <a:rPr lang="en-US" altLang="zh-TW" dirty="0" smtClean="0">
                        <a:latin typeface="微軟正黑體" pitchFamily="34" charset="-120"/>
                        <a:ea typeface="微軟正黑體" pitchFamily="34" charset="-120"/>
                      </a:rPr>
                      <a:t>212.2</a:t>
                    </a:r>
                    <a:r>
                      <a:rPr lang="zh-TW" altLang="en-US" dirty="0" smtClean="0">
                        <a:latin typeface="微軟正黑體" pitchFamily="34" charset="-120"/>
                        <a:ea typeface="微軟正黑體" pitchFamily="34" charset="-120"/>
                      </a:rPr>
                      <a:t>萬元</a:t>
                    </a:r>
                    <a:endParaRPr lang="en-US" altLang="en-US" dirty="0"/>
                  </a:p>
                </c:rich>
              </c:tx>
              <c:showLegendKey val="0"/>
              <c:showVal val="1"/>
              <c:showCatName val="0"/>
              <c:showSerName val="0"/>
              <c:showPercent val="0"/>
              <c:showBubbleSize val="0"/>
            </c:dLbl>
            <c:dLbl>
              <c:idx val="2"/>
              <c:tx>
                <c:rich>
                  <a:bodyPr/>
                  <a:lstStyle/>
                  <a:p>
                    <a:r>
                      <a:rPr lang="en-US" altLang="zh-TW" dirty="0" smtClean="0">
                        <a:solidFill>
                          <a:sysClr val="windowText" lastClr="000000"/>
                        </a:solidFill>
                        <a:latin typeface="微軟正黑體" pitchFamily="34" charset="-120"/>
                        <a:ea typeface="微軟正黑體" pitchFamily="34" charset="-120"/>
                      </a:rPr>
                      <a:t>312.7</a:t>
                    </a:r>
                    <a:r>
                      <a:rPr lang="zh-TW" altLang="en-US" dirty="0" smtClean="0">
                        <a:solidFill>
                          <a:sysClr val="windowText" lastClr="000000"/>
                        </a:solidFill>
                        <a:latin typeface="微軟正黑體" pitchFamily="34" charset="-120"/>
                        <a:ea typeface="微軟正黑體" pitchFamily="34" charset="-120"/>
                      </a:rPr>
                      <a:t>萬元</a:t>
                    </a:r>
                    <a:endParaRPr lang="en-US" altLang="en-US" dirty="0">
                      <a:solidFill>
                        <a:sysClr val="windowText" lastClr="000000"/>
                      </a:solidFill>
                    </a:endParaRPr>
                  </a:p>
                </c:rich>
              </c:tx>
              <c:showLegendKey val="0"/>
              <c:showVal val="1"/>
              <c:showCatName val="0"/>
              <c:showSerName val="0"/>
              <c:showPercent val="0"/>
              <c:showBubbleSize val="0"/>
            </c:dLbl>
            <c:txPr>
              <a:bodyPr/>
              <a:lstStyle/>
              <a:p>
                <a:pPr>
                  <a:defRPr>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Sheet1!$A$2:$A$4</c:f>
              <c:strCache>
                <c:ptCount val="3"/>
                <c:pt idx="0">
                  <c:v>勞工退休金(新制)</c:v>
                </c:pt>
                <c:pt idx="1">
                  <c:v>勞工退休金(舊制)</c:v>
                </c:pt>
                <c:pt idx="2">
                  <c:v>私校教職員退撫</c:v>
                </c:pt>
              </c:strCache>
            </c:strRef>
          </c:cat>
          <c:val>
            <c:numRef>
              <c:f>Sheet1!$B$2:$B$4</c:f>
              <c:numCache>
                <c:formatCode>General</c:formatCode>
                <c:ptCount val="3"/>
                <c:pt idx="0">
                  <c:v>28.2</c:v>
                </c:pt>
                <c:pt idx="1">
                  <c:v>212.2</c:v>
                </c:pt>
                <c:pt idx="2">
                  <c:v>312.7</c:v>
                </c:pt>
              </c:numCache>
            </c:numRef>
          </c:val>
        </c:ser>
        <c:dLbls>
          <c:showLegendKey val="0"/>
          <c:showVal val="0"/>
          <c:showCatName val="0"/>
          <c:showSerName val="0"/>
          <c:showPercent val="0"/>
          <c:showBubbleSize val="0"/>
        </c:dLbls>
        <c:gapWidth val="51"/>
        <c:axId val="262357504"/>
        <c:axId val="257974848"/>
      </c:barChart>
      <c:catAx>
        <c:axId val="262357504"/>
        <c:scaling>
          <c:orientation val="minMax"/>
        </c:scaling>
        <c:delete val="0"/>
        <c:axPos val="l"/>
        <c:majorTickMark val="out"/>
        <c:minorTickMark val="none"/>
        <c:tickLblPos val="nextTo"/>
        <c:spPr>
          <a:ln>
            <a:noFill/>
          </a:ln>
        </c:spPr>
        <c:txPr>
          <a:bodyPr/>
          <a:lstStyle/>
          <a:p>
            <a:pPr>
              <a:defRPr>
                <a:latin typeface="微軟正黑體" pitchFamily="34" charset="-120"/>
                <a:ea typeface="微軟正黑體" pitchFamily="34" charset="-120"/>
              </a:defRPr>
            </a:pPr>
            <a:endParaRPr lang="zh-TW"/>
          </a:p>
        </c:txPr>
        <c:crossAx val="257974848"/>
        <c:crosses val="autoZero"/>
        <c:auto val="1"/>
        <c:lblAlgn val="ctr"/>
        <c:lblOffset val="100"/>
        <c:noMultiLvlLbl val="0"/>
      </c:catAx>
      <c:valAx>
        <c:axId val="257974848"/>
        <c:scaling>
          <c:orientation val="minMax"/>
        </c:scaling>
        <c:delete val="1"/>
        <c:axPos val="b"/>
        <c:numFmt formatCode="General" sourceLinked="1"/>
        <c:majorTickMark val="out"/>
        <c:minorTickMark val="none"/>
        <c:tickLblPos val="none"/>
        <c:crossAx val="262357504"/>
        <c:crosses val="autoZero"/>
        <c:crossBetween val="between"/>
      </c:valAx>
    </c:plotArea>
    <c:plotVisOnly val="1"/>
    <c:dispBlanksAs val="gap"/>
    <c:showDLblsOverMax val="0"/>
  </c:chart>
  <c:spPr>
    <a:ln w="6350">
      <a:solidFill>
        <a:schemeClr val="bg1">
          <a:lumMod val="50000"/>
        </a:schemeClr>
      </a:solidFill>
    </a:ln>
  </c:spPr>
  <c:txPr>
    <a:bodyPr/>
    <a:lstStyle/>
    <a:p>
      <a:pPr>
        <a:defRPr sz="1000"/>
      </a:pPr>
      <a:endParaRPr lang="zh-TW"/>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63651857209357"/>
          <c:y val="9.5338273010830824E-2"/>
          <c:w val="0.78172225382473581"/>
          <c:h val="0.55381081490056516"/>
        </c:manualLayout>
      </c:layout>
      <c:barChart>
        <c:barDir val="col"/>
        <c:grouping val="clustered"/>
        <c:varyColors val="0"/>
        <c:ser>
          <c:idx val="0"/>
          <c:order val="0"/>
          <c:tx>
            <c:strRef>
              <c:f>工作表1!$B$1</c:f>
              <c:strCache>
                <c:ptCount val="1"/>
                <c:pt idx="0">
                  <c:v>勞工退休金(新制)</c:v>
                </c:pt>
              </c:strCache>
            </c:strRef>
          </c:tx>
          <c:spPr>
            <a:solidFill>
              <a:srgbClr val="F5862B"/>
            </a:solidFill>
          </c:spPr>
          <c:invertIfNegative val="0"/>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工作表1!$B$2:$B$11</c:f>
              <c:numCache>
                <c:formatCode>#,##0.0_);[Red]\(#,##0.0\)</c:formatCode>
                <c:ptCount val="10"/>
                <c:pt idx="0">
                  <c:v>7427.98</c:v>
                </c:pt>
                <c:pt idx="1">
                  <c:v>8841.2000000000007</c:v>
                </c:pt>
                <c:pt idx="2">
                  <c:v>10787.76</c:v>
                </c:pt>
                <c:pt idx="3">
                  <c:v>13102.03</c:v>
                </c:pt>
                <c:pt idx="4">
                  <c:v>15212.72</c:v>
                </c:pt>
                <c:pt idx="5">
                  <c:v>16981.8</c:v>
                </c:pt>
                <c:pt idx="6">
                  <c:v>18983.580000000002</c:v>
                </c:pt>
                <c:pt idx="7">
                  <c:v>21957.71</c:v>
                </c:pt>
                <c:pt idx="8">
                  <c:v>24448.47</c:v>
                </c:pt>
                <c:pt idx="9">
                  <c:v>27224.54</c:v>
                </c:pt>
              </c:numCache>
            </c:numRef>
          </c:val>
        </c:ser>
        <c:ser>
          <c:idx val="1"/>
          <c:order val="1"/>
          <c:tx>
            <c:strRef>
              <c:f>工作表1!$C$1</c:f>
              <c:strCache>
                <c:ptCount val="1"/>
                <c:pt idx="0">
                  <c:v>勞工退休金(舊制)</c:v>
                </c:pt>
              </c:strCache>
            </c:strRef>
          </c:tx>
          <c:spPr>
            <a:solidFill>
              <a:schemeClr val="accent6">
                <a:lumMod val="40000"/>
                <a:lumOff val="60000"/>
              </a:schemeClr>
            </a:solidFill>
          </c:spPr>
          <c:invertIfNegative val="0"/>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工作表1!$C$2:$C$11</c:f>
              <c:numCache>
                <c:formatCode>#,##0.0_);[Red]\(#,##0.0\)</c:formatCode>
                <c:ptCount val="10"/>
                <c:pt idx="0">
                  <c:v>5621.28</c:v>
                </c:pt>
                <c:pt idx="1">
                  <c:v>5800.46</c:v>
                </c:pt>
                <c:pt idx="2">
                  <c:v>6016.19</c:v>
                </c:pt>
                <c:pt idx="3">
                  <c:v>6310.35</c:v>
                </c:pt>
                <c:pt idx="4">
                  <c:v>6594.74</c:v>
                </c:pt>
                <c:pt idx="5">
                  <c:v>8183.84</c:v>
                </c:pt>
                <c:pt idx="6">
                  <c:v>8687</c:v>
                </c:pt>
                <c:pt idx="7">
                  <c:v>9258.31</c:v>
                </c:pt>
                <c:pt idx="8">
                  <c:v>9425.2999999999993</c:v>
                </c:pt>
                <c:pt idx="9">
                  <c:v>8975.51</c:v>
                </c:pt>
              </c:numCache>
            </c:numRef>
          </c:val>
        </c:ser>
        <c:ser>
          <c:idx val="2"/>
          <c:order val="2"/>
          <c:tx>
            <c:strRef>
              <c:f>工作表1!$D$1</c:f>
              <c:strCache>
                <c:ptCount val="1"/>
                <c:pt idx="0">
                  <c:v>軍公教退撫</c:v>
                </c:pt>
              </c:strCache>
            </c:strRef>
          </c:tx>
          <c:spPr>
            <a:solidFill>
              <a:schemeClr val="accent2">
                <a:lumMod val="60000"/>
                <a:lumOff val="40000"/>
              </a:schemeClr>
            </a:solidFill>
          </c:spPr>
          <c:invertIfNegative val="0"/>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工作表1!$D$2:$D$11</c:f>
              <c:numCache>
                <c:formatCode>#,##0.0_);[Red]\(#,##0.0\)</c:formatCode>
                <c:ptCount val="10"/>
                <c:pt idx="0">
                  <c:v>4711.8</c:v>
                </c:pt>
                <c:pt idx="1">
                  <c:v>5093.5</c:v>
                </c:pt>
                <c:pt idx="2">
                  <c:v>5536.9</c:v>
                </c:pt>
                <c:pt idx="3">
                  <c:v>5865.2</c:v>
                </c:pt>
                <c:pt idx="4">
                  <c:v>5653.3</c:v>
                </c:pt>
                <c:pt idx="5">
                  <c:v>5701.1</c:v>
                </c:pt>
                <c:pt idx="6">
                  <c:v>5842.7</c:v>
                </c:pt>
                <c:pt idx="7">
                  <c:v>5523.9</c:v>
                </c:pt>
                <c:pt idx="8">
                  <c:v>5957.8</c:v>
                </c:pt>
                <c:pt idx="9">
                  <c:v>6402.7</c:v>
                </c:pt>
              </c:numCache>
            </c:numRef>
          </c:val>
        </c:ser>
        <c:ser>
          <c:idx val="3"/>
          <c:order val="3"/>
          <c:tx>
            <c:strRef>
              <c:f>工作表1!$E$1</c:f>
              <c:strCache>
                <c:ptCount val="1"/>
                <c:pt idx="0">
                  <c:v>私校教職員退撫</c:v>
                </c:pt>
              </c:strCache>
            </c:strRef>
          </c:tx>
          <c:spPr>
            <a:solidFill>
              <a:schemeClr val="accent4">
                <a:lumMod val="75000"/>
              </a:schemeClr>
            </a:solidFill>
            <a:ln w="38100">
              <a:noFill/>
            </a:ln>
          </c:spPr>
          <c:invertIfNegative val="0"/>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工作表1!$E$2:$E$11</c:f>
              <c:numCache>
                <c:formatCode>General</c:formatCode>
                <c:ptCount val="10"/>
                <c:pt idx="2" formatCode="#,##0.0_);[Red]\(#,##0.0\)">
                  <c:v>232.2</c:v>
                </c:pt>
                <c:pt idx="3" formatCode="#,##0.0_);[Red]\(#,##0.0\)">
                  <c:v>290.5</c:v>
                </c:pt>
                <c:pt idx="4" formatCode="#,##0.0_);[Red]\(#,##0.0\)">
                  <c:v>345.8</c:v>
                </c:pt>
                <c:pt idx="5" formatCode="#,##0.0_);[Red]\(#,##0.0\)">
                  <c:v>394.8</c:v>
                </c:pt>
                <c:pt idx="6" formatCode="#,##0.0_);[Red]\(#,##0.0\)">
                  <c:v>444.2</c:v>
                </c:pt>
                <c:pt idx="7" formatCode="#,##0.0_);[Red]\(#,##0.0\)">
                  <c:v>467.4</c:v>
                </c:pt>
                <c:pt idx="8" formatCode="#,##0.0_);[Red]\(#,##0.0\)">
                  <c:v>536.1</c:v>
                </c:pt>
                <c:pt idx="9" formatCode="#,##0.0_);[Red]\(#,##0.0\)">
                  <c:v>610</c:v>
                </c:pt>
              </c:numCache>
            </c:numRef>
          </c:val>
        </c:ser>
        <c:dLbls>
          <c:showLegendKey val="0"/>
          <c:showVal val="0"/>
          <c:showCatName val="0"/>
          <c:showSerName val="0"/>
          <c:showPercent val="0"/>
          <c:showBubbleSize val="0"/>
        </c:dLbls>
        <c:gapWidth val="150"/>
        <c:axId val="318757888"/>
        <c:axId val="257976576"/>
      </c:barChart>
      <c:lineChart>
        <c:grouping val="standard"/>
        <c:varyColors val="0"/>
        <c:ser>
          <c:idx val="4"/>
          <c:order val="4"/>
          <c:tx>
            <c:strRef>
              <c:f>工作表1!$F$1</c:f>
              <c:strCache>
                <c:ptCount val="1"/>
                <c:pt idx="0">
                  <c:v>總計</c:v>
                </c:pt>
              </c:strCache>
            </c:strRef>
          </c:tx>
          <c:spPr>
            <a:ln w="41275">
              <a:solidFill>
                <a:srgbClr val="0070C0"/>
              </a:solidFill>
            </a:ln>
          </c:spPr>
          <c:marker>
            <c:symbol val="circle"/>
            <c:size val="8"/>
            <c:spPr>
              <a:solidFill>
                <a:schemeClr val="bg1"/>
              </a:solidFill>
              <a:ln w="34925">
                <a:solidFill>
                  <a:srgbClr val="0070C0"/>
                </a:solidFill>
              </a:ln>
            </c:spPr>
          </c:marker>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工作表1!$F$2:$F$11</c:f>
              <c:numCache>
                <c:formatCode>#,##0.0_);[Red]\(#,##0.0\)</c:formatCode>
                <c:ptCount val="10"/>
                <c:pt idx="0">
                  <c:v>17761.059999999998</c:v>
                </c:pt>
                <c:pt idx="1">
                  <c:v>19735.16</c:v>
                </c:pt>
                <c:pt idx="2">
                  <c:v>22573.05</c:v>
                </c:pt>
                <c:pt idx="3">
                  <c:v>25568.080000000002</c:v>
                </c:pt>
                <c:pt idx="4">
                  <c:v>27806.559999999998</c:v>
                </c:pt>
                <c:pt idx="5">
                  <c:v>31261.539999999997</c:v>
                </c:pt>
                <c:pt idx="6">
                  <c:v>33957.479999999996</c:v>
                </c:pt>
                <c:pt idx="7">
                  <c:v>37207.32</c:v>
                </c:pt>
                <c:pt idx="8">
                  <c:v>40367.670000000006</c:v>
                </c:pt>
                <c:pt idx="9">
                  <c:v>43212.75</c:v>
                </c:pt>
              </c:numCache>
            </c:numRef>
          </c:val>
          <c:smooth val="0"/>
        </c:ser>
        <c:dLbls>
          <c:showLegendKey val="0"/>
          <c:showVal val="0"/>
          <c:showCatName val="0"/>
          <c:showSerName val="0"/>
          <c:showPercent val="0"/>
          <c:showBubbleSize val="0"/>
        </c:dLbls>
        <c:marker val="1"/>
        <c:smooth val="0"/>
        <c:axId val="318757888"/>
        <c:axId val="257976576"/>
      </c:lineChart>
      <c:catAx>
        <c:axId val="318757888"/>
        <c:scaling>
          <c:orientation val="minMax"/>
        </c:scaling>
        <c:delete val="0"/>
        <c:axPos val="b"/>
        <c:majorTickMark val="out"/>
        <c:minorTickMark val="none"/>
        <c:tickLblPos val="nextTo"/>
        <c:crossAx val="257976576"/>
        <c:crosses val="autoZero"/>
        <c:auto val="1"/>
        <c:lblAlgn val="ctr"/>
        <c:lblOffset val="100"/>
        <c:noMultiLvlLbl val="0"/>
      </c:catAx>
      <c:valAx>
        <c:axId val="257976576"/>
        <c:scaling>
          <c:orientation val="minMax"/>
        </c:scaling>
        <c:delete val="0"/>
        <c:axPos val="l"/>
        <c:majorGridlines>
          <c:spPr>
            <a:ln>
              <a:solidFill>
                <a:schemeClr val="bg1">
                  <a:lumMod val="85000"/>
                </a:schemeClr>
              </a:solidFill>
            </a:ln>
          </c:spPr>
        </c:majorGridlines>
        <c:title>
          <c:tx>
            <c:rich>
              <a:bodyPr rot="0" vert="wordArtVertRtl"/>
              <a:lstStyle/>
              <a:p>
                <a:pPr>
                  <a:defRPr>
                    <a:latin typeface="+mn-ea"/>
                    <a:ea typeface="+mn-ea"/>
                  </a:defRPr>
                </a:pPr>
                <a:r>
                  <a:rPr lang="zh-TW">
                    <a:latin typeface="+mn-ea"/>
                    <a:ea typeface="+mn-ea"/>
                  </a:rPr>
                  <a:t>基金運用規模</a:t>
                </a:r>
                <a:r>
                  <a:rPr lang="en-US">
                    <a:latin typeface="+mn-ea"/>
                    <a:ea typeface="+mn-ea"/>
                  </a:rPr>
                  <a:t>(</a:t>
                </a:r>
                <a:r>
                  <a:rPr lang="zh-TW">
                    <a:latin typeface="+mn-ea"/>
                    <a:ea typeface="+mn-ea"/>
                  </a:rPr>
                  <a:t>億元</a:t>
                </a:r>
                <a:r>
                  <a:rPr lang="en-US">
                    <a:latin typeface="+mn-ea"/>
                    <a:ea typeface="+mn-ea"/>
                  </a:rPr>
                  <a:t>)</a:t>
                </a:r>
                <a:endParaRPr lang="zh-TW">
                  <a:latin typeface="+mn-ea"/>
                  <a:ea typeface="+mn-ea"/>
                </a:endParaRPr>
              </a:p>
            </c:rich>
          </c:tx>
          <c:layout>
            <c:manualLayout>
              <c:xMode val="edge"/>
              <c:yMode val="edge"/>
              <c:x val="4.0568005209494405E-2"/>
              <c:y val="0.13664377669372305"/>
            </c:manualLayout>
          </c:layout>
          <c:overlay val="0"/>
        </c:title>
        <c:numFmt formatCode="#,##0_);[Red]\(#,##0\)" sourceLinked="0"/>
        <c:majorTickMark val="out"/>
        <c:minorTickMark val="none"/>
        <c:tickLblPos val="nextTo"/>
        <c:spPr>
          <a:ln>
            <a:noFill/>
          </a:ln>
        </c:spPr>
        <c:crossAx val="318757888"/>
        <c:crosses val="autoZero"/>
        <c:crossBetween val="between"/>
      </c:valAx>
      <c:dTable>
        <c:showHorzBorder val="1"/>
        <c:showVertBorder val="1"/>
        <c:showOutline val="1"/>
        <c:showKeys val="0"/>
        <c:txPr>
          <a:bodyPr/>
          <a:lstStyle/>
          <a:p>
            <a:pPr rtl="0">
              <a:defRPr sz="850">
                <a:latin typeface="微軟正黑體" pitchFamily="34" charset="-120"/>
                <a:ea typeface="微軟正黑體" pitchFamily="34" charset="-120"/>
              </a:defRPr>
            </a:pPr>
            <a:endParaRPr lang="zh-TW"/>
          </a:p>
        </c:txPr>
      </c:dTable>
    </c:plotArea>
    <c:legend>
      <c:legendPos val="t"/>
      <c:layout>
        <c:manualLayout>
          <c:xMode val="edge"/>
          <c:yMode val="edge"/>
          <c:x val="0.23700102877309615"/>
          <c:y val="9.3061150132583048E-4"/>
          <c:w val="0.75028508117137593"/>
          <c:h val="0.10188835637814637"/>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50931577423297"/>
          <c:y val="0.13644013978199837"/>
          <c:w val="0.74906425460792614"/>
          <c:h val="0.46183563434047775"/>
        </c:manualLayout>
      </c:layout>
      <c:lineChart>
        <c:grouping val="standard"/>
        <c:varyColors val="0"/>
        <c:ser>
          <c:idx val="0"/>
          <c:order val="0"/>
          <c:tx>
            <c:strRef>
              <c:f>工作表1!$B$1</c:f>
              <c:strCache>
                <c:ptCount val="1"/>
                <c:pt idx="0">
                  <c:v>勞工退休金(新制)</c:v>
                </c:pt>
              </c:strCache>
            </c:strRef>
          </c:tx>
          <c:spPr>
            <a:ln>
              <a:solidFill>
                <a:srgbClr val="C00000"/>
              </a:solidFill>
            </a:ln>
          </c:spPr>
          <c:marker>
            <c:symbol val="none"/>
          </c:marker>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工作表1!$B$2:$B$11</c:f>
              <c:numCache>
                <c:formatCode>0.0_ </c:formatCode>
                <c:ptCount val="10"/>
                <c:pt idx="0">
                  <c:v>-4</c:v>
                </c:pt>
                <c:pt idx="1">
                  <c:v>5.0199999999999996</c:v>
                </c:pt>
                <c:pt idx="2">
                  <c:v>5.68</c:v>
                </c:pt>
                <c:pt idx="3">
                  <c:v>6.38</c:v>
                </c:pt>
                <c:pt idx="4">
                  <c:v>-0.09</c:v>
                </c:pt>
                <c:pt idx="5">
                  <c:v>3.23</c:v>
                </c:pt>
                <c:pt idx="6">
                  <c:v>7.93</c:v>
                </c:pt>
                <c:pt idx="7">
                  <c:v>-2.0699999999999998</c:v>
                </c:pt>
                <c:pt idx="8">
                  <c:v>11.5</c:v>
                </c:pt>
                <c:pt idx="9">
                  <c:v>6.94</c:v>
                </c:pt>
              </c:numCache>
            </c:numRef>
          </c:val>
          <c:smooth val="0"/>
        </c:ser>
        <c:ser>
          <c:idx val="1"/>
          <c:order val="1"/>
          <c:tx>
            <c:strRef>
              <c:f>工作表1!$C$1</c:f>
              <c:strCache>
                <c:ptCount val="1"/>
                <c:pt idx="0">
                  <c:v>勞工退休金(舊制)</c:v>
                </c:pt>
              </c:strCache>
            </c:strRef>
          </c:tx>
          <c:spPr>
            <a:ln>
              <a:solidFill>
                <a:schemeClr val="accent6">
                  <a:lumMod val="75000"/>
                </a:schemeClr>
              </a:solidFill>
            </a:ln>
          </c:spPr>
          <c:marker>
            <c:symbol val="none"/>
          </c:marker>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工作表1!$C$2:$C$11</c:f>
              <c:numCache>
                <c:formatCode>0.0_ </c:formatCode>
                <c:ptCount val="10"/>
                <c:pt idx="0">
                  <c:v>-3.53</c:v>
                </c:pt>
                <c:pt idx="1">
                  <c:v>4.5</c:v>
                </c:pt>
                <c:pt idx="2">
                  <c:v>6.58</c:v>
                </c:pt>
                <c:pt idx="3">
                  <c:v>7.19</c:v>
                </c:pt>
                <c:pt idx="4">
                  <c:v>-0.57999999999999996</c:v>
                </c:pt>
                <c:pt idx="5">
                  <c:v>4.17</c:v>
                </c:pt>
                <c:pt idx="6">
                  <c:v>7.74</c:v>
                </c:pt>
                <c:pt idx="7">
                  <c:v>-2.1</c:v>
                </c:pt>
                <c:pt idx="8">
                  <c:v>-2.2000000000000002</c:v>
                </c:pt>
                <c:pt idx="9">
                  <c:v>8.5</c:v>
                </c:pt>
              </c:numCache>
            </c:numRef>
          </c:val>
          <c:smooth val="0"/>
        </c:ser>
        <c:ser>
          <c:idx val="2"/>
          <c:order val="2"/>
          <c:tx>
            <c:strRef>
              <c:f>工作表1!$D$1</c:f>
              <c:strCache>
                <c:ptCount val="1"/>
                <c:pt idx="0">
                  <c:v>軍公教退撫</c:v>
                </c:pt>
              </c:strCache>
            </c:strRef>
          </c:tx>
          <c:spPr>
            <a:ln>
              <a:solidFill>
                <a:schemeClr val="accent1"/>
              </a:solidFill>
            </a:ln>
          </c:spPr>
          <c:marker>
            <c:symbol val="none"/>
          </c:marker>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工作表1!$D$2:$D$11</c:f>
              <c:numCache>
                <c:formatCode>0.0_ </c:formatCode>
                <c:ptCount val="10"/>
                <c:pt idx="0">
                  <c:v>-5.98</c:v>
                </c:pt>
                <c:pt idx="1">
                  <c:v>6.17</c:v>
                </c:pt>
                <c:pt idx="2">
                  <c:v>8.3000000000000007</c:v>
                </c:pt>
                <c:pt idx="3">
                  <c:v>6.5</c:v>
                </c:pt>
                <c:pt idx="4">
                  <c:v>-1.94</c:v>
                </c:pt>
                <c:pt idx="5">
                  <c:v>4.29</c:v>
                </c:pt>
                <c:pt idx="6">
                  <c:v>7.15</c:v>
                </c:pt>
                <c:pt idx="7">
                  <c:v>-1.1399999999999999</c:v>
                </c:pt>
                <c:pt idx="8">
                  <c:v>10.62</c:v>
                </c:pt>
                <c:pt idx="9">
                  <c:v>8.4600000000000009</c:v>
                </c:pt>
              </c:numCache>
            </c:numRef>
          </c:val>
          <c:smooth val="0"/>
        </c:ser>
        <c:dLbls>
          <c:showLegendKey val="0"/>
          <c:showVal val="0"/>
          <c:showCatName val="0"/>
          <c:showSerName val="0"/>
          <c:showPercent val="0"/>
          <c:showBubbleSize val="0"/>
        </c:dLbls>
        <c:marker val="1"/>
        <c:smooth val="0"/>
        <c:axId val="263969792"/>
        <c:axId val="257978304"/>
      </c:lineChart>
      <c:catAx>
        <c:axId val="263969792"/>
        <c:scaling>
          <c:orientation val="minMax"/>
        </c:scaling>
        <c:delete val="0"/>
        <c:axPos val="b"/>
        <c:majorTickMark val="out"/>
        <c:minorTickMark val="none"/>
        <c:tickLblPos val="nextTo"/>
        <c:crossAx val="257978304"/>
        <c:crosses val="autoZero"/>
        <c:auto val="1"/>
        <c:lblAlgn val="ctr"/>
        <c:lblOffset val="100"/>
        <c:noMultiLvlLbl val="0"/>
      </c:catAx>
      <c:valAx>
        <c:axId val="257978304"/>
        <c:scaling>
          <c:orientation val="minMax"/>
        </c:scaling>
        <c:delete val="0"/>
        <c:axPos val="l"/>
        <c:majorGridlines>
          <c:spPr>
            <a:ln>
              <a:solidFill>
                <a:schemeClr val="bg1">
                  <a:lumMod val="85000"/>
                </a:schemeClr>
              </a:solidFill>
            </a:ln>
          </c:spPr>
        </c:majorGridlines>
        <c:title>
          <c:tx>
            <c:rich>
              <a:bodyPr rot="0" vert="wordArtVertRtl"/>
              <a:lstStyle/>
              <a:p>
                <a:pPr>
                  <a:defRPr sz="1000">
                    <a:latin typeface="+mn-ea"/>
                    <a:ea typeface="+mn-ea"/>
                  </a:defRPr>
                </a:pPr>
                <a:r>
                  <a:rPr lang="zh-TW" sz="1000">
                    <a:latin typeface="+mn-ea"/>
                    <a:ea typeface="+mn-ea"/>
                  </a:rPr>
                  <a:t>收益率</a:t>
                </a:r>
                <a:r>
                  <a:rPr lang="en-US" sz="1000">
                    <a:latin typeface="+mn-ea"/>
                    <a:ea typeface="+mn-ea"/>
                  </a:rPr>
                  <a:t>(%)</a:t>
                </a:r>
                <a:endParaRPr lang="zh-TW" sz="1000">
                  <a:latin typeface="+mn-ea"/>
                  <a:ea typeface="+mn-ea"/>
                </a:endParaRPr>
              </a:p>
            </c:rich>
          </c:tx>
          <c:layout>
            <c:manualLayout>
              <c:xMode val="edge"/>
              <c:yMode val="edge"/>
              <c:x val="5.3164352837303794E-2"/>
              <c:y val="0.14549381790477423"/>
            </c:manualLayout>
          </c:layout>
          <c:overlay val="0"/>
        </c:title>
        <c:numFmt formatCode="0.0_ " sourceLinked="1"/>
        <c:majorTickMark val="out"/>
        <c:minorTickMark val="none"/>
        <c:tickLblPos val="nextTo"/>
        <c:spPr>
          <a:ln>
            <a:noFill/>
          </a:ln>
        </c:spPr>
        <c:crossAx val="263969792"/>
        <c:crosses val="autoZero"/>
        <c:crossBetween val="between"/>
      </c:valAx>
      <c:dTable>
        <c:showHorzBorder val="1"/>
        <c:showVertBorder val="1"/>
        <c:showOutline val="1"/>
        <c:showKeys val="0"/>
      </c:dTable>
    </c:plotArea>
    <c:legend>
      <c:legendPos val="t"/>
      <c:layout>
        <c:manualLayout>
          <c:xMode val="edge"/>
          <c:yMode val="edge"/>
          <c:x val="0.23437528714456621"/>
          <c:y val="3.0880082346886259E-2"/>
          <c:w val="0.76234897255929479"/>
          <c:h val="9.8658292614124565E-2"/>
        </c:manualLayout>
      </c:layout>
      <c:overlay val="0"/>
    </c:legend>
    <c:plotVisOnly val="1"/>
    <c:dispBlanksAs val="gap"/>
    <c:showDLblsOverMax val="0"/>
  </c:chart>
  <c:txPr>
    <a:bodyPr/>
    <a:lstStyle/>
    <a:p>
      <a:pPr>
        <a:defRPr sz="900">
          <a:latin typeface="微軟正黑體" pitchFamily="34" charset="-120"/>
          <a:ea typeface="微軟正黑體" pitchFamily="34" charset="-120"/>
        </a:defRPr>
      </a:pPr>
      <a:endParaRPr lang="zh-TW"/>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3065762613007"/>
          <c:y val="0.13733119707026781"/>
          <c:w val="0.86099409448818898"/>
          <c:h val="0.76955884420697418"/>
        </c:manualLayout>
      </c:layout>
      <c:barChart>
        <c:barDir val="col"/>
        <c:grouping val="stacked"/>
        <c:varyColors val="0"/>
        <c:ser>
          <c:idx val="0"/>
          <c:order val="0"/>
          <c:tx>
            <c:strRef>
              <c:f>Sheet1!$B$1</c:f>
              <c:strCache>
                <c:ptCount val="1"/>
                <c:pt idx="0">
                  <c:v>老年基本保證年金</c:v>
                </c:pt>
              </c:strCache>
            </c:strRef>
          </c:tx>
          <c:spPr>
            <a:solidFill>
              <a:schemeClr val="accent5">
                <a:lumMod val="60000"/>
                <a:lumOff val="40000"/>
              </a:schemeClr>
            </a:solidFill>
          </c:spPr>
          <c:invertIfNegative val="0"/>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Sheet1!$B$2:$B$11</c:f>
              <c:numCache>
                <c:formatCode>#,##0_ </c:formatCode>
                <c:ptCount val="10"/>
                <c:pt idx="0">
                  <c:v>836706</c:v>
                </c:pt>
                <c:pt idx="1">
                  <c:v>793052</c:v>
                </c:pt>
                <c:pt idx="2">
                  <c:v>764476</c:v>
                </c:pt>
                <c:pt idx="3">
                  <c:v>728187</c:v>
                </c:pt>
                <c:pt idx="4">
                  <c:v>692129</c:v>
                </c:pt>
                <c:pt idx="5">
                  <c:v>652187</c:v>
                </c:pt>
                <c:pt idx="6">
                  <c:v>613157</c:v>
                </c:pt>
                <c:pt idx="7">
                  <c:v>574008</c:v>
                </c:pt>
                <c:pt idx="8">
                  <c:v>536099</c:v>
                </c:pt>
                <c:pt idx="9">
                  <c:v>498971</c:v>
                </c:pt>
              </c:numCache>
            </c:numRef>
          </c:val>
        </c:ser>
        <c:ser>
          <c:idx val="1"/>
          <c:order val="1"/>
          <c:tx>
            <c:strRef>
              <c:f>Sheet1!$C$1</c:f>
              <c:strCache>
                <c:ptCount val="1"/>
                <c:pt idx="0">
                  <c:v>老年農民福利津貼</c:v>
                </c:pt>
              </c:strCache>
            </c:strRef>
          </c:tx>
          <c:spPr>
            <a:solidFill>
              <a:schemeClr val="accent3">
                <a:lumMod val="60000"/>
                <a:lumOff val="40000"/>
              </a:schemeClr>
            </a:solidFill>
          </c:spPr>
          <c:invertIfNegative val="0"/>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Sheet1!$C$2:$C$11</c:f>
              <c:numCache>
                <c:formatCode>#,##0_ </c:formatCode>
                <c:ptCount val="10"/>
                <c:pt idx="0">
                  <c:v>684637</c:v>
                </c:pt>
                <c:pt idx="1">
                  <c:v>674870</c:v>
                </c:pt>
                <c:pt idx="2">
                  <c:v>664995</c:v>
                </c:pt>
                <c:pt idx="3">
                  <c:v>651482</c:v>
                </c:pt>
                <c:pt idx="4">
                  <c:v>638334</c:v>
                </c:pt>
                <c:pt idx="5">
                  <c:v>627329</c:v>
                </c:pt>
                <c:pt idx="6">
                  <c:v>614678</c:v>
                </c:pt>
                <c:pt idx="7">
                  <c:v>601518</c:v>
                </c:pt>
                <c:pt idx="8">
                  <c:v>588863</c:v>
                </c:pt>
                <c:pt idx="9">
                  <c:v>577548</c:v>
                </c:pt>
              </c:numCache>
            </c:numRef>
          </c:val>
        </c:ser>
        <c:ser>
          <c:idx val="2"/>
          <c:order val="2"/>
          <c:tx>
            <c:strRef>
              <c:f>Sheet1!$D$1</c:f>
              <c:strCache>
                <c:ptCount val="1"/>
                <c:pt idx="0">
                  <c:v>中低收入老人生活津貼</c:v>
                </c:pt>
              </c:strCache>
            </c:strRef>
          </c:tx>
          <c:spPr>
            <a:solidFill>
              <a:schemeClr val="accent4">
                <a:lumMod val="60000"/>
                <a:lumOff val="40000"/>
              </a:schemeClr>
            </a:solidFill>
          </c:spPr>
          <c:invertIfNegative val="0"/>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Sheet1!$D$2:$D$11</c:f>
              <c:numCache>
                <c:formatCode>#,##0_ </c:formatCode>
                <c:ptCount val="10"/>
                <c:pt idx="0">
                  <c:v>120266</c:v>
                </c:pt>
                <c:pt idx="1">
                  <c:v>120968</c:v>
                </c:pt>
                <c:pt idx="2">
                  <c:v>120869</c:v>
                </c:pt>
                <c:pt idx="3">
                  <c:v>122423</c:v>
                </c:pt>
                <c:pt idx="4">
                  <c:v>124490</c:v>
                </c:pt>
                <c:pt idx="5">
                  <c:v>128188</c:v>
                </c:pt>
                <c:pt idx="6">
                  <c:v>134365</c:v>
                </c:pt>
                <c:pt idx="7">
                  <c:v>143610</c:v>
                </c:pt>
                <c:pt idx="8">
                  <c:v>156783</c:v>
                </c:pt>
                <c:pt idx="9">
                  <c:v>173011</c:v>
                </c:pt>
              </c:numCache>
            </c:numRef>
          </c:val>
        </c:ser>
        <c:ser>
          <c:idx val="3"/>
          <c:order val="3"/>
          <c:tx>
            <c:strRef>
              <c:f>Sheet1!$E$1</c:f>
              <c:strCache>
                <c:ptCount val="1"/>
                <c:pt idx="0">
                  <c:v>榮民就養給付</c:v>
                </c:pt>
              </c:strCache>
            </c:strRef>
          </c:tx>
          <c:spPr>
            <a:solidFill>
              <a:schemeClr val="accent2">
                <a:lumMod val="60000"/>
                <a:lumOff val="40000"/>
              </a:schemeClr>
            </a:solidFill>
          </c:spPr>
          <c:invertIfNegative val="0"/>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Sheet1!$E$2:$E$11</c:f>
              <c:numCache>
                <c:formatCode>#,##0_ </c:formatCode>
                <c:ptCount val="10"/>
                <c:pt idx="0">
                  <c:v>65665</c:v>
                </c:pt>
                <c:pt idx="1">
                  <c:v>59953</c:v>
                </c:pt>
                <c:pt idx="2">
                  <c:v>55352</c:v>
                </c:pt>
                <c:pt idx="3">
                  <c:v>50580</c:v>
                </c:pt>
                <c:pt idx="4">
                  <c:v>46680</c:v>
                </c:pt>
                <c:pt idx="5">
                  <c:v>43363</c:v>
                </c:pt>
                <c:pt idx="6">
                  <c:v>40253</c:v>
                </c:pt>
                <c:pt idx="7">
                  <c:v>37405</c:v>
                </c:pt>
                <c:pt idx="8">
                  <c:v>34663</c:v>
                </c:pt>
                <c:pt idx="9">
                  <c:v>32770</c:v>
                </c:pt>
              </c:numCache>
            </c:numRef>
          </c:val>
        </c:ser>
        <c:ser>
          <c:idx val="4"/>
          <c:order val="4"/>
          <c:tx>
            <c:strRef>
              <c:f>Sheet1!$F$1</c:f>
              <c:strCache>
                <c:ptCount val="1"/>
                <c:pt idx="0">
                  <c:v>原住民給付</c:v>
                </c:pt>
              </c:strCache>
            </c:strRef>
          </c:tx>
          <c:spPr>
            <a:solidFill>
              <a:srgbClr val="FFC000"/>
            </a:solidFill>
          </c:spPr>
          <c:invertIfNegative val="0"/>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Sheet1!$F$2:$F$11</c:f>
              <c:numCache>
                <c:formatCode>#,##0_ </c:formatCode>
                <c:ptCount val="10"/>
                <c:pt idx="0">
                  <c:v>29444</c:v>
                </c:pt>
                <c:pt idx="1">
                  <c:v>31672</c:v>
                </c:pt>
                <c:pt idx="2">
                  <c:v>33099</c:v>
                </c:pt>
                <c:pt idx="3">
                  <c:v>35091</c:v>
                </c:pt>
                <c:pt idx="4">
                  <c:v>36852</c:v>
                </c:pt>
                <c:pt idx="5">
                  <c:v>38089</c:v>
                </c:pt>
                <c:pt idx="6">
                  <c:v>39701</c:v>
                </c:pt>
                <c:pt idx="7">
                  <c:v>40878</c:v>
                </c:pt>
                <c:pt idx="8">
                  <c:v>42012</c:v>
                </c:pt>
                <c:pt idx="9">
                  <c:v>42920</c:v>
                </c:pt>
              </c:numCache>
            </c:numRef>
          </c:val>
        </c:ser>
        <c:ser>
          <c:idx val="5"/>
          <c:order val="5"/>
          <c:tx>
            <c:strRef>
              <c:f>Sheet1!$G$1</c:f>
              <c:strCache>
                <c:ptCount val="1"/>
                <c:pt idx="0">
                  <c:v>未領津貼者</c:v>
                </c:pt>
              </c:strCache>
            </c:strRef>
          </c:tx>
          <c:spPr>
            <a:solidFill>
              <a:schemeClr val="bg1"/>
            </a:solidFill>
            <a:ln>
              <a:solidFill>
                <a:schemeClr val="bg1">
                  <a:lumMod val="75000"/>
                </a:schemeClr>
              </a:solidFill>
            </a:ln>
          </c:spPr>
          <c:invertIfNegative val="0"/>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Sheet1!$G$2:$G$11</c:f>
              <c:numCache>
                <c:formatCode>#,##0_ </c:formatCode>
                <c:ptCount val="10"/>
                <c:pt idx="0">
                  <c:v>791531</c:v>
                </c:pt>
                <c:pt idx="1">
                  <c:v>919637</c:v>
                </c:pt>
                <c:pt idx="2">
                  <c:v>1055615</c:v>
                </c:pt>
                <c:pt idx="3">
                  <c:v>1220927</c:v>
                </c:pt>
                <c:pt idx="4">
                  <c:v>1400094</c:v>
                </c:pt>
                <c:pt idx="5">
                  <c:v>1616949</c:v>
                </c:pt>
                <c:pt idx="6">
                  <c:v>1825859</c:v>
                </c:pt>
                <c:pt idx="7">
                  <c:v>1870594</c:v>
                </c:pt>
                <c:pt idx="8">
                  <c:v>2248707</c:v>
                </c:pt>
                <c:pt idx="9">
                  <c:v>2462095</c:v>
                </c:pt>
              </c:numCache>
            </c:numRef>
          </c:val>
        </c:ser>
        <c:dLbls>
          <c:showLegendKey val="0"/>
          <c:showVal val="0"/>
          <c:showCatName val="0"/>
          <c:showSerName val="0"/>
          <c:showPercent val="0"/>
          <c:showBubbleSize val="0"/>
        </c:dLbls>
        <c:gapWidth val="80"/>
        <c:overlap val="100"/>
        <c:axId val="263968256"/>
        <c:axId val="257979456"/>
      </c:barChart>
      <c:lineChart>
        <c:grouping val="standard"/>
        <c:varyColors val="0"/>
        <c:ser>
          <c:idx val="6"/>
          <c:order val="6"/>
          <c:tx>
            <c:strRef>
              <c:f>Sheet1!$H$1</c:f>
              <c:strCache>
                <c:ptCount val="1"/>
                <c:pt idx="0">
                  <c:v>合計</c:v>
                </c:pt>
              </c:strCache>
            </c:strRef>
          </c:tx>
          <c:spPr>
            <a:ln>
              <a:noFill/>
            </a:ln>
          </c:spPr>
          <c:marker>
            <c:symbol val="none"/>
          </c:marker>
          <c:dLbls>
            <c:dLbl>
              <c:idx val="0"/>
              <c:layout>
                <c:manualLayout>
                  <c:x val="-4.365038491173652E-2"/>
                  <c:y val="-3.9591515018931059E-2"/>
                </c:manualLayout>
              </c:layout>
              <c:tx>
                <c:rich>
                  <a:bodyPr/>
                  <a:lstStyle/>
                  <a:p>
                    <a:pPr>
                      <a:defRPr/>
                    </a:pPr>
                    <a:r>
                      <a:rPr lang="en-US"/>
                      <a:t>17</a:t>
                    </a:r>
                    <a:r>
                      <a:rPr lang="en-US" altLang="zh-TW"/>
                      <a:t>3</a:t>
                    </a:r>
                    <a:r>
                      <a:rPr lang="en-US"/>
                      <a:t>.</a:t>
                    </a:r>
                    <a:r>
                      <a:rPr lang="en-US" altLang="zh-TW"/>
                      <a:t>7</a:t>
                    </a:r>
                    <a:endParaRPr lang="en-US"/>
                  </a:p>
                </c:rich>
              </c:tx>
              <c:numFmt formatCode="000" sourceLinked="0"/>
              <c:sp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425631471079481E-2"/>
                  <c:y val="-2.4517893021618001E-2"/>
                </c:manualLayout>
              </c:layout>
              <c:tx>
                <c:rich>
                  <a:bodyPr/>
                  <a:lstStyle/>
                  <a:p>
                    <a:r>
                      <a:rPr lang="en-US"/>
                      <a:t>1</a:t>
                    </a:r>
                    <a:r>
                      <a:rPr lang="en-US" altLang="zh-TW"/>
                      <a:t>68.1</a:t>
                    </a:r>
                    <a:r>
                      <a:rPr lang="en-US"/>
                      <a:t> </a:t>
                    </a:r>
                  </a:p>
                </c:rich>
              </c:tx>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4418352160663116E-2"/>
                  <c:y val="-2.3904482367532551E-2"/>
                </c:manualLayout>
              </c:layout>
              <c:tx>
                <c:rich>
                  <a:bodyPr/>
                  <a:lstStyle/>
                  <a:p>
                    <a:r>
                      <a:rPr lang="en-US" altLang="zh-TW"/>
                      <a:t>163.9</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5193598720006056E-2"/>
                  <c:y val="-2.9747146168709007E-2"/>
                </c:manualLayout>
              </c:layout>
              <c:tx>
                <c:rich>
                  <a:bodyPr/>
                  <a:lstStyle/>
                  <a:p>
                    <a:r>
                      <a:rPr lang="en-US" altLang="zh-TW"/>
                      <a:t>158.8</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6729533217859207E-2"/>
                  <c:y val="-2.974714616870909E-2"/>
                </c:manualLayout>
              </c:layout>
              <c:tx>
                <c:rich>
                  <a:bodyPr/>
                  <a:lstStyle/>
                  <a:p>
                    <a:r>
                      <a:rPr lang="en-US"/>
                      <a:t>1</a:t>
                    </a:r>
                    <a:r>
                      <a:rPr lang="en-US" altLang="zh-TW"/>
                      <a:t>5</a:t>
                    </a:r>
                    <a:r>
                      <a:rPr lang="en-US"/>
                      <a:t>3</a:t>
                    </a:r>
                    <a:r>
                      <a:rPr lang="en-US" altLang="zh-TW"/>
                      <a:t>.8</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8260061242344705E-2"/>
                  <c:y val="-2.9747171482374428E-2"/>
                </c:manualLayout>
              </c:layout>
              <c:tx>
                <c:rich>
                  <a:bodyPr/>
                  <a:lstStyle/>
                  <a:p>
                    <a:r>
                      <a:rPr lang="en-US"/>
                      <a:t>1</a:t>
                    </a:r>
                    <a:r>
                      <a:rPr lang="en-US" altLang="zh-TW"/>
                      <a:t>48.9</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287532033515401E-2"/>
                  <c:y val="-3.374812442788018E-2"/>
                </c:manualLayout>
              </c:layout>
              <c:tx>
                <c:rich>
                  <a:bodyPr/>
                  <a:lstStyle/>
                  <a:p>
                    <a:r>
                      <a:rPr lang="en-US"/>
                      <a:t>1</a:t>
                    </a:r>
                    <a:r>
                      <a:rPr lang="en-US" altLang="zh-TW"/>
                      <a:t>44.2</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5961565968932715E-2"/>
                  <c:y val="-2.1903993237947006E-2"/>
                </c:manualLayout>
              </c:layout>
              <c:tx>
                <c:rich>
                  <a:bodyPr/>
                  <a:lstStyle/>
                  <a:p>
                    <a:r>
                      <a:rPr lang="en-US"/>
                      <a:t>1</a:t>
                    </a:r>
                    <a:r>
                      <a:rPr lang="en-US" altLang="zh-TW"/>
                      <a:t>39.7</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9031787693205186E-2"/>
                  <c:y val="-3.1046954804265042E-2"/>
                </c:manualLayout>
              </c:layout>
              <c:tx>
                <c:rich>
                  <a:bodyPr/>
                  <a:lstStyle/>
                  <a:p>
                    <a:r>
                      <a:rPr lang="en-US" altLang="zh-TW"/>
                      <a:t>135.8</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2.3540026246719161E-2"/>
                  <c:y val="-3.7585754625271958E-2"/>
                </c:manualLayout>
              </c:layout>
              <c:tx>
                <c:rich>
                  <a:bodyPr/>
                  <a:lstStyle/>
                  <a:p>
                    <a:r>
                      <a:rPr lang="en-US" altLang="zh-TW"/>
                      <a:t>132.5</a:t>
                    </a:r>
                    <a:endParaRPr lang="en-US"/>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Sheet1!$H$2:$H$11</c:f>
              <c:numCache>
                <c:formatCode>#,##0_ </c:formatCode>
                <c:ptCount val="10"/>
                <c:pt idx="0">
                  <c:v>1736718</c:v>
                </c:pt>
                <c:pt idx="1">
                  <c:v>1680515</c:v>
                </c:pt>
                <c:pt idx="2">
                  <c:v>1638791</c:v>
                </c:pt>
                <c:pt idx="3">
                  <c:v>1587763</c:v>
                </c:pt>
                <c:pt idx="4">
                  <c:v>1538485</c:v>
                </c:pt>
                <c:pt idx="5">
                  <c:v>1489156</c:v>
                </c:pt>
                <c:pt idx="6">
                  <c:v>1442154</c:v>
                </c:pt>
                <c:pt idx="7">
                  <c:v>1397419</c:v>
                </c:pt>
                <c:pt idx="8">
                  <c:v>1358420</c:v>
                </c:pt>
                <c:pt idx="9">
                  <c:v>1325220</c:v>
                </c:pt>
              </c:numCache>
            </c:numRef>
          </c:val>
          <c:smooth val="0"/>
        </c:ser>
        <c:dLbls>
          <c:showLegendKey val="0"/>
          <c:showVal val="0"/>
          <c:showCatName val="0"/>
          <c:showSerName val="0"/>
          <c:showPercent val="0"/>
          <c:showBubbleSize val="0"/>
        </c:dLbls>
        <c:marker val="1"/>
        <c:smooth val="0"/>
        <c:axId val="263968256"/>
        <c:axId val="257979456"/>
      </c:lineChart>
      <c:catAx>
        <c:axId val="263968256"/>
        <c:scaling>
          <c:orientation val="minMax"/>
        </c:scaling>
        <c:delete val="0"/>
        <c:axPos val="b"/>
        <c:numFmt formatCode="General" sourceLinked="1"/>
        <c:majorTickMark val="out"/>
        <c:minorTickMark val="none"/>
        <c:tickLblPos val="nextTo"/>
        <c:crossAx val="257979456"/>
        <c:crosses val="autoZero"/>
        <c:auto val="1"/>
        <c:lblAlgn val="ctr"/>
        <c:lblOffset val="100"/>
        <c:noMultiLvlLbl val="0"/>
      </c:catAx>
      <c:valAx>
        <c:axId val="257979456"/>
        <c:scaling>
          <c:orientation val="minMax"/>
          <c:max val="4000000"/>
        </c:scaling>
        <c:delete val="0"/>
        <c:axPos val="l"/>
        <c:majorGridlines/>
        <c:title>
          <c:tx>
            <c:rich>
              <a:bodyPr rot="0" vert="wordArtVertRtl"/>
              <a:lstStyle/>
              <a:p>
                <a:pPr>
                  <a:defRPr>
                    <a:latin typeface="+mn-ea"/>
                    <a:ea typeface="+mn-ea"/>
                  </a:defRPr>
                </a:pPr>
                <a:r>
                  <a:rPr lang="zh-TW">
                    <a:latin typeface="+mn-ea"/>
                    <a:ea typeface="+mn-ea"/>
                  </a:rPr>
                  <a:t>老人福利津貼領取人數</a:t>
                </a:r>
                <a:r>
                  <a:rPr lang="en-US">
                    <a:latin typeface="+mn-ea"/>
                    <a:ea typeface="+mn-ea"/>
                  </a:rPr>
                  <a:t>(</a:t>
                </a:r>
                <a:r>
                  <a:rPr lang="zh-TW">
                    <a:latin typeface="+mn-ea"/>
                    <a:ea typeface="+mn-ea"/>
                  </a:rPr>
                  <a:t>萬人</a:t>
                </a:r>
                <a:r>
                  <a:rPr lang="en-US">
                    <a:latin typeface="+mn-ea"/>
                    <a:ea typeface="+mn-ea"/>
                  </a:rPr>
                  <a:t>)</a:t>
                </a:r>
                <a:endParaRPr lang="zh-TW">
                  <a:latin typeface="+mn-ea"/>
                  <a:ea typeface="+mn-ea"/>
                </a:endParaRPr>
              </a:p>
            </c:rich>
          </c:tx>
          <c:layout>
            <c:manualLayout>
              <c:xMode val="edge"/>
              <c:yMode val="edge"/>
              <c:x val="1.5223662374357742E-2"/>
              <c:y val="0.1150597709377237"/>
            </c:manualLayout>
          </c:layout>
          <c:overlay val="0"/>
        </c:title>
        <c:numFmt formatCode="#,##0_);[Red]\(#,##0\)" sourceLinked="0"/>
        <c:majorTickMark val="out"/>
        <c:minorTickMark val="none"/>
        <c:tickLblPos val="nextTo"/>
        <c:crossAx val="263968256"/>
        <c:crosses val="autoZero"/>
        <c:crossBetween val="between"/>
        <c:dispUnits>
          <c:builtInUnit val="tenThousands"/>
        </c:dispUnits>
      </c:valAx>
    </c:plotArea>
    <c:legend>
      <c:legendPos val="t"/>
      <c:legendEntry>
        <c:idx val="6"/>
        <c:delete val="1"/>
      </c:legendEntry>
      <c:layout>
        <c:manualLayout>
          <c:xMode val="edge"/>
          <c:yMode val="edge"/>
          <c:x val="0.12071376494604841"/>
          <c:y val="1.2166731888623123E-2"/>
          <c:w val="0.833125"/>
          <c:h val="0.12587570668991019"/>
        </c:manualLayout>
      </c:layout>
      <c:overlay val="1"/>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老年農民福利津貼</c:v>
                </c:pt>
              </c:strCache>
            </c:strRef>
          </c:tx>
          <c:spPr>
            <a:solidFill>
              <a:schemeClr val="accent3">
                <a:lumMod val="60000"/>
                <a:lumOff val="40000"/>
              </a:schemeClr>
            </a:solidFill>
          </c:spPr>
          <c:invertIfNegative val="0"/>
          <c:dLbls>
            <c:numFmt formatCode="#,##0.0_);[Red]\(#,##0.0\)" sourceLinked="0"/>
            <c:dLblPos val="inEnd"/>
            <c:showLegendKey val="0"/>
            <c:showVal val="1"/>
            <c:showCatName val="0"/>
            <c:showSerName val="0"/>
            <c:showPercent val="0"/>
            <c:showBubbleSize val="0"/>
            <c:showLeaderLines val="0"/>
          </c:dLbls>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Sheet1!$B$2:$B$11</c:f>
              <c:numCache>
                <c:formatCode>#,##0_ </c:formatCode>
                <c:ptCount val="10"/>
                <c:pt idx="0">
                  <c:v>496.17</c:v>
                </c:pt>
                <c:pt idx="1">
                  <c:v>563.6</c:v>
                </c:pt>
                <c:pt idx="2">
                  <c:v>562.61</c:v>
                </c:pt>
                <c:pt idx="3">
                  <c:v>552.91</c:v>
                </c:pt>
                <c:pt idx="4">
                  <c:v>540.76</c:v>
                </c:pt>
                <c:pt idx="5">
                  <c:v>547.55999999999995</c:v>
                </c:pt>
                <c:pt idx="6">
                  <c:v>538.52</c:v>
                </c:pt>
                <c:pt idx="7">
                  <c:v>526.54</c:v>
                </c:pt>
                <c:pt idx="8" formatCode="0">
                  <c:v>515.27</c:v>
                </c:pt>
                <c:pt idx="9" formatCode="0">
                  <c:v>523.09</c:v>
                </c:pt>
              </c:numCache>
            </c:numRef>
          </c:val>
        </c:ser>
        <c:ser>
          <c:idx val="1"/>
          <c:order val="1"/>
          <c:tx>
            <c:strRef>
              <c:f>Sheet1!$C$1</c:f>
              <c:strCache>
                <c:ptCount val="1"/>
                <c:pt idx="0">
                  <c:v>老年基本保證年金</c:v>
                </c:pt>
              </c:strCache>
            </c:strRef>
          </c:tx>
          <c:spPr>
            <a:solidFill>
              <a:schemeClr val="accent5">
                <a:lumMod val="60000"/>
                <a:lumOff val="40000"/>
              </a:schemeClr>
            </a:solidFill>
          </c:spPr>
          <c:invertIfNegative val="0"/>
          <c:dLbls>
            <c:numFmt formatCode="#,##0.0_);[Red]\(#,##0.0\)" sourceLinked="0"/>
            <c:dLblPos val="inEnd"/>
            <c:showLegendKey val="0"/>
            <c:showVal val="1"/>
            <c:showCatName val="0"/>
            <c:showSerName val="0"/>
            <c:showPercent val="0"/>
            <c:showBubbleSize val="0"/>
            <c:showLeaderLines val="0"/>
          </c:dLbls>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Sheet1!$C$2:$C$11</c:f>
              <c:numCache>
                <c:formatCode>#,##0_ </c:formatCode>
                <c:ptCount val="10"/>
                <c:pt idx="0">
                  <c:v>299.39999999999998</c:v>
                </c:pt>
                <c:pt idx="1">
                  <c:v>336.23</c:v>
                </c:pt>
                <c:pt idx="2">
                  <c:v>330.75</c:v>
                </c:pt>
                <c:pt idx="3">
                  <c:v>313.22000000000003</c:v>
                </c:pt>
                <c:pt idx="4">
                  <c:v>297.91000000000003</c:v>
                </c:pt>
                <c:pt idx="5">
                  <c:v>290.89999999999998</c:v>
                </c:pt>
                <c:pt idx="6">
                  <c:v>274.86</c:v>
                </c:pt>
                <c:pt idx="7">
                  <c:v>257.5</c:v>
                </c:pt>
                <c:pt idx="8" formatCode="0">
                  <c:v>241.1</c:v>
                </c:pt>
                <c:pt idx="9" formatCode="0">
                  <c:v>232.82</c:v>
                </c:pt>
              </c:numCache>
            </c:numRef>
          </c:val>
        </c:ser>
        <c:ser>
          <c:idx val="2"/>
          <c:order val="2"/>
          <c:tx>
            <c:strRef>
              <c:f>Sheet1!$D$1</c:f>
              <c:strCache>
                <c:ptCount val="1"/>
                <c:pt idx="0">
                  <c:v>中低收入老人生活津貼</c:v>
                </c:pt>
              </c:strCache>
            </c:strRef>
          </c:tx>
          <c:spPr>
            <a:solidFill>
              <a:schemeClr val="accent4">
                <a:lumMod val="60000"/>
                <a:lumOff val="40000"/>
              </a:schemeClr>
            </a:solidFill>
          </c:spPr>
          <c:invertIfNegative val="0"/>
          <c:dLbls>
            <c:numFmt formatCode="#,##0.0_);[Red]\(#,##0.0\)" sourceLinked="0"/>
            <c:dLblPos val="inEnd"/>
            <c:showLegendKey val="0"/>
            <c:showVal val="1"/>
            <c:showCatName val="0"/>
            <c:showSerName val="0"/>
            <c:showPercent val="0"/>
            <c:showBubbleSize val="0"/>
            <c:showLeaderLines val="0"/>
          </c:dLbls>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Sheet1!$D$2:$D$11</c:f>
              <c:numCache>
                <c:formatCode>#,##0_ </c:formatCode>
                <c:ptCount val="10"/>
                <c:pt idx="0">
                  <c:v>76.180000000000007</c:v>
                </c:pt>
                <c:pt idx="1">
                  <c:v>92.4</c:v>
                </c:pt>
                <c:pt idx="2">
                  <c:v>92.48</c:v>
                </c:pt>
                <c:pt idx="3">
                  <c:v>93.85</c:v>
                </c:pt>
                <c:pt idx="4">
                  <c:v>96.3</c:v>
                </c:pt>
                <c:pt idx="5">
                  <c:v>102.07</c:v>
                </c:pt>
                <c:pt idx="6">
                  <c:v>106.27</c:v>
                </c:pt>
                <c:pt idx="7">
                  <c:v>113.2</c:v>
                </c:pt>
                <c:pt idx="8" formatCode="0">
                  <c:v>121.76</c:v>
                </c:pt>
                <c:pt idx="9" formatCode="0">
                  <c:v>137.83000000000001</c:v>
                </c:pt>
              </c:numCache>
            </c:numRef>
          </c:val>
        </c:ser>
        <c:ser>
          <c:idx val="3"/>
          <c:order val="3"/>
          <c:tx>
            <c:strRef>
              <c:f>Sheet1!$E$1</c:f>
              <c:strCache>
                <c:ptCount val="1"/>
                <c:pt idx="0">
                  <c:v>榮民就養給付</c:v>
                </c:pt>
              </c:strCache>
            </c:strRef>
          </c:tx>
          <c:spPr>
            <a:solidFill>
              <a:schemeClr val="accent2">
                <a:lumMod val="60000"/>
                <a:lumOff val="40000"/>
              </a:schemeClr>
            </a:solidFill>
          </c:spPr>
          <c:invertIfNegative val="0"/>
          <c:dLbls>
            <c:dLbl>
              <c:idx val="6"/>
              <c:layout>
                <c:manualLayout>
                  <c:x val="-8.1820909467966876E-17"/>
                  <c:y val="7.0027258763041157E-3"/>
                </c:manualLayout>
              </c:layout>
              <c:dLblPos val="ctr"/>
              <c:showLegendKey val="0"/>
              <c:showVal val="1"/>
              <c:showCatName val="0"/>
              <c:showSerName val="0"/>
              <c:showPercent val="0"/>
              <c:showBubbleSize val="0"/>
            </c:dLbl>
            <c:dLbl>
              <c:idx val="7"/>
              <c:layout>
                <c:manualLayout>
                  <c:x val="0"/>
                  <c:y val="8.6262691667132463E-3"/>
                </c:manualLayout>
              </c:layout>
              <c:dLblPos val="ctr"/>
              <c:showLegendKey val="0"/>
              <c:showVal val="1"/>
              <c:showCatName val="0"/>
              <c:showSerName val="0"/>
              <c:showPercent val="0"/>
              <c:showBubbleSize val="0"/>
            </c:dLbl>
            <c:dLbl>
              <c:idx val="8"/>
              <c:layout>
                <c:manualLayout>
                  <c:x val="0"/>
                  <c:y val="3.5609941192966785E-3"/>
                </c:manualLayout>
              </c:layout>
              <c:dLblPos val="ctr"/>
              <c:showLegendKey val="0"/>
              <c:showVal val="1"/>
              <c:showCatName val="0"/>
              <c:showSerName val="0"/>
              <c:showPercent val="0"/>
              <c:showBubbleSize val="0"/>
            </c:dLbl>
            <c:dLbl>
              <c:idx val="9"/>
              <c:layout>
                <c:manualLayout>
                  <c:x val="0"/>
                  <c:y val="8.2147577609841625E-3"/>
                </c:manualLayout>
              </c:layout>
              <c:dLblPos val="ctr"/>
              <c:showLegendKey val="0"/>
              <c:showVal val="1"/>
              <c:showCatName val="0"/>
              <c:showSerName val="0"/>
              <c:showPercent val="0"/>
              <c:showBubbleSize val="0"/>
            </c:dLbl>
            <c:numFmt formatCode="#,##0.0_);[Red]\(#,##0.0\)" sourceLinked="0"/>
            <c:dLblPos val="inEnd"/>
            <c:showLegendKey val="0"/>
            <c:showVal val="1"/>
            <c:showCatName val="0"/>
            <c:showSerName val="0"/>
            <c:showPercent val="0"/>
            <c:showBubbleSize val="0"/>
            <c:showLeaderLines val="0"/>
          </c:dLbls>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Sheet1!$E$2:$E$11</c:f>
              <c:numCache>
                <c:formatCode>#,##0_ </c:formatCode>
                <c:ptCount val="10"/>
                <c:pt idx="0">
                  <c:v>124.93</c:v>
                </c:pt>
                <c:pt idx="1">
                  <c:v>122.83</c:v>
                </c:pt>
                <c:pt idx="2">
                  <c:v>110.17</c:v>
                </c:pt>
                <c:pt idx="3">
                  <c:v>101.24</c:v>
                </c:pt>
                <c:pt idx="4">
                  <c:v>92.54</c:v>
                </c:pt>
                <c:pt idx="5">
                  <c:v>85.68</c:v>
                </c:pt>
                <c:pt idx="6">
                  <c:v>79.650000000000006</c:v>
                </c:pt>
                <c:pt idx="7">
                  <c:v>74.2</c:v>
                </c:pt>
                <c:pt idx="8" formatCode="0">
                  <c:v>67.22</c:v>
                </c:pt>
                <c:pt idx="9" formatCode="0">
                  <c:v>63.59</c:v>
                </c:pt>
              </c:numCache>
            </c:numRef>
          </c:val>
        </c:ser>
        <c:ser>
          <c:idx val="4"/>
          <c:order val="4"/>
          <c:tx>
            <c:strRef>
              <c:f>Sheet1!$F$1</c:f>
              <c:strCache>
                <c:ptCount val="1"/>
                <c:pt idx="0">
                  <c:v>原住民給付</c:v>
                </c:pt>
              </c:strCache>
            </c:strRef>
          </c:tx>
          <c:spPr>
            <a:solidFill>
              <a:srgbClr val="FFC000"/>
            </a:solidFill>
          </c:spPr>
          <c:invertIfNegative val="0"/>
          <c:dLbls>
            <c:dLbl>
              <c:idx val="0"/>
              <c:layout>
                <c:manualLayout>
                  <c:x val="0"/>
                  <c:y val="-7.1444905711007603E-3"/>
                </c:manualLayout>
              </c:layout>
              <c:showLegendKey val="0"/>
              <c:showVal val="1"/>
              <c:showCatName val="0"/>
              <c:showSerName val="0"/>
              <c:showPercent val="0"/>
              <c:showBubbleSize val="0"/>
            </c:dLbl>
            <c:dLbl>
              <c:idx val="1"/>
              <c:layout>
                <c:manualLayout>
                  <c:x val="0"/>
                  <c:y val="-1.071673585665114E-2"/>
                </c:manualLayout>
              </c:layout>
              <c:showLegendKey val="0"/>
              <c:showVal val="1"/>
              <c:showCatName val="0"/>
              <c:showSerName val="0"/>
              <c:showPercent val="0"/>
              <c:showBubbleSize val="0"/>
            </c:dLbl>
            <c:dLbl>
              <c:idx val="2"/>
              <c:layout>
                <c:manualLayout>
                  <c:x val="-4.0910454733983438E-17"/>
                  <c:y val="-7.1444905711007603E-3"/>
                </c:manualLayout>
              </c:layout>
              <c:showLegendKey val="0"/>
              <c:showVal val="1"/>
              <c:showCatName val="0"/>
              <c:showSerName val="0"/>
              <c:showPercent val="0"/>
              <c:showBubbleSize val="0"/>
            </c:dLbl>
            <c:dLbl>
              <c:idx val="3"/>
              <c:layout>
                <c:manualLayout>
                  <c:x val="-8.1820909467966876E-17"/>
                  <c:y val="-7.1444905711007603E-3"/>
                </c:manualLayout>
              </c:layout>
              <c:showLegendKey val="0"/>
              <c:showVal val="1"/>
              <c:showCatName val="0"/>
              <c:showSerName val="0"/>
              <c:showPercent val="0"/>
              <c:showBubbleSize val="0"/>
            </c:dLbl>
            <c:dLbl>
              <c:idx val="4"/>
              <c:layout>
                <c:manualLayout>
                  <c:x val="0"/>
                  <c:y val="-3.5722452855504131E-3"/>
                </c:manualLayout>
              </c:layout>
              <c:showLegendKey val="0"/>
              <c:showVal val="1"/>
              <c:showCatName val="0"/>
              <c:showSerName val="0"/>
              <c:showPercent val="0"/>
              <c:showBubbleSize val="0"/>
            </c:dLbl>
            <c:dLbl>
              <c:idx val="5"/>
              <c:layout>
                <c:manualLayout>
                  <c:x val="-8.1820909467966876E-17"/>
                  <c:y val="-7.1444905711007603E-3"/>
                </c:manualLayout>
              </c:layout>
              <c:showLegendKey val="0"/>
              <c:showVal val="1"/>
              <c:showCatName val="0"/>
              <c:showSerName val="0"/>
              <c:showPercent val="0"/>
              <c:showBubbleSize val="0"/>
            </c:dLbl>
            <c:dLbl>
              <c:idx val="6"/>
              <c:layout>
                <c:manualLayout>
                  <c:x val="-1.6364181893593375E-16"/>
                  <c:y val="-1.071673585665114E-2"/>
                </c:manualLayout>
              </c:layout>
              <c:showLegendKey val="0"/>
              <c:showVal val="1"/>
              <c:showCatName val="0"/>
              <c:showSerName val="0"/>
              <c:showPercent val="0"/>
              <c:showBubbleSize val="0"/>
            </c:dLbl>
            <c:dLbl>
              <c:idx val="7"/>
              <c:layout>
                <c:manualLayout>
                  <c:x val="-1.6364181893593375E-16"/>
                  <c:y val="-7.1444905711007933E-3"/>
                </c:manualLayout>
              </c:layout>
              <c:showLegendKey val="0"/>
              <c:showVal val="1"/>
              <c:showCatName val="0"/>
              <c:showSerName val="0"/>
              <c:showPercent val="0"/>
              <c:showBubbleSize val="0"/>
            </c:dLbl>
            <c:dLbl>
              <c:idx val="8"/>
              <c:layout>
                <c:manualLayout>
                  <c:x val="-1.7570906531058906E-7"/>
                  <c:y val="-7.1444905711007603E-3"/>
                </c:manualLayout>
              </c:layout>
              <c:showLegendKey val="0"/>
              <c:showVal val="1"/>
              <c:showCatName val="0"/>
              <c:showSerName val="0"/>
              <c:showPercent val="0"/>
              <c:showBubbleSize val="0"/>
            </c:dLbl>
            <c:dLbl>
              <c:idx val="9"/>
              <c:layout>
                <c:manualLayout>
                  <c:x val="0"/>
                  <c:y val="-7.1467098545532001E-3"/>
                </c:manualLayout>
              </c:layout>
              <c:showLegendKey val="0"/>
              <c:showVal val="1"/>
              <c:showCatName val="0"/>
              <c:showSerName val="0"/>
              <c:showPercent val="0"/>
              <c:showBubbleSize val="0"/>
            </c:dLbl>
            <c:numFmt formatCode="#,##0.0_);[Red]\(#,##0.0\)" sourceLinked="0"/>
            <c:showLegendKey val="0"/>
            <c:showVal val="1"/>
            <c:showCatName val="0"/>
            <c:showSerName val="0"/>
            <c:showPercent val="0"/>
            <c:showBubbleSize val="0"/>
            <c:showLeaderLines val="0"/>
          </c:dLbls>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Sheet1!$F$2:$F$11</c:f>
              <c:numCache>
                <c:formatCode>#,##0_ </c:formatCode>
                <c:ptCount val="10"/>
                <c:pt idx="0">
                  <c:v>10.16</c:v>
                </c:pt>
                <c:pt idx="1">
                  <c:v>12.78</c:v>
                </c:pt>
                <c:pt idx="2">
                  <c:v>13.66</c:v>
                </c:pt>
                <c:pt idx="3">
                  <c:v>14.39</c:v>
                </c:pt>
                <c:pt idx="4">
                  <c:v>15.22</c:v>
                </c:pt>
                <c:pt idx="5">
                  <c:v>16.32</c:v>
                </c:pt>
                <c:pt idx="6">
                  <c:v>17.05</c:v>
                </c:pt>
                <c:pt idx="7">
                  <c:v>17.61</c:v>
                </c:pt>
                <c:pt idx="8" formatCode="0">
                  <c:v>18.16</c:v>
                </c:pt>
                <c:pt idx="9" formatCode="0">
                  <c:v>19.260000000000002</c:v>
                </c:pt>
              </c:numCache>
            </c:numRef>
          </c:val>
        </c:ser>
        <c:dLbls>
          <c:showLegendKey val="0"/>
          <c:showVal val="0"/>
          <c:showCatName val="0"/>
          <c:showSerName val="0"/>
          <c:showPercent val="0"/>
          <c:showBubbleSize val="0"/>
        </c:dLbls>
        <c:gapWidth val="150"/>
        <c:overlap val="100"/>
        <c:axId val="262359552"/>
        <c:axId val="257980608"/>
      </c:barChart>
      <c:lineChart>
        <c:grouping val="standard"/>
        <c:varyColors val="0"/>
        <c:ser>
          <c:idx val="5"/>
          <c:order val="5"/>
          <c:tx>
            <c:strRef>
              <c:f>Sheet1!$G$1</c:f>
              <c:strCache>
                <c:ptCount val="1"/>
                <c:pt idx="0">
                  <c:v>合計</c:v>
                </c:pt>
              </c:strCache>
            </c:strRef>
          </c:tx>
          <c:spPr>
            <a:ln>
              <a:noFill/>
            </a:ln>
          </c:spPr>
          <c:marker>
            <c:symbol val="none"/>
          </c:marker>
          <c:dLbls>
            <c:dLbl>
              <c:idx val="0"/>
              <c:layout>
                <c:manualLayout>
                  <c:x val="-5.2853286796201729E-2"/>
                  <c:y val="-6.4666640601464848E-2"/>
                </c:manualLayout>
              </c:layout>
              <c:dLblPos val="r"/>
              <c:showLegendKey val="0"/>
              <c:showVal val="1"/>
              <c:showCatName val="0"/>
              <c:showSerName val="0"/>
              <c:showPercent val="0"/>
              <c:showBubbleSize val="0"/>
            </c:dLbl>
            <c:dLbl>
              <c:idx val="1"/>
              <c:layout>
                <c:manualLayout>
                  <c:x val="-5.2853286796201729E-2"/>
                  <c:y val="-5.7522150030364087E-2"/>
                </c:manualLayout>
              </c:layout>
              <c:dLblPos val="r"/>
              <c:showLegendKey val="0"/>
              <c:showVal val="1"/>
              <c:showCatName val="0"/>
              <c:showSerName val="0"/>
              <c:showPercent val="0"/>
              <c:showBubbleSize val="0"/>
            </c:dLbl>
            <c:dLbl>
              <c:idx val="2"/>
              <c:layout>
                <c:manualLayout>
                  <c:x val="-5.2853286796201729E-2"/>
                  <c:y val="-5.7522150030364115E-2"/>
                </c:manualLayout>
              </c:layout>
              <c:dLblPos val="r"/>
              <c:showLegendKey val="0"/>
              <c:showVal val="1"/>
              <c:showCatName val="0"/>
              <c:showSerName val="0"/>
              <c:showPercent val="0"/>
              <c:showBubbleSize val="0"/>
            </c:dLbl>
            <c:dLbl>
              <c:idx val="3"/>
              <c:layout>
                <c:manualLayout>
                  <c:x val="-5.2853286796201729E-2"/>
                  <c:y val="-5.3949904744813704E-2"/>
                </c:manualLayout>
              </c:layout>
              <c:dLblPos val="r"/>
              <c:showLegendKey val="0"/>
              <c:showVal val="1"/>
              <c:showCatName val="0"/>
              <c:showSerName val="0"/>
              <c:showPercent val="0"/>
              <c:showBubbleSize val="0"/>
            </c:dLbl>
            <c:dLbl>
              <c:idx val="4"/>
              <c:layout>
                <c:manualLayout>
                  <c:x val="-5.2853286796201812E-2"/>
                  <c:y val="-5.3949904744813704E-2"/>
                </c:manualLayout>
              </c:layout>
              <c:dLblPos val="r"/>
              <c:showLegendKey val="0"/>
              <c:showVal val="1"/>
              <c:showCatName val="0"/>
              <c:showSerName val="0"/>
              <c:showPercent val="0"/>
              <c:showBubbleSize val="0"/>
            </c:dLbl>
            <c:dLbl>
              <c:idx val="5"/>
              <c:layout>
                <c:manualLayout>
                  <c:x val="-5.2853286796201729E-2"/>
                  <c:y val="-5.0377659459263327E-2"/>
                </c:manualLayout>
              </c:layout>
              <c:dLblPos val="r"/>
              <c:showLegendKey val="0"/>
              <c:showVal val="1"/>
              <c:showCatName val="0"/>
              <c:showSerName val="0"/>
              <c:showPercent val="0"/>
              <c:showBubbleSize val="0"/>
            </c:dLbl>
            <c:dLbl>
              <c:idx val="6"/>
              <c:layout>
                <c:manualLayout>
                  <c:x val="-5.2853286796201729E-2"/>
                  <c:y val="-5.3949904744813704E-2"/>
                </c:manualLayout>
              </c:layout>
              <c:dLblPos val="r"/>
              <c:showLegendKey val="0"/>
              <c:showVal val="1"/>
              <c:showCatName val="0"/>
              <c:showSerName val="0"/>
              <c:showPercent val="0"/>
              <c:showBubbleSize val="0"/>
            </c:dLbl>
            <c:dLbl>
              <c:idx val="7"/>
              <c:layout>
                <c:manualLayout>
                  <c:x val="-4.4412574724672763E-2"/>
                  <c:y val="-5.3949904744813704E-2"/>
                </c:manualLayout>
              </c:layout>
              <c:dLblPos val="r"/>
              <c:showLegendKey val="0"/>
              <c:showVal val="1"/>
              <c:showCatName val="0"/>
              <c:showSerName val="0"/>
              <c:showPercent val="0"/>
              <c:showBubbleSize val="0"/>
            </c:dLbl>
            <c:dLbl>
              <c:idx val="8"/>
              <c:layout>
                <c:manualLayout>
                  <c:x val="-4.4412574724672679E-2"/>
                  <c:y val="-5.0377659459263355E-2"/>
                </c:manualLayout>
              </c:layout>
              <c:dLblPos val="r"/>
              <c:showLegendKey val="0"/>
              <c:showVal val="1"/>
              <c:showCatName val="0"/>
              <c:showSerName val="0"/>
              <c:showPercent val="0"/>
              <c:showBubbleSize val="0"/>
            </c:dLbl>
            <c:numFmt formatCode="#,##0.0_);[Red]\(#,##0.0\)" sourceLinked="0"/>
            <c:spPr>
              <a:ln>
                <a:solidFill>
                  <a:schemeClr val="bg1">
                    <a:lumMod val="65000"/>
                  </a:schemeClr>
                </a:solidFill>
              </a:ln>
            </c:spPr>
            <c:dLblPos val="t"/>
            <c:showLegendKey val="0"/>
            <c:showVal val="1"/>
            <c:showCatName val="0"/>
            <c:showSerName val="0"/>
            <c:showPercent val="0"/>
            <c:showBubbleSize val="0"/>
            <c:showLeaderLines val="0"/>
          </c:dLbls>
          <c:cat>
            <c:strRef>
              <c:f>Sheet1!$A$2:$A$11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Sheet1!$G$2:$G$11</c:f>
              <c:numCache>
                <c:formatCode>#,##0_ </c:formatCode>
                <c:ptCount val="10"/>
                <c:pt idx="0">
                  <c:v>1006.84</c:v>
                </c:pt>
                <c:pt idx="1">
                  <c:v>1127.8399999999999</c:v>
                </c:pt>
                <c:pt idx="2">
                  <c:v>1109.67</c:v>
                </c:pt>
                <c:pt idx="3">
                  <c:v>1075.6100000000001</c:v>
                </c:pt>
                <c:pt idx="4">
                  <c:v>1042.73</c:v>
                </c:pt>
                <c:pt idx="5">
                  <c:v>1042.53</c:v>
                </c:pt>
                <c:pt idx="6">
                  <c:v>1016.3499999999999</c:v>
                </c:pt>
                <c:pt idx="7">
                  <c:v>989.05000000000007</c:v>
                </c:pt>
                <c:pt idx="8" formatCode="#,##0.0_ ">
                  <c:v>963.51</c:v>
                </c:pt>
                <c:pt idx="9" formatCode="#,##0.0_ ">
                  <c:v>976.59000000000015</c:v>
                </c:pt>
              </c:numCache>
            </c:numRef>
          </c:val>
          <c:smooth val="0"/>
        </c:ser>
        <c:dLbls>
          <c:showLegendKey val="0"/>
          <c:showVal val="0"/>
          <c:showCatName val="0"/>
          <c:showSerName val="0"/>
          <c:showPercent val="0"/>
          <c:showBubbleSize val="0"/>
        </c:dLbls>
        <c:marker val="1"/>
        <c:smooth val="0"/>
        <c:axId val="262359552"/>
        <c:axId val="257980608"/>
      </c:lineChart>
      <c:catAx>
        <c:axId val="262359552"/>
        <c:scaling>
          <c:orientation val="minMax"/>
        </c:scaling>
        <c:delete val="0"/>
        <c:axPos val="b"/>
        <c:numFmt formatCode="General" sourceLinked="1"/>
        <c:majorTickMark val="out"/>
        <c:minorTickMark val="none"/>
        <c:tickLblPos val="nextTo"/>
        <c:crossAx val="257980608"/>
        <c:crosses val="autoZero"/>
        <c:auto val="1"/>
        <c:lblAlgn val="ctr"/>
        <c:lblOffset val="100"/>
        <c:noMultiLvlLbl val="0"/>
      </c:catAx>
      <c:valAx>
        <c:axId val="257980608"/>
        <c:scaling>
          <c:orientation val="minMax"/>
        </c:scaling>
        <c:delete val="0"/>
        <c:axPos val="l"/>
        <c:majorGridlines>
          <c:spPr>
            <a:ln>
              <a:solidFill>
                <a:schemeClr val="bg1">
                  <a:lumMod val="85000"/>
                </a:schemeClr>
              </a:solidFill>
            </a:ln>
          </c:spPr>
        </c:majorGridlines>
        <c:title>
          <c:tx>
            <c:rich>
              <a:bodyPr rot="0" vert="wordArtVertRtl"/>
              <a:lstStyle/>
              <a:p>
                <a:pPr>
                  <a:defRPr/>
                </a:pPr>
                <a:r>
                  <a:rPr lang="zh-TW"/>
                  <a:t>老人福利津貼給付總額</a:t>
                </a:r>
                <a:r>
                  <a:rPr lang="en-US"/>
                  <a:t>(</a:t>
                </a:r>
                <a:r>
                  <a:rPr lang="zh-TW"/>
                  <a:t>億元</a:t>
                </a:r>
                <a:r>
                  <a:rPr lang="en-US"/>
                  <a:t>)</a:t>
                </a:r>
                <a:endParaRPr lang="zh-TW"/>
              </a:p>
            </c:rich>
          </c:tx>
          <c:layout>
            <c:manualLayout>
              <c:xMode val="edge"/>
              <c:yMode val="edge"/>
              <c:x val="1.0802469135802469E-2"/>
              <c:y val="0.16764608990396077"/>
            </c:manualLayout>
          </c:layout>
          <c:overlay val="0"/>
        </c:title>
        <c:numFmt formatCode="#,##0_ " sourceLinked="1"/>
        <c:majorTickMark val="out"/>
        <c:minorTickMark val="none"/>
        <c:tickLblPos val="nextTo"/>
        <c:spPr>
          <a:ln>
            <a:noFill/>
          </a:ln>
        </c:spPr>
        <c:crossAx val="262359552"/>
        <c:crosses val="autoZero"/>
        <c:crossBetween val="between"/>
      </c:valAx>
    </c:plotArea>
    <c:legend>
      <c:legendPos val="t"/>
      <c:legendEntry>
        <c:idx val="5"/>
        <c:delete val="1"/>
      </c:legendEntry>
      <c:layout>
        <c:manualLayout>
          <c:xMode val="edge"/>
          <c:yMode val="edge"/>
          <c:x val="0.10528166618061631"/>
          <c:y val="1.6836195965366927E-2"/>
          <c:w val="0.874313210848644"/>
          <c:h val="0.1171956111881604"/>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30383677167145"/>
          <c:y val="0.1450008666301644"/>
          <c:w val="0.756331979029084"/>
          <c:h val="0.81650366946918418"/>
        </c:manualLayout>
      </c:layout>
      <c:barChart>
        <c:barDir val="bar"/>
        <c:grouping val="clustered"/>
        <c:varyColors val="0"/>
        <c:ser>
          <c:idx val="0"/>
          <c:order val="0"/>
          <c:tx>
            <c:strRef>
              <c:f>工作表1!$B$1</c:f>
              <c:strCache>
                <c:ptCount val="1"/>
                <c:pt idx="0">
                  <c:v>男</c:v>
                </c:pt>
              </c:strCache>
            </c:strRef>
          </c:tx>
          <c:spPr>
            <a:solidFill>
              <a:schemeClr val="accent5">
                <a:lumMod val="60000"/>
                <a:lumOff val="40000"/>
              </a:schemeClr>
            </a:solidFill>
            <a:effectLst>
              <a:outerShdw blurRad="50800" dist="38100" dir="5400000" algn="t" rotWithShape="0">
                <a:prstClr val="black">
                  <a:alpha val="40000"/>
                </a:prstClr>
              </a:outerShdw>
            </a:effectLst>
          </c:spPr>
          <c:invertIfNegative val="0"/>
          <c:dLbls>
            <c:dLbl>
              <c:idx val="0"/>
              <c:tx>
                <c:rich>
                  <a:bodyPr/>
                  <a:lstStyle/>
                  <a:p>
                    <a:r>
                      <a:rPr lang="en-US" altLang="en-US">
                        <a:latin typeface="微軟正黑體" pitchFamily="34" charset="-120"/>
                        <a:ea typeface="微軟正黑體" pitchFamily="34" charset="-120"/>
                      </a:rPr>
                      <a:t>5</a:t>
                    </a:r>
                    <a:r>
                      <a:rPr lang="en-US" altLang="zh-TW">
                        <a:latin typeface="微軟正黑體" pitchFamily="34" charset="-120"/>
                        <a:ea typeface="微軟正黑體" pitchFamily="34" charset="-120"/>
                      </a:rPr>
                      <a:t>34</a:t>
                    </a:r>
                    <a:r>
                      <a:rPr lang="en-US" altLang="en-US">
                        <a:latin typeface="微軟正黑體" pitchFamily="34" charset="-120"/>
                        <a:ea typeface="微軟正黑體" pitchFamily="34" charset="-120"/>
                      </a:rPr>
                      <a:t>.</a:t>
                    </a:r>
                    <a:r>
                      <a:rPr lang="en-US" altLang="zh-TW">
                        <a:latin typeface="微軟正黑體" pitchFamily="34" charset="-120"/>
                        <a:ea typeface="微軟正黑體" pitchFamily="34" charset="-120"/>
                      </a:rPr>
                      <a:t>5</a:t>
                    </a:r>
                    <a:r>
                      <a:rPr lang="en-US" altLang="en-US">
                        <a:latin typeface="微軟正黑體" pitchFamily="34" charset="-120"/>
                        <a:ea typeface="微軟正黑體" pitchFamily="34" charset="-120"/>
                      </a:rPr>
                      <a:t>(50.</a:t>
                    </a:r>
                    <a:r>
                      <a:rPr lang="en-US" altLang="zh-TW">
                        <a:latin typeface="微軟正黑體" pitchFamily="34" charset="-120"/>
                        <a:ea typeface="微軟正黑體" pitchFamily="34" charset="-120"/>
                      </a:rPr>
                      <a:t>6</a:t>
                    </a:r>
                    <a:r>
                      <a:rPr lang="en-US" altLang="en-US">
                        <a:latin typeface="微軟正黑體" pitchFamily="34" charset="-120"/>
                        <a:ea typeface="微軟正黑體" pitchFamily="34" charset="-120"/>
                      </a:rPr>
                      <a:t>%) </a:t>
                    </a:r>
                    <a:endParaRPr lang="en-US" altLang="en-US"/>
                  </a:p>
                </c:rich>
              </c:tx>
              <c:showLegendKey val="0"/>
              <c:showVal val="1"/>
              <c:showCatName val="0"/>
              <c:showSerName val="0"/>
              <c:showPercent val="0"/>
              <c:showBubbleSize val="0"/>
            </c:dLbl>
            <c:dLbl>
              <c:idx val="1"/>
              <c:tx>
                <c:rich>
                  <a:bodyPr/>
                  <a:lstStyle/>
                  <a:p>
                    <a:r>
                      <a:rPr lang="en-US" altLang="en-US">
                        <a:latin typeface="微軟正黑體" pitchFamily="34" charset="-120"/>
                        <a:ea typeface="微軟正黑體" pitchFamily="34" charset="-120"/>
                      </a:rPr>
                      <a:t>15</a:t>
                    </a:r>
                    <a:r>
                      <a:rPr lang="en-US" altLang="zh-TW">
                        <a:latin typeface="微軟正黑體" pitchFamily="34" charset="-120"/>
                        <a:ea typeface="微軟正黑體" pitchFamily="34" charset="-120"/>
                      </a:rPr>
                      <a:t>1</a:t>
                    </a:r>
                    <a:r>
                      <a:rPr lang="en-US" altLang="en-US">
                        <a:latin typeface="微軟正黑體" pitchFamily="34" charset="-120"/>
                        <a:ea typeface="微軟正黑體" pitchFamily="34" charset="-120"/>
                      </a:rPr>
                      <a:t>.</a:t>
                    </a:r>
                    <a:r>
                      <a:rPr lang="en-US" altLang="zh-TW">
                        <a:latin typeface="微軟正黑體" pitchFamily="34" charset="-120"/>
                        <a:ea typeface="微軟正黑體" pitchFamily="34" charset="-120"/>
                      </a:rPr>
                      <a:t>1</a:t>
                    </a:r>
                    <a:r>
                      <a:rPr lang="en-US" altLang="en-US">
                        <a:latin typeface="微軟正黑體" pitchFamily="34" charset="-120"/>
                        <a:ea typeface="微軟正黑體" pitchFamily="34" charset="-120"/>
                      </a:rPr>
                      <a:t>(48.</a:t>
                    </a:r>
                    <a:r>
                      <a:rPr lang="en-US" altLang="zh-TW">
                        <a:latin typeface="微軟正黑體" pitchFamily="34" charset="-120"/>
                        <a:ea typeface="微軟正黑體" pitchFamily="34" charset="-120"/>
                      </a:rPr>
                      <a:t>6</a:t>
                    </a:r>
                    <a:r>
                      <a:rPr lang="en-US" altLang="en-US">
                        <a:latin typeface="微軟正黑體" pitchFamily="34" charset="-120"/>
                        <a:ea typeface="微軟正黑體" pitchFamily="34" charset="-120"/>
                      </a:rPr>
                      <a:t>%) </a:t>
                    </a:r>
                    <a:endParaRPr lang="en-US" altLang="en-US"/>
                  </a:p>
                </c:rich>
              </c:tx>
              <c:showLegendKey val="0"/>
              <c:showVal val="1"/>
              <c:showCatName val="0"/>
              <c:showSerName val="0"/>
              <c:showPercent val="0"/>
              <c:showBubbleSize val="0"/>
            </c:dLbl>
            <c:dLbl>
              <c:idx val="2"/>
              <c:tx>
                <c:rich>
                  <a:bodyPr/>
                  <a:lstStyle/>
                  <a:p>
                    <a:r>
                      <a:rPr lang="en-US" altLang="en-US">
                        <a:latin typeface="微軟正黑體" pitchFamily="34" charset="-120"/>
                        <a:ea typeface="微軟正黑體" pitchFamily="34" charset="-120"/>
                      </a:rPr>
                      <a:t>5</a:t>
                    </a:r>
                    <a:r>
                      <a:rPr lang="en-US" altLang="zh-TW">
                        <a:latin typeface="微軟正黑體" pitchFamily="34" charset="-120"/>
                        <a:ea typeface="微軟正黑體" pitchFamily="34" charset="-120"/>
                      </a:rPr>
                      <a:t>1</a:t>
                    </a:r>
                    <a:r>
                      <a:rPr lang="en-US" altLang="en-US">
                        <a:latin typeface="微軟正黑體" pitchFamily="34" charset="-120"/>
                        <a:ea typeface="微軟正黑體" pitchFamily="34" charset="-120"/>
                      </a:rPr>
                      <a:t>.</a:t>
                    </a:r>
                    <a:r>
                      <a:rPr lang="en-US" altLang="zh-TW">
                        <a:latin typeface="微軟正黑體" pitchFamily="34" charset="-120"/>
                        <a:ea typeface="微軟正黑體" pitchFamily="34" charset="-120"/>
                      </a:rPr>
                      <a:t>3</a:t>
                    </a:r>
                    <a:r>
                      <a:rPr lang="en-US" altLang="en-US">
                        <a:latin typeface="微軟正黑體" pitchFamily="34" charset="-120"/>
                        <a:ea typeface="微軟正黑體" pitchFamily="34" charset="-120"/>
                      </a:rPr>
                      <a:t> (49.</a:t>
                    </a:r>
                    <a:r>
                      <a:rPr lang="en-US" altLang="zh-TW">
                        <a:latin typeface="微軟正黑體" pitchFamily="34" charset="-120"/>
                        <a:ea typeface="微軟正黑體" pitchFamily="34" charset="-120"/>
                      </a:rPr>
                      <a:t>0</a:t>
                    </a:r>
                    <a:r>
                      <a:rPr lang="en-US" altLang="en-US">
                        <a:latin typeface="微軟正黑體" pitchFamily="34" charset="-120"/>
                        <a:ea typeface="微軟正黑體" pitchFamily="34" charset="-120"/>
                      </a:rPr>
                      <a:t>%)</a:t>
                    </a:r>
                    <a:endParaRPr lang="en-US" altLang="en-US"/>
                  </a:p>
                </c:rich>
              </c:tx>
              <c:showLegendKey val="0"/>
              <c:showVal val="1"/>
              <c:showCatName val="0"/>
              <c:showSerName val="0"/>
              <c:showPercent val="0"/>
              <c:showBubbleSize val="0"/>
            </c:dLbl>
            <c:dLbl>
              <c:idx val="3"/>
              <c:tx>
                <c:rich>
                  <a:bodyPr/>
                  <a:lstStyle/>
                  <a:p>
                    <a:r>
                      <a:rPr lang="en-US" altLang="zh-TW">
                        <a:latin typeface="微軟正黑體" pitchFamily="34" charset="-120"/>
                        <a:ea typeface="微軟正黑體" pitchFamily="34" charset="-120"/>
                      </a:rPr>
                      <a:t>29</a:t>
                    </a:r>
                    <a:r>
                      <a:rPr lang="en-US" altLang="en-US">
                        <a:latin typeface="微軟正黑體" pitchFamily="34" charset="-120"/>
                        <a:ea typeface="微軟正黑體" pitchFamily="34" charset="-120"/>
                      </a:rPr>
                      <a:t>.</a:t>
                    </a:r>
                    <a:r>
                      <a:rPr lang="en-US" altLang="zh-TW">
                        <a:latin typeface="微軟正黑體" pitchFamily="34" charset="-120"/>
                        <a:ea typeface="微軟正黑體" pitchFamily="34" charset="-120"/>
                      </a:rPr>
                      <a:t>3</a:t>
                    </a:r>
                    <a:r>
                      <a:rPr lang="en-US" altLang="en-US">
                        <a:latin typeface="微軟正黑體" pitchFamily="34" charset="-120"/>
                        <a:ea typeface="微軟正黑體" pitchFamily="34" charset="-120"/>
                      </a:rPr>
                      <a:t> (49.</a:t>
                    </a:r>
                    <a:r>
                      <a:rPr lang="en-US" altLang="zh-TW">
                        <a:latin typeface="微軟正黑體" pitchFamily="34" charset="-120"/>
                        <a:ea typeface="微軟正黑體" pitchFamily="34" charset="-120"/>
                      </a:rPr>
                      <a:t>3</a:t>
                    </a:r>
                    <a:r>
                      <a:rPr lang="en-US" altLang="en-US">
                        <a:latin typeface="微軟正黑體" pitchFamily="34" charset="-120"/>
                        <a:ea typeface="微軟正黑體" pitchFamily="34" charset="-120"/>
                      </a:rPr>
                      <a:t>%)</a:t>
                    </a:r>
                    <a:endParaRPr lang="en-US" altLang="en-US"/>
                  </a:p>
                </c:rich>
              </c:tx>
              <c:showLegendKey val="0"/>
              <c:showVal val="1"/>
              <c:showCatName val="0"/>
              <c:showSerName val="0"/>
              <c:showPercent val="0"/>
              <c:showBubbleSize val="0"/>
            </c:dLbl>
            <c:txPr>
              <a:bodyPr/>
              <a:lstStyle/>
              <a:p>
                <a:pPr>
                  <a:defRPr>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工作表1!$A$2:$A$5</c:f>
              <c:strCache>
                <c:ptCount val="4"/>
                <c:pt idx="0">
                  <c:v>勞工保險</c:v>
                </c:pt>
                <c:pt idx="1">
                  <c:v>國民年金保險</c:v>
                </c:pt>
                <c:pt idx="2">
                  <c:v>農民健康保險</c:v>
                </c:pt>
                <c:pt idx="3">
                  <c:v>公教人員保險</c:v>
                </c:pt>
              </c:strCache>
            </c:strRef>
          </c:cat>
          <c:val>
            <c:numRef>
              <c:f>工作表1!$B$2:$B$5</c:f>
              <c:numCache>
                <c:formatCode>0.0_ </c:formatCode>
                <c:ptCount val="4"/>
                <c:pt idx="0">
                  <c:v>534.5</c:v>
                </c:pt>
                <c:pt idx="1">
                  <c:v>151.1</c:v>
                </c:pt>
                <c:pt idx="2">
                  <c:v>51.3</c:v>
                </c:pt>
                <c:pt idx="3">
                  <c:v>29.3</c:v>
                </c:pt>
              </c:numCache>
            </c:numRef>
          </c:val>
        </c:ser>
        <c:ser>
          <c:idx val="1"/>
          <c:order val="1"/>
          <c:tx>
            <c:strRef>
              <c:f>工作表1!$C$1</c:f>
              <c:strCache>
                <c:ptCount val="1"/>
                <c:pt idx="0">
                  <c:v>女</c:v>
                </c:pt>
              </c:strCache>
            </c:strRef>
          </c:tx>
          <c:spPr>
            <a:solidFill>
              <a:schemeClr val="accent2">
                <a:lumMod val="40000"/>
                <a:lumOff val="60000"/>
              </a:schemeClr>
            </a:solidFill>
            <a:effectLst>
              <a:outerShdw blurRad="50800" dist="38100" dir="5400000" algn="t" rotWithShape="0">
                <a:prstClr val="black">
                  <a:alpha val="40000"/>
                </a:prstClr>
              </a:outerShdw>
            </a:effectLst>
          </c:spPr>
          <c:invertIfNegative val="0"/>
          <c:dLbls>
            <c:dLbl>
              <c:idx val="0"/>
              <c:tx>
                <c:rich>
                  <a:bodyPr/>
                  <a:lstStyle/>
                  <a:p>
                    <a:r>
                      <a:rPr lang="en-US" altLang="en-US">
                        <a:latin typeface="微軟正黑體" pitchFamily="34" charset="-120"/>
                        <a:ea typeface="微軟正黑體" pitchFamily="34" charset="-120"/>
                      </a:rPr>
                      <a:t>5</a:t>
                    </a:r>
                    <a:r>
                      <a:rPr lang="en-US" altLang="zh-TW">
                        <a:latin typeface="微軟正黑體" pitchFamily="34" charset="-120"/>
                        <a:ea typeface="微軟正黑體" pitchFamily="34" charset="-120"/>
                      </a:rPr>
                      <a:t>21</a:t>
                    </a:r>
                    <a:r>
                      <a:rPr lang="en-US" altLang="en-US">
                        <a:latin typeface="微軟正黑體" pitchFamily="34" charset="-120"/>
                        <a:ea typeface="微軟正黑體" pitchFamily="34" charset="-120"/>
                      </a:rPr>
                      <a:t>.0(49.</a:t>
                    </a:r>
                    <a:r>
                      <a:rPr lang="en-US" altLang="zh-TW">
                        <a:latin typeface="微軟正黑體" pitchFamily="34" charset="-120"/>
                        <a:ea typeface="微軟正黑體" pitchFamily="34" charset="-120"/>
                      </a:rPr>
                      <a:t>4</a:t>
                    </a:r>
                    <a:r>
                      <a:rPr lang="en-US" altLang="en-US">
                        <a:latin typeface="微軟正黑體" pitchFamily="34" charset="-120"/>
                        <a:ea typeface="微軟正黑體" pitchFamily="34" charset="-120"/>
                      </a:rPr>
                      <a:t>%) </a:t>
                    </a:r>
                    <a:endParaRPr lang="en-US" altLang="en-US"/>
                  </a:p>
                </c:rich>
              </c:tx>
              <c:showLegendKey val="0"/>
              <c:showVal val="1"/>
              <c:showCatName val="0"/>
              <c:showSerName val="0"/>
              <c:showPercent val="0"/>
              <c:showBubbleSize val="0"/>
            </c:dLbl>
            <c:dLbl>
              <c:idx val="1"/>
              <c:tx>
                <c:rich>
                  <a:bodyPr/>
                  <a:lstStyle/>
                  <a:p>
                    <a:r>
                      <a:rPr lang="en-US" altLang="en-US">
                        <a:latin typeface="微軟正黑體" pitchFamily="34" charset="-120"/>
                        <a:ea typeface="微軟正黑體" pitchFamily="34" charset="-120"/>
                      </a:rPr>
                      <a:t>1</a:t>
                    </a:r>
                    <a:r>
                      <a:rPr lang="en-US" altLang="zh-TW">
                        <a:latin typeface="微軟正黑體" pitchFamily="34" charset="-120"/>
                        <a:ea typeface="微軟正黑體" pitchFamily="34" charset="-120"/>
                      </a:rPr>
                      <a:t>5</a:t>
                    </a:r>
                    <a:r>
                      <a:rPr lang="en-US" altLang="en-US">
                        <a:latin typeface="微軟正黑體" pitchFamily="34" charset="-120"/>
                        <a:ea typeface="微軟正黑體" pitchFamily="34" charset="-120"/>
                      </a:rPr>
                      <a:t>9.</a:t>
                    </a:r>
                    <a:r>
                      <a:rPr lang="en-US" altLang="zh-TW">
                        <a:latin typeface="微軟正黑體" pitchFamily="34" charset="-120"/>
                        <a:ea typeface="微軟正黑體" pitchFamily="34" charset="-120"/>
                      </a:rPr>
                      <a:t>5</a:t>
                    </a:r>
                    <a:r>
                      <a:rPr lang="en-US" altLang="en-US">
                        <a:latin typeface="微軟正黑體" pitchFamily="34" charset="-120"/>
                        <a:ea typeface="微軟正黑體" pitchFamily="34" charset="-120"/>
                      </a:rPr>
                      <a:t>(51.</a:t>
                    </a:r>
                    <a:r>
                      <a:rPr lang="en-US" altLang="zh-TW">
                        <a:latin typeface="微軟正黑體" pitchFamily="34" charset="-120"/>
                        <a:ea typeface="微軟正黑體" pitchFamily="34" charset="-120"/>
                      </a:rPr>
                      <a:t>4</a:t>
                    </a:r>
                    <a:r>
                      <a:rPr lang="en-US" altLang="en-US">
                        <a:latin typeface="微軟正黑體" pitchFamily="34" charset="-120"/>
                        <a:ea typeface="微軟正黑體" pitchFamily="34" charset="-120"/>
                      </a:rPr>
                      <a:t>%)</a:t>
                    </a:r>
                    <a:endParaRPr lang="en-US" altLang="en-US"/>
                  </a:p>
                </c:rich>
              </c:tx>
              <c:showLegendKey val="0"/>
              <c:showVal val="1"/>
              <c:showCatName val="0"/>
              <c:showSerName val="0"/>
              <c:showPercent val="0"/>
              <c:showBubbleSize val="0"/>
            </c:dLbl>
            <c:dLbl>
              <c:idx val="2"/>
              <c:layout>
                <c:manualLayout>
                  <c:x val="-6.9335431715882691E-3"/>
                  <c:y val="0"/>
                </c:manualLayout>
              </c:layout>
              <c:tx>
                <c:rich>
                  <a:bodyPr/>
                  <a:lstStyle/>
                  <a:p>
                    <a:r>
                      <a:rPr lang="en-US" altLang="en-US">
                        <a:latin typeface="微軟正黑體" pitchFamily="34" charset="-120"/>
                        <a:ea typeface="微軟正黑體" pitchFamily="34" charset="-120"/>
                      </a:rPr>
                      <a:t>5</a:t>
                    </a:r>
                    <a:r>
                      <a:rPr lang="en-US" altLang="zh-TW">
                        <a:latin typeface="微軟正黑體" pitchFamily="34" charset="-120"/>
                        <a:ea typeface="微軟正黑體" pitchFamily="34" charset="-120"/>
                      </a:rPr>
                      <a:t>3</a:t>
                    </a:r>
                    <a:r>
                      <a:rPr lang="en-US" altLang="en-US">
                        <a:latin typeface="微軟正黑體" pitchFamily="34" charset="-120"/>
                        <a:ea typeface="微軟正黑體" pitchFamily="34" charset="-120"/>
                      </a:rPr>
                      <a:t>.3 (5</a:t>
                    </a:r>
                    <a:r>
                      <a:rPr lang="en-US" altLang="zh-TW">
                        <a:latin typeface="微軟正黑體" pitchFamily="34" charset="-120"/>
                        <a:ea typeface="微軟正黑體" pitchFamily="34" charset="-120"/>
                      </a:rPr>
                      <a:t>1</a:t>
                    </a:r>
                    <a:r>
                      <a:rPr lang="en-US" altLang="en-US">
                        <a:latin typeface="微軟正黑體" pitchFamily="34" charset="-120"/>
                        <a:ea typeface="微軟正黑體" pitchFamily="34" charset="-120"/>
                      </a:rPr>
                      <a:t>.</a:t>
                    </a:r>
                    <a:r>
                      <a:rPr lang="en-US" altLang="zh-TW">
                        <a:latin typeface="微軟正黑體" pitchFamily="34" charset="-120"/>
                        <a:ea typeface="微軟正黑體" pitchFamily="34" charset="-120"/>
                      </a:rPr>
                      <a:t>0</a:t>
                    </a:r>
                    <a:r>
                      <a:rPr lang="en-US" altLang="en-US">
                        <a:latin typeface="微軟正黑體" pitchFamily="34" charset="-120"/>
                        <a:ea typeface="微軟正黑體" pitchFamily="34" charset="-120"/>
                      </a:rPr>
                      <a:t>%)</a:t>
                    </a:r>
                    <a:endParaRPr lang="en-US" altLang="en-US"/>
                  </a:p>
                </c:rich>
              </c:tx>
              <c:showLegendKey val="0"/>
              <c:showVal val="1"/>
              <c:showCatName val="0"/>
              <c:showSerName val="0"/>
              <c:showPercent val="0"/>
              <c:showBubbleSize val="0"/>
            </c:dLbl>
            <c:dLbl>
              <c:idx val="3"/>
              <c:tx>
                <c:rich>
                  <a:bodyPr/>
                  <a:lstStyle/>
                  <a:p>
                    <a:r>
                      <a:rPr lang="en-US" altLang="zh-TW">
                        <a:latin typeface="微軟正黑體" pitchFamily="34" charset="-120"/>
                        <a:ea typeface="微軟正黑體" pitchFamily="34" charset="-120"/>
                      </a:rPr>
                      <a:t>30</a:t>
                    </a:r>
                    <a:r>
                      <a:rPr lang="en-US" altLang="en-US">
                        <a:latin typeface="微軟正黑體" pitchFamily="34" charset="-120"/>
                        <a:ea typeface="微軟正黑體" pitchFamily="34" charset="-120"/>
                      </a:rPr>
                      <a:t>.</a:t>
                    </a:r>
                    <a:r>
                      <a:rPr lang="en-US" altLang="zh-TW">
                        <a:latin typeface="微軟正黑體" pitchFamily="34" charset="-120"/>
                        <a:ea typeface="微軟正黑體" pitchFamily="34" charset="-120"/>
                      </a:rPr>
                      <a:t>1</a:t>
                    </a:r>
                    <a:r>
                      <a:rPr lang="en-US" altLang="en-US">
                        <a:latin typeface="微軟正黑體" pitchFamily="34" charset="-120"/>
                        <a:ea typeface="微軟正黑體" pitchFamily="34" charset="-120"/>
                      </a:rPr>
                      <a:t> (50.</a:t>
                    </a:r>
                    <a:r>
                      <a:rPr lang="en-US" altLang="zh-TW">
                        <a:latin typeface="微軟正黑體" pitchFamily="34" charset="-120"/>
                        <a:ea typeface="微軟正黑體" pitchFamily="34" charset="-120"/>
                      </a:rPr>
                      <a:t>7</a:t>
                    </a:r>
                    <a:r>
                      <a:rPr lang="en-US" altLang="en-US">
                        <a:latin typeface="微軟正黑體" pitchFamily="34" charset="-120"/>
                        <a:ea typeface="微軟正黑體" pitchFamily="34" charset="-120"/>
                      </a:rPr>
                      <a:t>%)</a:t>
                    </a:r>
                    <a:endParaRPr lang="en-US" altLang="en-US"/>
                  </a:p>
                </c:rich>
              </c:tx>
              <c:showLegendKey val="0"/>
              <c:showVal val="1"/>
              <c:showCatName val="0"/>
              <c:showSerName val="0"/>
              <c:showPercent val="0"/>
              <c:showBubbleSize val="0"/>
            </c:dLbl>
            <c:txPr>
              <a:bodyPr/>
              <a:lstStyle/>
              <a:p>
                <a:pPr>
                  <a:defRPr>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工作表1!$A$2:$A$5</c:f>
              <c:strCache>
                <c:ptCount val="4"/>
                <c:pt idx="0">
                  <c:v>勞工保險</c:v>
                </c:pt>
                <c:pt idx="1">
                  <c:v>國民年金保險</c:v>
                </c:pt>
                <c:pt idx="2">
                  <c:v>農民健康保險</c:v>
                </c:pt>
                <c:pt idx="3">
                  <c:v>公教人員保險</c:v>
                </c:pt>
              </c:strCache>
            </c:strRef>
          </c:cat>
          <c:val>
            <c:numRef>
              <c:f>工作表1!$C$2:$C$5</c:f>
              <c:numCache>
                <c:formatCode>0.0_ </c:formatCode>
                <c:ptCount val="4"/>
                <c:pt idx="0">
                  <c:v>521</c:v>
                </c:pt>
                <c:pt idx="1">
                  <c:v>159.5</c:v>
                </c:pt>
                <c:pt idx="2">
                  <c:v>53.3</c:v>
                </c:pt>
                <c:pt idx="3">
                  <c:v>30.1</c:v>
                </c:pt>
              </c:numCache>
            </c:numRef>
          </c:val>
        </c:ser>
        <c:dLbls>
          <c:showLegendKey val="0"/>
          <c:showVal val="0"/>
          <c:showCatName val="0"/>
          <c:showSerName val="0"/>
          <c:showPercent val="0"/>
          <c:showBubbleSize val="0"/>
        </c:dLbls>
        <c:gapWidth val="150"/>
        <c:axId val="321672192"/>
        <c:axId val="262569984"/>
      </c:barChart>
      <c:catAx>
        <c:axId val="321672192"/>
        <c:scaling>
          <c:orientation val="minMax"/>
        </c:scaling>
        <c:delete val="0"/>
        <c:axPos val="l"/>
        <c:majorTickMark val="out"/>
        <c:minorTickMark val="none"/>
        <c:tickLblPos val="nextTo"/>
        <c:spPr>
          <a:ln>
            <a:noFill/>
          </a:ln>
        </c:spPr>
        <c:txPr>
          <a:bodyPr/>
          <a:lstStyle/>
          <a:p>
            <a:pPr>
              <a:defRPr>
                <a:latin typeface="微軟正黑體" pitchFamily="34" charset="-120"/>
                <a:ea typeface="微軟正黑體" pitchFamily="34" charset="-120"/>
              </a:defRPr>
            </a:pPr>
            <a:endParaRPr lang="zh-TW"/>
          </a:p>
        </c:txPr>
        <c:crossAx val="262569984"/>
        <c:crosses val="autoZero"/>
        <c:auto val="1"/>
        <c:lblAlgn val="ctr"/>
        <c:lblOffset val="100"/>
        <c:noMultiLvlLbl val="0"/>
      </c:catAx>
      <c:valAx>
        <c:axId val="262569984"/>
        <c:scaling>
          <c:orientation val="minMax"/>
        </c:scaling>
        <c:delete val="1"/>
        <c:axPos val="b"/>
        <c:majorGridlines>
          <c:spPr>
            <a:ln>
              <a:solidFill>
                <a:schemeClr val="bg1">
                  <a:lumMod val="85000"/>
                </a:schemeClr>
              </a:solidFill>
            </a:ln>
          </c:spPr>
        </c:majorGridlines>
        <c:numFmt formatCode="0_ " sourceLinked="0"/>
        <c:majorTickMark val="out"/>
        <c:minorTickMark val="none"/>
        <c:tickLblPos val="nextTo"/>
        <c:crossAx val="321672192"/>
        <c:crosses val="autoZero"/>
        <c:crossBetween val="between"/>
      </c:valAx>
    </c:plotArea>
    <c:legend>
      <c:legendPos val="t"/>
      <c:layout>
        <c:manualLayout>
          <c:xMode val="edge"/>
          <c:yMode val="edge"/>
          <c:x val="0.33017588947214932"/>
          <c:y val="2.6556777833385146E-2"/>
          <c:w val="0.26557396471274425"/>
          <c:h val="8.4835313126018538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00144274718493E-2"/>
          <c:y val="0.13948208204527551"/>
          <c:w val="0.81443230377480902"/>
          <c:h val="0.65101963042734501"/>
        </c:manualLayout>
      </c:layout>
      <c:lineChart>
        <c:grouping val="standard"/>
        <c:varyColors val="0"/>
        <c:ser>
          <c:idx val="0"/>
          <c:order val="0"/>
          <c:tx>
            <c:strRef>
              <c:f>'1.3各制度納保(參加)者投保薪資(提繳級距)及性別分布'!$B$3:$B$4</c:f>
              <c:strCache>
                <c:ptCount val="1"/>
                <c:pt idx="0">
                  <c:v>男</c:v>
                </c:pt>
              </c:strCache>
            </c:strRef>
          </c:tx>
          <c:marker>
            <c:symbol val="none"/>
          </c:marker>
          <c:cat>
            <c:strRef>
              <c:f>'1.3各制度納保(參加)者投保薪資(提繳級距)及性別分布'!$A$5:$A$25</c:f>
              <c:strCache>
                <c:ptCount val="21"/>
                <c:pt idx="0">
                  <c:v>   19,047元以下</c:v>
                </c:pt>
                <c:pt idx="1">
                  <c:v> 　　20,008元</c:v>
                </c:pt>
                <c:pt idx="2">
                  <c:v> 　　21,009元</c:v>
                </c:pt>
                <c:pt idx="3">
                  <c:v>22,000元</c:v>
                </c:pt>
                <c:pt idx="4">
                  <c:v> 　　23,100元</c:v>
                </c:pt>
                <c:pt idx="5">
                  <c:v>23,800元</c:v>
                </c:pt>
                <c:pt idx="6">
                  <c:v> 　　24,000元</c:v>
                </c:pt>
                <c:pt idx="7">
                  <c:v> 　　25,200元</c:v>
                </c:pt>
                <c:pt idx="8">
                  <c:v> 　　26,400元</c:v>
                </c:pt>
                <c:pt idx="9">
                  <c:v> 　　27,600元</c:v>
                </c:pt>
                <c:pt idx="10">
                  <c:v> 　　28,800元</c:v>
                </c:pt>
                <c:pt idx="11">
                  <c:v> 　　30,300元</c:v>
                </c:pt>
                <c:pt idx="12">
                  <c:v> 　　31,800元</c:v>
                </c:pt>
                <c:pt idx="13">
                  <c:v> 　　33,300元</c:v>
                </c:pt>
                <c:pt idx="14">
                  <c:v> 　　34,800元</c:v>
                </c:pt>
                <c:pt idx="15">
                  <c:v> 　　36,300元</c:v>
                </c:pt>
                <c:pt idx="16">
                  <c:v> 　　38,200元</c:v>
                </c:pt>
                <c:pt idx="17">
                  <c:v> 　　40,100元</c:v>
                </c:pt>
                <c:pt idx="18">
                  <c:v> 　　42,000元</c:v>
                </c:pt>
                <c:pt idx="19">
                  <c:v> 　　43,900元</c:v>
                </c:pt>
                <c:pt idx="20">
                  <c:v> 　　45,800元</c:v>
                </c:pt>
              </c:strCache>
            </c:strRef>
          </c:cat>
          <c:val>
            <c:numRef>
              <c:f>'1.3各制度納保(參加)者投保薪資(提繳級距)及性別分布'!$B$5:$B$25</c:f>
              <c:numCache>
                <c:formatCode>#,##0_ </c:formatCode>
                <c:ptCount val="21"/>
                <c:pt idx="0">
                  <c:v>231217</c:v>
                </c:pt>
                <c:pt idx="1">
                  <c:v>6118</c:v>
                </c:pt>
                <c:pt idx="2">
                  <c:v>4300</c:v>
                </c:pt>
                <c:pt idx="3" formatCode="#,##0">
                  <c:v>4446</c:v>
                </c:pt>
                <c:pt idx="4" formatCode="#,##0">
                  <c:v>5290</c:v>
                </c:pt>
                <c:pt idx="5" formatCode="#,##0">
                  <c:v>1426136</c:v>
                </c:pt>
                <c:pt idx="6" formatCode="#,##0">
                  <c:v>165665</c:v>
                </c:pt>
                <c:pt idx="7" formatCode="#,##0">
                  <c:v>129746</c:v>
                </c:pt>
                <c:pt idx="8" formatCode="#,##0">
                  <c:v>114755</c:v>
                </c:pt>
                <c:pt idx="9" formatCode="#,##0">
                  <c:v>111122</c:v>
                </c:pt>
                <c:pt idx="10" formatCode="#,##0">
                  <c:v>128222</c:v>
                </c:pt>
                <c:pt idx="11" formatCode="#,##0">
                  <c:v>212037</c:v>
                </c:pt>
                <c:pt idx="12" formatCode="#,##0">
                  <c:v>117488</c:v>
                </c:pt>
                <c:pt idx="13" formatCode="#,##0">
                  <c:v>144732</c:v>
                </c:pt>
                <c:pt idx="14" formatCode="#,##0">
                  <c:v>157192</c:v>
                </c:pt>
                <c:pt idx="15" formatCode="#,##0">
                  <c:v>150515</c:v>
                </c:pt>
                <c:pt idx="16" formatCode="#,##0">
                  <c:v>162491</c:v>
                </c:pt>
                <c:pt idx="17" formatCode="#,##0">
                  <c:v>139491</c:v>
                </c:pt>
                <c:pt idx="18" formatCode="#,##0">
                  <c:v>121000</c:v>
                </c:pt>
                <c:pt idx="19" formatCode="#,##0">
                  <c:v>150749</c:v>
                </c:pt>
                <c:pt idx="20" formatCode="#,##0">
                  <c:v>1662398</c:v>
                </c:pt>
              </c:numCache>
            </c:numRef>
          </c:val>
          <c:smooth val="0"/>
        </c:ser>
        <c:ser>
          <c:idx val="1"/>
          <c:order val="1"/>
          <c:tx>
            <c:strRef>
              <c:f>'1.3各制度納保(參加)者投保薪資(提繳級距)及性別分布'!$C$3:$C$4</c:f>
              <c:strCache>
                <c:ptCount val="1"/>
                <c:pt idx="0">
                  <c:v>女</c:v>
                </c:pt>
              </c:strCache>
            </c:strRef>
          </c:tx>
          <c:marker>
            <c:symbol val="none"/>
          </c:marker>
          <c:cat>
            <c:strRef>
              <c:f>'1.3各制度納保(參加)者投保薪資(提繳級距)及性別分布'!$A$5:$A$25</c:f>
              <c:strCache>
                <c:ptCount val="21"/>
                <c:pt idx="0">
                  <c:v>   19,047元以下</c:v>
                </c:pt>
                <c:pt idx="1">
                  <c:v> 　　20,008元</c:v>
                </c:pt>
                <c:pt idx="2">
                  <c:v> 　　21,009元</c:v>
                </c:pt>
                <c:pt idx="3">
                  <c:v>22,000元</c:v>
                </c:pt>
                <c:pt idx="4">
                  <c:v> 　　23,100元</c:v>
                </c:pt>
                <c:pt idx="5">
                  <c:v>23,800元</c:v>
                </c:pt>
                <c:pt idx="6">
                  <c:v> 　　24,000元</c:v>
                </c:pt>
                <c:pt idx="7">
                  <c:v> 　　25,200元</c:v>
                </c:pt>
                <c:pt idx="8">
                  <c:v> 　　26,400元</c:v>
                </c:pt>
                <c:pt idx="9">
                  <c:v> 　　27,600元</c:v>
                </c:pt>
                <c:pt idx="10">
                  <c:v> 　　28,800元</c:v>
                </c:pt>
                <c:pt idx="11">
                  <c:v> 　　30,300元</c:v>
                </c:pt>
                <c:pt idx="12">
                  <c:v> 　　31,800元</c:v>
                </c:pt>
                <c:pt idx="13">
                  <c:v> 　　33,300元</c:v>
                </c:pt>
                <c:pt idx="14">
                  <c:v> 　　34,800元</c:v>
                </c:pt>
                <c:pt idx="15">
                  <c:v> 　　36,300元</c:v>
                </c:pt>
                <c:pt idx="16">
                  <c:v> 　　38,200元</c:v>
                </c:pt>
                <c:pt idx="17">
                  <c:v> 　　40,100元</c:v>
                </c:pt>
                <c:pt idx="18">
                  <c:v> 　　42,000元</c:v>
                </c:pt>
                <c:pt idx="19">
                  <c:v> 　　43,900元</c:v>
                </c:pt>
                <c:pt idx="20">
                  <c:v> 　　45,800元</c:v>
                </c:pt>
              </c:strCache>
            </c:strRef>
          </c:cat>
          <c:val>
            <c:numRef>
              <c:f>'1.3各制度納保(參加)者投保薪資(提繳級距)及性別分布'!$C$5:$C$25</c:f>
              <c:numCache>
                <c:formatCode>#,##0_ </c:formatCode>
                <c:ptCount val="21"/>
                <c:pt idx="0">
                  <c:v>297312</c:v>
                </c:pt>
                <c:pt idx="1">
                  <c:v>8987</c:v>
                </c:pt>
                <c:pt idx="2">
                  <c:v>6939</c:v>
                </c:pt>
                <c:pt idx="3" formatCode="#,##0">
                  <c:v>7024</c:v>
                </c:pt>
                <c:pt idx="4" formatCode="#,##0">
                  <c:v>7641</c:v>
                </c:pt>
                <c:pt idx="5" formatCode="#,##0">
                  <c:v>1444901</c:v>
                </c:pt>
                <c:pt idx="6" formatCode="#,##0">
                  <c:v>199722</c:v>
                </c:pt>
                <c:pt idx="7" formatCode="#,##0">
                  <c:v>196612</c:v>
                </c:pt>
                <c:pt idx="8" formatCode="#,##0">
                  <c:v>177760</c:v>
                </c:pt>
                <c:pt idx="9" formatCode="#,##0">
                  <c:v>166581</c:v>
                </c:pt>
                <c:pt idx="10" formatCode="#,##0">
                  <c:v>180891</c:v>
                </c:pt>
                <c:pt idx="11" formatCode="#,##0">
                  <c:v>259913</c:v>
                </c:pt>
                <c:pt idx="12" formatCode="#,##0">
                  <c:v>145606</c:v>
                </c:pt>
                <c:pt idx="13" formatCode="#,##0">
                  <c:v>176716</c:v>
                </c:pt>
                <c:pt idx="14" formatCode="#,##0">
                  <c:v>165477</c:v>
                </c:pt>
                <c:pt idx="15" formatCode="#,##0">
                  <c:v>170848</c:v>
                </c:pt>
                <c:pt idx="16" formatCode="#,##0">
                  <c:v>180334</c:v>
                </c:pt>
                <c:pt idx="17" formatCode="#,##0">
                  <c:v>135329</c:v>
                </c:pt>
                <c:pt idx="18" formatCode="#,##0">
                  <c:v>111178</c:v>
                </c:pt>
                <c:pt idx="19" formatCode="#,##0">
                  <c:v>148441</c:v>
                </c:pt>
                <c:pt idx="20" formatCode="#,##0">
                  <c:v>1021623</c:v>
                </c:pt>
              </c:numCache>
            </c:numRef>
          </c:val>
          <c:smooth val="0"/>
        </c:ser>
        <c:dLbls>
          <c:showLegendKey val="0"/>
          <c:showVal val="0"/>
          <c:showCatName val="0"/>
          <c:showSerName val="0"/>
          <c:showPercent val="0"/>
          <c:showBubbleSize val="0"/>
        </c:dLbls>
        <c:marker val="1"/>
        <c:smooth val="0"/>
        <c:axId val="321671680"/>
        <c:axId val="262571712"/>
      </c:lineChart>
      <c:catAx>
        <c:axId val="321671680"/>
        <c:scaling>
          <c:orientation val="minMax"/>
        </c:scaling>
        <c:delete val="0"/>
        <c:axPos val="b"/>
        <c:majorTickMark val="out"/>
        <c:minorTickMark val="none"/>
        <c:tickLblPos val="nextTo"/>
        <c:crossAx val="262571712"/>
        <c:crosses val="autoZero"/>
        <c:auto val="1"/>
        <c:lblAlgn val="ctr"/>
        <c:lblOffset val="100"/>
        <c:noMultiLvlLbl val="0"/>
      </c:catAx>
      <c:valAx>
        <c:axId val="262571712"/>
        <c:scaling>
          <c:orientation val="minMax"/>
        </c:scaling>
        <c:delete val="0"/>
        <c:axPos val="l"/>
        <c:majorGridlines/>
        <c:numFmt formatCode="#,##0_ " sourceLinked="1"/>
        <c:majorTickMark val="out"/>
        <c:minorTickMark val="none"/>
        <c:tickLblPos val="nextTo"/>
        <c:crossAx val="321671680"/>
        <c:crosses val="autoZero"/>
        <c:crossBetween val="between"/>
      </c:valAx>
    </c:plotArea>
    <c:legend>
      <c:legendPos val="r"/>
      <c:layout>
        <c:manualLayout>
          <c:xMode val="edge"/>
          <c:yMode val="edge"/>
          <c:x val="0.11414005540974045"/>
          <c:y val="1.7304588263365474E-2"/>
          <c:w val="0.20562246395061012"/>
          <c:h val="0.1118448559465353"/>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546498485991911E-2"/>
          <c:y val="0.15622726585581165"/>
          <c:w val="0.85845800524934379"/>
          <c:h val="0.56873386797259495"/>
        </c:manualLayout>
      </c:layout>
      <c:lineChart>
        <c:grouping val="standard"/>
        <c:varyColors val="0"/>
        <c:ser>
          <c:idx val="0"/>
          <c:order val="0"/>
          <c:tx>
            <c:strRef>
              <c:f>'1.3各制度納保(參加)者投保薪資(提繳級距)及性別分布'!$J$4</c:f>
              <c:strCache>
                <c:ptCount val="1"/>
                <c:pt idx="0">
                  <c:v>男</c:v>
                </c:pt>
              </c:strCache>
            </c:strRef>
          </c:tx>
          <c:marker>
            <c:symbol val="none"/>
          </c:marker>
          <c:cat>
            <c:strRef>
              <c:f>'1.3各制度納保(參加)者投保薪資(提繳級距)及性別分布'!$I$5:$I$16</c:f>
              <c:strCache>
                <c:ptCount val="12"/>
                <c:pt idx="0">
                  <c:v>10,000以下</c:v>
                </c:pt>
                <c:pt idx="1">
                  <c:v>10,001-15,000</c:v>
                </c:pt>
                <c:pt idx="2">
                  <c:v>15,001-20,000</c:v>
                </c:pt>
                <c:pt idx="3">
                  <c:v>20,001-25,000</c:v>
                </c:pt>
                <c:pt idx="4">
                  <c:v>25,000-30,000</c:v>
                </c:pt>
                <c:pt idx="5">
                  <c:v>30,001-35,000</c:v>
                </c:pt>
                <c:pt idx="6">
                  <c:v>35,001-40,000</c:v>
                </c:pt>
                <c:pt idx="7">
                  <c:v>40,001-45,000</c:v>
                </c:pt>
                <c:pt idx="8">
                  <c:v>45,001-50,000</c:v>
                </c:pt>
                <c:pt idx="9">
                  <c:v>50,001-55,000</c:v>
                </c:pt>
                <c:pt idx="10">
                  <c:v>55,001-60,000</c:v>
                </c:pt>
                <c:pt idx="11">
                  <c:v>80,001以上</c:v>
                </c:pt>
              </c:strCache>
            </c:strRef>
          </c:cat>
          <c:val>
            <c:numRef>
              <c:f>'1.3各制度納保(參加)者投保薪資(提繳級距)及性別分布'!$J$5:$J$16</c:f>
              <c:numCache>
                <c:formatCode>#,##0</c:formatCode>
                <c:ptCount val="12"/>
                <c:pt idx="0" formatCode="General">
                  <c:v>0</c:v>
                </c:pt>
                <c:pt idx="1">
                  <c:v>5123</c:v>
                </c:pt>
                <c:pt idx="2">
                  <c:v>18225</c:v>
                </c:pt>
                <c:pt idx="3">
                  <c:v>31223</c:v>
                </c:pt>
                <c:pt idx="4">
                  <c:v>35435</c:v>
                </c:pt>
                <c:pt idx="5">
                  <c:v>36423</c:v>
                </c:pt>
                <c:pt idx="6">
                  <c:v>20976</c:v>
                </c:pt>
                <c:pt idx="7">
                  <c:v>65749</c:v>
                </c:pt>
                <c:pt idx="8">
                  <c:v>54121</c:v>
                </c:pt>
                <c:pt idx="9">
                  <c:v>15148</c:v>
                </c:pt>
                <c:pt idx="10">
                  <c:v>10712</c:v>
                </c:pt>
                <c:pt idx="11" formatCode="General">
                  <c:v>186</c:v>
                </c:pt>
              </c:numCache>
            </c:numRef>
          </c:val>
          <c:smooth val="0"/>
        </c:ser>
        <c:ser>
          <c:idx val="1"/>
          <c:order val="1"/>
          <c:tx>
            <c:strRef>
              <c:f>'1.3各制度納保(參加)者投保薪資(提繳級距)及性別分布'!$K$4</c:f>
              <c:strCache>
                <c:ptCount val="1"/>
                <c:pt idx="0">
                  <c:v>女</c:v>
                </c:pt>
              </c:strCache>
            </c:strRef>
          </c:tx>
          <c:marker>
            <c:symbol val="none"/>
          </c:marker>
          <c:cat>
            <c:strRef>
              <c:f>'1.3各制度納保(參加)者投保薪資(提繳級距)及性別分布'!$I$5:$I$16</c:f>
              <c:strCache>
                <c:ptCount val="12"/>
                <c:pt idx="0">
                  <c:v>10,000以下</c:v>
                </c:pt>
                <c:pt idx="1">
                  <c:v>10,001-15,000</c:v>
                </c:pt>
                <c:pt idx="2">
                  <c:v>15,001-20,000</c:v>
                </c:pt>
                <c:pt idx="3">
                  <c:v>20,001-25,000</c:v>
                </c:pt>
                <c:pt idx="4">
                  <c:v>25,000-30,000</c:v>
                </c:pt>
                <c:pt idx="5">
                  <c:v>30,001-35,000</c:v>
                </c:pt>
                <c:pt idx="6">
                  <c:v>35,001-40,000</c:v>
                </c:pt>
                <c:pt idx="7">
                  <c:v>40,001-45,000</c:v>
                </c:pt>
                <c:pt idx="8">
                  <c:v>45,001-50,000</c:v>
                </c:pt>
                <c:pt idx="9">
                  <c:v>50,001-55,000</c:v>
                </c:pt>
                <c:pt idx="10">
                  <c:v>55,001-60,000</c:v>
                </c:pt>
                <c:pt idx="11">
                  <c:v>80,001以上</c:v>
                </c:pt>
              </c:strCache>
            </c:strRef>
          </c:cat>
          <c:val>
            <c:numRef>
              <c:f>'1.3各制度納保(參加)者投保薪資(提繳級距)及性別分布'!$K$5:$K$16</c:f>
              <c:numCache>
                <c:formatCode>#,##0</c:formatCode>
                <c:ptCount val="12"/>
                <c:pt idx="0" formatCode="General">
                  <c:v>0</c:v>
                </c:pt>
                <c:pt idx="1">
                  <c:v>2450</c:v>
                </c:pt>
                <c:pt idx="2">
                  <c:v>9645</c:v>
                </c:pt>
                <c:pt idx="3">
                  <c:v>23578</c:v>
                </c:pt>
                <c:pt idx="4">
                  <c:v>36252</c:v>
                </c:pt>
                <c:pt idx="5">
                  <c:v>46907</c:v>
                </c:pt>
                <c:pt idx="6">
                  <c:v>30963</c:v>
                </c:pt>
                <c:pt idx="7">
                  <c:v>63142</c:v>
                </c:pt>
                <c:pt idx="8">
                  <c:v>75603</c:v>
                </c:pt>
                <c:pt idx="9">
                  <c:v>8694</c:v>
                </c:pt>
                <c:pt idx="10">
                  <c:v>3711</c:v>
                </c:pt>
                <c:pt idx="11" formatCode="General">
                  <c:v>80</c:v>
                </c:pt>
              </c:numCache>
            </c:numRef>
          </c:val>
          <c:smooth val="0"/>
        </c:ser>
        <c:dLbls>
          <c:showLegendKey val="0"/>
          <c:showVal val="0"/>
          <c:showCatName val="0"/>
          <c:showSerName val="0"/>
          <c:showPercent val="0"/>
          <c:showBubbleSize val="0"/>
        </c:dLbls>
        <c:marker val="1"/>
        <c:smooth val="0"/>
        <c:axId val="263966720"/>
        <c:axId val="262573440"/>
      </c:lineChart>
      <c:catAx>
        <c:axId val="263966720"/>
        <c:scaling>
          <c:orientation val="minMax"/>
        </c:scaling>
        <c:delete val="0"/>
        <c:axPos val="b"/>
        <c:majorTickMark val="out"/>
        <c:minorTickMark val="none"/>
        <c:tickLblPos val="nextTo"/>
        <c:crossAx val="262573440"/>
        <c:crosses val="autoZero"/>
        <c:auto val="1"/>
        <c:lblAlgn val="ctr"/>
        <c:lblOffset val="100"/>
        <c:noMultiLvlLbl val="0"/>
      </c:catAx>
      <c:valAx>
        <c:axId val="262573440"/>
        <c:scaling>
          <c:orientation val="minMax"/>
        </c:scaling>
        <c:delete val="0"/>
        <c:axPos val="l"/>
        <c:majorGridlines/>
        <c:numFmt formatCode="General" sourceLinked="1"/>
        <c:majorTickMark val="out"/>
        <c:minorTickMark val="none"/>
        <c:tickLblPos val="nextTo"/>
        <c:crossAx val="263966720"/>
        <c:crosses val="autoZero"/>
        <c:crossBetween val="between"/>
      </c:valAx>
    </c:plotArea>
    <c:legend>
      <c:legendPos val="r"/>
      <c:layout>
        <c:manualLayout>
          <c:xMode val="edge"/>
          <c:yMode val="edge"/>
          <c:x val="8.8519612131816861E-2"/>
          <c:y val="3.3711847767791702E-3"/>
          <c:w val="0.21951789880431613"/>
          <c:h val="0.16743438320209975"/>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微軟正黑體" pitchFamily="34" charset="-120"/>
                <a:ea typeface="微軟正黑體" pitchFamily="34" charset="-120"/>
              </a:defRPr>
            </a:pPr>
            <a:r>
              <a:rPr lang="en-US" altLang="zh-TW" dirty="0" smtClean="0">
                <a:latin typeface="微軟正黑體" pitchFamily="34" charset="-120"/>
                <a:ea typeface="微軟正黑體" pitchFamily="34" charset="-120"/>
              </a:rPr>
              <a:t>109</a:t>
            </a:r>
            <a:r>
              <a:rPr lang="zh-TW" altLang="en-US" dirty="0" smtClean="0">
                <a:latin typeface="微軟正黑體" pitchFamily="34" charset="-120"/>
                <a:ea typeface="微軟正黑體" pitchFamily="34" charset="-120"/>
              </a:rPr>
              <a:t>年</a:t>
            </a:r>
            <a:endParaRPr lang="zh-TW" altLang="en-US" dirty="0">
              <a:latin typeface="微軟正黑體" pitchFamily="34" charset="-120"/>
              <a:ea typeface="微軟正黑體" pitchFamily="34" charset="-120"/>
            </a:endParaRPr>
          </a:p>
        </c:rich>
      </c:tx>
      <c:layout>
        <c:manualLayout>
          <c:xMode val="edge"/>
          <c:yMode val="edge"/>
          <c:x val="0.55744584064297664"/>
          <c:y val="3.8962247707431154E-3"/>
        </c:manualLayout>
      </c:layout>
      <c:overlay val="0"/>
    </c:title>
    <c:autoTitleDeleted val="0"/>
    <c:plotArea>
      <c:layout>
        <c:manualLayout>
          <c:layoutTarget val="inner"/>
          <c:xMode val="edge"/>
          <c:yMode val="edge"/>
          <c:x val="0.26624045128687274"/>
          <c:y val="0.13957984251968503"/>
          <c:w val="0.52324989227092877"/>
          <c:h val="0.84138582677165352"/>
        </c:manualLayout>
      </c:layout>
      <c:pieChart>
        <c:varyColors val="1"/>
        <c:ser>
          <c:idx val="0"/>
          <c:order val="0"/>
          <c:tx>
            <c:strRef>
              <c:f>Sheet1!$B$1</c:f>
              <c:strCache>
                <c:ptCount val="1"/>
                <c:pt idx="0">
                  <c:v>109年</c:v>
                </c:pt>
              </c:strCache>
            </c:strRef>
          </c:tx>
          <c:spPr>
            <a:ln w="38100">
              <a:solidFill>
                <a:schemeClr val="bg1"/>
              </a:solidFill>
            </a:ln>
          </c:spPr>
          <c:explosion val="23"/>
          <c:dPt>
            <c:idx val="0"/>
            <c:bubble3D val="0"/>
            <c:explosion val="33"/>
            <c:spPr>
              <a:solidFill>
                <a:schemeClr val="accent6">
                  <a:lumMod val="60000"/>
                  <a:lumOff val="40000"/>
                </a:schemeClr>
              </a:solidFill>
              <a:ln w="31750">
                <a:solidFill>
                  <a:schemeClr val="bg1"/>
                </a:solidFill>
              </a:ln>
            </c:spPr>
          </c:dPt>
          <c:dPt>
            <c:idx val="3"/>
            <c:bubble3D val="0"/>
            <c:spPr>
              <a:solidFill>
                <a:schemeClr val="accent5">
                  <a:lumMod val="60000"/>
                  <a:lumOff val="40000"/>
                </a:schemeClr>
              </a:solidFill>
              <a:ln w="38100">
                <a:solidFill>
                  <a:schemeClr val="bg1"/>
                </a:solidFill>
              </a:ln>
            </c:spPr>
          </c:dPt>
          <c:dPt>
            <c:idx val="4"/>
            <c:bubble3D val="0"/>
            <c:spPr>
              <a:solidFill>
                <a:schemeClr val="accent4">
                  <a:lumMod val="60000"/>
                  <a:lumOff val="40000"/>
                </a:schemeClr>
              </a:solidFill>
              <a:ln w="38100">
                <a:solidFill>
                  <a:schemeClr val="bg1"/>
                </a:solidFill>
              </a:ln>
            </c:spPr>
          </c:dPt>
          <c:dLbls>
            <c:dLbl>
              <c:idx val="0"/>
              <c:layout>
                <c:manualLayout>
                  <c:x val="-0.15571655595843692"/>
                  <c:y val="-0.13225594694231785"/>
                </c:manualLayout>
              </c:layout>
              <c:tx>
                <c:rich>
                  <a:bodyPr/>
                  <a:lstStyle/>
                  <a:p>
                    <a:r>
                      <a:rPr lang="zh-TW" altLang="en-US" sz="1100" dirty="0" smtClean="0">
                        <a:latin typeface="微軟正黑體" pitchFamily="34" charset="-120"/>
                        <a:ea typeface="微軟正黑體" pitchFamily="34" charset="-120"/>
                      </a:rPr>
                      <a:t>勞</a:t>
                    </a:r>
                    <a:r>
                      <a:rPr lang="zh-TW" altLang="en-US" sz="1100" dirty="0" smtClean="0"/>
                      <a:t>工保險</a:t>
                    </a:r>
                    <a:r>
                      <a:rPr lang="en-US" altLang="zh-TW" sz="1100" dirty="0"/>
                      <a:t>
63.4%</a:t>
                    </a:r>
                    <a:endParaRPr lang="zh-TW" altLang="en-US" dirty="0"/>
                  </a:p>
                </c:rich>
              </c:tx>
              <c:showLegendKey val="0"/>
              <c:showVal val="0"/>
              <c:showCatName val="1"/>
              <c:showSerName val="0"/>
              <c:showPercent val="1"/>
              <c:showBubbleSize val="0"/>
            </c:dLbl>
            <c:dLbl>
              <c:idx val="1"/>
              <c:layout>
                <c:manualLayout>
                  <c:x val="3.3067379135056349E-2"/>
                  <c:y val="0"/>
                </c:manualLayout>
              </c:layout>
              <c:tx>
                <c:rich>
                  <a:bodyPr/>
                  <a:lstStyle/>
                  <a:p>
                    <a:r>
                      <a:rPr lang="zh-TW" altLang="en-US" sz="1100" smtClean="0"/>
                      <a:t>公教人員</a:t>
                    </a:r>
                    <a:endParaRPr lang="en-US" altLang="zh-TW" sz="1100" smtClean="0"/>
                  </a:p>
                  <a:p>
                    <a:r>
                      <a:rPr lang="zh-TW" altLang="en-US" sz="1100" smtClean="0"/>
                      <a:t>保險</a:t>
                    </a:r>
                    <a:r>
                      <a:rPr lang="zh-TW" altLang="en-US" sz="1100"/>
                      <a:t>
</a:t>
                    </a:r>
                    <a:r>
                      <a:rPr lang="en-US" altLang="zh-TW" sz="1100" dirty="0"/>
                      <a:t>4.1%</a:t>
                    </a:r>
                    <a:endParaRPr lang="zh-TW" altLang="en-US" dirty="0"/>
                  </a:p>
                </c:rich>
              </c:tx>
              <c:showLegendKey val="0"/>
              <c:showVal val="0"/>
              <c:showCatName val="1"/>
              <c:showSerName val="0"/>
              <c:showPercent val="1"/>
              <c:showBubbleSize val="0"/>
            </c:dLbl>
            <c:dLbl>
              <c:idx val="2"/>
              <c:tx>
                <c:rich>
                  <a:bodyPr/>
                  <a:lstStyle/>
                  <a:p>
                    <a:r>
                      <a:rPr lang="zh-TW" altLang="en-US" sz="1100" smtClean="0"/>
                      <a:t>農民健康保險</a:t>
                    </a:r>
                    <a:r>
                      <a:rPr lang="zh-TW" altLang="en-US" sz="1100"/>
                      <a:t>
</a:t>
                    </a:r>
                    <a:r>
                      <a:rPr lang="en-US" altLang="zh-TW" sz="1100"/>
                      <a:t>3.0</a:t>
                    </a:r>
                    <a:r>
                      <a:rPr lang="en-US" altLang="zh-TW" sz="1100" dirty="0"/>
                      <a:t>%</a:t>
                    </a:r>
                    <a:endParaRPr lang="zh-TW" altLang="en-US" dirty="0"/>
                  </a:p>
                </c:rich>
              </c:tx>
              <c:showLegendKey val="0"/>
              <c:showVal val="0"/>
              <c:showCatName val="1"/>
              <c:showSerName val="0"/>
              <c:showPercent val="1"/>
              <c:showBubbleSize val="0"/>
            </c:dLbl>
            <c:dLbl>
              <c:idx val="3"/>
              <c:layout>
                <c:manualLayout>
                  <c:x val="7.0495755683000455E-2"/>
                  <c:y val="4.8114007267726154E-2"/>
                </c:manualLayout>
              </c:layout>
              <c:tx>
                <c:rich>
                  <a:bodyPr/>
                  <a:lstStyle/>
                  <a:p>
                    <a:r>
                      <a:rPr lang="zh-TW" altLang="en-US" sz="1100" dirty="0"/>
                      <a:t>國民</a:t>
                    </a:r>
                    <a:r>
                      <a:rPr lang="zh-TW" altLang="en-US" sz="1100" dirty="0" smtClean="0"/>
                      <a:t>年金保險</a:t>
                    </a:r>
                    <a:r>
                      <a:rPr lang="zh-TW" altLang="en-US" sz="1100" dirty="0"/>
                      <a:t>
</a:t>
                    </a:r>
                    <a:r>
                      <a:rPr lang="en-US" altLang="zh-TW" sz="1100" dirty="0"/>
                      <a:t>21.9%</a:t>
                    </a:r>
                    <a:endParaRPr lang="en-US" altLang="zh-TW" dirty="0"/>
                  </a:p>
                </c:rich>
              </c:tx>
              <c:showLegendKey val="0"/>
              <c:showVal val="0"/>
              <c:showCatName val="1"/>
              <c:showSerName val="0"/>
              <c:showPercent val="1"/>
              <c:showBubbleSize val="0"/>
            </c:dLbl>
            <c:dLbl>
              <c:idx val="4"/>
              <c:layout>
                <c:manualLayout>
                  <c:x val="-2.9948290045833822E-2"/>
                  <c:y val="3.8501732283464568E-2"/>
                </c:manualLayout>
              </c:layout>
              <c:tx>
                <c:rich>
                  <a:bodyPr/>
                  <a:lstStyle/>
                  <a:p>
                    <a:r>
                      <a:rPr lang="zh-TW" altLang="en-US" sz="1100"/>
                      <a:t>其他
</a:t>
                    </a:r>
                    <a:r>
                      <a:rPr lang="en-US" altLang="zh-TW" sz="1100"/>
                      <a:t>7.6%</a:t>
                    </a:r>
                    <a:endParaRPr lang="zh-TW" altLang="en-US"/>
                  </a:p>
                </c:rich>
              </c:tx>
              <c:showLegendKey val="0"/>
              <c:showVal val="0"/>
              <c:showCatName val="1"/>
              <c:showSerName val="0"/>
              <c:showPercent val="1"/>
              <c:showBubbleSize val="0"/>
            </c:dLbl>
            <c:txPr>
              <a:bodyPr/>
              <a:lstStyle/>
              <a:p>
                <a:pPr>
                  <a:lnSpc>
                    <a:spcPts val="1500"/>
                  </a:lnSpc>
                  <a:defRPr sz="1100">
                    <a:latin typeface="微軟正黑體" pitchFamily="34" charset="-120"/>
                    <a:ea typeface="微軟正黑體" pitchFamily="34" charset="-120"/>
                  </a:defRPr>
                </a:pPr>
                <a:endParaRPr lang="zh-TW"/>
              </a:p>
            </c:txPr>
            <c:showLegendKey val="0"/>
            <c:showVal val="0"/>
            <c:showCatName val="1"/>
            <c:showSerName val="0"/>
            <c:showPercent val="1"/>
            <c:showBubbleSize val="0"/>
            <c:showLeaderLines val="1"/>
          </c:dLbls>
          <c:cat>
            <c:strRef>
              <c:f>Sheet1!$A$2:$A$6</c:f>
              <c:strCache>
                <c:ptCount val="5"/>
                <c:pt idx="0">
                  <c:v>勞工保險(扣除外勞)</c:v>
                </c:pt>
                <c:pt idx="1">
                  <c:v>公教人員保險</c:v>
                </c:pt>
                <c:pt idx="2">
                  <c:v>農民保險</c:v>
                </c:pt>
                <c:pt idx="3">
                  <c:v>國民年金</c:v>
                </c:pt>
                <c:pt idx="4">
                  <c:v>其他</c:v>
                </c:pt>
              </c:strCache>
            </c:strRef>
          </c:cat>
          <c:val>
            <c:numRef>
              <c:f>Sheet1!$B$2:$B$6</c:f>
              <c:numCache>
                <c:formatCode>0.0%</c:formatCode>
                <c:ptCount val="5"/>
                <c:pt idx="0">
                  <c:v>0.63436642728985981</c:v>
                </c:pt>
                <c:pt idx="1">
                  <c:v>4.0799250572832166E-2</c:v>
                </c:pt>
                <c:pt idx="2">
                  <c:v>2.9909154694060171E-2</c:v>
                </c:pt>
                <c:pt idx="3">
                  <c:v>0.21933024678106738</c:v>
                </c:pt>
                <c:pt idx="4">
                  <c:v>7.5594920662180431E-2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solidFill>
      <a:srgbClr val="9BBB59">
        <a:lumMod val="60000"/>
        <a:lumOff val="40000"/>
        <a:alpha val="31000"/>
      </a:srgbClr>
    </a:solidFill>
  </c:spPr>
  <c:txPr>
    <a:bodyPr/>
    <a:lstStyle/>
    <a:p>
      <a:pPr>
        <a:defRPr sz="1800"/>
      </a:pPr>
      <a:endParaRPr lang="zh-TW"/>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30613799349111"/>
          <c:y val="0.10997553831314164"/>
          <c:w val="0.65675747685945074"/>
          <c:h val="0.77779617659982836"/>
        </c:manualLayout>
      </c:layout>
      <c:barChart>
        <c:barDir val="bar"/>
        <c:grouping val="clustered"/>
        <c:varyColors val="0"/>
        <c:ser>
          <c:idx val="0"/>
          <c:order val="0"/>
          <c:tx>
            <c:strRef>
              <c:f>工作表1!$B$1</c:f>
              <c:strCache>
                <c:ptCount val="1"/>
                <c:pt idx="0">
                  <c:v>男</c:v>
                </c:pt>
              </c:strCache>
            </c:strRef>
          </c:tx>
          <c:spPr>
            <a:solidFill>
              <a:schemeClr val="accent5">
                <a:lumMod val="75000"/>
              </a:schemeClr>
            </a:solidFill>
            <a:effectLst/>
          </c:spPr>
          <c:invertIfNegative val="0"/>
          <c:dLbls>
            <c:dLbl>
              <c:idx val="0"/>
              <c:layout>
                <c:manualLayout>
                  <c:x val="-1.693235575330664E-16"/>
                  <c:y val="0"/>
                </c:manualLayout>
              </c:layout>
              <c:tx>
                <c:rich>
                  <a:bodyPr/>
                  <a:lstStyle/>
                  <a:p>
                    <a:r>
                      <a:rPr lang="en-US" altLang="en-US" sz="1000" dirty="0" smtClean="0">
                        <a:latin typeface="微軟正黑體" pitchFamily="34" charset="-120"/>
                        <a:ea typeface="微軟正黑體" pitchFamily="34" charset="-120"/>
                      </a:rPr>
                      <a:t>64.2 </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45.9%</a:t>
                    </a:r>
                    <a:r>
                      <a:rPr lang="zh-TW" altLang="en-US" sz="1000" dirty="0" smtClean="0">
                        <a:latin typeface="微軟正黑體" pitchFamily="34" charset="-120"/>
                        <a:ea typeface="微軟正黑體" pitchFamily="34" charset="-120"/>
                      </a:rPr>
                      <a:t>）</a:t>
                    </a:r>
                    <a:endParaRPr lang="en-US" altLang="en-US" dirty="0"/>
                  </a:p>
                </c:rich>
              </c:tx>
              <c:showLegendKey val="0"/>
              <c:showVal val="1"/>
              <c:showCatName val="0"/>
              <c:showSerName val="0"/>
              <c:showPercent val="0"/>
              <c:showBubbleSize val="0"/>
            </c:dLbl>
            <c:dLbl>
              <c:idx val="1"/>
              <c:tx>
                <c:rich>
                  <a:bodyPr/>
                  <a:lstStyle/>
                  <a:p>
                    <a:r>
                      <a:rPr lang="en-US" altLang="zh-TW" sz="1000" dirty="0" smtClean="0">
                        <a:latin typeface="微軟正黑體" pitchFamily="34" charset="-120"/>
                        <a:ea typeface="微軟正黑體" pitchFamily="34" charset="-120"/>
                      </a:rPr>
                      <a:t>52.9</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44.5%</a:t>
                    </a:r>
                    <a:r>
                      <a:rPr lang="zh-TW" altLang="en-US" sz="1000" dirty="0" smtClean="0">
                        <a:latin typeface="微軟正黑體" pitchFamily="34" charset="-120"/>
                        <a:ea typeface="微軟正黑體" pitchFamily="34" charset="-120"/>
                      </a:rPr>
                      <a:t>）</a:t>
                    </a:r>
                    <a:r>
                      <a:rPr lang="en-US" altLang="en-US" sz="10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2"/>
              <c:tx>
                <c:rich>
                  <a:bodyPr/>
                  <a:lstStyle/>
                  <a:p>
                    <a:r>
                      <a:rPr lang="en-US" altLang="zh-TW" sz="1000" dirty="0" smtClean="0">
                        <a:latin typeface="微軟正黑體" pitchFamily="34" charset="-120"/>
                        <a:ea typeface="微軟正黑體" pitchFamily="34" charset="-120"/>
                      </a:rPr>
                      <a:t>1.0</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62.5%</a:t>
                    </a:r>
                    <a:r>
                      <a:rPr lang="zh-TW" altLang="en-US" sz="1000" dirty="0" smtClean="0">
                        <a:latin typeface="微軟正黑體" pitchFamily="34" charset="-120"/>
                        <a:ea typeface="微軟正黑體" pitchFamily="34" charset="-120"/>
                      </a:rPr>
                      <a:t>）</a:t>
                    </a:r>
                    <a:endParaRPr lang="en-US" altLang="en-US" dirty="0"/>
                  </a:p>
                </c:rich>
              </c:tx>
              <c:showLegendKey val="0"/>
              <c:showVal val="1"/>
              <c:showCatName val="0"/>
              <c:showSerName val="0"/>
              <c:showPercent val="0"/>
              <c:showBubbleSize val="0"/>
            </c:dLbl>
            <c:dLbl>
              <c:idx val="3"/>
              <c:tx>
                <c:rich>
                  <a:bodyPr/>
                  <a:lstStyle/>
                  <a:p>
                    <a:r>
                      <a:rPr lang="en-US" altLang="zh-TW" sz="1000" dirty="0" smtClean="0">
                        <a:latin typeface="微軟正黑體" pitchFamily="34" charset="-120"/>
                        <a:ea typeface="微軟正黑體" pitchFamily="34" charset="-120"/>
                      </a:rPr>
                      <a:t>4.2</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50.0%</a:t>
                    </a:r>
                    <a:r>
                      <a:rPr lang="zh-TW" altLang="en-US" sz="1000" dirty="0" smtClean="0">
                        <a:latin typeface="微軟正黑體" pitchFamily="34" charset="-120"/>
                        <a:ea typeface="微軟正黑體" pitchFamily="34" charset="-120"/>
                      </a:rPr>
                      <a:t>）</a:t>
                    </a:r>
                    <a:r>
                      <a:rPr lang="en-US" altLang="en-US" sz="10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4"/>
              <c:tx>
                <c:rich>
                  <a:bodyPr/>
                  <a:lstStyle/>
                  <a:p>
                    <a:r>
                      <a:rPr lang="en-US" altLang="zh-TW" sz="1000" dirty="0" smtClean="0">
                        <a:latin typeface="微軟正黑體" pitchFamily="34" charset="-120"/>
                        <a:ea typeface="微軟正黑體" pitchFamily="34" charset="-120"/>
                      </a:rPr>
                      <a:t>0.9</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52.9</a:t>
                    </a:r>
                    <a:r>
                      <a:rPr lang="en-US" altLang="en-US" sz="1000" dirty="0" smtClean="0">
                        <a:latin typeface="微軟正黑體" pitchFamily="34" charset="-120"/>
                        <a:ea typeface="微軟正黑體" pitchFamily="34" charset="-120"/>
                      </a:rPr>
                      <a:t>%</a:t>
                    </a:r>
                    <a:r>
                      <a:rPr lang="zh-TW" altLang="en-US" sz="1000" dirty="0" smtClean="0">
                        <a:latin typeface="微軟正黑體" pitchFamily="34" charset="-120"/>
                        <a:ea typeface="微軟正黑體" pitchFamily="34" charset="-120"/>
                      </a:rPr>
                      <a:t>）</a:t>
                    </a:r>
                    <a:r>
                      <a:rPr lang="en-US" altLang="en-US" sz="10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5"/>
              <c:tx>
                <c:rich>
                  <a:bodyPr/>
                  <a:lstStyle/>
                  <a:p>
                    <a:r>
                      <a:rPr lang="en-US" altLang="zh-TW"/>
                      <a:t>1.0</a:t>
                    </a:r>
                    <a:r>
                      <a:rPr lang="zh-TW" altLang="en-US"/>
                      <a:t>（</a:t>
                    </a:r>
                    <a:r>
                      <a:rPr lang="en-US" altLang="zh-TW"/>
                      <a:t>62.5%</a:t>
                    </a:r>
                    <a:r>
                      <a:rPr lang="zh-TW" altLang="en-US"/>
                      <a:t>）</a:t>
                    </a:r>
                    <a:endParaRPr lang="en-US" altLang="en-US"/>
                  </a:p>
                </c:rich>
              </c:tx>
              <c:showLegendKey val="0"/>
              <c:showVal val="1"/>
              <c:showCatName val="0"/>
              <c:showSerName val="0"/>
              <c:showPercent val="0"/>
              <c:showBubbleSize val="0"/>
            </c:dLbl>
            <c:txPr>
              <a:bodyPr/>
              <a:lstStyle/>
              <a:p>
                <a:pPr>
                  <a:defRPr sz="1000">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工作表1!$A$2:$A$7</c:f>
              <c:strCache>
                <c:ptCount val="6"/>
                <c:pt idx="0">
                  <c:v>勞保老年年金</c:v>
                </c:pt>
                <c:pt idx="1">
                  <c:v>國保老年年金</c:v>
                </c:pt>
                <c:pt idx="2">
                  <c:v>公保養老年金</c:v>
                </c:pt>
                <c:pt idx="3">
                  <c:v>勞保一次請領老年給付</c:v>
                </c:pt>
                <c:pt idx="4">
                  <c:v>勞保老年一次金給付</c:v>
                </c:pt>
                <c:pt idx="5">
                  <c:v>公保一次養老給付</c:v>
                </c:pt>
              </c:strCache>
            </c:strRef>
          </c:cat>
          <c:val>
            <c:numRef>
              <c:f>工作表1!$B$2:$B$7</c:f>
              <c:numCache>
                <c:formatCode>0.0_ </c:formatCode>
                <c:ptCount val="6"/>
                <c:pt idx="0">
                  <c:v>64.2</c:v>
                </c:pt>
                <c:pt idx="1">
                  <c:v>52.9</c:v>
                </c:pt>
                <c:pt idx="2">
                  <c:v>1</c:v>
                </c:pt>
                <c:pt idx="3" formatCode="General">
                  <c:v>4.2</c:v>
                </c:pt>
                <c:pt idx="4">
                  <c:v>0.9</c:v>
                </c:pt>
                <c:pt idx="5">
                  <c:v>0.6</c:v>
                </c:pt>
              </c:numCache>
            </c:numRef>
          </c:val>
        </c:ser>
        <c:ser>
          <c:idx val="1"/>
          <c:order val="1"/>
          <c:tx>
            <c:strRef>
              <c:f>工作表1!$C$1</c:f>
              <c:strCache>
                <c:ptCount val="1"/>
                <c:pt idx="0">
                  <c:v>女</c:v>
                </c:pt>
              </c:strCache>
            </c:strRef>
          </c:tx>
          <c:spPr>
            <a:solidFill>
              <a:schemeClr val="accent2">
                <a:lumMod val="60000"/>
                <a:lumOff val="40000"/>
              </a:schemeClr>
            </a:solidFill>
            <a:effectLst/>
          </c:spPr>
          <c:invertIfNegative val="0"/>
          <c:dLbls>
            <c:dLbl>
              <c:idx val="0"/>
              <c:tx>
                <c:rich>
                  <a:bodyPr/>
                  <a:lstStyle/>
                  <a:p>
                    <a:r>
                      <a:rPr lang="en-US" altLang="zh-TW" sz="1000" dirty="0" smtClean="0">
                        <a:latin typeface="微軟正黑體" pitchFamily="34" charset="-120"/>
                        <a:ea typeface="微軟正黑體" pitchFamily="34" charset="-120"/>
                      </a:rPr>
                      <a:t>75.6</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54.1%</a:t>
                    </a:r>
                    <a:r>
                      <a:rPr lang="zh-TW" altLang="en-US" sz="1000" dirty="0" smtClean="0">
                        <a:latin typeface="微軟正黑體" pitchFamily="34" charset="-120"/>
                        <a:ea typeface="微軟正黑體" pitchFamily="34" charset="-120"/>
                      </a:rPr>
                      <a:t>）</a:t>
                    </a:r>
                    <a:r>
                      <a:rPr lang="en-US" altLang="en-US" sz="10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1"/>
              <c:tx>
                <c:rich>
                  <a:bodyPr/>
                  <a:lstStyle/>
                  <a:p>
                    <a:r>
                      <a:rPr lang="en-US" altLang="zh-TW" sz="1000" dirty="0" smtClean="0">
                        <a:latin typeface="微軟正黑體" pitchFamily="34" charset="-120"/>
                        <a:ea typeface="微軟正黑體" pitchFamily="34" charset="-120"/>
                      </a:rPr>
                      <a:t>66.1</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55</a:t>
                    </a:r>
                    <a:r>
                      <a:rPr lang="en-US" altLang="en-US" sz="1000" dirty="0" smtClean="0">
                        <a:latin typeface="微軟正黑體" pitchFamily="34" charset="-120"/>
                        <a:ea typeface="微軟正黑體" pitchFamily="34" charset="-120"/>
                      </a:rPr>
                      <a:t>.5%</a:t>
                    </a:r>
                    <a:r>
                      <a:rPr lang="zh-TW" altLang="en-US" sz="1000" dirty="0" smtClean="0">
                        <a:latin typeface="微軟正黑體" pitchFamily="34" charset="-120"/>
                        <a:ea typeface="微軟正黑體" pitchFamily="34" charset="-120"/>
                      </a:rPr>
                      <a:t>）</a:t>
                    </a:r>
                    <a:r>
                      <a:rPr lang="en-US" altLang="en-US" sz="10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2"/>
              <c:tx>
                <c:rich>
                  <a:bodyPr/>
                  <a:lstStyle/>
                  <a:p>
                    <a:r>
                      <a:rPr lang="en-US" altLang="zh-TW" sz="1000" dirty="0" smtClean="0">
                        <a:latin typeface="微軟正黑體" pitchFamily="34" charset="-120"/>
                        <a:ea typeface="微軟正黑體" pitchFamily="34" charset="-120"/>
                      </a:rPr>
                      <a:t>0.6</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37.5%</a:t>
                    </a:r>
                    <a:r>
                      <a:rPr lang="zh-TW" altLang="en-US" sz="1000" dirty="0" smtClean="0">
                        <a:latin typeface="微軟正黑體" pitchFamily="34" charset="-120"/>
                        <a:ea typeface="微軟正黑體" pitchFamily="34" charset="-120"/>
                      </a:rPr>
                      <a:t>）</a:t>
                    </a:r>
                    <a:endParaRPr lang="en-US" altLang="en-US" dirty="0"/>
                  </a:p>
                </c:rich>
              </c:tx>
              <c:showLegendKey val="0"/>
              <c:showVal val="1"/>
              <c:showCatName val="0"/>
              <c:showSerName val="0"/>
              <c:showPercent val="0"/>
              <c:showBubbleSize val="0"/>
            </c:dLbl>
            <c:dLbl>
              <c:idx val="3"/>
              <c:tx>
                <c:rich>
                  <a:bodyPr/>
                  <a:lstStyle/>
                  <a:p>
                    <a:r>
                      <a:rPr lang="en-US" altLang="zh-TW" sz="1000" dirty="0" smtClean="0">
                        <a:latin typeface="微軟正黑體" pitchFamily="34" charset="-120"/>
                        <a:ea typeface="微軟正黑體" pitchFamily="34" charset="-120"/>
                      </a:rPr>
                      <a:t>4.2</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50.0%</a:t>
                    </a:r>
                    <a:r>
                      <a:rPr lang="zh-TW" altLang="en-US" sz="1000" dirty="0" smtClean="0">
                        <a:latin typeface="微軟正黑體" pitchFamily="34" charset="-120"/>
                        <a:ea typeface="微軟正黑體" pitchFamily="34" charset="-120"/>
                      </a:rPr>
                      <a:t>）</a:t>
                    </a:r>
                    <a:r>
                      <a:rPr lang="en-US" altLang="en-US" sz="10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4"/>
              <c:tx>
                <c:rich>
                  <a:bodyPr/>
                  <a:lstStyle/>
                  <a:p>
                    <a:r>
                      <a:rPr lang="en-US" altLang="zh-TW" sz="1000" dirty="0" smtClean="0">
                        <a:latin typeface="微軟正黑體" pitchFamily="34" charset="-120"/>
                        <a:ea typeface="微軟正黑體" pitchFamily="34" charset="-120"/>
                      </a:rPr>
                      <a:t>0.8</a:t>
                    </a:r>
                    <a:r>
                      <a:rPr lang="zh-TW" altLang="en-US" sz="1000" dirty="0" smtClean="0">
                        <a:latin typeface="微軟正黑體" pitchFamily="34" charset="-120"/>
                        <a:ea typeface="微軟正黑體" pitchFamily="34" charset="-120"/>
                      </a:rPr>
                      <a:t>（</a:t>
                    </a:r>
                    <a:r>
                      <a:rPr lang="en-US" altLang="zh-TW" sz="1000" dirty="0" smtClean="0">
                        <a:latin typeface="微軟正黑體" pitchFamily="34" charset="-120"/>
                        <a:ea typeface="微軟正黑體" pitchFamily="34" charset="-120"/>
                      </a:rPr>
                      <a:t>47.1%</a:t>
                    </a:r>
                    <a:r>
                      <a:rPr lang="zh-TW" altLang="en-US" sz="1000" dirty="0" smtClean="0">
                        <a:latin typeface="微軟正黑體" pitchFamily="34" charset="-120"/>
                        <a:ea typeface="微軟正黑體" pitchFamily="34" charset="-120"/>
                      </a:rPr>
                      <a:t>）</a:t>
                    </a:r>
                    <a:r>
                      <a:rPr lang="en-US" altLang="en-US" sz="10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5"/>
              <c:tx>
                <c:rich>
                  <a:bodyPr/>
                  <a:lstStyle/>
                  <a:p>
                    <a:r>
                      <a:rPr lang="en-US" altLang="en-US"/>
                      <a:t>0.</a:t>
                    </a:r>
                    <a:r>
                      <a:rPr lang="en-US" altLang="zh-TW"/>
                      <a:t>6</a:t>
                    </a:r>
                    <a:r>
                      <a:rPr lang="zh-TW" altLang="en-US"/>
                      <a:t>（</a:t>
                    </a:r>
                    <a:r>
                      <a:rPr lang="en-US" altLang="zh-TW"/>
                      <a:t>37.5%)</a:t>
                    </a:r>
                    <a:r>
                      <a:rPr lang="zh-TW" altLang="en-US"/>
                      <a:t>）</a:t>
                    </a:r>
                    <a:endParaRPr lang="en-US" altLang="en-US"/>
                  </a:p>
                </c:rich>
              </c:tx>
              <c:showLegendKey val="0"/>
              <c:showVal val="1"/>
              <c:showCatName val="0"/>
              <c:showSerName val="0"/>
              <c:showPercent val="0"/>
              <c:showBubbleSize val="0"/>
            </c:dLbl>
            <c:txPr>
              <a:bodyPr/>
              <a:lstStyle/>
              <a:p>
                <a:pPr>
                  <a:defRPr sz="1000">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工作表1!$A$2:$A$7</c:f>
              <c:strCache>
                <c:ptCount val="6"/>
                <c:pt idx="0">
                  <c:v>勞保老年年金</c:v>
                </c:pt>
                <c:pt idx="1">
                  <c:v>國保老年年金</c:v>
                </c:pt>
                <c:pt idx="2">
                  <c:v>公保養老年金</c:v>
                </c:pt>
                <c:pt idx="3">
                  <c:v>勞保一次請領老年給付</c:v>
                </c:pt>
                <c:pt idx="4">
                  <c:v>勞保老年一次金給付</c:v>
                </c:pt>
                <c:pt idx="5">
                  <c:v>公保一次養老給付</c:v>
                </c:pt>
              </c:strCache>
            </c:strRef>
          </c:cat>
          <c:val>
            <c:numRef>
              <c:f>工作表1!$C$2:$C$7</c:f>
              <c:numCache>
                <c:formatCode>0.0_ </c:formatCode>
                <c:ptCount val="6"/>
                <c:pt idx="0">
                  <c:v>75.599999999999994</c:v>
                </c:pt>
                <c:pt idx="1">
                  <c:v>66.099999999999994</c:v>
                </c:pt>
                <c:pt idx="2">
                  <c:v>0.6</c:v>
                </c:pt>
                <c:pt idx="3" formatCode="General">
                  <c:v>4.2</c:v>
                </c:pt>
                <c:pt idx="4">
                  <c:v>0.8</c:v>
                </c:pt>
                <c:pt idx="5">
                  <c:v>0.4</c:v>
                </c:pt>
              </c:numCache>
            </c:numRef>
          </c:val>
        </c:ser>
        <c:dLbls>
          <c:showLegendKey val="0"/>
          <c:showVal val="0"/>
          <c:showCatName val="0"/>
          <c:showSerName val="0"/>
          <c:showPercent val="0"/>
          <c:showBubbleSize val="0"/>
        </c:dLbls>
        <c:gapWidth val="150"/>
        <c:axId val="263967744"/>
        <c:axId val="262575168"/>
      </c:barChart>
      <c:catAx>
        <c:axId val="263967744"/>
        <c:scaling>
          <c:orientation val="minMax"/>
        </c:scaling>
        <c:delete val="0"/>
        <c:axPos val="l"/>
        <c:majorTickMark val="out"/>
        <c:minorTickMark val="none"/>
        <c:tickLblPos val="nextTo"/>
        <c:spPr>
          <a:ln>
            <a:noFill/>
          </a:ln>
        </c:spPr>
        <c:txPr>
          <a:bodyPr/>
          <a:lstStyle/>
          <a:p>
            <a:pPr>
              <a:defRPr>
                <a:latin typeface="微軟正黑體" pitchFamily="34" charset="-120"/>
                <a:ea typeface="微軟正黑體" pitchFamily="34" charset="-120"/>
              </a:defRPr>
            </a:pPr>
            <a:endParaRPr lang="zh-TW"/>
          </a:p>
        </c:txPr>
        <c:crossAx val="262575168"/>
        <c:crosses val="autoZero"/>
        <c:auto val="1"/>
        <c:lblAlgn val="ctr"/>
        <c:lblOffset val="100"/>
        <c:noMultiLvlLbl val="0"/>
      </c:catAx>
      <c:valAx>
        <c:axId val="262575168"/>
        <c:scaling>
          <c:orientation val="minMax"/>
        </c:scaling>
        <c:delete val="1"/>
        <c:axPos val="b"/>
        <c:majorGridlines>
          <c:spPr>
            <a:ln>
              <a:solidFill>
                <a:schemeClr val="bg1">
                  <a:lumMod val="85000"/>
                </a:schemeClr>
              </a:solidFill>
            </a:ln>
          </c:spPr>
        </c:majorGridlines>
        <c:numFmt formatCode="0_ " sourceLinked="0"/>
        <c:majorTickMark val="out"/>
        <c:minorTickMark val="none"/>
        <c:tickLblPos val="nextTo"/>
        <c:crossAx val="263967744"/>
        <c:crosses val="autoZero"/>
        <c:crossBetween val="between"/>
      </c:valAx>
    </c:plotArea>
    <c:legend>
      <c:legendPos val="t"/>
      <c:layout>
        <c:manualLayout>
          <c:xMode val="edge"/>
          <c:yMode val="edge"/>
          <c:x val="0.43285688247302423"/>
          <c:y val="2.403846153846154E-2"/>
          <c:w val="0.18521197871099448"/>
          <c:h val="8.2085667777104784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100"/>
      </a:pPr>
      <a:endParaRPr lang="zh-TW"/>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工作表1!$B$1</c:f>
              <c:strCache>
                <c:ptCount val="1"/>
                <c:pt idx="0">
                  <c:v>男</c:v>
                </c:pt>
              </c:strCache>
            </c:strRef>
          </c:tx>
          <c:spPr>
            <a:ln w="25400">
              <a:solidFill>
                <a:schemeClr val="bg1"/>
              </a:solidFill>
            </a:ln>
            <a:effectLst>
              <a:outerShdw blurRad="50800" dist="38100" dir="10800000" algn="r" rotWithShape="0">
                <a:prstClr val="black">
                  <a:alpha val="40000"/>
                </a:prstClr>
              </a:outerShdw>
            </a:effectLst>
          </c:spPr>
          <c:invertIfNegative val="0"/>
          <c:dPt>
            <c:idx val="0"/>
            <c:invertIfNegative val="0"/>
            <c:bubble3D val="0"/>
            <c:spPr>
              <a:solidFill>
                <a:schemeClr val="accent1">
                  <a:lumMod val="60000"/>
                  <a:lumOff val="40000"/>
                </a:schemeClr>
              </a:solidFill>
              <a:ln w="25400">
                <a:solidFill>
                  <a:schemeClr val="bg1"/>
                </a:solidFill>
              </a:ln>
              <a:effectLst>
                <a:outerShdw blurRad="50800" dist="38100" dir="10800000" algn="r" rotWithShape="0">
                  <a:prstClr val="black">
                    <a:alpha val="40000"/>
                  </a:prstClr>
                </a:outerShdw>
              </a:effectLst>
            </c:spPr>
          </c:dPt>
          <c:dPt>
            <c:idx val="1"/>
            <c:invertIfNegative val="0"/>
            <c:bubble3D val="0"/>
            <c:spPr>
              <a:solidFill>
                <a:schemeClr val="accent1">
                  <a:lumMod val="60000"/>
                  <a:lumOff val="40000"/>
                </a:schemeClr>
              </a:solidFill>
              <a:ln w="25400">
                <a:solidFill>
                  <a:schemeClr val="bg1"/>
                </a:solidFill>
              </a:ln>
              <a:effectLst>
                <a:outerShdw blurRad="50800" dist="38100" dir="10800000" algn="r" rotWithShape="0">
                  <a:prstClr val="black">
                    <a:alpha val="40000"/>
                  </a:prstClr>
                </a:outerShdw>
              </a:effectLst>
            </c:spPr>
          </c:dPt>
          <c:dPt>
            <c:idx val="2"/>
            <c:invertIfNegative val="0"/>
            <c:bubble3D val="0"/>
            <c:spPr>
              <a:solidFill>
                <a:schemeClr val="accent1">
                  <a:lumMod val="60000"/>
                  <a:lumOff val="40000"/>
                </a:schemeClr>
              </a:solidFill>
              <a:ln w="25400">
                <a:solidFill>
                  <a:schemeClr val="bg1"/>
                </a:solidFill>
              </a:ln>
              <a:effectLst>
                <a:outerShdw blurRad="50800" dist="38100" dir="10800000" algn="r" rotWithShape="0">
                  <a:prstClr val="black">
                    <a:alpha val="40000"/>
                  </a:prstClr>
                </a:outerShdw>
              </a:effectLst>
            </c:spPr>
          </c:dPt>
          <c:dLbls>
            <c:dLbl>
              <c:idx val="2"/>
              <c:layout>
                <c:manualLayout>
                  <c:x val="0"/>
                  <c:y val="1.618137065553025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工作表1!$A$2:$A$4</c:f>
              <c:strCache>
                <c:ptCount val="3"/>
                <c:pt idx="0">
                  <c:v>勞保老年年金</c:v>
                </c:pt>
                <c:pt idx="1">
                  <c:v>公保養老年金</c:v>
                </c:pt>
                <c:pt idx="2">
                  <c:v>國保老年年金</c:v>
                </c:pt>
              </c:strCache>
            </c:strRef>
          </c:cat>
          <c:val>
            <c:numRef>
              <c:f>工作表1!$B$2:$B$4</c:f>
              <c:numCache>
                <c:formatCode>#,##0_);[Red]\(#,##0\)</c:formatCode>
                <c:ptCount val="3"/>
                <c:pt idx="0">
                  <c:v>18854</c:v>
                </c:pt>
                <c:pt idx="1">
                  <c:v>18308</c:v>
                </c:pt>
                <c:pt idx="2">
                  <c:v>3709.0550049947783</c:v>
                </c:pt>
              </c:numCache>
            </c:numRef>
          </c:val>
        </c:ser>
        <c:ser>
          <c:idx val="1"/>
          <c:order val="1"/>
          <c:tx>
            <c:strRef>
              <c:f>工作表1!$C$1</c:f>
              <c:strCache>
                <c:ptCount val="1"/>
                <c:pt idx="0">
                  <c:v>女</c:v>
                </c:pt>
              </c:strCache>
            </c:strRef>
          </c:tx>
          <c:spPr>
            <a:solidFill>
              <a:schemeClr val="accent6">
                <a:lumMod val="60000"/>
                <a:lumOff val="40000"/>
              </a:schemeClr>
            </a:solidFill>
            <a:ln w="25400">
              <a:solidFill>
                <a:schemeClr val="bg1"/>
              </a:solidFill>
            </a:ln>
            <a:effectLst>
              <a:outerShdw blurRad="50800" dist="38100" dir="10800000" algn="r" rotWithShape="0">
                <a:prstClr val="black">
                  <a:alpha val="40000"/>
                </a:prstClr>
              </a:outerShdw>
            </a:effectLst>
          </c:spPr>
          <c:invertIfNegative val="0"/>
          <c:dLbls>
            <c:dLbl>
              <c:idx val="0"/>
              <c:layout>
                <c:manualLayout>
                  <c:x val="3.1218993304788525E-2"/>
                  <c:y val="-2.696895109255068E-3"/>
                </c:manualLayout>
              </c:layout>
              <c:showLegendKey val="0"/>
              <c:showVal val="1"/>
              <c:showCatName val="0"/>
              <c:showSerName val="0"/>
              <c:showPercent val="0"/>
              <c:showBubbleSize val="0"/>
            </c:dLbl>
            <c:dLbl>
              <c:idx val="1"/>
              <c:layout>
                <c:manualLayout>
                  <c:x val="2.5542812703917905E-2"/>
                  <c:y val="-2.6968951092550433E-3"/>
                </c:manualLayout>
              </c:layout>
              <c:showLegendKey val="0"/>
              <c:showVal val="1"/>
              <c:showCatName val="0"/>
              <c:showSerName val="0"/>
              <c:showPercent val="0"/>
              <c:showBubbleSize val="0"/>
            </c:dLbl>
            <c:dLbl>
              <c:idx val="2"/>
              <c:layout>
                <c:manualLayout>
                  <c:x val="-8.5142709013059682E-3"/>
                  <c:y val="-3.505963642031556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工作表1!$A$2:$A$4</c:f>
              <c:strCache>
                <c:ptCount val="3"/>
                <c:pt idx="0">
                  <c:v>勞保老年年金</c:v>
                </c:pt>
                <c:pt idx="1">
                  <c:v>公保養老年金</c:v>
                </c:pt>
                <c:pt idx="2">
                  <c:v>國保老年年金</c:v>
                </c:pt>
              </c:strCache>
            </c:strRef>
          </c:cat>
          <c:val>
            <c:numRef>
              <c:f>工作表1!$C$2:$C$4</c:f>
              <c:numCache>
                <c:formatCode>#,##0_);[Red]\(#,##0\)</c:formatCode>
                <c:ptCount val="3"/>
                <c:pt idx="0">
                  <c:v>16640</c:v>
                </c:pt>
                <c:pt idx="1">
                  <c:v>16118</c:v>
                </c:pt>
                <c:pt idx="2">
                  <c:v>3977.9495291537178</c:v>
                </c:pt>
              </c:numCache>
            </c:numRef>
          </c:val>
        </c:ser>
        <c:dLbls>
          <c:showLegendKey val="0"/>
          <c:showVal val="0"/>
          <c:showCatName val="0"/>
          <c:showSerName val="0"/>
          <c:showPercent val="0"/>
          <c:showBubbleSize val="0"/>
        </c:dLbls>
        <c:gapWidth val="150"/>
        <c:axId val="263969280"/>
        <c:axId val="262576896"/>
      </c:barChart>
      <c:catAx>
        <c:axId val="263969280"/>
        <c:scaling>
          <c:orientation val="minMax"/>
        </c:scaling>
        <c:delete val="0"/>
        <c:axPos val="b"/>
        <c:majorTickMark val="out"/>
        <c:minorTickMark val="none"/>
        <c:tickLblPos val="nextTo"/>
        <c:txPr>
          <a:bodyPr/>
          <a:lstStyle/>
          <a:p>
            <a:pPr>
              <a:defRPr>
                <a:latin typeface="微軟正黑體" pitchFamily="34" charset="-120"/>
                <a:ea typeface="微軟正黑體" pitchFamily="34" charset="-120"/>
              </a:defRPr>
            </a:pPr>
            <a:endParaRPr lang="zh-TW"/>
          </a:p>
        </c:txPr>
        <c:crossAx val="262576896"/>
        <c:crosses val="autoZero"/>
        <c:auto val="1"/>
        <c:lblAlgn val="ctr"/>
        <c:lblOffset val="100"/>
        <c:noMultiLvlLbl val="0"/>
      </c:catAx>
      <c:valAx>
        <c:axId val="262576896"/>
        <c:scaling>
          <c:orientation val="minMax"/>
        </c:scaling>
        <c:delete val="1"/>
        <c:axPos val="l"/>
        <c:majorGridlines>
          <c:spPr>
            <a:ln>
              <a:solidFill>
                <a:schemeClr val="bg1">
                  <a:lumMod val="85000"/>
                </a:schemeClr>
              </a:solidFill>
            </a:ln>
          </c:spPr>
        </c:majorGridlines>
        <c:numFmt formatCode="#,##0_);[Red]\(#,##0\)" sourceLinked="1"/>
        <c:majorTickMark val="out"/>
        <c:minorTickMark val="none"/>
        <c:tickLblPos val="nextTo"/>
        <c:crossAx val="263969280"/>
        <c:crosses val="autoZero"/>
        <c:crossBetween val="between"/>
        <c:majorUnit val="5000"/>
      </c:valAx>
    </c:plotArea>
    <c:legend>
      <c:legendPos val="t"/>
      <c:layout>
        <c:manualLayout>
          <c:xMode val="edge"/>
          <c:yMode val="edge"/>
          <c:x val="0.29312671308951849"/>
          <c:y val="1.987281399046105E-2"/>
          <c:w val="0.24587527514994409"/>
          <c:h val="7.6180163489102809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487344667599945E-2"/>
          <c:y val="0.11174234501188014"/>
          <c:w val="0.87836432540695508"/>
          <c:h val="0.75212977066391296"/>
        </c:manualLayout>
      </c:layout>
      <c:barChart>
        <c:barDir val="col"/>
        <c:grouping val="clustered"/>
        <c:varyColors val="0"/>
        <c:ser>
          <c:idx val="0"/>
          <c:order val="0"/>
          <c:tx>
            <c:strRef>
              <c:f>工作表1!$B$1</c:f>
              <c:strCache>
                <c:ptCount val="1"/>
                <c:pt idx="0">
                  <c:v>男</c:v>
                </c:pt>
              </c:strCache>
            </c:strRef>
          </c:tx>
          <c:spPr>
            <a:ln w="25400">
              <a:solidFill>
                <a:schemeClr val="bg1"/>
              </a:solidFill>
            </a:ln>
            <a:effectLst>
              <a:outerShdw blurRad="50800" dist="38100" dir="10800000" algn="r" rotWithShape="0">
                <a:prstClr val="black">
                  <a:alpha val="40000"/>
                </a:prstClr>
              </a:outerShdw>
            </a:effectLst>
          </c:spPr>
          <c:invertIfNegative val="0"/>
          <c:dPt>
            <c:idx val="0"/>
            <c:invertIfNegative val="0"/>
            <c:bubble3D val="0"/>
            <c:spPr>
              <a:solidFill>
                <a:schemeClr val="accent1">
                  <a:lumMod val="60000"/>
                  <a:lumOff val="40000"/>
                </a:schemeClr>
              </a:solidFill>
              <a:ln w="25400">
                <a:solidFill>
                  <a:schemeClr val="bg1"/>
                </a:solidFill>
              </a:ln>
              <a:effectLst>
                <a:outerShdw blurRad="50800" dist="38100" dir="10800000" algn="r" rotWithShape="0">
                  <a:prstClr val="black">
                    <a:alpha val="40000"/>
                  </a:prstClr>
                </a:outerShdw>
              </a:effectLst>
            </c:spPr>
          </c:dPt>
          <c:dPt>
            <c:idx val="1"/>
            <c:invertIfNegative val="0"/>
            <c:bubble3D val="0"/>
            <c:spPr>
              <a:solidFill>
                <a:schemeClr val="accent1">
                  <a:lumMod val="60000"/>
                  <a:lumOff val="40000"/>
                </a:schemeClr>
              </a:solidFill>
              <a:ln w="25400">
                <a:solidFill>
                  <a:schemeClr val="bg1"/>
                </a:solidFill>
              </a:ln>
              <a:effectLst>
                <a:outerShdw blurRad="50800" dist="38100" dir="10800000" algn="r" rotWithShape="0">
                  <a:prstClr val="black">
                    <a:alpha val="40000"/>
                  </a:prstClr>
                </a:outerShdw>
              </a:effectLst>
            </c:spPr>
          </c:dPt>
          <c:dPt>
            <c:idx val="2"/>
            <c:invertIfNegative val="0"/>
            <c:bubble3D val="0"/>
            <c:spPr>
              <a:solidFill>
                <a:schemeClr val="accent1">
                  <a:lumMod val="60000"/>
                  <a:lumOff val="40000"/>
                </a:schemeClr>
              </a:solidFill>
              <a:ln w="25400">
                <a:solidFill>
                  <a:schemeClr val="bg1"/>
                </a:solidFill>
              </a:ln>
              <a:effectLst>
                <a:outerShdw blurRad="50800" dist="38100" dir="10800000" algn="r" rotWithShape="0">
                  <a:prstClr val="black">
                    <a:alpha val="40000"/>
                  </a:prstClr>
                </a:outerShdw>
              </a:effectLst>
            </c:spPr>
          </c:dPt>
          <c:dLbls>
            <c:dLbl>
              <c:idx val="0"/>
              <c:layout>
                <c:manualLayout>
                  <c:x val="-1.2882328044156136E-2"/>
                  <c:y val="1.3127854274615415E-2"/>
                </c:manualLayout>
              </c:layout>
              <c:showLegendKey val="0"/>
              <c:showVal val="1"/>
              <c:showCatName val="0"/>
              <c:showSerName val="0"/>
              <c:showPercent val="0"/>
              <c:showBubbleSize val="0"/>
            </c:dLbl>
            <c:dLbl>
              <c:idx val="1"/>
              <c:layout>
                <c:manualLayout>
                  <c:x val="-2.3208230040338333E-2"/>
                  <c:y val="1.246663767742415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工作表1!$A$2:$A$3</c:f>
              <c:strCache>
                <c:ptCount val="2"/>
                <c:pt idx="0">
                  <c:v>公保一次養老給付</c:v>
                </c:pt>
                <c:pt idx="1">
                  <c:v>勞保一次請領老年給付</c:v>
                </c:pt>
              </c:strCache>
            </c:strRef>
          </c:cat>
          <c:val>
            <c:numRef>
              <c:f>工作表1!$B$2:$B$3</c:f>
              <c:numCache>
                <c:formatCode>#,##0.0_ </c:formatCode>
                <c:ptCount val="2"/>
                <c:pt idx="0">
                  <c:v>155.19999999999999</c:v>
                </c:pt>
                <c:pt idx="1">
                  <c:v>141.69999999999999</c:v>
                </c:pt>
              </c:numCache>
            </c:numRef>
          </c:val>
        </c:ser>
        <c:ser>
          <c:idx val="1"/>
          <c:order val="1"/>
          <c:tx>
            <c:strRef>
              <c:f>工作表1!$C$1</c:f>
              <c:strCache>
                <c:ptCount val="1"/>
                <c:pt idx="0">
                  <c:v>女</c:v>
                </c:pt>
              </c:strCache>
            </c:strRef>
          </c:tx>
          <c:spPr>
            <a:solidFill>
              <a:schemeClr val="accent6">
                <a:lumMod val="60000"/>
                <a:lumOff val="40000"/>
              </a:schemeClr>
            </a:solidFill>
            <a:ln w="25400">
              <a:solidFill>
                <a:schemeClr val="bg1"/>
              </a:solidFill>
            </a:ln>
            <a:effectLst>
              <a:outerShdw blurRad="50800" dist="38100" dir="10800000" algn="r" rotWithShape="0">
                <a:prstClr val="black">
                  <a:alpha val="40000"/>
                </a:prstClr>
              </a:outerShdw>
            </a:effectLst>
          </c:spPr>
          <c:invertIfNegative val="0"/>
          <c:dLbls>
            <c:showLegendKey val="0"/>
            <c:showVal val="1"/>
            <c:showCatName val="0"/>
            <c:showSerName val="0"/>
            <c:showPercent val="0"/>
            <c:showBubbleSize val="0"/>
            <c:showLeaderLines val="0"/>
          </c:dLbls>
          <c:cat>
            <c:strRef>
              <c:f>工作表1!$A$2:$A$3</c:f>
              <c:strCache>
                <c:ptCount val="2"/>
                <c:pt idx="0">
                  <c:v>公保一次養老給付</c:v>
                </c:pt>
                <c:pt idx="1">
                  <c:v>勞保一次請領老年給付</c:v>
                </c:pt>
              </c:strCache>
            </c:strRef>
          </c:cat>
          <c:val>
            <c:numRef>
              <c:f>工作表1!$C$2:$C$3</c:f>
              <c:numCache>
                <c:formatCode>#,##0.0_ </c:formatCode>
                <c:ptCount val="2"/>
                <c:pt idx="0">
                  <c:v>146.6</c:v>
                </c:pt>
                <c:pt idx="1">
                  <c:v>139</c:v>
                </c:pt>
              </c:numCache>
            </c:numRef>
          </c:val>
        </c:ser>
        <c:dLbls>
          <c:showLegendKey val="0"/>
          <c:showVal val="0"/>
          <c:showCatName val="0"/>
          <c:showSerName val="0"/>
          <c:showPercent val="0"/>
          <c:showBubbleSize val="0"/>
        </c:dLbls>
        <c:gapWidth val="201"/>
        <c:axId val="263967232"/>
        <c:axId val="279683648"/>
      </c:barChart>
      <c:catAx>
        <c:axId val="263967232"/>
        <c:scaling>
          <c:orientation val="minMax"/>
        </c:scaling>
        <c:delete val="0"/>
        <c:axPos val="b"/>
        <c:majorTickMark val="out"/>
        <c:minorTickMark val="none"/>
        <c:tickLblPos val="nextTo"/>
        <c:txPr>
          <a:bodyPr/>
          <a:lstStyle/>
          <a:p>
            <a:pPr>
              <a:defRPr sz="950">
                <a:latin typeface="微軟正黑體" pitchFamily="34" charset="-120"/>
                <a:ea typeface="微軟正黑體" pitchFamily="34" charset="-120"/>
              </a:defRPr>
            </a:pPr>
            <a:endParaRPr lang="zh-TW"/>
          </a:p>
        </c:txPr>
        <c:crossAx val="279683648"/>
        <c:crosses val="autoZero"/>
        <c:auto val="1"/>
        <c:lblAlgn val="ctr"/>
        <c:lblOffset val="100"/>
        <c:noMultiLvlLbl val="0"/>
      </c:catAx>
      <c:valAx>
        <c:axId val="279683648"/>
        <c:scaling>
          <c:orientation val="minMax"/>
          <c:max val="160"/>
          <c:min val="0"/>
        </c:scaling>
        <c:delete val="1"/>
        <c:axPos val="l"/>
        <c:majorGridlines>
          <c:spPr>
            <a:ln>
              <a:solidFill>
                <a:schemeClr val="bg1">
                  <a:lumMod val="85000"/>
                </a:schemeClr>
              </a:solidFill>
            </a:ln>
          </c:spPr>
        </c:majorGridlines>
        <c:numFmt formatCode="#,##0.0_ " sourceLinked="1"/>
        <c:majorTickMark val="out"/>
        <c:minorTickMark val="none"/>
        <c:tickLblPos val="nextTo"/>
        <c:crossAx val="263967232"/>
        <c:crosses val="autoZero"/>
        <c:crossBetween val="between"/>
        <c:majorUnit val="50"/>
      </c:valAx>
    </c:plotArea>
    <c:legend>
      <c:legendPos val="t"/>
      <c:layout>
        <c:manualLayout>
          <c:xMode val="edge"/>
          <c:yMode val="edge"/>
          <c:x val="0.34868452289160501"/>
          <c:y val="3.9872408293460922E-3"/>
          <c:w val="0.26276384979676015"/>
          <c:h val="7.6463805027663242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44003743271963"/>
          <c:y val="0.11535390678220614"/>
          <c:w val="0.62238136176268932"/>
          <c:h val="0.77241790520000875"/>
        </c:manualLayout>
      </c:layout>
      <c:barChart>
        <c:barDir val="bar"/>
        <c:grouping val="clustered"/>
        <c:varyColors val="0"/>
        <c:ser>
          <c:idx val="0"/>
          <c:order val="0"/>
          <c:tx>
            <c:strRef>
              <c:f>工作表1!$B$1</c:f>
              <c:strCache>
                <c:ptCount val="1"/>
                <c:pt idx="0">
                  <c:v>男</c:v>
                </c:pt>
              </c:strCache>
            </c:strRef>
          </c:tx>
          <c:spPr>
            <a:solidFill>
              <a:schemeClr val="accent5">
                <a:lumMod val="60000"/>
                <a:lumOff val="40000"/>
              </a:schemeClr>
            </a:solidFill>
            <a:effectLst/>
          </c:spPr>
          <c:invertIfNegative val="0"/>
          <c:dLbls>
            <c:dLbl>
              <c:idx val="0"/>
              <c:tx>
                <c:rich>
                  <a:bodyPr/>
                  <a:lstStyle/>
                  <a:p>
                    <a:r>
                      <a:rPr lang="en-US" altLang="en-US" dirty="0" smtClean="0">
                        <a:latin typeface="微軟正黑體" pitchFamily="34" charset="-120"/>
                        <a:ea typeface="微軟正黑體" pitchFamily="34" charset="-120"/>
                      </a:rPr>
                      <a:t>3</a:t>
                    </a:r>
                    <a:r>
                      <a:rPr lang="en-US" altLang="zh-TW" dirty="0" smtClean="0">
                        <a:latin typeface="微軟正黑體" pitchFamily="34" charset="-120"/>
                        <a:ea typeface="微軟正黑體" pitchFamily="34" charset="-120"/>
                      </a:rPr>
                      <a:t>56.1</a:t>
                    </a:r>
                    <a:r>
                      <a:rPr lang="zh-TW"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50.3%</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1"/>
              <c:tx>
                <c:rich>
                  <a:bodyPr/>
                  <a:lstStyle/>
                  <a:p>
                    <a:r>
                      <a:rPr lang="en-US" altLang="en-US" dirty="0" smtClean="0">
                        <a:latin typeface="微軟正黑體" pitchFamily="34" charset="-120"/>
                        <a:ea typeface="微軟正黑體" pitchFamily="34" charset="-120"/>
                      </a:rPr>
                      <a:t>1</a:t>
                    </a:r>
                    <a:r>
                      <a:rPr lang="en-US" altLang="zh-TW" dirty="0" smtClean="0">
                        <a:latin typeface="微軟正黑體" pitchFamily="34" charset="-120"/>
                        <a:ea typeface="微軟正黑體" pitchFamily="34" charset="-120"/>
                      </a:rPr>
                      <a:t>7</a:t>
                    </a:r>
                    <a:r>
                      <a:rPr lang="en-US"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6</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5</a:t>
                    </a:r>
                    <a:r>
                      <a:rPr lang="en-US" altLang="zh-TW" dirty="0" smtClean="0">
                        <a:latin typeface="微軟正黑體" pitchFamily="34" charset="-120"/>
                        <a:ea typeface="微軟正黑體" pitchFamily="34" charset="-120"/>
                      </a:rPr>
                      <a:t>7</a:t>
                    </a:r>
                    <a:r>
                      <a:rPr lang="en-US"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1</a:t>
                    </a:r>
                    <a:r>
                      <a:rPr lang="en-US" altLang="en-US" dirty="0" smtClean="0">
                        <a:latin typeface="微軟正黑體" pitchFamily="34" charset="-120"/>
                        <a:ea typeface="微軟正黑體" pitchFamily="34" charset="-120"/>
                      </a:rPr>
                      <a:t>%</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2"/>
              <c:tx>
                <c:rich>
                  <a:bodyPr/>
                  <a:lstStyle/>
                  <a:p>
                    <a:r>
                      <a:rPr lang="en-US" altLang="en-US" dirty="0" smtClean="0">
                        <a:latin typeface="微軟正黑體" pitchFamily="34" charset="-120"/>
                        <a:ea typeface="微軟正黑體" pitchFamily="34" charset="-120"/>
                      </a:rPr>
                      <a:t>6.</a:t>
                    </a:r>
                    <a:r>
                      <a:rPr lang="en-US" altLang="zh-TW" dirty="0" smtClean="0">
                        <a:latin typeface="微軟正黑體" pitchFamily="34" charset="-120"/>
                        <a:ea typeface="微軟正黑體" pitchFamily="34" charset="-120"/>
                      </a:rPr>
                      <a:t>4</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35.</a:t>
                    </a:r>
                    <a:r>
                      <a:rPr lang="en-US" altLang="zh-TW" dirty="0" smtClean="0">
                        <a:latin typeface="微軟正黑體" pitchFamily="34" charset="-120"/>
                        <a:ea typeface="微軟正黑體" pitchFamily="34" charset="-120"/>
                      </a:rPr>
                      <a:t>0</a:t>
                    </a:r>
                    <a:r>
                      <a:rPr lang="en-US" altLang="en-US" dirty="0" smtClean="0">
                        <a:latin typeface="微軟正黑體" pitchFamily="34" charset="-120"/>
                        <a:ea typeface="微軟正黑體" pitchFamily="34" charset="-120"/>
                      </a:rPr>
                      <a:t>%</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3"/>
              <c:tx>
                <c:rich>
                  <a:bodyPr/>
                  <a:lstStyle/>
                  <a:p>
                    <a:r>
                      <a:rPr lang="en-US" altLang="en-US" dirty="0" smtClean="0">
                        <a:latin typeface="微軟正黑體" pitchFamily="34" charset="-120"/>
                        <a:ea typeface="微軟正黑體" pitchFamily="34" charset="-120"/>
                      </a:rPr>
                      <a:t>1</a:t>
                    </a:r>
                    <a:r>
                      <a:rPr lang="en-US" altLang="zh-TW" dirty="0" smtClean="0">
                        <a:latin typeface="微軟正黑體" pitchFamily="34" charset="-120"/>
                        <a:ea typeface="微軟正黑體" pitchFamily="34" charset="-120"/>
                      </a:rPr>
                      <a:t>5</a:t>
                    </a:r>
                    <a:r>
                      <a:rPr lang="en-US"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2</a:t>
                    </a:r>
                    <a:r>
                      <a:rPr lang="zh-TW"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84.4</a:t>
                    </a:r>
                    <a:r>
                      <a:rPr lang="en-US" altLang="en-US" dirty="0" smtClean="0">
                        <a:latin typeface="微軟正黑體" pitchFamily="34" charset="-120"/>
                        <a:ea typeface="微軟正黑體" pitchFamily="34" charset="-120"/>
                      </a:rPr>
                      <a:t>%</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4"/>
              <c:tx>
                <c:rich>
                  <a:bodyPr/>
                  <a:lstStyle/>
                  <a:p>
                    <a:r>
                      <a:rPr lang="en-US" altLang="zh-TW" dirty="0" smtClean="0">
                        <a:latin typeface="微軟正黑體" pitchFamily="34" charset="-120"/>
                        <a:ea typeface="微軟正黑體" pitchFamily="34" charset="-120"/>
                      </a:rPr>
                      <a:t>2.3</a:t>
                    </a:r>
                    <a:r>
                      <a:rPr lang="zh-TW"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46.0%</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txPr>
              <a:bodyPr/>
              <a:lstStyle/>
              <a:p>
                <a:pPr>
                  <a:defRPr>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工作表1!$A$2:$A$6</c:f>
              <c:strCache>
                <c:ptCount val="5"/>
                <c:pt idx="0">
                  <c:v>勞工退休金(新制)</c:v>
                </c:pt>
                <c:pt idx="1">
                  <c:v>公務人員退撫</c:v>
                </c:pt>
                <c:pt idx="2">
                  <c:v>教育人員退撫</c:v>
                </c:pt>
                <c:pt idx="3">
                  <c:v>軍職人員退撫</c:v>
                </c:pt>
                <c:pt idx="4">
                  <c:v>私校教職員退撫</c:v>
                </c:pt>
              </c:strCache>
            </c:strRef>
          </c:cat>
          <c:val>
            <c:numRef>
              <c:f>工作表1!$B$2:$B$6</c:f>
              <c:numCache>
                <c:formatCode>0.0_ </c:formatCode>
                <c:ptCount val="5"/>
                <c:pt idx="0">
                  <c:v>356.1</c:v>
                </c:pt>
                <c:pt idx="1">
                  <c:v>17.600000000000001</c:v>
                </c:pt>
                <c:pt idx="2">
                  <c:v>6.4</c:v>
                </c:pt>
                <c:pt idx="3">
                  <c:v>15.2</c:v>
                </c:pt>
                <c:pt idx="4">
                  <c:v>2.2999999999999998</c:v>
                </c:pt>
              </c:numCache>
            </c:numRef>
          </c:val>
        </c:ser>
        <c:ser>
          <c:idx val="1"/>
          <c:order val="1"/>
          <c:tx>
            <c:strRef>
              <c:f>工作表1!$C$1</c:f>
              <c:strCache>
                <c:ptCount val="1"/>
                <c:pt idx="0">
                  <c:v>女</c:v>
                </c:pt>
              </c:strCache>
            </c:strRef>
          </c:tx>
          <c:spPr>
            <a:solidFill>
              <a:schemeClr val="accent2">
                <a:lumMod val="40000"/>
                <a:lumOff val="60000"/>
              </a:schemeClr>
            </a:solidFill>
            <a:effectLst/>
          </c:spPr>
          <c:invertIfNegative val="0"/>
          <c:dLbls>
            <c:dLbl>
              <c:idx val="0"/>
              <c:tx>
                <c:rich>
                  <a:bodyPr/>
                  <a:lstStyle/>
                  <a:p>
                    <a:r>
                      <a:rPr lang="en-US" altLang="en-US" dirty="0" smtClean="0">
                        <a:latin typeface="微軟正黑體" pitchFamily="34" charset="-120"/>
                        <a:ea typeface="微軟正黑體" pitchFamily="34" charset="-120"/>
                      </a:rPr>
                      <a:t>3</a:t>
                    </a:r>
                    <a:r>
                      <a:rPr lang="en-US" altLang="zh-TW" dirty="0" smtClean="0">
                        <a:latin typeface="微軟正黑體" pitchFamily="34" charset="-120"/>
                        <a:ea typeface="微軟正黑體" pitchFamily="34" charset="-120"/>
                      </a:rPr>
                      <a:t>52.3</a:t>
                    </a:r>
                    <a:r>
                      <a:rPr lang="zh-TW"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49</a:t>
                    </a:r>
                    <a:r>
                      <a:rPr lang="en-US"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7</a:t>
                    </a:r>
                    <a:r>
                      <a:rPr lang="en-US" altLang="en-US" dirty="0" smtClean="0">
                        <a:latin typeface="微軟正黑體" pitchFamily="34" charset="-120"/>
                        <a:ea typeface="微軟正黑體" pitchFamily="34" charset="-120"/>
                      </a:rPr>
                      <a:t>%</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1"/>
              <c:tx>
                <c:rich>
                  <a:bodyPr/>
                  <a:lstStyle/>
                  <a:p>
                    <a:r>
                      <a:rPr lang="en-US" altLang="en-US" dirty="0" smtClean="0">
                        <a:latin typeface="微軟正黑體" pitchFamily="34" charset="-120"/>
                        <a:ea typeface="微軟正黑體" pitchFamily="34" charset="-120"/>
                      </a:rPr>
                      <a:t>1</a:t>
                    </a:r>
                    <a:r>
                      <a:rPr lang="en-US" altLang="zh-TW" dirty="0" smtClean="0">
                        <a:latin typeface="微軟正黑體" pitchFamily="34" charset="-120"/>
                        <a:ea typeface="微軟正黑體" pitchFamily="34" charset="-120"/>
                      </a:rPr>
                      <a:t>3.2</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4</a:t>
                    </a:r>
                    <a:r>
                      <a:rPr lang="en-US" altLang="zh-TW" dirty="0" smtClean="0">
                        <a:latin typeface="微軟正黑體" pitchFamily="34" charset="-120"/>
                        <a:ea typeface="微軟正黑體" pitchFamily="34" charset="-120"/>
                      </a:rPr>
                      <a:t>2.9</a:t>
                    </a:r>
                    <a:r>
                      <a:rPr lang="en-US" altLang="en-US" dirty="0" smtClean="0">
                        <a:latin typeface="微軟正黑體" pitchFamily="34" charset="-120"/>
                        <a:ea typeface="微軟正黑體" pitchFamily="34" charset="-120"/>
                      </a:rPr>
                      <a:t>%</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2"/>
              <c:tx>
                <c:rich>
                  <a:bodyPr/>
                  <a:lstStyle/>
                  <a:p>
                    <a:r>
                      <a:rPr lang="en-US" altLang="en-US" dirty="0" smtClean="0">
                        <a:latin typeface="微軟正黑體" pitchFamily="34" charset="-120"/>
                        <a:ea typeface="微軟正黑體" pitchFamily="34" charset="-120"/>
                      </a:rPr>
                      <a:t>11.</a:t>
                    </a:r>
                    <a:r>
                      <a:rPr lang="en-US" altLang="zh-TW" dirty="0" smtClean="0">
                        <a:latin typeface="微軟正黑體" pitchFamily="34" charset="-120"/>
                        <a:ea typeface="微軟正黑體" pitchFamily="34" charset="-120"/>
                      </a:rPr>
                      <a:t>9</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6</a:t>
                    </a:r>
                    <a:r>
                      <a:rPr lang="en-US" altLang="zh-TW" dirty="0" smtClean="0">
                        <a:latin typeface="微軟正黑體" pitchFamily="34" charset="-120"/>
                        <a:ea typeface="微軟正黑體" pitchFamily="34" charset="-120"/>
                      </a:rPr>
                      <a:t>5</a:t>
                    </a:r>
                    <a:r>
                      <a:rPr lang="en-US"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0</a:t>
                    </a:r>
                    <a:r>
                      <a:rPr lang="en-US" altLang="en-US" dirty="0" smtClean="0">
                        <a:latin typeface="微軟正黑體" pitchFamily="34" charset="-120"/>
                        <a:ea typeface="微軟正黑體" pitchFamily="34" charset="-120"/>
                      </a:rPr>
                      <a:t>%</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3"/>
              <c:tx>
                <c:rich>
                  <a:bodyPr/>
                  <a:lstStyle/>
                  <a:p>
                    <a:r>
                      <a:rPr lang="en-US" altLang="en-US" dirty="0" smtClean="0">
                        <a:latin typeface="微軟正黑體" pitchFamily="34" charset="-120"/>
                        <a:ea typeface="微軟正黑體" pitchFamily="34" charset="-120"/>
                      </a:rPr>
                      <a:t>2.</a:t>
                    </a:r>
                    <a:r>
                      <a:rPr lang="en-US" altLang="zh-TW" dirty="0" smtClean="0">
                        <a:latin typeface="微軟正黑體" pitchFamily="34" charset="-120"/>
                        <a:ea typeface="微軟正黑體" pitchFamily="34" charset="-120"/>
                      </a:rPr>
                      <a:t>8</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1</a:t>
                    </a:r>
                    <a:r>
                      <a:rPr lang="en-US" altLang="zh-TW" dirty="0" smtClean="0">
                        <a:latin typeface="微軟正黑體" pitchFamily="34" charset="-120"/>
                        <a:ea typeface="微軟正黑體" pitchFamily="34" charset="-120"/>
                      </a:rPr>
                      <a:t>5</a:t>
                    </a:r>
                    <a:r>
                      <a:rPr lang="en-US"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6</a:t>
                    </a:r>
                    <a:r>
                      <a:rPr lang="en-US" altLang="en-US" dirty="0" smtClean="0">
                        <a:latin typeface="微軟正黑體" pitchFamily="34" charset="-120"/>
                        <a:ea typeface="微軟正黑體" pitchFamily="34" charset="-120"/>
                      </a:rPr>
                      <a:t>%</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4"/>
              <c:tx>
                <c:rich>
                  <a:bodyPr/>
                  <a:lstStyle/>
                  <a:p>
                    <a:r>
                      <a:rPr lang="en-US" altLang="zh-TW" dirty="0" smtClean="0">
                        <a:latin typeface="微軟正黑體" pitchFamily="34" charset="-120"/>
                        <a:ea typeface="微軟正黑體" pitchFamily="34" charset="-120"/>
                      </a:rPr>
                      <a:t>2.7</a:t>
                    </a:r>
                    <a:r>
                      <a:rPr lang="zh-TW"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54</a:t>
                    </a:r>
                    <a:r>
                      <a:rPr lang="en-US" altLang="en-US" dirty="0" smtClean="0">
                        <a:latin typeface="微軟正黑體" pitchFamily="34" charset="-120"/>
                        <a:ea typeface="微軟正黑體" pitchFamily="34" charset="-120"/>
                      </a:rPr>
                      <a:t>.</a:t>
                    </a:r>
                    <a:r>
                      <a:rPr lang="en-US" altLang="zh-TW" dirty="0" smtClean="0">
                        <a:latin typeface="微軟正黑體" pitchFamily="34" charset="-120"/>
                        <a:ea typeface="微軟正黑體" pitchFamily="34" charset="-120"/>
                      </a:rPr>
                      <a:t>0</a:t>
                    </a:r>
                    <a:r>
                      <a:rPr lang="en-US" altLang="en-US" dirty="0" smtClean="0">
                        <a:latin typeface="微軟正黑體" pitchFamily="34" charset="-120"/>
                        <a:ea typeface="微軟正黑體" pitchFamily="34" charset="-120"/>
                      </a:rPr>
                      <a:t>%</a:t>
                    </a:r>
                    <a:r>
                      <a:rPr lang="zh-TW" altLang="en-US" dirty="0" smtClean="0">
                        <a:latin typeface="微軟正黑體" pitchFamily="34" charset="-120"/>
                        <a:ea typeface="微軟正黑體" pitchFamily="34" charset="-120"/>
                      </a:rPr>
                      <a:t>）</a:t>
                    </a:r>
                    <a:r>
                      <a:rPr lang="en-US" altLang="en-US"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txPr>
              <a:bodyPr/>
              <a:lstStyle/>
              <a:p>
                <a:pPr>
                  <a:defRPr>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工作表1!$A$2:$A$6</c:f>
              <c:strCache>
                <c:ptCount val="5"/>
                <c:pt idx="0">
                  <c:v>勞工退休金(新制)</c:v>
                </c:pt>
                <c:pt idx="1">
                  <c:v>公務人員退撫</c:v>
                </c:pt>
                <c:pt idx="2">
                  <c:v>教育人員退撫</c:v>
                </c:pt>
                <c:pt idx="3">
                  <c:v>軍職人員退撫</c:v>
                </c:pt>
                <c:pt idx="4">
                  <c:v>私校教職員退撫</c:v>
                </c:pt>
              </c:strCache>
            </c:strRef>
          </c:cat>
          <c:val>
            <c:numRef>
              <c:f>工作表1!$C$2:$C$6</c:f>
              <c:numCache>
                <c:formatCode>0.0_ </c:formatCode>
                <c:ptCount val="5"/>
                <c:pt idx="0">
                  <c:v>352.3</c:v>
                </c:pt>
                <c:pt idx="1">
                  <c:v>13.2</c:v>
                </c:pt>
                <c:pt idx="2">
                  <c:v>11.9</c:v>
                </c:pt>
                <c:pt idx="3">
                  <c:v>2.8</c:v>
                </c:pt>
                <c:pt idx="4">
                  <c:v>2.7</c:v>
                </c:pt>
              </c:numCache>
            </c:numRef>
          </c:val>
        </c:ser>
        <c:dLbls>
          <c:showLegendKey val="0"/>
          <c:showVal val="0"/>
          <c:showCatName val="0"/>
          <c:showSerName val="0"/>
          <c:showPercent val="0"/>
          <c:showBubbleSize val="0"/>
        </c:dLbls>
        <c:gapWidth val="150"/>
        <c:axId val="265245696"/>
        <c:axId val="279685376"/>
      </c:barChart>
      <c:catAx>
        <c:axId val="265245696"/>
        <c:scaling>
          <c:orientation val="minMax"/>
        </c:scaling>
        <c:delete val="0"/>
        <c:axPos val="l"/>
        <c:majorTickMark val="out"/>
        <c:minorTickMark val="none"/>
        <c:tickLblPos val="nextTo"/>
        <c:spPr>
          <a:ln>
            <a:noFill/>
          </a:ln>
        </c:spPr>
        <c:txPr>
          <a:bodyPr/>
          <a:lstStyle/>
          <a:p>
            <a:pPr>
              <a:defRPr>
                <a:latin typeface="微軟正黑體" pitchFamily="34" charset="-120"/>
                <a:ea typeface="微軟正黑體" pitchFamily="34" charset="-120"/>
              </a:defRPr>
            </a:pPr>
            <a:endParaRPr lang="zh-TW"/>
          </a:p>
        </c:txPr>
        <c:crossAx val="279685376"/>
        <c:crosses val="autoZero"/>
        <c:auto val="1"/>
        <c:lblAlgn val="ctr"/>
        <c:lblOffset val="100"/>
        <c:noMultiLvlLbl val="0"/>
      </c:catAx>
      <c:valAx>
        <c:axId val="279685376"/>
        <c:scaling>
          <c:orientation val="minMax"/>
        </c:scaling>
        <c:delete val="1"/>
        <c:axPos val="b"/>
        <c:majorGridlines>
          <c:spPr>
            <a:ln>
              <a:solidFill>
                <a:schemeClr val="bg1">
                  <a:lumMod val="85000"/>
                </a:schemeClr>
              </a:solidFill>
            </a:ln>
          </c:spPr>
        </c:majorGridlines>
        <c:numFmt formatCode="0_ " sourceLinked="0"/>
        <c:majorTickMark val="out"/>
        <c:minorTickMark val="none"/>
        <c:tickLblPos val="nextTo"/>
        <c:crossAx val="265245696"/>
        <c:crosses val="autoZero"/>
        <c:crossBetween val="between"/>
      </c:valAx>
    </c:plotArea>
    <c:legend>
      <c:legendPos val="t"/>
      <c:layout>
        <c:manualLayout>
          <c:xMode val="edge"/>
          <c:yMode val="edge"/>
          <c:x val="0.37878700058326037"/>
          <c:y val="2.4958402662229616E-2"/>
          <c:w val="0.18224063137941091"/>
          <c:h val="7.9729322520209103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53018372703413"/>
          <c:y val="0.1347338874307378"/>
          <c:w val="0.81402537182852153"/>
          <c:h val="0.52154090113735785"/>
        </c:manualLayout>
      </c:layout>
      <c:lineChart>
        <c:grouping val="standard"/>
        <c:varyColors val="0"/>
        <c:ser>
          <c:idx val="0"/>
          <c:order val="0"/>
          <c:tx>
            <c:strRef>
              <c:f>'1.3各制度納保(參加)者投保薪資(提繳級距)及性別分布'!$L$28</c:f>
              <c:strCache>
                <c:ptCount val="1"/>
                <c:pt idx="0">
                  <c:v>男</c:v>
                </c:pt>
              </c:strCache>
            </c:strRef>
          </c:tx>
          <c:marker>
            <c:symbol val="none"/>
          </c:marker>
          <c:cat>
            <c:strRef>
              <c:f>'1.3各制度納保(參加)者投保薪資(提繳級距)及性別分布'!$K$29:$K$39</c:f>
              <c:strCache>
                <c:ptCount val="11"/>
                <c:pt idx="0">
                  <c:v>7,500元以下</c:v>
                </c:pt>
                <c:pt idx="1">
                  <c:v>7,501-13,500元</c:v>
                </c:pt>
                <c:pt idx="2">
                  <c:v>13,501-23,800元</c:v>
                </c:pt>
                <c:pt idx="3">
                  <c:v>23,801-28,800元</c:v>
                </c:pt>
                <c:pt idx="4">
                  <c:v>28,801-36,300元</c:v>
                </c:pt>
                <c:pt idx="5">
                  <c:v>36,301-45,800元</c:v>
                </c:pt>
                <c:pt idx="6">
                  <c:v>45,801-57,800元</c:v>
                </c:pt>
                <c:pt idx="7">
                  <c:v>57,801-72,800元</c:v>
                </c:pt>
                <c:pt idx="8">
                  <c:v>72,801-87,600元</c:v>
                </c:pt>
                <c:pt idx="9">
                  <c:v>87,601-110,100元</c:v>
                </c:pt>
                <c:pt idx="10">
                  <c:v>110,101元以上</c:v>
                </c:pt>
              </c:strCache>
            </c:strRef>
          </c:cat>
          <c:val>
            <c:numRef>
              <c:f>'1.3各制度納保(參加)者投保薪資(提繳級距)及性別分布'!$L$29:$L$39</c:f>
              <c:numCache>
                <c:formatCode>#,##0_);[Red]\(#,##0\)</c:formatCode>
                <c:ptCount val="11"/>
                <c:pt idx="0">
                  <c:v>49370</c:v>
                </c:pt>
                <c:pt idx="1">
                  <c:v>125184</c:v>
                </c:pt>
                <c:pt idx="2">
                  <c:v>569801</c:v>
                </c:pt>
                <c:pt idx="3">
                  <c:v>444927</c:v>
                </c:pt>
                <c:pt idx="4">
                  <c:v>608650</c:v>
                </c:pt>
                <c:pt idx="5">
                  <c:v>652781</c:v>
                </c:pt>
                <c:pt idx="6">
                  <c:v>399907</c:v>
                </c:pt>
                <c:pt idx="7">
                  <c:v>293644</c:v>
                </c:pt>
                <c:pt idx="8">
                  <c:v>157774</c:v>
                </c:pt>
                <c:pt idx="9">
                  <c:v>117518</c:v>
                </c:pt>
                <c:pt idx="10">
                  <c:v>141631</c:v>
                </c:pt>
              </c:numCache>
            </c:numRef>
          </c:val>
          <c:smooth val="0"/>
        </c:ser>
        <c:ser>
          <c:idx val="1"/>
          <c:order val="1"/>
          <c:tx>
            <c:strRef>
              <c:f>'1.3各制度納保(參加)者投保薪資(提繳級距)及性別分布'!$M$28</c:f>
              <c:strCache>
                <c:ptCount val="1"/>
                <c:pt idx="0">
                  <c:v>女</c:v>
                </c:pt>
              </c:strCache>
            </c:strRef>
          </c:tx>
          <c:marker>
            <c:symbol val="none"/>
          </c:marker>
          <c:cat>
            <c:strRef>
              <c:f>'1.3各制度納保(參加)者投保薪資(提繳級距)及性別分布'!$K$29:$K$39</c:f>
              <c:strCache>
                <c:ptCount val="11"/>
                <c:pt idx="0">
                  <c:v>7,500元以下</c:v>
                </c:pt>
                <c:pt idx="1">
                  <c:v>7,501-13,500元</c:v>
                </c:pt>
                <c:pt idx="2">
                  <c:v>13,501-23,800元</c:v>
                </c:pt>
                <c:pt idx="3">
                  <c:v>23,801-28,800元</c:v>
                </c:pt>
                <c:pt idx="4">
                  <c:v>28,801-36,300元</c:v>
                </c:pt>
                <c:pt idx="5">
                  <c:v>36,301-45,800元</c:v>
                </c:pt>
                <c:pt idx="6">
                  <c:v>45,801-57,800元</c:v>
                </c:pt>
                <c:pt idx="7">
                  <c:v>57,801-72,800元</c:v>
                </c:pt>
                <c:pt idx="8">
                  <c:v>72,801-87,600元</c:v>
                </c:pt>
                <c:pt idx="9">
                  <c:v>87,601-110,100元</c:v>
                </c:pt>
                <c:pt idx="10">
                  <c:v>110,101元以上</c:v>
                </c:pt>
              </c:strCache>
            </c:strRef>
          </c:cat>
          <c:val>
            <c:numRef>
              <c:f>'1.3各制度納保(參加)者投保薪資(提繳級距)及性別分布'!$M$29:$M$39</c:f>
              <c:numCache>
                <c:formatCode>#,##0_);[Red]\(#,##0\)</c:formatCode>
                <c:ptCount val="11"/>
                <c:pt idx="0">
                  <c:v>58653</c:v>
                </c:pt>
                <c:pt idx="1">
                  <c:v>167874</c:v>
                </c:pt>
                <c:pt idx="2">
                  <c:v>706766</c:v>
                </c:pt>
                <c:pt idx="3">
                  <c:v>697875</c:v>
                </c:pt>
                <c:pt idx="4">
                  <c:v>705100</c:v>
                </c:pt>
                <c:pt idx="5">
                  <c:v>558353</c:v>
                </c:pt>
                <c:pt idx="6">
                  <c:v>304204</c:v>
                </c:pt>
                <c:pt idx="7">
                  <c:v>165341</c:v>
                </c:pt>
                <c:pt idx="8">
                  <c:v>66718</c:v>
                </c:pt>
                <c:pt idx="9">
                  <c:v>42269</c:v>
                </c:pt>
                <c:pt idx="10">
                  <c:v>50096</c:v>
                </c:pt>
              </c:numCache>
            </c:numRef>
          </c:val>
          <c:smooth val="0"/>
        </c:ser>
        <c:dLbls>
          <c:showLegendKey val="0"/>
          <c:showVal val="0"/>
          <c:showCatName val="0"/>
          <c:showSerName val="0"/>
          <c:showPercent val="0"/>
          <c:showBubbleSize val="0"/>
        </c:dLbls>
        <c:marker val="1"/>
        <c:smooth val="0"/>
        <c:axId val="280076288"/>
        <c:axId val="279687104"/>
      </c:lineChart>
      <c:catAx>
        <c:axId val="280076288"/>
        <c:scaling>
          <c:orientation val="minMax"/>
        </c:scaling>
        <c:delete val="0"/>
        <c:axPos val="b"/>
        <c:majorTickMark val="out"/>
        <c:minorTickMark val="none"/>
        <c:tickLblPos val="nextTo"/>
        <c:txPr>
          <a:bodyPr/>
          <a:lstStyle/>
          <a:p>
            <a:pPr>
              <a:defRPr sz="900"/>
            </a:pPr>
            <a:endParaRPr lang="zh-TW"/>
          </a:p>
        </c:txPr>
        <c:crossAx val="279687104"/>
        <c:crosses val="autoZero"/>
        <c:auto val="1"/>
        <c:lblAlgn val="ctr"/>
        <c:lblOffset val="100"/>
        <c:noMultiLvlLbl val="0"/>
      </c:catAx>
      <c:valAx>
        <c:axId val="279687104"/>
        <c:scaling>
          <c:orientation val="minMax"/>
        </c:scaling>
        <c:delete val="0"/>
        <c:axPos val="l"/>
        <c:majorGridlines/>
        <c:numFmt formatCode="#,##0_);[Red]\(#,##0\)" sourceLinked="1"/>
        <c:majorTickMark val="out"/>
        <c:minorTickMark val="none"/>
        <c:tickLblPos val="nextTo"/>
        <c:txPr>
          <a:bodyPr/>
          <a:lstStyle/>
          <a:p>
            <a:pPr>
              <a:defRPr sz="900"/>
            </a:pPr>
            <a:endParaRPr lang="zh-TW"/>
          </a:p>
        </c:txPr>
        <c:crossAx val="280076288"/>
        <c:crosses val="autoZero"/>
        <c:crossBetween val="between"/>
      </c:valAx>
    </c:plotArea>
    <c:legend>
      <c:legendPos val="r"/>
      <c:layout>
        <c:manualLayout>
          <c:xMode val="edge"/>
          <c:yMode val="edge"/>
          <c:x val="1.4905607434149372E-2"/>
          <c:y val="4.2473844802146847E-3"/>
          <c:w val="0.33287039460875983"/>
          <c:h val="0.124992003299892"/>
        </c:manualLayout>
      </c:layout>
      <c:overlay val="0"/>
      <c:txPr>
        <a:bodyPr/>
        <a:lstStyle/>
        <a:p>
          <a:pPr>
            <a:defRPr sz="800"/>
          </a:pPr>
          <a:endParaRPr lang="zh-TW"/>
        </a:p>
      </c:txPr>
    </c:legend>
    <c:plotVisOnly val="1"/>
    <c:dispBlanksAs val="gap"/>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2462817147857"/>
          <c:y val="0.15325240594925635"/>
          <c:w val="0.77443305047932542"/>
          <c:h val="0.5196197871099445"/>
        </c:manualLayout>
      </c:layout>
      <c:lineChart>
        <c:grouping val="standard"/>
        <c:varyColors val="0"/>
        <c:ser>
          <c:idx val="0"/>
          <c:order val="0"/>
          <c:tx>
            <c:strRef>
              <c:f>'1.3各制度納保(參加)者投保薪資(提繳級距)及性別分布'!$B$49</c:f>
              <c:strCache>
                <c:ptCount val="1"/>
                <c:pt idx="0">
                  <c:v>男</c:v>
                </c:pt>
              </c:strCache>
            </c:strRef>
          </c:tx>
          <c:marker>
            <c:symbol val="none"/>
          </c:marker>
          <c:cat>
            <c:strRef>
              <c:f>'1.3各制度納保(參加)者投保薪資(提繳級距)及性別分布'!$A$50:$A$58</c:f>
              <c:strCache>
                <c:ptCount val="9"/>
                <c:pt idx="0">
                  <c:v>10,001-15,000元</c:v>
                </c:pt>
                <c:pt idx="1">
                  <c:v>15,001-20,000元</c:v>
                </c:pt>
                <c:pt idx="2">
                  <c:v>20,001-25,000元</c:v>
                </c:pt>
                <c:pt idx="3">
                  <c:v>25,001-30,000元</c:v>
                </c:pt>
                <c:pt idx="4">
                  <c:v>30,001-35,000元</c:v>
                </c:pt>
                <c:pt idx="5">
                  <c:v>35,001-40,000元</c:v>
                </c:pt>
                <c:pt idx="6">
                  <c:v>40,001-45,000元</c:v>
                </c:pt>
                <c:pt idx="7">
                  <c:v>45,001-50,000元</c:v>
                </c:pt>
                <c:pt idx="8">
                  <c:v>50,001元以上</c:v>
                </c:pt>
              </c:strCache>
            </c:strRef>
          </c:cat>
          <c:val>
            <c:numRef>
              <c:f>'1.3各制度納保(參加)者投保薪資(提繳級距)及性別分布'!$B$50:$B$58</c:f>
              <c:numCache>
                <c:formatCode>_-* #,##0_-;\-* #,##0_-;_-* "-"??_-;_-@_-</c:formatCode>
                <c:ptCount val="9"/>
                <c:pt idx="0">
                  <c:v>3554</c:v>
                </c:pt>
                <c:pt idx="1">
                  <c:v>13418</c:v>
                </c:pt>
                <c:pt idx="2">
                  <c:v>25454</c:v>
                </c:pt>
                <c:pt idx="3">
                  <c:v>26415</c:v>
                </c:pt>
                <c:pt idx="4">
                  <c:v>24315</c:v>
                </c:pt>
                <c:pt idx="5">
                  <c:v>13070</c:v>
                </c:pt>
                <c:pt idx="6">
                  <c:v>50094</c:v>
                </c:pt>
                <c:pt idx="7">
                  <c:v>13622</c:v>
                </c:pt>
                <c:pt idx="8">
                  <c:v>5993</c:v>
                </c:pt>
              </c:numCache>
            </c:numRef>
          </c:val>
          <c:smooth val="0"/>
        </c:ser>
        <c:ser>
          <c:idx val="1"/>
          <c:order val="1"/>
          <c:tx>
            <c:strRef>
              <c:f>'1.3各制度納保(參加)者投保薪資(提繳級距)及性別分布'!$C$49</c:f>
              <c:strCache>
                <c:ptCount val="1"/>
                <c:pt idx="0">
                  <c:v>女</c:v>
                </c:pt>
              </c:strCache>
            </c:strRef>
          </c:tx>
          <c:marker>
            <c:symbol val="none"/>
          </c:marker>
          <c:cat>
            <c:strRef>
              <c:f>'1.3各制度納保(參加)者投保薪資(提繳級距)及性別分布'!$A$50:$A$58</c:f>
              <c:strCache>
                <c:ptCount val="9"/>
                <c:pt idx="0">
                  <c:v>10,001-15,000元</c:v>
                </c:pt>
                <c:pt idx="1">
                  <c:v>15,001-20,000元</c:v>
                </c:pt>
                <c:pt idx="2">
                  <c:v>20,001-25,000元</c:v>
                </c:pt>
                <c:pt idx="3">
                  <c:v>25,001-30,000元</c:v>
                </c:pt>
                <c:pt idx="4">
                  <c:v>30,001-35,000元</c:v>
                </c:pt>
                <c:pt idx="5">
                  <c:v>35,001-40,000元</c:v>
                </c:pt>
                <c:pt idx="6">
                  <c:v>40,001-45,000元</c:v>
                </c:pt>
                <c:pt idx="7">
                  <c:v>45,001-50,000元</c:v>
                </c:pt>
                <c:pt idx="8">
                  <c:v>50,001元以上</c:v>
                </c:pt>
              </c:strCache>
            </c:strRef>
          </c:cat>
          <c:val>
            <c:numRef>
              <c:f>'1.3各制度納保(參加)者投保薪資(提繳級距)及性別分布'!$C$50:$C$58</c:f>
              <c:numCache>
                <c:formatCode>_-* #,##0_-;\-* #,##0_-;_-* "-"??_-;_-@_-</c:formatCode>
                <c:ptCount val="9"/>
                <c:pt idx="0">
                  <c:v>1890</c:v>
                </c:pt>
                <c:pt idx="1">
                  <c:v>7732</c:v>
                </c:pt>
                <c:pt idx="2">
                  <c:v>14716</c:v>
                </c:pt>
                <c:pt idx="3">
                  <c:v>21954</c:v>
                </c:pt>
                <c:pt idx="4">
                  <c:v>25816</c:v>
                </c:pt>
                <c:pt idx="5">
                  <c:v>14461</c:v>
                </c:pt>
                <c:pt idx="6">
                  <c:v>33839</c:v>
                </c:pt>
                <c:pt idx="7">
                  <c:v>8483</c:v>
                </c:pt>
                <c:pt idx="8">
                  <c:v>3237</c:v>
                </c:pt>
              </c:numCache>
            </c:numRef>
          </c:val>
          <c:smooth val="0"/>
        </c:ser>
        <c:dLbls>
          <c:showLegendKey val="0"/>
          <c:showVal val="0"/>
          <c:showCatName val="0"/>
          <c:showSerName val="0"/>
          <c:showPercent val="0"/>
          <c:showBubbleSize val="0"/>
        </c:dLbls>
        <c:marker val="1"/>
        <c:smooth val="0"/>
        <c:axId val="280078336"/>
        <c:axId val="279688832"/>
      </c:lineChart>
      <c:catAx>
        <c:axId val="280078336"/>
        <c:scaling>
          <c:orientation val="minMax"/>
        </c:scaling>
        <c:delete val="0"/>
        <c:axPos val="b"/>
        <c:majorTickMark val="out"/>
        <c:minorTickMark val="none"/>
        <c:tickLblPos val="nextTo"/>
        <c:txPr>
          <a:bodyPr/>
          <a:lstStyle/>
          <a:p>
            <a:pPr>
              <a:defRPr sz="900"/>
            </a:pPr>
            <a:endParaRPr lang="zh-TW"/>
          </a:p>
        </c:txPr>
        <c:crossAx val="279688832"/>
        <c:crosses val="autoZero"/>
        <c:auto val="1"/>
        <c:lblAlgn val="ctr"/>
        <c:lblOffset val="100"/>
        <c:noMultiLvlLbl val="0"/>
      </c:catAx>
      <c:valAx>
        <c:axId val="279688832"/>
        <c:scaling>
          <c:orientation val="minMax"/>
        </c:scaling>
        <c:delete val="0"/>
        <c:axPos val="l"/>
        <c:majorGridlines/>
        <c:numFmt formatCode="_-* #,##0_-;\-* #,##0_-;_-* &quot;-&quot;??_-;_-@_-" sourceLinked="1"/>
        <c:majorTickMark val="out"/>
        <c:minorTickMark val="none"/>
        <c:tickLblPos val="nextTo"/>
        <c:txPr>
          <a:bodyPr/>
          <a:lstStyle/>
          <a:p>
            <a:pPr>
              <a:defRPr sz="900"/>
            </a:pPr>
            <a:endParaRPr lang="zh-TW"/>
          </a:p>
        </c:txPr>
        <c:crossAx val="280078336"/>
        <c:crosses val="autoZero"/>
        <c:crossBetween val="between"/>
      </c:valAx>
    </c:plotArea>
    <c:legend>
      <c:legendPos val="r"/>
      <c:layout>
        <c:manualLayout>
          <c:xMode val="edge"/>
          <c:yMode val="edge"/>
          <c:x val="1.3412447271385452E-2"/>
          <c:y val="2.5534811129234776E-4"/>
          <c:w val="0.30077709169005001"/>
          <c:h val="0.16743438320209975"/>
        </c:manualLayout>
      </c:layout>
      <c:overlay val="0"/>
      <c:txPr>
        <a:bodyPr/>
        <a:lstStyle/>
        <a:p>
          <a:pPr>
            <a:defRPr sz="800"/>
          </a:pPr>
          <a:endParaRPr lang="zh-TW"/>
        </a:p>
      </c:txPr>
    </c:legend>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2462817147857"/>
          <c:y val="0.17379959397772746"/>
          <c:w val="0.78818421419950258"/>
          <c:h val="0.45776359177159481"/>
        </c:manualLayout>
      </c:layout>
      <c:lineChart>
        <c:grouping val="standard"/>
        <c:varyColors val="0"/>
        <c:ser>
          <c:idx val="0"/>
          <c:order val="0"/>
          <c:tx>
            <c:strRef>
              <c:f>'1.3各制度納保(參加)者投保薪資(提繳級距)及性別分布'!$B$77</c:f>
              <c:strCache>
                <c:ptCount val="1"/>
                <c:pt idx="0">
                  <c:v>男</c:v>
                </c:pt>
              </c:strCache>
            </c:strRef>
          </c:tx>
          <c:marker>
            <c:symbol val="none"/>
          </c:marker>
          <c:cat>
            <c:strRef>
              <c:f>'1.3各制度納保(參加)者投保薪資(提繳級距)及性別分布'!$A$78:$A$87</c:f>
              <c:strCache>
                <c:ptCount val="10"/>
                <c:pt idx="0">
                  <c:v>10,000元以下</c:v>
                </c:pt>
                <c:pt idx="1">
                  <c:v>10,001-15,000元</c:v>
                </c:pt>
                <c:pt idx="2">
                  <c:v>15,001-20,000元</c:v>
                </c:pt>
                <c:pt idx="3">
                  <c:v>20,001-25,000元</c:v>
                </c:pt>
                <c:pt idx="4">
                  <c:v>25,001-30,000元</c:v>
                </c:pt>
                <c:pt idx="5">
                  <c:v>30,001-35,000元</c:v>
                </c:pt>
                <c:pt idx="6">
                  <c:v>35,001-40,000元</c:v>
                </c:pt>
                <c:pt idx="7">
                  <c:v>40,001-45,000元</c:v>
                </c:pt>
                <c:pt idx="8">
                  <c:v>45,001-50,000元</c:v>
                </c:pt>
                <c:pt idx="9">
                  <c:v>50,001元以上</c:v>
                </c:pt>
              </c:strCache>
            </c:strRef>
          </c:cat>
          <c:val>
            <c:numRef>
              <c:f>'1.3各制度納保(參加)者投保薪資(提繳級距)及性別分布'!$B$78:$B$87</c:f>
              <c:numCache>
                <c:formatCode>_-* #,##0_-;\-* #,##0_-;_-* "-"??_-;_-@_-</c:formatCode>
                <c:ptCount val="10"/>
                <c:pt idx="0">
                  <c:v>6833</c:v>
                </c:pt>
                <c:pt idx="1">
                  <c:v>53877</c:v>
                </c:pt>
                <c:pt idx="2">
                  <c:v>21826</c:v>
                </c:pt>
                <c:pt idx="3">
                  <c:v>22406</c:v>
                </c:pt>
                <c:pt idx="4">
                  <c:v>18725</c:v>
                </c:pt>
                <c:pt idx="5">
                  <c:v>10358</c:v>
                </c:pt>
                <c:pt idx="6">
                  <c:v>7180</c:v>
                </c:pt>
                <c:pt idx="7">
                  <c:v>7850</c:v>
                </c:pt>
                <c:pt idx="8">
                  <c:v>1157</c:v>
                </c:pt>
                <c:pt idx="9">
                  <c:v>1787</c:v>
                </c:pt>
              </c:numCache>
            </c:numRef>
          </c:val>
          <c:smooth val="0"/>
        </c:ser>
        <c:ser>
          <c:idx val="1"/>
          <c:order val="1"/>
          <c:tx>
            <c:strRef>
              <c:f>'1.3各制度納保(參加)者投保薪資(提繳級距)及性別分布'!$C$77</c:f>
              <c:strCache>
                <c:ptCount val="1"/>
                <c:pt idx="0">
                  <c:v>女</c:v>
                </c:pt>
              </c:strCache>
            </c:strRef>
          </c:tx>
          <c:marker>
            <c:symbol val="none"/>
          </c:marker>
          <c:cat>
            <c:strRef>
              <c:f>'1.3各制度納保(參加)者投保薪資(提繳級距)及性別分布'!$A$78:$A$87</c:f>
              <c:strCache>
                <c:ptCount val="10"/>
                <c:pt idx="0">
                  <c:v>10,000元以下</c:v>
                </c:pt>
                <c:pt idx="1">
                  <c:v>10,001-15,000元</c:v>
                </c:pt>
                <c:pt idx="2">
                  <c:v>15,001-20,000元</c:v>
                </c:pt>
                <c:pt idx="3">
                  <c:v>20,001-25,000元</c:v>
                </c:pt>
                <c:pt idx="4">
                  <c:v>25,001-30,000元</c:v>
                </c:pt>
                <c:pt idx="5">
                  <c:v>30,001-35,000元</c:v>
                </c:pt>
                <c:pt idx="6">
                  <c:v>35,001-40,000元</c:v>
                </c:pt>
                <c:pt idx="7">
                  <c:v>40,001-45,000元</c:v>
                </c:pt>
                <c:pt idx="8">
                  <c:v>45,001-50,000元</c:v>
                </c:pt>
                <c:pt idx="9">
                  <c:v>50,001元以上</c:v>
                </c:pt>
              </c:strCache>
            </c:strRef>
          </c:cat>
          <c:val>
            <c:numRef>
              <c:f>'1.3各制度納保(參加)者投保薪資(提繳級距)及性別分布'!$C$78:$C$87</c:f>
              <c:numCache>
                <c:formatCode>_-* #,##0_-;\-* #,##0_-;_-* "-"??_-;_-@_-</c:formatCode>
                <c:ptCount val="10"/>
                <c:pt idx="0">
                  <c:v>1460</c:v>
                </c:pt>
                <c:pt idx="1">
                  <c:v>9711</c:v>
                </c:pt>
                <c:pt idx="2">
                  <c:v>5269</c:v>
                </c:pt>
                <c:pt idx="3">
                  <c:v>5853</c:v>
                </c:pt>
                <c:pt idx="4">
                  <c:v>2279</c:v>
                </c:pt>
                <c:pt idx="5">
                  <c:v>1510</c:v>
                </c:pt>
                <c:pt idx="6">
                  <c:v>736</c:v>
                </c:pt>
                <c:pt idx="7">
                  <c:v>846</c:v>
                </c:pt>
                <c:pt idx="8">
                  <c:v>90</c:v>
                </c:pt>
                <c:pt idx="9">
                  <c:v>86</c:v>
                </c:pt>
              </c:numCache>
            </c:numRef>
          </c:val>
          <c:smooth val="0"/>
        </c:ser>
        <c:dLbls>
          <c:showLegendKey val="0"/>
          <c:showVal val="0"/>
          <c:showCatName val="0"/>
          <c:showSerName val="0"/>
          <c:showPercent val="0"/>
          <c:showBubbleSize val="0"/>
        </c:dLbls>
        <c:marker val="1"/>
        <c:smooth val="0"/>
        <c:axId val="280078848"/>
        <c:axId val="41467904"/>
      </c:lineChart>
      <c:catAx>
        <c:axId val="280078848"/>
        <c:scaling>
          <c:orientation val="minMax"/>
        </c:scaling>
        <c:delete val="0"/>
        <c:axPos val="b"/>
        <c:majorTickMark val="out"/>
        <c:minorTickMark val="none"/>
        <c:tickLblPos val="nextTo"/>
        <c:txPr>
          <a:bodyPr/>
          <a:lstStyle/>
          <a:p>
            <a:pPr>
              <a:defRPr sz="900"/>
            </a:pPr>
            <a:endParaRPr lang="zh-TW"/>
          </a:p>
        </c:txPr>
        <c:crossAx val="41467904"/>
        <c:crosses val="autoZero"/>
        <c:auto val="1"/>
        <c:lblAlgn val="ctr"/>
        <c:lblOffset val="100"/>
        <c:noMultiLvlLbl val="0"/>
      </c:catAx>
      <c:valAx>
        <c:axId val="41467904"/>
        <c:scaling>
          <c:orientation val="minMax"/>
        </c:scaling>
        <c:delete val="0"/>
        <c:axPos val="l"/>
        <c:majorGridlines/>
        <c:numFmt formatCode="_-* #,##0_-;\-* #,##0_-;_-* &quot;-&quot;??_-;_-@_-" sourceLinked="1"/>
        <c:majorTickMark val="out"/>
        <c:minorTickMark val="none"/>
        <c:tickLblPos val="nextTo"/>
        <c:txPr>
          <a:bodyPr/>
          <a:lstStyle/>
          <a:p>
            <a:pPr>
              <a:defRPr sz="900"/>
            </a:pPr>
            <a:endParaRPr lang="zh-TW"/>
          </a:p>
        </c:txPr>
        <c:crossAx val="280078848"/>
        <c:crosses val="autoZero"/>
        <c:crossBetween val="between"/>
      </c:valAx>
    </c:plotArea>
    <c:legend>
      <c:legendPos val="r"/>
      <c:layout>
        <c:manualLayout>
          <c:xMode val="edge"/>
          <c:yMode val="edge"/>
          <c:x val="0"/>
          <c:y val="1.8783106657122406E-2"/>
          <c:w val="0.32371626371887102"/>
          <c:h val="0.11975597738098032"/>
        </c:manualLayout>
      </c:layout>
      <c:overlay val="0"/>
      <c:txPr>
        <a:bodyPr/>
        <a:lstStyle/>
        <a:p>
          <a:pPr>
            <a:defRPr sz="800"/>
          </a:pPr>
          <a:endParaRPr lang="zh-TW"/>
        </a:p>
      </c:txPr>
    </c:legend>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2462817147857"/>
          <c:y val="0.16257366487907343"/>
          <c:w val="0.83648731090586836"/>
          <c:h val="0.46789443420913662"/>
        </c:manualLayout>
      </c:layout>
      <c:lineChart>
        <c:grouping val="standard"/>
        <c:varyColors val="0"/>
        <c:ser>
          <c:idx val="0"/>
          <c:order val="0"/>
          <c:tx>
            <c:strRef>
              <c:f>'1.3各制度納保(參加)者投保薪資(提繳級距)及性別分布'!$B$65</c:f>
              <c:strCache>
                <c:ptCount val="1"/>
                <c:pt idx="0">
                  <c:v>男</c:v>
                </c:pt>
              </c:strCache>
            </c:strRef>
          </c:tx>
          <c:marker>
            <c:symbol val="none"/>
          </c:marker>
          <c:cat>
            <c:strRef>
              <c:f>'1.3各制度納保(參加)者投保薪資(提繳級距)及性別分布'!$A$66:$A$72</c:f>
              <c:strCache>
                <c:ptCount val="7"/>
                <c:pt idx="0">
                  <c:v>20,001-25,000元</c:v>
                </c:pt>
                <c:pt idx="1">
                  <c:v>25,001-30,000元</c:v>
                </c:pt>
                <c:pt idx="2">
                  <c:v>30,001-35,000元</c:v>
                </c:pt>
                <c:pt idx="3">
                  <c:v>35,001-40,000元</c:v>
                </c:pt>
                <c:pt idx="4">
                  <c:v>40,001-45,000元</c:v>
                </c:pt>
                <c:pt idx="5">
                  <c:v>45,001-50,000元</c:v>
                </c:pt>
                <c:pt idx="6">
                  <c:v>50,001元以上</c:v>
                </c:pt>
              </c:strCache>
            </c:strRef>
          </c:cat>
          <c:val>
            <c:numRef>
              <c:f>'1.3各制度納保(參加)者投保薪資(提繳級距)及性別分布'!$B$66:$B$72</c:f>
              <c:numCache>
                <c:formatCode>_-* #,##0_-;\-* #,##0_-;_-* "-"??_-;_-@_-</c:formatCode>
                <c:ptCount val="7"/>
                <c:pt idx="0">
                  <c:v>1159</c:v>
                </c:pt>
                <c:pt idx="1">
                  <c:v>2034</c:v>
                </c:pt>
                <c:pt idx="2">
                  <c:v>4513</c:v>
                </c:pt>
                <c:pt idx="3">
                  <c:v>4695</c:v>
                </c:pt>
                <c:pt idx="4">
                  <c:v>10165</c:v>
                </c:pt>
                <c:pt idx="5">
                  <c:v>32142</c:v>
                </c:pt>
                <c:pt idx="6">
                  <c:v>9660</c:v>
                </c:pt>
              </c:numCache>
            </c:numRef>
          </c:val>
          <c:smooth val="0"/>
        </c:ser>
        <c:ser>
          <c:idx val="1"/>
          <c:order val="1"/>
          <c:tx>
            <c:strRef>
              <c:f>'1.3各制度納保(參加)者投保薪資(提繳級距)及性別分布'!$C$65</c:f>
              <c:strCache>
                <c:ptCount val="1"/>
                <c:pt idx="0">
                  <c:v>女</c:v>
                </c:pt>
              </c:strCache>
            </c:strRef>
          </c:tx>
          <c:marker>
            <c:symbol val="none"/>
          </c:marker>
          <c:cat>
            <c:strRef>
              <c:f>'1.3各制度納保(參加)者投保薪資(提繳級距)及性別分布'!$A$66:$A$72</c:f>
              <c:strCache>
                <c:ptCount val="7"/>
                <c:pt idx="0">
                  <c:v>20,001-25,000元</c:v>
                </c:pt>
                <c:pt idx="1">
                  <c:v>25,001-30,000元</c:v>
                </c:pt>
                <c:pt idx="2">
                  <c:v>30,001-35,000元</c:v>
                </c:pt>
                <c:pt idx="3">
                  <c:v>35,001-40,000元</c:v>
                </c:pt>
                <c:pt idx="4">
                  <c:v>40,001-45,000元</c:v>
                </c:pt>
                <c:pt idx="5">
                  <c:v>45,001-50,000元</c:v>
                </c:pt>
                <c:pt idx="6">
                  <c:v>50,001元以上</c:v>
                </c:pt>
              </c:strCache>
            </c:strRef>
          </c:cat>
          <c:val>
            <c:numRef>
              <c:f>'1.3各制度納保(參加)者投保薪資(提繳級距)及性別分布'!$C$66:$C$72</c:f>
              <c:numCache>
                <c:formatCode>_-* #,##0_-;\-* #,##0_-;_-* "-"??_-;_-@_-</c:formatCode>
                <c:ptCount val="7"/>
                <c:pt idx="0">
                  <c:v>3777</c:v>
                </c:pt>
                <c:pt idx="1">
                  <c:v>6630</c:v>
                </c:pt>
                <c:pt idx="2">
                  <c:v>12531</c:v>
                </c:pt>
                <c:pt idx="3">
                  <c:v>11254</c:v>
                </c:pt>
                <c:pt idx="4">
                  <c:v>21793</c:v>
                </c:pt>
                <c:pt idx="5">
                  <c:v>59357</c:v>
                </c:pt>
                <c:pt idx="6">
                  <c:v>3938</c:v>
                </c:pt>
              </c:numCache>
            </c:numRef>
          </c:val>
          <c:smooth val="0"/>
        </c:ser>
        <c:dLbls>
          <c:showLegendKey val="0"/>
          <c:showVal val="0"/>
          <c:showCatName val="0"/>
          <c:showSerName val="0"/>
          <c:showPercent val="0"/>
          <c:showBubbleSize val="0"/>
        </c:dLbls>
        <c:marker val="1"/>
        <c:smooth val="0"/>
        <c:axId val="263970304"/>
        <c:axId val="41469632"/>
      </c:lineChart>
      <c:catAx>
        <c:axId val="263970304"/>
        <c:scaling>
          <c:orientation val="minMax"/>
        </c:scaling>
        <c:delete val="0"/>
        <c:axPos val="b"/>
        <c:majorTickMark val="out"/>
        <c:minorTickMark val="none"/>
        <c:tickLblPos val="nextTo"/>
        <c:txPr>
          <a:bodyPr/>
          <a:lstStyle/>
          <a:p>
            <a:pPr>
              <a:defRPr sz="900"/>
            </a:pPr>
            <a:endParaRPr lang="zh-TW"/>
          </a:p>
        </c:txPr>
        <c:crossAx val="41469632"/>
        <c:crosses val="autoZero"/>
        <c:auto val="1"/>
        <c:lblAlgn val="ctr"/>
        <c:lblOffset val="100"/>
        <c:noMultiLvlLbl val="0"/>
      </c:catAx>
      <c:valAx>
        <c:axId val="41469632"/>
        <c:scaling>
          <c:orientation val="minMax"/>
        </c:scaling>
        <c:delete val="0"/>
        <c:axPos val="l"/>
        <c:majorGridlines/>
        <c:numFmt formatCode="_-* #,##0_-;\-* #,##0_-;_-* &quot;-&quot;??_-;_-@_-" sourceLinked="1"/>
        <c:majorTickMark val="out"/>
        <c:minorTickMark val="none"/>
        <c:tickLblPos val="nextTo"/>
        <c:txPr>
          <a:bodyPr/>
          <a:lstStyle/>
          <a:p>
            <a:pPr>
              <a:defRPr sz="900"/>
            </a:pPr>
            <a:endParaRPr lang="zh-TW"/>
          </a:p>
        </c:txPr>
        <c:crossAx val="263970304"/>
        <c:crosses val="autoZero"/>
        <c:crossBetween val="between"/>
      </c:valAx>
    </c:plotArea>
    <c:legend>
      <c:legendPos val="r"/>
      <c:layout>
        <c:manualLayout>
          <c:xMode val="edge"/>
          <c:yMode val="edge"/>
          <c:x val="1.6503571248467134E-2"/>
          <c:y val="4.2470399098771374E-3"/>
          <c:w val="0.2680385869491686"/>
          <c:h val="0.16743438320209975"/>
        </c:manualLayout>
      </c:layout>
      <c:overlay val="0"/>
      <c:txPr>
        <a:bodyPr/>
        <a:lstStyle/>
        <a:p>
          <a:pPr>
            <a:defRPr sz="800"/>
          </a:pPr>
          <a:endParaRPr lang="zh-TW"/>
        </a:p>
      </c:txPr>
    </c:legend>
    <c:plotVisOnly val="1"/>
    <c:dispBlanksAs val="gap"/>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36351706036746"/>
          <c:y val="0.13936351706036745"/>
          <c:w val="0.83108092738407702"/>
          <c:h val="0.53350867599883345"/>
        </c:manualLayout>
      </c:layout>
      <c:lineChart>
        <c:grouping val="standard"/>
        <c:varyColors val="0"/>
        <c:ser>
          <c:idx val="0"/>
          <c:order val="0"/>
          <c:tx>
            <c:strRef>
              <c:f>'1.3各制度納保(參加)者投保薪資(提繳級距)及性別分布'!$B$92</c:f>
              <c:strCache>
                <c:ptCount val="1"/>
                <c:pt idx="0">
                  <c:v>男</c:v>
                </c:pt>
              </c:strCache>
            </c:strRef>
          </c:tx>
          <c:marker>
            <c:symbol val="none"/>
          </c:marker>
          <c:cat>
            <c:strRef>
              <c:f>'1.3各制度納保(參加)者投保薪資(提繳級距)及性別分布'!$A$93:$A$102</c:f>
              <c:strCache>
                <c:ptCount val="10"/>
                <c:pt idx="0">
                  <c:v>10,000元以下</c:v>
                </c:pt>
                <c:pt idx="1">
                  <c:v>10,001-15,000元</c:v>
                </c:pt>
                <c:pt idx="2">
                  <c:v>15,001-20,000元</c:v>
                </c:pt>
                <c:pt idx="3">
                  <c:v>20,001-25,000元</c:v>
                </c:pt>
                <c:pt idx="4">
                  <c:v>25,001-30,000元</c:v>
                </c:pt>
                <c:pt idx="5">
                  <c:v>30,001-35,000元</c:v>
                </c:pt>
                <c:pt idx="6">
                  <c:v>35,001-40,000元</c:v>
                </c:pt>
                <c:pt idx="7">
                  <c:v>40,001-45,000元</c:v>
                </c:pt>
                <c:pt idx="8">
                  <c:v>45,001-50,000元</c:v>
                </c:pt>
                <c:pt idx="9">
                  <c:v>50,001元以上</c:v>
                </c:pt>
              </c:strCache>
            </c:strRef>
          </c:cat>
          <c:val>
            <c:numRef>
              <c:f>'1.3各制度納保(參加)者投保薪資(提繳級距)及性別分布'!$B$93:$B$102</c:f>
              <c:numCache>
                <c:formatCode>#,##0_);[Red]\(#,##0\)</c:formatCode>
                <c:ptCount val="10"/>
                <c:pt idx="0">
                  <c:v>0</c:v>
                </c:pt>
                <c:pt idx="1">
                  <c:v>0</c:v>
                </c:pt>
                <c:pt idx="2">
                  <c:v>113</c:v>
                </c:pt>
                <c:pt idx="3">
                  <c:v>1131</c:v>
                </c:pt>
                <c:pt idx="4">
                  <c:v>1526</c:v>
                </c:pt>
                <c:pt idx="5">
                  <c:v>2871</c:v>
                </c:pt>
                <c:pt idx="6">
                  <c:v>2250</c:v>
                </c:pt>
                <c:pt idx="7">
                  <c:v>3096</c:v>
                </c:pt>
                <c:pt idx="8">
                  <c:v>6357</c:v>
                </c:pt>
                <c:pt idx="9">
                  <c:v>5933</c:v>
                </c:pt>
              </c:numCache>
            </c:numRef>
          </c:val>
          <c:smooth val="0"/>
        </c:ser>
        <c:ser>
          <c:idx val="1"/>
          <c:order val="1"/>
          <c:tx>
            <c:strRef>
              <c:f>'1.3各制度納保(參加)者投保薪資(提繳級距)及性別分布'!$C$92</c:f>
              <c:strCache>
                <c:ptCount val="1"/>
                <c:pt idx="0">
                  <c:v>女</c:v>
                </c:pt>
              </c:strCache>
            </c:strRef>
          </c:tx>
          <c:marker>
            <c:symbol val="none"/>
          </c:marker>
          <c:cat>
            <c:strRef>
              <c:f>'1.3各制度納保(參加)者投保薪資(提繳級距)及性別分布'!$A$93:$A$102</c:f>
              <c:strCache>
                <c:ptCount val="10"/>
                <c:pt idx="0">
                  <c:v>10,000元以下</c:v>
                </c:pt>
                <c:pt idx="1">
                  <c:v>10,001-15,000元</c:v>
                </c:pt>
                <c:pt idx="2">
                  <c:v>15,001-20,000元</c:v>
                </c:pt>
                <c:pt idx="3">
                  <c:v>20,001-25,000元</c:v>
                </c:pt>
                <c:pt idx="4">
                  <c:v>25,001-30,000元</c:v>
                </c:pt>
                <c:pt idx="5">
                  <c:v>30,001-35,000元</c:v>
                </c:pt>
                <c:pt idx="6">
                  <c:v>35,001-40,000元</c:v>
                </c:pt>
                <c:pt idx="7">
                  <c:v>40,001-45,000元</c:v>
                </c:pt>
                <c:pt idx="8">
                  <c:v>45,001-50,000元</c:v>
                </c:pt>
                <c:pt idx="9">
                  <c:v>50,001元以上</c:v>
                </c:pt>
              </c:strCache>
            </c:strRef>
          </c:cat>
          <c:val>
            <c:numRef>
              <c:f>'1.3各制度納保(參加)者投保薪資(提繳級距)及性別分布'!$C$93:$C$102</c:f>
              <c:numCache>
                <c:formatCode>#,##0_);[Red]\(#,##0\)</c:formatCode>
                <c:ptCount val="10"/>
                <c:pt idx="0">
                  <c:v>0</c:v>
                </c:pt>
                <c:pt idx="1">
                  <c:v>0</c:v>
                </c:pt>
                <c:pt idx="2">
                  <c:v>139</c:v>
                </c:pt>
                <c:pt idx="3">
                  <c:v>1938</c:v>
                </c:pt>
                <c:pt idx="4">
                  <c:v>2706</c:v>
                </c:pt>
                <c:pt idx="5">
                  <c:v>4084</c:v>
                </c:pt>
                <c:pt idx="6">
                  <c:v>3550</c:v>
                </c:pt>
                <c:pt idx="7">
                  <c:v>5359</c:v>
                </c:pt>
                <c:pt idx="8">
                  <c:v>6394</c:v>
                </c:pt>
                <c:pt idx="9">
                  <c:v>2734</c:v>
                </c:pt>
              </c:numCache>
            </c:numRef>
          </c:val>
          <c:smooth val="0"/>
        </c:ser>
        <c:dLbls>
          <c:showLegendKey val="0"/>
          <c:showVal val="0"/>
          <c:showCatName val="0"/>
          <c:showSerName val="0"/>
          <c:showPercent val="0"/>
          <c:showBubbleSize val="0"/>
        </c:dLbls>
        <c:marker val="1"/>
        <c:smooth val="0"/>
        <c:axId val="280090624"/>
        <c:axId val="41471360"/>
      </c:lineChart>
      <c:catAx>
        <c:axId val="280090624"/>
        <c:scaling>
          <c:orientation val="minMax"/>
        </c:scaling>
        <c:delete val="0"/>
        <c:axPos val="b"/>
        <c:majorTickMark val="out"/>
        <c:minorTickMark val="none"/>
        <c:tickLblPos val="nextTo"/>
        <c:txPr>
          <a:bodyPr/>
          <a:lstStyle/>
          <a:p>
            <a:pPr>
              <a:defRPr sz="900"/>
            </a:pPr>
            <a:endParaRPr lang="zh-TW"/>
          </a:p>
        </c:txPr>
        <c:crossAx val="41471360"/>
        <c:crosses val="autoZero"/>
        <c:auto val="1"/>
        <c:lblAlgn val="ctr"/>
        <c:lblOffset val="100"/>
        <c:noMultiLvlLbl val="0"/>
      </c:catAx>
      <c:valAx>
        <c:axId val="41471360"/>
        <c:scaling>
          <c:orientation val="minMax"/>
        </c:scaling>
        <c:delete val="0"/>
        <c:axPos val="l"/>
        <c:majorGridlines/>
        <c:numFmt formatCode="#,##0_);[Red]\(#,##0\)" sourceLinked="1"/>
        <c:majorTickMark val="out"/>
        <c:minorTickMark val="none"/>
        <c:tickLblPos val="nextTo"/>
        <c:txPr>
          <a:bodyPr/>
          <a:lstStyle/>
          <a:p>
            <a:pPr>
              <a:defRPr sz="900"/>
            </a:pPr>
            <a:endParaRPr lang="zh-TW"/>
          </a:p>
        </c:txPr>
        <c:crossAx val="280090624"/>
        <c:crosses val="autoZero"/>
        <c:crossBetween val="between"/>
      </c:valAx>
    </c:plotArea>
    <c:legend>
      <c:legendPos val="r"/>
      <c:layout>
        <c:manualLayout>
          <c:xMode val="edge"/>
          <c:yMode val="edge"/>
          <c:x val="3.888888888888889E-2"/>
          <c:y val="2.5112719312575553E-3"/>
          <c:w val="0.19444444444444445"/>
          <c:h val="0.14142105183382078"/>
        </c:manualLayout>
      </c:layout>
      <c:overlay val="0"/>
      <c:txPr>
        <a:bodyPr/>
        <a:lstStyle/>
        <a:p>
          <a:pPr>
            <a:defRPr sz="800"/>
          </a:pPr>
          <a:endParaRPr lang="zh-TW"/>
        </a:p>
      </c:txPr>
    </c:legend>
    <c:plotVisOnly val="1"/>
    <c:dispBlanksAs val="gap"/>
    <c:showDLblsOverMax val="0"/>
  </c:chart>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438316756972874"/>
          <c:y val="0.1450008666301644"/>
          <c:w val="0.62425264823102677"/>
          <c:h val="0.81650366946918418"/>
        </c:manualLayout>
      </c:layout>
      <c:barChart>
        <c:barDir val="bar"/>
        <c:grouping val="clustered"/>
        <c:varyColors val="0"/>
        <c:ser>
          <c:idx val="0"/>
          <c:order val="0"/>
          <c:tx>
            <c:strRef>
              <c:f>工作表1!$B$1</c:f>
              <c:strCache>
                <c:ptCount val="1"/>
                <c:pt idx="0">
                  <c:v>男</c:v>
                </c:pt>
              </c:strCache>
            </c:strRef>
          </c:tx>
          <c:spPr>
            <a:solidFill>
              <a:schemeClr val="accent5">
                <a:lumMod val="60000"/>
                <a:lumOff val="40000"/>
              </a:schemeClr>
            </a:solidFill>
            <a:effectLst>
              <a:outerShdw blurRad="50800" dist="38100" dir="5400000" algn="t" rotWithShape="0">
                <a:prstClr val="black">
                  <a:alpha val="40000"/>
                </a:prstClr>
              </a:outerShdw>
            </a:effectLst>
          </c:spPr>
          <c:invertIfNegative val="0"/>
          <c:dLbls>
            <c:dLbl>
              <c:idx val="0"/>
              <c:tx>
                <c:rich>
                  <a:bodyPr/>
                  <a:lstStyle/>
                  <a:p>
                    <a:r>
                      <a:rPr lang="en-US" altLang="en-US" sz="900" dirty="0" smtClean="0">
                        <a:latin typeface="微軟正黑體" pitchFamily="34" charset="-120"/>
                        <a:ea typeface="微軟正黑體" pitchFamily="34" charset="-120"/>
                      </a:rPr>
                      <a:t>1.</a:t>
                    </a:r>
                    <a:r>
                      <a:rPr lang="en-US" altLang="zh-TW" sz="900" dirty="0" smtClean="0">
                        <a:latin typeface="微軟正黑體" pitchFamily="34" charset="-120"/>
                        <a:ea typeface="微軟正黑體" pitchFamily="34" charset="-120"/>
                      </a:rPr>
                      <a:t>7</a:t>
                    </a:r>
                    <a:r>
                      <a:rPr lang="zh-TW" altLang="en-US" sz="900" dirty="0" smtClean="0">
                        <a:latin typeface="微軟正黑體" pitchFamily="34" charset="-120"/>
                        <a:ea typeface="微軟正黑體" pitchFamily="34" charset="-120"/>
                      </a:rPr>
                      <a:t> </a:t>
                    </a:r>
                    <a:r>
                      <a:rPr lang="en-US" altLang="zh-TW" sz="900" dirty="0" smtClean="0">
                        <a:latin typeface="微軟正黑體" pitchFamily="34" charset="-120"/>
                        <a:ea typeface="微軟正黑體" pitchFamily="34" charset="-120"/>
                      </a:rPr>
                      <a:t>(38.5%)</a:t>
                    </a:r>
                    <a:r>
                      <a:rPr lang="en-US" altLang="en-US" sz="9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1"/>
              <c:tx>
                <c:rich>
                  <a:bodyPr/>
                  <a:lstStyle/>
                  <a:p>
                    <a:r>
                      <a:rPr lang="en-US" altLang="zh-TW" sz="900" dirty="0" smtClean="0">
                        <a:latin typeface="微軟正黑體" pitchFamily="34" charset="-120"/>
                        <a:ea typeface="微軟正黑體" pitchFamily="34" charset="-120"/>
                      </a:rPr>
                      <a:t>3.1</a:t>
                    </a:r>
                    <a:r>
                      <a:rPr lang="zh-TW" altLang="en-US" sz="900" dirty="0" smtClean="0">
                        <a:latin typeface="微軟正黑體" pitchFamily="34" charset="-120"/>
                        <a:ea typeface="微軟正黑體" pitchFamily="34" charset="-120"/>
                      </a:rPr>
                      <a:t> </a:t>
                    </a:r>
                    <a:r>
                      <a:rPr lang="en-US" altLang="zh-TW" sz="900" dirty="0" smtClean="0">
                        <a:latin typeface="微軟正黑體" pitchFamily="34" charset="-120"/>
                        <a:ea typeface="微軟正黑體" pitchFamily="34" charset="-120"/>
                      </a:rPr>
                      <a:t>(96.0%)</a:t>
                    </a:r>
                    <a:r>
                      <a:rPr lang="en-US" altLang="en-US" sz="9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2"/>
              <c:tx>
                <c:rich>
                  <a:bodyPr/>
                  <a:lstStyle/>
                  <a:p>
                    <a:r>
                      <a:rPr lang="en-US" altLang="zh-TW" sz="900" dirty="0" smtClean="0">
                        <a:latin typeface="微軟正黑體" pitchFamily="34" charset="-120"/>
                        <a:ea typeface="微軟正黑體" pitchFamily="34" charset="-120"/>
                      </a:rPr>
                      <a:t>8.1</a:t>
                    </a:r>
                    <a:r>
                      <a:rPr lang="zh-TW" altLang="en-US" sz="900" dirty="0" smtClean="0">
                        <a:latin typeface="微軟正黑體" pitchFamily="34" charset="-120"/>
                        <a:ea typeface="微軟正黑體" pitchFamily="34" charset="-120"/>
                      </a:rPr>
                      <a:t> </a:t>
                    </a:r>
                    <a:r>
                      <a:rPr lang="en-US" altLang="zh-TW" sz="900" dirty="0" smtClean="0">
                        <a:latin typeface="微軟正黑體" pitchFamily="34" charset="-120"/>
                        <a:ea typeface="微軟正黑體" pitchFamily="34" charset="-120"/>
                      </a:rPr>
                      <a:t>(47.0%)</a:t>
                    </a:r>
                    <a:r>
                      <a:rPr lang="en-US" altLang="en-US" sz="9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3"/>
              <c:layout>
                <c:manualLayout>
                  <c:x val="-4.4843049327354259E-3"/>
                  <c:y val="2.0270272966358929E-2"/>
                </c:manualLayout>
              </c:layout>
              <c:tx>
                <c:rich>
                  <a:bodyPr/>
                  <a:lstStyle/>
                  <a:p>
                    <a:r>
                      <a:rPr lang="en-US" altLang="en-US" sz="900" dirty="0" smtClean="0">
                        <a:latin typeface="微軟正黑體" pitchFamily="34" charset="-120"/>
                        <a:ea typeface="微軟正黑體" pitchFamily="34" charset="-120"/>
                      </a:rPr>
                      <a:t>2</a:t>
                    </a:r>
                    <a:r>
                      <a:rPr lang="en-US" altLang="zh-TW" sz="900" dirty="0" smtClean="0">
                        <a:latin typeface="微軟正黑體" pitchFamily="34" charset="-120"/>
                        <a:ea typeface="微軟正黑體" pitchFamily="34" charset="-120"/>
                      </a:rPr>
                      <a:t>3</a:t>
                    </a:r>
                    <a:r>
                      <a:rPr lang="en-US" altLang="en-US" sz="900" dirty="0" smtClean="0">
                        <a:latin typeface="微軟正黑體" pitchFamily="34" charset="-120"/>
                        <a:ea typeface="微軟正黑體" pitchFamily="34" charset="-120"/>
                      </a:rPr>
                      <a:t>.</a:t>
                    </a:r>
                    <a:r>
                      <a:rPr lang="en-US" altLang="zh-TW" sz="900" dirty="0" smtClean="0">
                        <a:latin typeface="微軟正黑體" pitchFamily="34" charset="-120"/>
                        <a:ea typeface="微軟正黑體" pitchFamily="34" charset="-120"/>
                      </a:rPr>
                      <a:t>6</a:t>
                    </a:r>
                    <a:r>
                      <a:rPr lang="zh-TW" altLang="en-US" sz="900" dirty="0" smtClean="0">
                        <a:latin typeface="微軟正黑體" pitchFamily="34" charset="-120"/>
                        <a:ea typeface="微軟正黑體" pitchFamily="34" charset="-120"/>
                      </a:rPr>
                      <a:t> </a:t>
                    </a:r>
                    <a:r>
                      <a:rPr lang="en-US" altLang="zh-TW" sz="900" dirty="0" smtClean="0">
                        <a:latin typeface="微軟正黑體" pitchFamily="34" charset="-120"/>
                        <a:ea typeface="微軟正黑體" pitchFamily="34" charset="-120"/>
                      </a:rPr>
                      <a:t>(40.8%)</a:t>
                    </a:r>
                    <a:r>
                      <a:rPr lang="en-US" altLang="en-US" sz="9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4"/>
              <c:layout>
                <c:manualLayout>
                  <c:x val="-4.4843049327354259E-3"/>
                  <c:y val="1.5202704724769197E-2"/>
                </c:manualLayout>
              </c:layout>
              <c:tx>
                <c:rich>
                  <a:bodyPr/>
                  <a:lstStyle/>
                  <a:p>
                    <a:r>
                      <a:rPr lang="en-US" altLang="en-US" sz="900" dirty="0" smtClean="0">
                        <a:latin typeface="微軟正黑體" pitchFamily="34" charset="-120"/>
                        <a:ea typeface="微軟正黑體" pitchFamily="34" charset="-120"/>
                      </a:rPr>
                      <a:t>1</a:t>
                    </a:r>
                    <a:r>
                      <a:rPr lang="en-US" altLang="zh-TW" sz="900" dirty="0" smtClean="0">
                        <a:latin typeface="微軟正黑體" pitchFamily="34" charset="-120"/>
                        <a:ea typeface="微軟正黑體" pitchFamily="34" charset="-120"/>
                      </a:rPr>
                      <a:t>8</a:t>
                    </a:r>
                    <a:r>
                      <a:rPr lang="en-US" altLang="en-US" sz="900" dirty="0" smtClean="0">
                        <a:latin typeface="微軟正黑體" pitchFamily="34" charset="-120"/>
                        <a:ea typeface="微軟正黑體" pitchFamily="34" charset="-120"/>
                      </a:rPr>
                      <a:t>.0</a:t>
                    </a:r>
                    <a:r>
                      <a:rPr lang="zh-TW" altLang="en-US" sz="900" dirty="0" smtClean="0">
                        <a:latin typeface="微軟正黑體" pitchFamily="34" charset="-120"/>
                        <a:ea typeface="微軟正黑體" pitchFamily="34" charset="-120"/>
                      </a:rPr>
                      <a:t> </a:t>
                    </a:r>
                    <a:r>
                      <a:rPr lang="en-US" altLang="zh-TW" sz="900" dirty="0" smtClean="0">
                        <a:latin typeface="微軟正黑體" pitchFamily="34" charset="-120"/>
                        <a:ea typeface="微軟正黑體" pitchFamily="34" charset="-120"/>
                      </a:rPr>
                      <a:t>(36.0%)</a:t>
                    </a:r>
                    <a:r>
                      <a:rPr lang="en-US" altLang="en-US" sz="9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txPr>
              <a:bodyPr/>
              <a:lstStyle/>
              <a:p>
                <a:pPr>
                  <a:defRPr sz="900">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工作表1!$A$2:$A$6</c:f>
              <c:strCache>
                <c:ptCount val="5"/>
                <c:pt idx="0">
                  <c:v>原住民給付</c:v>
                </c:pt>
                <c:pt idx="1">
                  <c:v>榮民就養給付</c:v>
                </c:pt>
                <c:pt idx="2">
                  <c:v>中低收入老人生活津貼</c:v>
                </c:pt>
                <c:pt idx="3">
                  <c:v>老年農民福利津貼</c:v>
                </c:pt>
                <c:pt idx="4">
                  <c:v>老年基本保證年金</c:v>
                </c:pt>
              </c:strCache>
            </c:strRef>
          </c:cat>
          <c:val>
            <c:numRef>
              <c:f>工作表1!$B$2:$B$6</c:f>
              <c:numCache>
                <c:formatCode>#,##0.0_ </c:formatCode>
                <c:ptCount val="5"/>
                <c:pt idx="0">
                  <c:v>1.7</c:v>
                </c:pt>
                <c:pt idx="1">
                  <c:v>3.1</c:v>
                </c:pt>
                <c:pt idx="2">
                  <c:v>8.1</c:v>
                </c:pt>
                <c:pt idx="3">
                  <c:v>23.6</c:v>
                </c:pt>
                <c:pt idx="4">
                  <c:v>18</c:v>
                </c:pt>
              </c:numCache>
            </c:numRef>
          </c:val>
        </c:ser>
        <c:ser>
          <c:idx val="1"/>
          <c:order val="1"/>
          <c:tx>
            <c:strRef>
              <c:f>工作表1!$C$1</c:f>
              <c:strCache>
                <c:ptCount val="1"/>
                <c:pt idx="0">
                  <c:v>女</c:v>
                </c:pt>
              </c:strCache>
            </c:strRef>
          </c:tx>
          <c:spPr>
            <a:solidFill>
              <a:schemeClr val="accent2">
                <a:lumMod val="40000"/>
                <a:lumOff val="60000"/>
              </a:schemeClr>
            </a:solidFill>
            <a:effectLst>
              <a:outerShdw blurRad="50800" dist="38100" dir="5400000" algn="t" rotWithShape="0">
                <a:prstClr val="black">
                  <a:alpha val="40000"/>
                </a:prstClr>
              </a:outerShdw>
            </a:effectLst>
          </c:spPr>
          <c:invertIfNegative val="0"/>
          <c:dLbls>
            <c:dLbl>
              <c:idx val="0"/>
              <c:tx>
                <c:rich>
                  <a:bodyPr/>
                  <a:lstStyle/>
                  <a:p>
                    <a:r>
                      <a:rPr lang="en-US" altLang="en-US" sz="900" dirty="0" smtClean="0">
                        <a:latin typeface="微軟正黑體" pitchFamily="34" charset="-120"/>
                        <a:ea typeface="微軟正黑體" pitchFamily="34" charset="-120"/>
                      </a:rPr>
                      <a:t>2.</a:t>
                    </a:r>
                    <a:r>
                      <a:rPr lang="en-US" altLang="zh-TW" sz="900" dirty="0" smtClean="0">
                        <a:latin typeface="微軟正黑體" pitchFamily="34" charset="-120"/>
                        <a:ea typeface="微軟正黑體" pitchFamily="34" charset="-120"/>
                      </a:rPr>
                      <a:t>6</a:t>
                    </a:r>
                    <a:r>
                      <a:rPr lang="zh-TW" altLang="en-US" sz="900" dirty="0" smtClean="0">
                        <a:latin typeface="微軟正黑體" pitchFamily="34" charset="-120"/>
                        <a:ea typeface="微軟正黑體" pitchFamily="34" charset="-120"/>
                      </a:rPr>
                      <a:t> </a:t>
                    </a:r>
                    <a:r>
                      <a:rPr lang="en-US" altLang="zh-TW" sz="900" dirty="0" smtClean="0">
                        <a:latin typeface="微軟正黑體" pitchFamily="34" charset="-120"/>
                        <a:ea typeface="微軟正黑體" pitchFamily="34" charset="-120"/>
                      </a:rPr>
                      <a:t>(61.5%)</a:t>
                    </a:r>
                    <a:r>
                      <a:rPr lang="en-US" altLang="en-US" sz="9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1"/>
              <c:tx>
                <c:rich>
                  <a:bodyPr/>
                  <a:lstStyle/>
                  <a:p>
                    <a:r>
                      <a:rPr lang="en-US" altLang="en-US" sz="900" smtClean="0">
                        <a:latin typeface="微軟正黑體" pitchFamily="34" charset="-120"/>
                        <a:ea typeface="微軟正黑體" pitchFamily="34" charset="-120"/>
                      </a:rPr>
                      <a:t>0.</a:t>
                    </a:r>
                    <a:r>
                      <a:rPr lang="en-US" altLang="zh-TW" sz="900" smtClean="0">
                        <a:latin typeface="微軟正黑體" pitchFamily="34" charset="-120"/>
                        <a:ea typeface="微軟正黑體" pitchFamily="34" charset="-120"/>
                      </a:rPr>
                      <a:t>1</a:t>
                    </a:r>
                    <a:r>
                      <a:rPr lang="zh-TW" altLang="en-US" sz="900" smtClean="0">
                        <a:latin typeface="微軟正黑體" pitchFamily="34" charset="-120"/>
                        <a:ea typeface="微軟正黑體" pitchFamily="34" charset="-120"/>
                      </a:rPr>
                      <a:t> </a:t>
                    </a:r>
                    <a:r>
                      <a:rPr lang="en-US" altLang="zh-TW" sz="900" smtClean="0">
                        <a:latin typeface="微軟正黑體" pitchFamily="34" charset="-120"/>
                        <a:ea typeface="微軟正黑體" pitchFamily="34" charset="-120"/>
                      </a:rPr>
                      <a:t>(4.0%)</a:t>
                    </a:r>
                    <a:r>
                      <a:rPr lang="en-US" altLang="en-US" sz="900" smtClean="0">
                        <a:latin typeface="微軟正黑體" pitchFamily="34" charset="-120"/>
                        <a:ea typeface="微軟正黑體" pitchFamily="34" charset="-120"/>
                      </a:rPr>
                      <a:t> </a:t>
                    </a:r>
                    <a:endParaRPr lang="en-US" altLang="en-US"/>
                  </a:p>
                </c:rich>
              </c:tx>
              <c:showLegendKey val="0"/>
              <c:showVal val="1"/>
              <c:showCatName val="0"/>
              <c:showSerName val="0"/>
              <c:showPercent val="0"/>
              <c:showBubbleSize val="0"/>
            </c:dLbl>
            <c:dLbl>
              <c:idx val="2"/>
              <c:tx>
                <c:rich>
                  <a:bodyPr/>
                  <a:lstStyle/>
                  <a:p>
                    <a:r>
                      <a:rPr lang="en-US" altLang="zh-TW" sz="900" dirty="0" smtClean="0">
                        <a:latin typeface="微軟正黑體" pitchFamily="34" charset="-120"/>
                        <a:ea typeface="微軟正黑體" pitchFamily="34" charset="-120"/>
                      </a:rPr>
                      <a:t>9.2</a:t>
                    </a:r>
                    <a:r>
                      <a:rPr lang="zh-TW" altLang="en-US" sz="900" dirty="0" smtClean="0">
                        <a:latin typeface="微軟正黑體" pitchFamily="34" charset="-120"/>
                        <a:ea typeface="微軟正黑體" pitchFamily="34" charset="-120"/>
                      </a:rPr>
                      <a:t> </a:t>
                    </a:r>
                    <a:r>
                      <a:rPr lang="en-US" altLang="zh-TW" sz="900" dirty="0" smtClean="0">
                        <a:latin typeface="微軟正黑體" pitchFamily="34" charset="-120"/>
                        <a:ea typeface="微軟正黑體" pitchFamily="34" charset="-120"/>
                      </a:rPr>
                      <a:t>(53.0%)</a:t>
                    </a:r>
                    <a:r>
                      <a:rPr lang="en-US" altLang="en-US" sz="9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3"/>
              <c:tx>
                <c:rich>
                  <a:bodyPr/>
                  <a:lstStyle/>
                  <a:p>
                    <a:r>
                      <a:rPr lang="en-US" altLang="zh-TW" sz="900" dirty="0" smtClean="0">
                        <a:latin typeface="微軟正黑體" pitchFamily="34" charset="-120"/>
                        <a:ea typeface="微軟正黑體" pitchFamily="34" charset="-120"/>
                      </a:rPr>
                      <a:t>34.2</a:t>
                    </a:r>
                    <a:r>
                      <a:rPr lang="zh-TW" altLang="en-US" sz="900" dirty="0" smtClean="0">
                        <a:latin typeface="微軟正黑體" pitchFamily="34" charset="-120"/>
                        <a:ea typeface="微軟正黑體" pitchFamily="34" charset="-120"/>
                      </a:rPr>
                      <a:t> </a:t>
                    </a:r>
                    <a:r>
                      <a:rPr lang="en-US" altLang="zh-TW" sz="900" dirty="0" smtClean="0">
                        <a:latin typeface="微軟正黑體" pitchFamily="34" charset="-120"/>
                        <a:ea typeface="微軟正黑體" pitchFamily="34" charset="-120"/>
                      </a:rPr>
                      <a:t>(59.2%)</a:t>
                    </a:r>
                    <a:r>
                      <a:rPr lang="en-US" altLang="en-US" sz="9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dLbl>
              <c:idx val="4"/>
              <c:tx>
                <c:rich>
                  <a:bodyPr/>
                  <a:lstStyle/>
                  <a:p>
                    <a:r>
                      <a:rPr lang="en-US" altLang="zh-TW" sz="900" dirty="0" smtClean="0">
                        <a:latin typeface="微軟正黑體" pitchFamily="34" charset="-120"/>
                        <a:ea typeface="微軟正黑體" pitchFamily="34" charset="-120"/>
                      </a:rPr>
                      <a:t>31.9</a:t>
                    </a:r>
                    <a:r>
                      <a:rPr lang="zh-TW" altLang="en-US" sz="900" dirty="0" smtClean="0">
                        <a:latin typeface="微軟正黑體" pitchFamily="34" charset="-120"/>
                        <a:ea typeface="微軟正黑體" pitchFamily="34" charset="-120"/>
                      </a:rPr>
                      <a:t> </a:t>
                    </a:r>
                    <a:r>
                      <a:rPr lang="en-US" altLang="zh-TW" sz="900" dirty="0" smtClean="0">
                        <a:latin typeface="微軟正黑體" pitchFamily="34" charset="-120"/>
                        <a:ea typeface="微軟正黑體" pitchFamily="34" charset="-120"/>
                      </a:rPr>
                      <a:t>(64.0%)</a:t>
                    </a:r>
                    <a:r>
                      <a:rPr lang="en-US" altLang="en-US" sz="900" dirty="0" smtClean="0">
                        <a:latin typeface="微軟正黑體" pitchFamily="34" charset="-120"/>
                        <a:ea typeface="微軟正黑體" pitchFamily="34" charset="-120"/>
                      </a:rPr>
                      <a:t> </a:t>
                    </a:r>
                    <a:endParaRPr lang="en-US" altLang="en-US" dirty="0"/>
                  </a:p>
                </c:rich>
              </c:tx>
              <c:showLegendKey val="0"/>
              <c:showVal val="1"/>
              <c:showCatName val="0"/>
              <c:showSerName val="0"/>
              <c:showPercent val="0"/>
              <c:showBubbleSize val="0"/>
            </c:dLbl>
            <c:txPr>
              <a:bodyPr/>
              <a:lstStyle/>
              <a:p>
                <a:pPr>
                  <a:defRPr sz="900">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工作表1!$A$2:$A$6</c:f>
              <c:strCache>
                <c:ptCount val="5"/>
                <c:pt idx="0">
                  <c:v>原住民給付</c:v>
                </c:pt>
                <c:pt idx="1">
                  <c:v>榮民就養給付</c:v>
                </c:pt>
                <c:pt idx="2">
                  <c:v>中低收入老人生活津貼</c:v>
                </c:pt>
                <c:pt idx="3">
                  <c:v>老年農民福利津貼</c:v>
                </c:pt>
                <c:pt idx="4">
                  <c:v>老年基本保證年金</c:v>
                </c:pt>
              </c:strCache>
            </c:strRef>
          </c:cat>
          <c:val>
            <c:numRef>
              <c:f>工作表1!$C$2:$C$6</c:f>
              <c:numCache>
                <c:formatCode>#,##0.0_ </c:formatCode>
                <c:ptCount val="5"/>
                <c:pt idx="0">
                  <c:v>2.6</c:v>
                </c:pt>
                <c:pt idx="1">
                  <c:v>0.1</c:v>
                </c:pt>
                <c:pt idx="2">
                  <c:v>9.1999999999999993</c:v>
                </c:pt>
                <c:pt idx="3">
                  <c:v>34.200000000000003</c:v>
                </c:pt>
                <c:pt idx="4">
                  <c:v>31.9</c:v>
                </c:pt>
              </c:numCache>
            </c:numRef>
          </c:val>
        </c:ser>
        <c:dLbls>
          <c:showLegendKey val="0"/>
          <c:showVal val="0"/>
          <c:showCatName val="0"/>
          <c:showSerName val="0"/>
          <c:showPercent val="0"/>
          <c:showBubbleSize val="0"/>
        </c:dLbls>
        <c:gapWidth val="150"/>
        <c:axId val="280282112"/>
        <c:axId val="41473088"/>
      </c:barChart>
      <c:catAx>
        <c:axId val="280282112"/>
        <c:scaling>
          <c:orientation val="minMax"/>
        </c:scaling>
        <c:delete val="0"/>
        <c:axPos val="l"/>
        <c:majorTickMark val="out"/>
        <c:minorTickMark val="none"/>
        <c:tickLblPos val="nextTo"/>
        <c:spPr>
          <a:ln>
            <a:noFill/>
          </a:ln>
        </c:spPr>
        <c:txPr>
          <a:bodyPr/>
          <a:lstStyle/>
          <a:p>
            <a:pPr>
              <a:defRPr>
                <a:latin typeface="微軟正黑體" pitchFamily="34" charset="-120"/>
                <a:ea typeface="微軟正黑體" pitchFamily="34" charset="-120"/>
              </a:defRPr>
            </a:pPr>
            <a:endParaRPr lang="zh-TW"/>
          </a:p>
        </c:txPr>
        <c:crossAx val="41473088"/>
        <c:crosses val="autoZero"/>
        <c:auto val="1"/>
        <c:lblAlgn val="ctr"/>
        <c:lblOffset val="100"/>
        <c:noMultiLvlLbl val="0"/>
      </c:catAx>
      <c:valAx>
        <c:axId val="41473088"/>
        <c:scaling>
          <c:orientation val="minMax"/>
        </c:scaling>
        <c:delete val="1"/>
        <c:axPos val="b"/>
        <c:majorGridlines>
          <c:spPr>
            <a:ln>
              <a:solidFill>
                <a:schemeClr val="bg1">
                  <a:lumMod val="85000"/>
                </a:schemeClr>
              </a:solidFill>
            </a:ln>
          </c:spPr>
        </c:majorGridlines>
        <c:numFmt formatCode="0_ " sourceLinked="0"/>
        <c:majorTickMark val="out"/>
        <c:minorTickMark val="none"/>
        <c:tickLblPos val="nextTo"/>
        <c:crossAx val="280282112"/>
        <c:crosses val="autoZero"/>
        <c:crossBetween val="between"/>
      </c:valAx>
    </c:plotArea>
    <c:legend>
      <c:legendPos val="t"/>
      <c:layout>
        <c:manualLayout>
          <c:xMode val="edge"/>
          <c:yMode val="edge"/>
          <c:x val="0.39156050280710419"/>
          <c:y val="3.0405409449538394E-2"/>
          <c:w val="0.16757024948067162"/>
          <c:h val="9.7129721367541152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勞工保險</c:v>
                </c:pt>
              </c:strCache>
            </c:strRef>
          </c:tx>
          <c:spPr>
            <a:ln w="47625">
              <a:solidFill>
                <a:schemeClr val="accent6">
                  <a:lumMod val="75000"/>
                </a:schemeClr>
              </a:solidFill>
            </a:ln>
          </c:spPr>
          <c:marker>
            <c:symbol val="square"/>
            <c:size val="11"/>
            <c:spPr>
              <a:solidFill>
                <a:prstClr val="white"/>
              </a:solidFill>
              <a:ln w="34925">
                <a:solidFill>
                  <a:schemeClr val="accent6">
                    <a:lumMod val="75000"/>
                  </a:schemeClr>
                </a:solidFill>
              </a:ln>
            </c:spPr>
          </c:marker>
          <c:dLbls>
            <c:dLbl>
              <c:idx val="0"/>
              <c:layout>
                <c:manualLayout>
                  <c:x val="-7.6071459170424793E-3"/>
                  <c:y val="2.5093718128945119E-2"/>
                </c:manualLayout>
              </c:layout>
              <c:dLblPos val="r"/>
              <c:showLegendKey val="0"/>
              <c:showVal val="1"/>
              <c:showCatName val="0"/>
              <c:showSerName val="0"/>
              <c:showPercent val="0"/>
              <c:showBubbleSize val="0"/>
            </c:dLbl>
            <c:dLbl>
              <c:idx val="2"/>
              <c:layout>
                <c:manualLayout>
                  <c:x val="-3.9949324138779475E-2"/>
                  <c:y val="5.8753792721790613E-2"/>
                </c:manualLayout>
              </c:layout>
              <c:dLblPos val="r"/>
              <c:showLegendKey val="0"/>
              <c:showVal val="1"/>
              <c:showCatName val="0"/>
              <c:showSerName val="0"/>
              <c:showPercent val="0"/>
              <c:showBubbleSize val="0"/>
            </c:dLbl>
            <c:dLbl>
              <c:idx val="3"/>
              <c:layout>
                <c:manualLayout>
                  <c:x val="-4.1693074646801297E-2"/>
                  <c:y val="6.5485807640359855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Sheet1!$A$2:$A$6</c:f>
              <c:strCache>
                <c:ptCount val="5"/>
                <c:pt idx="0">
                  <c:v>2萬元以下</c:v>
                </c:pt>
                <c:pt idx="1">
                  <c:v>2-3萬元</c:v>
                </c:pt>
                <c:pt idx="2">
                  <c:v>3-4萬元</c:v>
                </c:pt>
                <c:pt idx="3">
                  <c:v>4-5萬元</c:v>
                </c:pt>
                <c:pt idx="4">
                  <c:v>5萬元以上</c:v>
                </c:pt>
              </c:strCache>
            </c:strRef>
          </c:cat>
          <c:val>
            <c:numRef>
              <c:f>Sheet1!$B$2:$B$6</c:f>
              <c:numCache>
                <c:formatCode>0.0_ </c:formatCode>
                <c:ptCount val="5"/>
                <c:pt idx="0">
                  <c:v>5</c:v>
                </c:pt>
                <c:pt idx="1">
                  <c:v>42.6</c:v>
                </c:pt>
                <c:pt idx="2">
                  <c:v>19.399999999999999</c:v>
                </c:pt>
                <c:pt idx="3">
                  <c:v>33.1</c:v>
                </c:pt>
              </c:numCache>
            </c:numRef>
          </c:val>
          <c:smooth val="0"/>
        </c:ser>
        <c:ser>
          <c:idx val="1"/>
          <c:order val="1"/>
          <c:tx>
            <c:strRef>
              <c:f>Sheet1!$C$1</c:f>
              <c:strCache>
                <c:ptCount val="1"/>
                <c:pt idx="0">
                  <c:v>公教人員保險</c:v>
                </c:pt>
              </c:strCache>
            </c:strRef>
          </c:tx>
          <c:spPr>
            <a:ln w="47625">
              <a:solidFill>
                <a:schemeClr val="accent2">
                  <a:lumMod val="75000"/>
                </a:schemeClr>
              </a:solidFill>
            </a:ln>
          </c:spPr>
          <c:marker>
            <c:symbol val="circle"/>
            <c:size val="13"/>
            <c:spPr>
              <a:solidFill>
                <a:schemeClr val="bg1"/>
              </a:solidFill>
              <a:ln w="34925">
                <a:solidFill>
                  <a:schemeClr val="accent2">
                    <a:lumMod val="75000"/>
                  </a:schemeClr>
                </a:solidFill>
              </a:ln>
            </c:spPr>
          </c:marker>
          <c:dLbls>
            <c:dLbl>
              <c:idx val="0"/>
              <c:layout>
                <c:manualLayout>
                  <c:x val="-6.3825459317585348E-2"/>
                  <c:y val="-6.502517977879281E-2"/>
                </c:manualLayout>
              </c:layout>
              <c:showLegendKey val="0"/>
              <c:showVal val="1"/>
              <c:showCatName val="0"/>
              <c:showSerName val="0"/>
              <c:showPercent val="0"/>
              <c:showBubbleSize val="0"/>
            </c:dLbl>
            <c:dLbl>
              <c:idx val="1"/>
              <c:layout>
                <c:manualLayout>
                  <c:x val="-2.9643758636370626E-2"/>
                  <c:y val="-6.0588134267122173E-2"/>
                </c:manualLayout>
              </c:layout>
              <c:showLegendKey val="0"/>
              <c:showVal val="1"/>
              <c:showCatName val="0"/>
              <c:showSerName val="0"/>
              <c:showPercent val="0"/>
              <c:showBubbleSize val="0"/>
            </c:dLbl>
            <c:dLbl>
              <c:idx val="2"/>
              <c:layout>
                <c:manualLayout>
                  <c:x val="-5.2791994750656171E-2"/>
                  <c:y val="-6.391586701355588E-2"/>
                </c:manualLayout>
              </c:layout>
              <c:showLegendKey val="0"/>
              <c:showVal val="1"/>
              <c:showCatName val="0"/>
              <c:showSerName val="0"/>
              <c:showPercent val="0"/>
              <c:showBubbleSize val="0"/>
            </c:dLbl>
            <c:dLbl>
              <c:idx val="3"/>
              <c:layout>
                <c:manualLayout>
                  <c:x val="-9.2592592592592587E-3"/>
                  <c:y val="-3.580247044093772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2萬元以下</c:v>
                </c:pt>
                <c:pt idx="1">
                  <c:v>2-3萬元</c:v>
                </c:pt>
                <c:pt idx="2">
                  <c:v>3-4萬元</c:v>
                </c:pt>
                <c:pt idx="3">
                  <c:v>4-5萬元</c:v>
                </c:pt>
                <c:pt idx="4">
                  <c:v>5萬元以上</c:v>
                </c:pt>
              </c:strCache>
            </c:strRef>
          </c:cat>
          <c:val>
            <c:numRef>
              <c:f>Sheet1!$C$2:$C$6</c:f>
              <c:numCache>
                <c:formatCode>General</c:formatCode>
                <c:ptCount val="5"/>
                <c:pt idx="0" formatCode="0.0">
                  <c:v>6</c:v>
                </c:pt>
                <c:pt idx="1">
                  <c:v>21.3</c:v>
                </c:pt>
                <c:pt idx="2">
                  <c:v>22.8</c:v>
                </c:pt>
                <c:pt idx="3">
                  <c:v>43.5</c:v>
                </c:pt>
                <c:pt idx="4">
                  <c:v>6.5</c:v>
                </c:pt>
              </c:numCache>
            </c:numRef>
          </c:val>
          <c:smooth val="0"/>
        </c:ser>
        <c:dLbls>
          <c:showLegendKey val="0"/>
          <c:showVal val="0"/>
          <c:showCatName val="0"/>
          <c:showSerName val="0"/>
          <c:showPercent val="0"/>
          <c:showBubbleSize val="0"/>
        </c:dLbls>
        <c:marker val="1"/>
        <c:smooth val="0"/>
        <c:axId val="321673728"/>
        <c:axId val="318444608"/>
      </c:lineChart>
      <c:catAx>
        <c:axId val="321673728"/>
        <c:scaling>
          <c:orientation val="minMax"/>
        </c:scaling>
        <c:delete val="0"/>
        <c:axPos val="b"/>
        <c:majorTickMark val="out"/>
        <c:minorTickMark val="none"/>
        <c:tickLblPos val="nextTo"/>
        <c:crossAx val="318444608"/>
        <c:crosses val="autoZero"/>
        <c:auto val="1"/>
        <c:lblAlgn val="ctr"/>
        <c:lblOffset val="100"/>
        <c:noMultiLvlLbl val="0"/>
      </c:catAx>
      <c:valAx>
        <c:axId val="318444608"/>
        <c:scaling>
          <c:orientation val="minMax"/>
        </c:scaling>
        <c:delete val="0"/>
        <c:axPos val="l"/>
        <c:majorGridlines>
          <c:spPr>
            <a:ln>
              <a:solidFill>
                <a:prstClr val="white">
                  <a:lumMod val="75000"/>
                </a:prstClr>
              </a:solidFill>
            </a:ln>
          </c:spPr>
        </c:majorGridlines>
        <c:title>
          <c:tx>
            <c:rich>
              <a:bodyPr rot="0" vert="wordArtVertRtl"/>
              <a:lstStyle/>
              <a:p>
                <a:pPr>
                  <a:defRPr b="1">
                    <a:latin typeface="+mn-ea"/>
                    <a:ea typeface="+mn-ea"/>
                  </a:defRPr>
                </a:pPr>
                <a:r>
                  <a:rPr lang="zh-TW" b="1">
                    <a:latin typeface="+mn-ea"/>
                    <a:ea typeface="+mn-ea"/>
                  </a:rPr>
                  <a:t>占全體被保險人比率</a:t>
                </a:r>
                <a:r>
                  <a:rPr lang="en-US" b="1">
                    <a:latin typeface="+mn-ea"/>
                    <a:ea typeface="+mn-ea"/>
                  </a:rPr>
                  <a:t>(%)</a:t>
                </a:r>
                <a:endParaRPr lang="zh-TW" b="1">
                  <a:latin typeface="+mn-ea"/>
                  <a:ea typeface="+mn-ea"/>
                </a:endParaRPr>
              </a:p>
            </c:rich>
          </c:tx>
          <c:layout>
            <c:manualLayout>
              <c:xMode val="edge"/>
              <c:yMode val="edge"/>
              <c:x val="1.5592005789945839E-2"/>
              <c:y val="7.7486984208941109E-2"/>
            </c:manualLayout>
          </c:layout>
          <c:overlay val="0"/>
        </c:title>
        <c:numFmt formatCode="0.0_ " sourceLinked="1"/>
        <c:majorTickMark val="out"/>
        <c:minorTickMark val="none"/>
        <c:tickLblPos val="nextTo"/>
        <c:spPr>
          <a:ln>
            <a:noFill/>
          </a:ln>
        </c:spPr>
        <c:crossAx val="321673728"/>
        <c:crosses val="autoZero"/>
        <c:crossBetween val="between"/>
      </c:valAx>
    </c:plotArea>
    <c:legend>
      <c:legendPos val="t"/>
      <c:layout>
        <c:manualLayout>
          <c:xMode val="edge"/>
          <c:yMode val="edge"/>
          <c:x val="0.34579070967929565"/>
          <c:y val="2.6708212775428446E-2"/>
          <c:w val="0.5726992315018794"/>
          <c:h val="8.5643114985961874E-2"/>
        </c:manualLayout>
      </c:layout>
      <c:overlay val="0"/>
    </c:legend>
    <c:plotVisOnly val="1"/>
    <c:dispBlanksAs val="gap"/>
    <c:showDLblsOverMax val="0"/>
  </c:chart>
  <c:txPr>
    <a:bodyPr/>
    <a:lstStyle/>
    <a:p>
      <a:pPr>
        <a:defRPr sz="1000">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16947932668035"/>
          <c:y val="4.3754590329137269E-2"/>
          <c:w val="0.81946733124935101"/>
          <c:h val="0.7112302936102618"/>
        </c:manualLayout>
      </c:layout>
      <c:lineChart>
        <c:grouping val="standard"/>
        <c:varyColors val="0"/>
        <c:ser>
          <c:idx val="0"/>
          <c:order val="0"/>
          <c:tx>
            <c:strRef>
              <c:f>'[勞工保險(109年).xlsx]1.1被保險人人數(按投保單位類別分)'!$B$45</c:f>
              <c:strCache>
                <c:ptCount val="1"/>
                <c:pt idx="0">
                  <c:v>產業勞工及交通公用事業之員工</c:v>
                </c:pt>
              </c:strCache>
            </c:strRef>
          </c:tx>
          <c:dLbls>
            <c:dLbl>
              <c:idx val="0"/>
              <c:layout>
                <c:manualLayout>
                  <c:x val="-6.0951451660404346E-2"/>
                  <c:y val="9.777708990307415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F3-46A3-A9FF-2D0BF42EA5D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BF3-46A3-A9FF-2D0BF42EA5D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F3-46A3-A9FF-2D0BF42EA5D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BF3-46A3-A9FF-2D0BF42EA5D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F3-46A3-A9FF-2D0BF42EA5D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BF3-46A3-A9FF-2D0BF42EA5D2}"/>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F3-46A3-A9FF-2D0BF42EA5D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BF3-46A3-A9FF-2D0BF42EA5D2}"/>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F3-46A3-A9FF-2D0BF42EA5D2}"/>
                </c:ext>
              </c:extLst>
            </c:dLbl>
            <c:dLbl>
              <c:idx val="9"/>
              <c:layout>
                <c:manualLayout>
                  <c:x val="-1.5124806193223286E-2"/>
                  <c:y val="3.11156669932387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BF3-46A3-A9FF-2D0BF42EA5D2}"/>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'[勞工保險(109年).xlsx]1.1被保險人人數(按投保單位類別分)'!$A$48:$A$57</c:f>
              <c:strCache>
                <c:ptCount val="10"/>
                <c:pt idx="0">
                  <c:v> 100年</c:v>
                </c:pt>
                <c:pt idx="1">
                  <c:v> 101年</c:v>
                </c:pt>
                <c:pt idx="2">
                  <c:v>102年</c:v>
                </c:pt>
                <c:pt idx="3">
                  <c:v> 103年</c:v>
                </c:pt>
                <c:pt idx="4">
                  <c:v>104年</c:v>
                </c:pt>
                <c:pt idx="5">
                  <c:v>105年</c:v>
                </c:pt>
                <c:pt idx="6">
                  <c:v>106年</c:v>
                </c:pt>
                <c:pt idx="7">
                  <c:v>107年</c:v>
                </c:pt>
                <c:pt idx="8">
                  <c:v>108年</c:v>
                </c:pt>
                <c:pt idx="9">
                  <c:v>109年</c:v>
                </c:pt>
              </c:strCache>
            </c:strRef>
          </c:cat>
          <c:val>
            <c:numRef>
              <c:f>'[勞工保險(109年).xlsx]1.1被保險人人數(按投保單位類別分)'!$B$48:$B$57</c:f>
              <c:numCache>
                <c:formatCode>#,##0.0_ </c:formatCode>
                <c:ptCount val="10"/>
                <c:pt idx="0">
                  <c:v>277.37630000000001</c:v>
                </c:pt>
                <c:pt idx="1">
                  <c:v>281.13150000000002</c:v>
                </c:pt>
                <c:pt idx="2">
                  <c:v>289.59210000000002</c:v>
                </c:pt>
                <c:pt idx="3">
                  <c:v>300.09559999999999</c:v>
                </c:pt>
                <c:pt idx="4">
                  <c:v>306.02420000000001</c:v>
                </c:pt>
                <c:pt idx="5">
                  <c:v>311.95159999999998</c:v>
                </c:pt>
                <c:pt idx="6">
                  <c:v>320.10000000000002</c:v>
                </c:pt>
                <c:pt idx="7">
                  <c:v>327</c:v>
                </c:pt>
                <c:pt idx="8">
                  <c:v>331.3</c:v>
                </c:pt>
                <c:pt idx="9">
                  <c:v>334</c:v>
                </c:pt>
              </c:numCache>
            </c:numRef>
          </c:val>
          <c:smooth val="0"/>
          <c:extLst xmlns:c16r2="http://schemas.microsoft.com/office/drawing/2015/06/chart">
            <c:ext xmlns:c16="http://schemas.microsoft.com/office/drawing/2014/chart" uri="{C3380CC4-5D6E-409C-BE32-E72D297353CC}">
              <c16:uniqueId val="{0000000A-2BF3-46A3-A9FF-2D0BF42EA5D2}"/>
            </c:ext>
          </c:extLst>
        </c:ser>
        <c:ser>
          <c:idx val="1"/>
          <c:order val="1"/>
          <c:tx>
            <c:strRef>
              <c:f>'[勞工保險(109年).xlsx]1.1被保險人人數(按投保單位類別分)'!$C$45</c:f>
              <c:strCache>
                <c:ptCount val="1"/>
                <c:pt idx="0">
                  <c:v>公司、行號之員工</c:v>
                </c:pt>
              </c:strCache>
            </c:strRef>
          </c:tx>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BF3-46A3-A9FF-2D0BF42EA5D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BF3-46A3-A9FF-2D0BF42EA5D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BF3-46A3-A9FF-2D0BF42EA5D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2BF3-46A3-A9FF-2D0BF42EA5D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BF3-46A3-A9FF-2D0BF42EA5D2}"/>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BF3-46A3-A9FF-2D0BF42EA5D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BF3-46A3-A9FF-2D0BF42EA5D2}"/>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2BF3-46A3-A9FF-2D0BF42EA5D2}"/>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'[勞工保險(109年).xlsx]1.1被保險人人數(按投保單位類別分)'!$A$48:$A$57</c:f>
              <c:strCache>
                <c:ptCount val="10"/>
                <c:pt idx="0">
                  <c:v> 100年</c:v>
                </c:pt>
                <c:pt idx="1">
                  <c:v> 101年</c:v>
                </c:pt>
                <c:pt idx="2">
                  <c:v>102年</c:v>
                </c:pt>
                <c:pt idx="3">
                  <c:v> 103年</c:v>
                </c:pt>
                <c:pt idx="4">
                  <c:v>104年</c:v>
                </c:pt>
                <c:pt idx="5">
                  <c:v>105年</c:v>
                </c:pt>
                <c:pt idx="6">
                  <c:v>106年</c:v>
                </c:pt>
                <c:pt idx="7">
                  <c:v>107年</c:v>
                </c:pt>
                <c:pt idx="8">
                  <c:v>108年</c:v>
                </c:pt>
                <c:pt idx="9">
                  <c:v>109年</c:v>
                </c:pt>
              </c:strCache>
            </c:strRef>
          </c:cat>
          <c:val>
            <c:numRef>
              <c:f>'[勞工保險(109年).xlsx]1.1被保險人人數(按投保單位類別分)'!$C$48:$C$57</c:f>
              <c:numCache>
                <c:formatCode>#,##0.0_ </c:formatCode>
                <c:ptCount val="10"/>
                <c:pt idx="0">
                  <c:v>307.62220000000002</c:v>
                </c:pt>
                <c:pt idx="1">
                  <c:v>313.61869999999999</c:v>
                </c:pt>
                <c:pt idx="2">
                  <c:v>317.62270000000001</c:v>
                </c:pt>
                <c:pt idx="3">
                  <c:v>324.79410000000001</c:v>
                </c:pt>
                <c:pt idx="4">
                  <c:v>332.1397</c:v>
                </c:pt>
                <c:pt idx="5">
                  <c:v>339.43979999999999</c:v>
                </c:pt>
                <c:pt idx="6">
                  <c:v>346.4</c:v>
                </c:pt>
                <c:pt idx="7">
                  <c:v>351.8</c:v>
                </c:pt>
                <c:pt idx="8">
                  <c:v>358.1</c:v>
                </c:pt>
                <c:pt idx="9">
                  <c:v>359</c:v>
                </c:pt>
              </c:numCache>
            </c:numRef>
          </c:val>
          <c:smooth val="0"/>
          <c:extLst xmlns:c16r2="http://schemas.microsoft.com/office/drawing/2015/06/chart">
            <c:ext xmlns:c16="http://schemas.microsoft.com/office/drawing/2014/chart" uri="{C3380CC4-5D6E-409C-BE32-E72D297353CC}">
              <c16:uniqueId val="{00000013-2BF3-46A3-A9FF-2D0BF42EA5D2}"/>
            </c:ext>
          </c:extLst>
        </c:ser>
        <c:ser>
          <c:idx val="2"/>
          <c:order val="2"/>
          <c:tx>
            <c:strRef>
              <c:f>'[勞工保險(109年).xlsx]1.1被保險人人數(按投保單位類別分)'!$D$45</c:f>
              <c:strCache>
                <c:ptCount val="1"/>
                <c:pt idx="0">
                  <c:v>新聞、文化、公益及合作事業之員工</c:v>
                </c:pt>
              </c:strCache>
            </c:strRef>
          </c:tx>
          <c:dLbls>
            <c:dLbl>
              <c:idx val="0"/>
              <c:layout>
                <c:manualLayout>
                  <c:x val="-2.5846931139064642E-2"/>
                  <c:y val="2.56779453544444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2BF3-46A3-A9FF-2D0BF42EA5D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2BF3-46A3-A9FF-2D0BF42EA5D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2BF3-46A3-A9FF-2D0BF42EA5D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2BF3-46A3-A9FF-2D0BF42EA5D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2BF3-46A3-A9FF-2D0BF42EA5D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2BF3-46A3-A9FF-2D0BF42EA5D2}"/>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2BF3-46A3-A9FF-2D0BF42EA5D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2BF3-46A3-A9FF-2D0BF42EA5D2}"/>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2BF3-46A3-A9FF-2D0BF42EA5D2}"/>
                </c:ext>
              </c:extLst>
            </c:dLbl>
            <c:dLbl>
              <c:idx val="9"/>
              <c:layout>
                <c:manualLayout>
                  <c:x val="-1.86151185399233E-2"/>
                  <c:y val="2.72754212175091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2BF3-46A3-A9FF-2D0BF42EA5D2}"/>
                </c:ext>
              </c:extLst>
            </c:dLbl>
            <c:dLbl>
              <c:idx val="10"/>
              <c:layout>
                <c:manualLayout>
                  <c:x val="-1.0342747061119406E-2"/>
                  <c:y val="2.92932743493831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2BF3-46A3-A9FF-2D0BF42EA5D2}"/>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'[勞工保險(109年).xlsx]1.1被保險人人數(按投保單位類別分)'!$A$48:$A$57</c:f>
              <c:strCache>
                <c:ptCount val="10"/>
                <c:pt idx="0">
                  <c:v> 100年</c:v>
                </c:pt>
                <c:pt idx="1">
                  <c:v> 101年</c:v>
                </c:pt>
                <c:pt idx="2">
                  <c:v>102年</c:v>
                </c:pt>
                <c:pt idx="3">
                  <c:v> 103年</c:v>
                </c:pt>
                <c:pt idx="4">
                  <c:v>104年</c:v>
                </c:pt>
                <c:pt idx="5">
                  <c:v>105年</c:v>
                </c:pt>
                <c:pt idx="6">
                  <c:v>106年</c:v>
                </c:pt>
                <c:pt idx="7">
                  <c:v>107年</c:v>
                </c:pt>
                <c:pt idx="8">
                  <c:v>108年</c:v>
                </c:pt>
                <c:pt idx="9">
                  <c:v>109年</c:v>
                </c:pt>
              </c:strCache>
            </c:strRef>
          </c:cat>
          <c:val>
            <c:numRef>
              <c:f>'[勞工保險(109年).xlsx]1.1被保險人人數(按投保單位類別分)'!$D$48:$D$57</c:f>
              <c:numCache>
                <c:formatCode>#,##0.0_ </c:formatCode>
                <c:ptCount val="10"/>
                <c:pt idx="0">
                  <c:v>26.617100000000001</c:v>
                </c:pt>
                <c:pt idx="1">
                  <c:v>27.392499999999998</c:v>
                </c:pt>
                <c:pt idx="2">
                  <c:v>27.951799999999999</c:v>
                </c:pt>
                <c:pt idx="3">
                  <c:v>28.764900000000001</c:v>
                </c:pt>
                <c:pt idx="4">
                  <c:v>29.764800000000001</c:v>
                </c:pt>
                <c:pt idx="5">
                  <c:v>30.8079</c:v>
                </c:pt>
                <c:pt idx="6">
                  <c:v>31.9</c:v>
                </c:pt>
                <c:pt idx="7">
                  <c:v>33.1</c:v>
                </c:pt>
                <c:pt idx="8">
                  <c:v>34.700000000000003</c:v>
                </c:pt>
                <c:pt idx="9">
                  <c:v>36.299999999999997</c:v>
                </c:pt>
              </c:numCache>
            </c:numRef>
          </c:val>
          <c:smooth val="0"/>
          <c:extLst xmlns:c16r2="http://schemas.microsoft.com/office/drawing/2015/06/chart">
            <c:ext xmlns:c16="http://schemas.microsoft.com/office/drawing/2014/chart" uri="{C3380CC4-5D6E-409C-BE32-E72D297353CC}">
              <c16:uniqueId val="{0000001F-2BF3-46A3-A9FF-2D0BF42EA5D2}"/>
            </c:ext>
          </c:extLst>
        </c:ser>
        <c:ser>
          <c:idx val="3"/>
          <c:order val="3"/>
          <c:tx>
            <c:strRef>
              <c:f>'[勞工保險(109年).xlsx]1.1被保險人人數(按投保單位類別分)'!$E$45</c:f>
              <c:strCache>
                <c:ptCount val="1"/>
                <c:pt idx="0">
                  <c:v>政府機關及公、私立學校之員工</c:v>
                </c:pt>
              </c:strCache>
            </c:strRef>
          </c:tx>
          <c:dLbls>
            <c:dLbl>
              <c:idx val="0"/>
              <c:layout>
                <c:manualLayout>
                  <c:x val="-3.9489495941247454E-2"/>
                  <c:y val="-4.01392613341987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2BF3-46A3-A9FF-2D0BF42EA5D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2BF3-46A3-A9FF-2D0BF42EA5D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2BF3-46A3-A9FF-2D0BF42EA5D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2BF3-46A3-A9FF-2D0BF42EA5D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2BF3-46A3-A9FF-2D0BF42EA5D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2BF3-46A3-A9FF-2D0BF42EA5D2}"/>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2BF3-46A3-A9FF-2D0BF42EA5D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2BF3-46A3-A9FF-2D0BF42EA5D2}"/>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2BF3-46A3-A9FF-2D0BF42EA5D2}"/>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'[勞工保險(109年).xlsx]1.1被保險人人數(按投保單位類別分)'!$A$48:$A$57</c:f>
              <c:strCache>
                <c:ptCount val="10"/>
                <c:pt idx="0">
                  <c:v> 100年</c:v>
                </c:pt>
                <c:pt idx="1">
                  <c:v> 101年</c:v>
                </c:pt>
                <c:pt idx="2">
                  <c:v>102年</c:v>
                </c:pt>
                <c:pt idx="3">
                  <c:v> 103年</c:v>
                </c:pt>
                <c:pt idx="4">
                  <c:v>104年</c:v>
                </c:pt>
                <c:pt idx="5">
                  <c:v>105年</c:v>
                </c:pt>
                <c:pt idx="6">
                  <c:v>106年</c:v>
                </c:pt>
                <c:pt idx="7">
                  <c:v>107年</c:v>
                </c:pt>
                <c:pt idx="8">
                  <c:v>108年</c:v>
                </c:pt>
                <c:pt idx="9">
                  <c:v>109年</c:v>
                </c:pt>
              </c:strCache>
            </c:strRef>
          </c:cat>
          <c:val>
            <c:numRef>
              <c:f>'[勞工保險(109年).xlsx]1.1被保險人人數(按投保單位類別分)'!$E$48:$E$57</c:f>
              <c:numCache>
                <c:formatCode>#,##0.0_ </c:formatCode>
                <c:ptCount val="10"/>
                <c:pt idx="0">
                  <c:v>38.388199999999998</c:v>
                </c:pt>
                <c:pt idx="1">
                  <c:v>38.504300000000001</c:v>
                </c:pt>
                <c:pt idx="2">
                  <c:v>38.993899999999996</c:v>
                </c:pt>
                <c:pt idx="3">
                  <c:v>39.542099999999998</c:v>
                </c:pt>
                <c:pt idx="4">
                  <c:v>41.863999999999997</c:v>
                </c:pt>
                <c:pt idx="5">
                  <c:v>41.806199999999997</c:v>
                </c:pt>
                <c:pt idx="6">
                  <c:v>42.9</c:v>
                </c:pt>
                <c:pt idx="7">
                  <c:v>43.7</c:v>
                </c:pt>
                <c:pt idx="8">
                  <c:v>45.4</c:v>
                </c:pt>
                <c:pt idx="9">
                  <c:v>46.3</c:v>
                </c:pt>
              </c:numCache>
            </c:numRef>
          </c:val>
          <c:smooth val="0"/>
          <c:extLst xmlns:c16r2="http://schemas.microsoft.com/office/drawing/2015/06/chart">
            <c:ext xmlns:c16="http://schemas.microsoft.com/office/drawing/2014/chart" uri="{C3380CC4-5D6E-409C-BE32-E72D297353CC}">
              <c16:uniqueId val="{00000029-2BF3-46A3-A9FF-2D0BF42EA5D2}"/>
            </c:ext>
          </c:extLst>
        </c:ser>
        <c:ser>
          <c:idx val="4"/>
          <c:order val="4"/>
          <c:tx>
            <c:strRef>
              <c:f>'[勞工保險(109年).xlsx]1.1被保險人人數(按投保單位類別分)'!$F$45</c:f>
              <c:strCache>
                <c:ptCount val="1"/>
                <c:pt idx="0">
                  <c:v>職業勞工</c:v>
                </c:pt>
              </c:strCache>
            </c:strRef>
          </c:tx>
          <c:dLbls>
            <c:dLbl>
              <c:idx val="0"/>
              <c:layout>
                <c:manualLayout>
                  <c:x val="-4.7527329888675238E-2"/>
                  <c:y val="3.65239323392601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2BF3-46A3-A9FF-2D0BF42EA5D2}"/>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2BF3-46A3-A9FF-2D0BF42EA5D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2BF3-46A3-A9FF-2D0BF42EA5D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2BF3-46A3-A9FF-2D0BF42EA5D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2BF3-46A3-A9FF-2D0BF42EA5D2}"/>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2BF3-46A3-A9FF-2D0BF42EA5D2}"/>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2BF3-46A3-A9FF-2D0BF42EA5D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1-2BF3-46A3-A9FF-2D0BF42EA5D2}"/>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32-2BF3-46A3-A9FF-2D0BF42EA5D2}"/>
                </c:ext>
              </c:extLst>
            </c:dLbl>
            <c:dLbl>
              <c:idx val="9"/>
              <c:layout>
                <c:manualLayout>
                  <c:x val="-1.2851045392859316E-2"/>
                  <c:y val="2.72754212175091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3-2BF3-46A3-A9FF-2D0BF42EA5D2}"/>
                </c:ext>
              </c:extLst>
            </c:dLbl>
            <c:dLbl>
              <c:idx val="10"/>
              <c:layout>
                <c:manualLayout>
                  <c:x val="-1.8221238716238233E-2"/>
                  <c:y val="4.01392613341987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4-2BF3-46A3-A9FF-2D0BF42EA5D2}"/>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'[勞工保險(109年).xlsx]1.1被保險人人數(按投保單位類別分)'!$A$48:$A$57</c:f>
              <c:strCache>
                <c:ptCount val="10"/>
                <c:pt idx="0">
                  <c:v> 100年</c:v>
                </c:pt>
                <c:pt idx="1">
                  <c:v> 101年</c:v>
                </c:pt>
                <c:pt idx="2">
                  <c:v>102年</c:v>
                </c:pt>
                <c:pt idx="3">
                  <c:v> 103年</c:v>
                </c:pt>
                <c:pt idx="4">
                  <c:v>104年</c:v>
                </c:pt>
                <c:pt idx="5">
                  <c:v>105年</c:v>
                </c:pt>
                <c:pt idx="6">
                  <c:v>106年</c:v>
                </c:pt>
                <c:pt idx="7">
                  <c:v>107年</c:v>
                </c:pt>
                <c:pt idx="8">
                  <c:v>108年</c:v>
                </c:pt>
                <c:pt idx="9">
                  <c:v>109年</c:v>
                </c:pt>
              </c:strCache>
            </c:strRef>
          </c:cat>
          <c:val>
            <c:numRef>
              <c:f>'[勞工保險(109年).xlsx]1.1被保險人人數(按投保單位類別分)'!$F$48:$F$57</c:f>
              <c:numCache>
                <c:formatCode>#,##0.0_ </c:formatCode>
                <c:ptCount val="10"/>
                <c:pt idx="0">
                  <c:v>255.73609999999999</c:v>
                </c:pt>
                <c:pt idx="1">
                  <c:v>243.56389999999999</c:v>
                </c:pt>
                <c:pt idx="2">
                  <c:v>233.2072</c:v>
                </c:pt>
                <c:pt idx="3">
                  <c:v>230.48869999999999</c:v>
                </c:pt>
                <c:pt idx="4">
                  <c:v>228.09370000000001</c:v>
                </c:pt>
                <c:pt idx="5">
                  <c:v>222.24850000000001</c:v>
                </c:pt>
                <c:pt idx="6">
                  <c:v>214.9</c:v>
                </c:pt>
                <c:pt idx="7">
                  <c:v>210.1</c:v>
                </c:pt>
                <c:pt idx="8">
                  <c:v>205.2</c:v>
                </c:pt>
                <c:pt idx="9">
                  <c:v>206.9</c:v>
                </c:pt>
              </c:numCache>
            </c:numRef>
          </c:val>
          <c:smooth val="0"/>
          <c:extLst xmlns:c16r2="http://schemas.microsoft.com/office/drawing/2015/06/chart">
            <c:ext xmlns:c16="http://schemas.microsoft.com/office/drawing/2014/chart" uri="{C3380CC4-5D6E-409C-BE32-E72D297353CC}">
              <c16:uniqueId val="{00000035-2BF3-46A3-A9FF-2D0BF42EA5D2}"/>
            </c:ext>
          </c:extLst>
        </c:ser>
        <c:dLbls>
          <c:showLegendKey val="0"/>
          <c:showVal val="0"/>
          <c:showCatName val="0"/>
          <c:showSerName val="0"/>
          <c:showPercent val="0"/>
          <c:showBubbleSize val="0"/>
        </c:dLbls>
        <c:marker val="1"/>
        <c:smooth val="0"/>
        <c:axId val="280335360"/>
        <c:axId val="41474816"/>
      </c:lineChart>
      <c:catAx>
        <c:axId val="280335360"/>
        <c:scaling>
          <c:orientation val="minMax"/>
        </c:scaling>
        <c:delete val="0"/>
        <c:axPos val="b"/>
        <c:numFmt formatCode="General" sourceLinked="0"/>
        <c:majorTickMark val="out"/>
        <c:minorTickMark val="none"/>
        <c:tickLblPos val="nextTo"/>
        <c:crossAx val="41474816"/>
        <c:crosses val="autoZero"/>
        <c:auto val="1"/>
        <c:lblAlgn val="ctr"/>
        <c:lblOffset val="100"/>
        <c:noMultiLvlLbl val="0"/>
      </c:catAx>
      <c:valAx>
        <c:axId val="41474816"/>
        <c:scaling>
          <c:orientation val="minMax"/>
        </c:scaling>
        <c:delete val="0"/>
        <c:axPos val="l"/>
        <c:majorGridlines/>
        <c:numFmt formatCode="#,##0.0_ " sourceLinked="1"/>
        <c:majorTickMark val="out"/>
        <c:minorTickMark val="none"/>
        <c:tickLblPos val="nextTo"/>
        <c:crossAx val="280335360"/>
        <c:crosses val="autoZero"/>
        <c:crossBetween val="between"/>
      </c:valAx>
    </c:plotArea>
    <c:legend>
      <c:legendPos val="b"/>
      <c:layout>
        <c:manualLayout>
          <c:xMode val="edge"/>
          <c:yMode val="edge"/>
          <c:x val="8.9234793637372509E-2"/>
          <c:y val="0.8559570182986822"/>
          <c:w val="0.90784836547843906"/>
          <c:h val="0.12984297515955839"/>
        </c:manualLayout>
      </c:layout>
      <c:overlay val="0"/>
      <c:txPr>
        <a:bodyPr/>
        <a:lstStyle/>
        <a:p>
          <a:pPr>
            <a:defRPr sz="850">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8.7226232137649462E-2"/>
          <c:y val="0.13849492559679505"/>
          <c:w val="0.89099573490813644"/>
          <c:h val="0.75678273188239997"/>
        </c:manualLayout>
      </c:layout>
      <c:barChart>
        <c:barDir val="col"/>
        <c:grouping val="clustered"/>
        <c:varyColors val="0"/>
        <c:ser>
          <c:idx val="0"/>
          <c:order val="0"/>
          <c:spPr>
            <a:solidFill>
              <a:schemeClr val="accent6">
                <a:lumMod val="60000"/>
                <a:lumOff val="40000"/>
              </a:schemeClr>
            </a:solidFill>
            <a:effectLst/>
          </c:spPr>
          <c:invertIfNegative val="0"/>
          <c:dLbls>
            <c:spPr>
              <a:noFill/>
              <a:ln>
                <a:noFill/>
              </a:ln>
              <a:effectLst/>
            </c:spPr>
            <c:txPr>
              <a:bodyPr/>
              <a:lstStyle/>
              <a:p>
                <a:pPr>
                  <a:defRPr sz="900">
                    <a:latin typeface="微軟正黑體" pitchFamily="34" charset="-120"/>
                    <a:ea typeface="微軟正黑體" pitchFamily="34" charset="-120"/>
                  </a:defRPr>
                </a:pPr>
                <a:endParaRPr lang="zh-TW"/>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'[勞工保險(109年).xlsx]1.3被保險人人數(按年齡組分)'!$A$51:$A$62</c:f>
              <c:strCache>
                <c:ptCount val="12"/>
                <c:pt idx="0">
                  <c:v>未滿15歲</c:v>
                </c:pt>
                <c:pt idx="1">
                  <c:v>15-19歲</c:v>
                </c:pt>
                <c:pt idx="2">
                  <c:v>20-24歲</c:v>
                </c:pt>
                <c:pt idx="3">
                  <c:v>25-29歲</c:v>
                </c:pt>
                <c:pt idx="4">
                  <c:v>30-34歲</c:v>
                </c:pt>
                <c:pt idx="5">
                  <c:v>35-39歲</c:v>
                </c:pt>
                <c:pt idx="6">
                  <c:v>40-44歲</c:v>
                </c:pt>
                <c:pt idx="7">
                  <c:v>45-49歲</c:v>
                </c:pt>
                <c:pt idx="8">
                  <c:v>50-54歲</c:v>
                </c:pt>
                <c:pt idx="9">
                  <c:v>55-59歲</c:v>
                </c:pt>
                <c:pt idx="10">
                  <c:v>60-64歲</c:v>
                </c:pt>
                <c:pt idx="11">
                  <c:v>65歲以上</c:v>
                </c:pt>
              </c:strCache>
            </c:strRef>
          </c:cat>
          <c:val>
            <c:numRef>
              <c:f>'[勞工保險(109年).xlsx]1.3被保險人人數(按年齡組分)'!$B$51:$B$62</c:f>
              <c:numCache>
                <c:formatCode>#,##0.0_ </c:formatCode>
                <c:ptCount val="12"/>
                <c:pt idx="0">
                  <c:v>4.7371161100318386E-5</c:v>
                </c:pt>
                <c:pt idx="1">
                  <c:v>1.1783860550670799</c:v>
                </c:pt>
                <c:pt idx="2">
                  <c:v>7.0598188811026485</c:v>
                </c:pt>
                <c:pt idx="3">
                  <c:v>12.070806621919868</c:v>
                </c:pt>
                <c:pt idx="4">
                  <c:v>12.354294598408613</c:v>
                </c:pt>
                <c:pt idx="5">
                  <c:v>14.161438074760218</c:v>
                </c:pt>
                <c:pt idx="6">
                  <c:v>14.477706894730385</c:v>
                </c:pt>
                <c:pt idx="7">
                  <c:v>11.927707818468027</c:v>
                </c:pt>
                <c:pt idx="8">
                  <c:v>10.905021295705472</c:v>
                </c:pt>
                <c:pt idx="9">
                  <c:v>9.4628820898640402</c:v>
                </c:pt>
                <c:pt idx="10">
                  <c:v>4.7079449490262615</c:v>
                </c:pt>
                <c:pt idx="11">
                  <c:v>1.6939453497862851</c:v>
                </c:pt>
              </c:numCache>
            </c:numRef>
          </c:val>
          <c:extLst xmlns:c16r2="http://schemas.microsoft.com/office/drawing/2015/06/chart">
            <c:ext xmlns:c16="http://schemas.microsoft.com/office/drawing/2014/chart" uri="{C3380CC4-5D6E-409C-BE32-E72D297353CC}">
              <c16:uniqueId val="{00000000-650C-4314-BC24-DB8DE528842F}"/>
            </c:ext>
          </c:extLst>
        </c:ser>
        <c:dLbls>
          <c:showLegendKey val="0"/>
          <c:showVal val="0"/>
          <c:showCatName val="0"/>
          <c:showSerName val="0"/>
          <c:showPercent val="0"/>
          <c:showBubbleSize val="0"/>
        </c:dLbls>
        <c:gapWidth val="150"/>
        <c:axId val="280334848"/>
        <c:axId val="280642112"/>
      </c:barChart>
      <c:catAx>
        <c:axId val="280334848"/>
        <c:scaling>
          <c:orientation val="minMax"/>
        </c:scaling>
        <c:delete val="0"/>
        <c:axPos val="b"/>
        <c:numFmt formatCode="General" sourceLinked="0"/>
        <c:majorTickMark val="out"/>
        <c:minorTickMark val="none"/>
        <c:tickLblPos val="nextTo"/>
        <c:txPr>
          <a:bodyPr/>
          <a:lstStyle/>
          <a:p>
            <a:pPr>
              <a:defRPr sz="750">
                <a:latin typeface="微軟正黑體" pitchFamily="34" charset="-120"/>
                <a:ea typeface="微軟正黑體" pitchFamily="34" charset="-120"/>
              </a:defRPr>
            </a:pPr>
            <a:endParaRPr lang="zh-TW"/>
          </a:p>
        </c:txPr>
        <c:crossAx val="280642112"/>
        <c:crosses val="autoZero"/>
        <c:auto val="1"/>
        <c:lblAlgn val="ctr"/>
        <c:lblOffset val="100"/>
        <c:noMultiLvlLbl val="0"/>
      </c:catAx>
      <c:valAx>
        <c:axId val="280642112"/>
        <c:scaling>
          <c:orientation val="minMax"/>
        </c:scaling>
        <c:delete val="0"/>
        <c:axPos val="l"/>
        <c:numFmt formatCode="#,##0.0_ " sourceLinked="1"/>
        <c:majorTickMark val="out"/>
        <c:minorTickMark val="none"/>
        <c:tickLblPos val="nextTo"/>
        <c:txPr>
          <a:bodyPr/>
          <a:lstStyle/>
          <a:p>
            <a:pPr>
              <a:defRPr sz="900">
                <a:latin typeface="微軟正黑體" pitchFamily="34" charset="-120"/>
                <a:ea typeface="微軟正黑體" pitchFamily="34" charset="-120"/>
              </a:defRPr>
            </a:pPr>
            <a:endParaRPr lang="zh-TW"/>
          </a:p>
        </c:txPr>
        <c:crossAx val="280334848"/>
        <c:crosses val="autoZero"/>
        <c:crossBetween val="between"/>
      </c:valAx>
      <c:spPr>
        <a:effectLst/>
      </c:spPr>
    </c:plotArea>
    <c:plotVisOnly val="1"/>
    <c:dispBlanksAs val="gap"/>
    <c:showDLblsOverMax val="0"/>
  </c:chart>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368088363954504"/>
          <c:y val="9.7696850393700782E-2"/>
          <c:w val="0.87048272090988621"/>
          <c:h val="0.76870771361913093"/>
        </c:manualLayout>
      </c:layout>
      <c:barChart>
        <c:barDir val="col"/>
        <c:grouping val="clustered"/>
        <c:varyColors val="0"/>
        <c:ser>
          <c:idx val="0"/>
          <c:order val="0"/>
          <c:tx>
            <c:strRef>
              <c:f>'1.3被保險人人數(按年齡組分)'!$B$65</c:f>
              <c:strCache>
                <c:ptCount val="1"/>
                <c:pt idx="0">
                  <c:v>全體</c:v>
                </c:pt>
              </c:strCache>
            </c:strRef>
          </c:tx>
          <c:spPr>
            <a:solidFill>
              <a:schemeClr val="accent6">
                <a:lumMod val="60000"/>
                <a:lumOff val="40000"/>
              </a:schemeClr>
            </a:solidFill>
          </c:spPr>
          <c:invertIfNegative val="0"/>
          <c:dLbls>
            <c:dLbl>
              <c:idx val="0"/>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54-456F-AB53-F808DDF0B5A2}"/>
                </c:ext>
              </c:extLst>
            </c:dLbl>
            <c:dLbl>
              <c:idx val="9"/>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54-456F-AB53-F808DDF0B5A2}"/>
                </c:ext>
              </c:extLst>
            </c:dLbl>
            <c:txPr>
              <a:bodyPr/>
              <a:lstStyle/>
              <a:p>
                <a:pPr>
                  <a:defRPr sz="1200"/>
                </a:pPr>
                <a:endParaRPr lang="zh-TW"/>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'1.3被保險人人數(按年齡組分)'!$A$83:$A$92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'1.3被保險人人數(按年齡組分)'!$C$83:$C$92</c:f>
              <c:numCache>
                <c:formatCode>0.0_ </c:formatCode>
                <c:ptCount val="10"/>
                <c:pt idx="0">
                  <c:v>40</c:v>
                </c:pt>
                <c:pt idx="1">
                  <c:v>40</c:v>
                </c:pt>
                <c:pt idx="2">
                  <c:v>40</c:v>
                </c:pt>
                <c:pt idx="3">
                  <c:v>40</c:v>
                </c:pt>
                <c:pt idx="4">
                  <c:v>40.200000000000003</c:v>
                </c:pt>
                <c:pt idx="5">
                  <c:v>40.299999999999997</c:v>
                </c:pt>
                <c:pt idx="6">
                  <c:v>40.299999999999997</c:v>
                </c:pt>
                <c:pt idx="7">
                  <c:v>40.5</c:v>
                </c:pt>
                <c:pt idx="8">
                  <c:v>40.799999999999997</c:v>
                </c:pt>
                <c:pt idx="9">
                  <c:v>41.1</c:v>
                </c:pt>
              </c:numCache>
            </c:numRef>
          </c:val>
          <c:extLst xmlns:c16r2="http://schemas.microsoft.com/office/drawing/2015/06/chart">
            <c:ext xmlns:c16="http://schemas.microsoft.com/office/drawing/2014/chart" uri="{C3380CC4-5D6E-409C-BE32-E72D297353CC}">
              <c16:uniqueId val="{00000002-F454-456F-AB53-F808DDF0B5A2}"/>
            </c:ext>
          </c:extLst>
        </c:ser>
        <c:dLbls>
          <c:showLegendKey val="0"/>
          <c:showVal val="0"/>
          <c:showCatName val="0"/>
          <c:showSerName val="0"/>
          <c:showPercent val="0"/>
          <c:showBubbleSize val="0"/>
        </c:dLbls>
        <c:gapWidth val="150"/>
        <c:axId val="280335872"/>
        <c:axId val="280643840"/>
      </c:barChart>
      <c:catAx>
        <c:axId val="280335872"/>
        <c:scaling>
          <c:orientation val="minMax"/>
        </c:scaling>
        <c:delete val="0"/>
        <c:axPos val="b"/>
        <c:numFmt formatCode="General" sourceLinked="0"/>
        <c:majorTickMark val="out"/>
        <c:minorTickMark val="none"/>
        <c:tickLblPos val="nextTo"/>
        <c:txPr>
          <a:bodyPr/>
          <a:lstStyle/>
          <a:p>
            <a:pPr>
              <a:defRPr>
                <a:latin typeface="微軟正黑體" pitchFamily="34" charset="-120"/>
                <a:ea typeface="微軟正黑體" pitchFamily="34" charset="-120"/>
              </a:defRPr>
            </a:pPr>
            <a:endParaRPr lang="zh-TW"/>
          </a:p>
        </c:txPr>
        <c:crossAx val="280643840"/>
        <c:crosses val="autoZero"/>
        <c:auto val="1"/>
        <c:lblAlgn val="ctr"/>
        <c:lblOffset val="100"/>
        <c:noMultiLvlLbl val="0"/>
      </c:catAx>
      <c:valAx>
        <c:axId val="280643840"/>
        <c:scaling>
          <c:orientation val="minMax"/>
          <c:max val="41.1"/>
          <c:min val="39.700000000000003"/>
        </c:scaling>
        <c:delete val="0"/>
        <c:axPos val="l"/>
        <c:numFmt formatCode="0.0_);[Red]\(0.0\)" sourceLinked="0"/>
        <c:majorTickMark val="out"/>
        <c:minorTickMark val="none"/>
        <c:tickLblPos val="nextTo"/>
        <c:txPr>
          <a:bodyPr/>
          <a:lstStyle/>
          <a:p>
            <a:pPr>
              <a:defRPr>
                <a:latin typeface="微軟正黑體" pitchFamily="34" charset="-120"/>
                <a:ea typeface="微軟正黑體" pitchFamily="34" charset="-120"/>
              </a:defRPr>
            </a:pPr>
            <a:endParaRPr lang="zh-TW"/>
          </a:p>
        </c:txPr>
        <c:crossAx val="280335872"/>
        <c:crosses val="autoZero"/>
        <c:crossBetween val="between"/>
        <c:majorUnit val="0.2"/>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69666812481772"/>
          <c:y val="4.2392209564869686E-2"/>
          <c:w val="0.75798829833770787"/>
          <c:h val="0.62591367255563646"/>
        </c:manualLayout>
      </c:layout>
      <c:barChart>
        <c:barDir val="col"/>
        <c:grouping val="clustered"/>
        <c:varyColors val="0"/>
        <c:ser>
          <c:idx val="0"/>
          <c:order val="0"/>
          <c:spPr>
            <a:solidFill>
              <a:schemeClr val="accent2">
                <a:lumMod val="40000"/>
                <a:lumOff val="60000"/>
              </a:schemeClr>
            </a:solidFill>
          </c:spPr>
          <c:invertIfNegative val="0"/>
          <c:dPt>
            <c:idx val="5"/>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1-9046-4A09-BC59-2B98FE786B2F}"/>
              </c:ext>
            </c:extLst>
          </c:dPt>
          <c:dLbls>
            <c:dLbl>
              <c:idx val="5"/>
              <c:layout>
                <c:manualLayout>
                  <c:x val="0"/>
                  <c:y val="4.8220863148408788E-3"/>
                </c:manualLayout>
              </c:layout>
              <c:spPr/>
              <c:txPr>
                <a:bodyPr/>
                <a:lstStyle/>
                <a:p>
                  <a:pPr>
                    <a:defRPr b="1"/>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046-4A09-BC59-2B98FE786B2F}"/>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'1.4被保險人平均投保薪資(按投保單位類別分)'!$A$24:$J$24</c:f>
              <c:strCache>
                <c:ptCount val="10"/>
                <c:pt idx="0">
                  <c:v>新聞、文化、公益
及合作事業之員工</c:v>
                </c:pt>
                <c:pt idx="1">
                  <c:v>產業勞工及交通
公用事業之員工</c:v>
                </c:pt>
                <c:pt idx="2">
                  <c:v>政府機關及公、
私立學校之員工</c:v>
                </c:pt>
                <c:pt idx="3">
                  <c:v>公司、行號之員工</c:v>
                </c:pt>
                <c:pt idx="4">
                  <c:v>自願投保者</c:v>
                </c:pt>
                <c:pt idx="5">
                  <c:v>全體平均</c:v>
                </c:pt>
                <c:pt idx="6">
                  <c:v>漁會之甲類會員</c:v>
                </c:pt>
                <c:pt idx="7">
                  <c:v>職業勞工</c:v>
                </c:pt>
                <c:pt idx="8">
                  <c:v>受僱從事漁業
生產之勞動者</c:v>
                </c:pt>
                <c:pt idx="9">
                  <c:v>職業訓練機構
接受訓練者</c:v>
                </c:pt>
              </c:strCache>
            </c:strRef>
          </c:cat>
          <c:val>
            <c:numRef>
              <c:f>'1.4被保險人平均投保薪資(按投保單位類別分)'!$A$25:$J$25</c:f>
              <c:numCache>
                <c:formatCode>#,##0_);[Red]\(#,##0\)</c:formatCode>
                <c:ptCount val="10"/>
                <c:pt idx="0">
                  <c:v>36059</c:v>
                </c:pt>
                <c:pt idx="1">
                  <c:v>34333</c:v>
                </c:pt>
                <c:pt idx="2">
                  <c:v>34231</c:v>
                </c:pt>
                <c:pt idx="3">
                  <c:v>33096</c:v>
                </c:pt>
                <c:pt idx="4">
                  <c:v>32850</c:v>
                </c:pt>
                <c:pt idx="5">
                  <c:v>32526</c:v>
                </c:pt>
                <c:pt idx="6">
                  <c:v>28410</c:v>
                </c:pt>
                <c:pt idx="7">
                  <c:v>28239</c:v>
                </c:pt>
                <c:pt idx="8">
                  <c:v>25902</c:v>
                </c:pt>
                <c:pt idx="9">
                  <c:v>13732</c:v>
                </c:pt>
              </c:numCache>
            </c:numRef>
          </c:val>
          <c:extLst xmlns:c16r2="http://schemas.microsoft.com/office/drawing/2015/06/chart">
            <c:ext xmlns:c16="http://schemas.microsoft.com/office/drawing/2014/chart" uri="{C3380CC4-5D6E-409C-BE32-E72D297353CC}">
              <c16:uniqueId val="{00000002-9046-4A09-BC59-2B98FE786B2F}"/>
            </c:ext>
          </c:extLst>
        </c:ser>
        <c:dLbls>
          <c:showLegendKey val="0"/>
          <c:showVal val="0"/>
          <c:showCatName val="0"/>
          <c:showSerName val="0"/>
          <c:showPercent val="0"/>
          <c:showBubbleSize val="0"/>
        </c:dLbls>
        <c:gapWidth val="150"/>
        <c:axId val="280336384"/>
        <c:axId val="280645568"/>
      </c:barChart>
      <c:catAx>
        <c:axId val="280336384"/>
        <c:scaling>
          <c:orientation val="minMax"/>
        </c:scaling>
        <c:delete val="0"/>
        <c:axPos val="b"/>
        <c:numFmt formatCode="General" sourceLinked="0"/>
        <c:majorTickMark val="out"/>
        <c:minorTickMark val="none"/>
        <c:tickLblPos val="nextTo"/>
        <c:txPr>
          <a:bodyPr rot="0" vert="eaVert" anchor="ctr" anchorCtr="0"/>
          <a:lstStyle/>
          <a:p>
            <a:pPr>
              <a:defRPr sz="830"/>
            </a:pPr>
            <a:endParaRPr lang="zh-TW"/>
          </a:p>
        </c:txPr>
        <c:crossAx val="280645568"/>
        <c:crosses val="autoZero"/>
        <c:auto val="1"/>
        <c:lblAlgn val="ctr"/>
        <c:lblOffset val="100"/>
        <c:noMultiLvlLbl val="0"/>
      </c:catAx>
      <c:valAx>
        <c:axId val="280645568"/>
        <c:scaling>
          <c:orientation val="minMax"/>
        </c:scaling>
        <c:delete val="0"/>
        <c:axPos val="l"/>
        <c:numFmt formatCode="#,##0_);[Red]\(#,##0\)" sourceLinked="1"/>
        <c:majorTickMark val="out"/>
        <c:minorTickMark val="none"/>
        <c:tickLblPos val="nextTo"/>
        <c:crossAx val="280336384"/>
        <c:crosses val="autoZero"/>
        <c:crossBetween val="between"/>
      </c:valAx>
    </c:plotArea>
    <c:plotVisOnly val="1"/>
    <c:dispBlanksAs val="gap"/>
    <c:showDLblsOverMax val="0"/>
  </c:chart>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58163977645438"/>
          <c:y val="8.3807961504811873E-2"/>
          <c:w val="0.8021771517044769"/>
          <c:h val="0.79648549139690872"/>
        </c:manualLayout>
      </c:layout>
      <c:barChart>
        <c:barDir val="col"/>
        <c:grouping val="clustered"/>
        <c:varyColors val="0"/>
        <c:ser>
          <c:idx val="0"/>
          <c:order val="0"/>
          <c:spPr>
            <a:solidFill>
              <a:schemeClr val="accent2">
                <a:lumMod val="60000"/>
                <a:lumOff val="40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'1.4被保險人平均投保薪資(按投保單位類別分)'!$M$5:$M$14</c:f>
              <c:strCache>
                <c:ptCount val="10"/>
                <c:pt idx="0">
                  <c:v> 100年 </c:v>
                </c:pt>
                <c:pt idx="1">
                  <c:v> 101年</c:v>
                </c:pt>
                <c:pt idx="2">
                  <c:v>102年</c:v>
                </c:pt>
                <c:pt idx="3">
                  <c:v> 103年</c:v>
                </c:pt>
                <c:pt idx="4">
                  <c:v>104年</c:v>
                </c:pt>
                <c:pt idx="5">
                  <c:v>105年</c:v>
                </c:pt>
                <c:pt idx="6">
                  <c:v>106年</c:v>
                </c:pt>
                <c:pt idx="7">
                  <c:v>107年</c:v>
                </c:pt>
                <c:pt idx="8">
                  <c:v>108年</c:v>
                </c:pt>
                <c:pt idx="9">
                  <c:v>109年</c:v>
                </c:pt>
              </c:strCache>
            </c:strRef>
          </c:cat>
          <c:val>
            <c:numRef>
              <c:f>'1.4被保險人平均投保薪資(按投保單位類別分)'!$N$5:$N$14</c:f>
              <c:numCache>
                <c:formatCode>#,##0_ </c:formatCode>
                <c:ptCount val="10"/>
                <c:pt idx="0">
                  <c:v>28552</c:v>
                </c:pt>
                <c:pt idx="1">
                  <c:v>29051</c:v>
                </c:pt>
                <c:pt idx="2">
                  <c:v>29313</c:v>
                </c:pt>
                <c:pt idx="3">
                  <c:v>29595</c:v>
                </c:pt>
                <c:pt idx="4">
                  <c:v>29914</c:v>
                </c:pt>
                <c:pt idx="5" formatCode="#,##0_);[Red]\(#,##0\)">
                  <c:v>30454</c:v>
                </c:pt>
                <c:pt idx="6" formatCode="#,##0_);[Red]\(#,##0\)">
                  <c:v>31005</c:v>
                </c:pt>
                <c:pt idx="7" formatCode="#,##0_);[Red]\(#,##0\)">
                  <c:v>31514</c:v>
                </c:pt>
                <c:pt idx="8" formatCode="#,##0_);[Red]\(#,##0\)">
                  <c:v>32099</c:v>
                </c:pt>
                <c:pt idx="9" formatCode="#,##0_);[Red]\(#,##0\)">
                  <c:v>32526</c:v>
                </c:pt>
              </c:numCache>
            </c:numRef>
          </c:val>
          <c:extLst xmlns:c16r2="http://schemas.microsoft.com/office/drawing/2015/06/chart">
            <c:ext xmlns:c16="http://schemas.microsoft.com/office/drawing/2014/chart" uri="{C3380CC4-5D6E-409C-BE32-E72D297353CC}">
              <c16:uniqueId val="{00000000-37EA-4088-90F6-D297442181D6}"/>
            </c:ext>
          </c:extLst>
        </c:ser>
        <c:dLbls>
          <c:showLegendKey val="0"/>
          <c:showVal val="0"/>
          <c:showCatName val="0"/>
          <c:showSerName val="0"/>
          <c:showPercent val="0"/>
          <c:showBubbleSize val="0"/>
        </c:dLbls>
        <c:gapWidth val="150"/>
        <c:axId val="280342528"/>
        <c:axId val="280647296"/>
      </c:barChart>
      <c:catAx>
        <c:axId val="280342528"/>
        <c:scaling>
          <c:orientation val="minMax"/>
        </c:scaling>
        <c:delete val="0"/>
        <c:axPos val="b"/>
        <c:numFmt formatCode="General" sourceLinked="0"/>
        <c:majorTickMark val="out"/>
        <c:minorTickMark val="none"/>
        <c:tickLblPos val="nextTo"/>
        <c:crossAx val="280647296"/>
        <c:crosses val="autoZero"/>
        <c:auto val="1"/>
        <c:lblAlgn val="ctr"/>
        <c:lblOffset val="100"/>
        <c:noMultiLvlLbl val="0"/>
      </c:catAx>
      <c:valAx>
        <c:axId val="280647296"/>
        <c:scaling>
          <c:orientation val="minMax"/>
          <c:max val="33000"/>
          <c:min val="25000"/>
        </c:scaling>
        <c:delete val="0"/>
        <c:axPos val="l"/>
        <c:numFmt formatCode="#,##0_ " sourceLinked="1"/>
        <c:majorTickMark val="out"/>
        <c:minorTickMark val="none"/>
        <c:tickLblPos val="nextTo"/>
        <c:crossAx val="280342528"/>
        <c:crosses val="autoZero"/>
        <c:crossBetween val="between"/>
      </c:valAx>
    </c:plotArea>
    <c:plotVisOnly val="1"/>
    <c:dispBlanksAs val="gap"/>
    <c:showDLblsOverMax val="0"/>
  </c:chart>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412330546310578"/>
          <c:y val="0.1023801485996174"/>
          <c:w val="0.75577038855967749"/>
          <c:h val="0.78254304249048823"/>
        </c:manualLayout>
      </c:layout>
      <c:lineChart>
        <c:grouping val="standard"/>
        <c:varyColors val="0"/>
        <c:ser>
          <c:idx val="0"/>
          <c:order val="0"/>
          <c:tx>
            <c:strRef>
              <c:f>'[勞保(109年).xlsx]1.5普通事故保險應計保費負擔狀況'!$B$16</c:f>
              <c:strCache>
                <c:ptCount val="1"/>
                <c:pt idx="0">
                  <c:v>勞方</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'[勞保(109年).xlsx]1.5普通事故保險應計保費負擔狀況'!$A$18:$A$27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'[勞保(109年).xlsx]1.5普通事故保險應計保費負擔狀況'!$B$18:$B$27</c:f>
              <c:numCache>
                <c:formatCode>#,##0.0_);[Red]\(#,##0.0\)</c:formatCode>
                <c:ptCount val="10"/>
                <c:pt idx="0">
                  <c:v>667.68668767999998</c:v>
                </c:pt>
                <c:pt idx="1">
                  <c:v>738.49913319999996</c:v>
                </c:pt>
                <c:pt idx="2">
                  <c:v>766.44216872000004</c:v>
                </c:pt>
                <c:pt idx="3">
                  <c:v>824.41228963000003</c:v>
                </c:pt>
                <c:pt idx="4">
                  <c:v>889.10897346000002</c:v>
                </c:pt>
                <c:pt idx="5">
                  <c:v>902.30326887000001</c:v>
                </c:pt>
                <c:pt idx="6">
                  <c:v>963.88687250999999</c:v>
                </c:pt>
                <c:pt idx="7">
                  <c:v>979.03548814999999</c:v>
                </c:pt>
                <c:pt idx="8">
                  <c:v>1048.7895296900001</c:v>
                </c:pt>
                <c:pt idx="9">
                  <c:v>1065.4637528400001</c:v>
                </c:pt>
              </c:numCache>
            </c:numRef>
          </c:val>
          <c:smooth val="0"/>
          <c:extLst xmlns:c16r2="http://schemas.microsoft.com/office/drawing/2015/06/chart">
            <c:ext xmlns:c16="http://schemas.microsoft.com/office/drawing/2014/chart" uri="{C3380CC4-5D6E-409C-BE32-E72D297353CC}">
              <c16:uniqueId val="{00000000-492A-446A-A059-07054F10E364}"/>
            </c:ext>
          </c:extLst>
        </c:ser>
        <c:ser>
          <c:idx val="1"/>
          <c:order val="1"/>
          <c:tx>
            <c:strRef>
              <c:f>'[勞保(109年).xlsx]1.5普通事故保險應計保費負擔狀況'!$C$16</c:f>
              <c:strCache>
                <c:ptCount val="1"/>
                <c:pt idx="0">
                  <c:v>資方</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'[勞保(109年).xlsx]1.5普通事故保險應計保費負擔狀況'!$A$18:$A$27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'[勞保(109年).xlsx]1.5普通事故保險應計保費負擔狀況'!$C$18:$C$27</c:f>
              <c:numCache>
                <c:formatCode>#,##0.0_);[Red]\(#,##0.0\)</c:formatCode>
                <c:ptCount val="10"/>
                <c:pt idx="0">
                  <c:v>1160.5868038999999</c:v>
                </c:pt>
                <c:pt idx="1">
                  <c:v>1299.1954520700001</c:v>
                </c:pt>
                <c:pt idx="2">
                  <c:v>1418.6295668400001</c:v>
                </c:pt>
                <c:pt idx="3">
                  <c:v>1559.37937053</c:v>
                </c:pt>
                <c:pt idx="4">
                  <c:v>1709.3253251399999</c:v>
                </c:pt>
                <c:pt idx="5">
                  <c:v>1774.9655478100001</c:v>
                </c:pt>
                <c:pt idx="6">
                  <c:v>1947.72307105</c:v>
                </c:pt>
                <c:pt idx="7">
                  <c:v>2014.7513699599999</c:v>
                </c:pt>
                <c:pt idx="8">
                  <c:v>2188.7978328700001</c:v>
                </c:pt>
                <c:pt idx="9">
                  <c:v>2236.20709059</c:v>
                </c:pt>
              </c:numCache>
            </c:numRef>
          </c:val>
          <c:smooth val="0"/>
          <c:extLst xmlns:c16r2="http://schemas.microsoft.com/office/drawing/2015/06/chart">
            <c:ext xmlns:c16="http://schemas.microsoft.com/office/drawing/2014/chart" uri="{C3380CC4-5D6E-409C-BE32-E72D297353CC}">
              <c16:uniqueId val="{00000001-492A-446A-A059-07054F10E364}"/>
            </c:ext>
          </c:extLst>
        </c:ser>
        <c:ser>
          <c:idx val="2"/>
          <c:order val="2"/>
          <c:tx>
            <c:strRef>
              <c:f>'[勞保(109年).xlsx]1.5普通事故保險應計保費負擔狀況'!$D$16</c:f>
              <c:strCache>
                <c:ptCount val="1"/>
                <c:pt idx="0">
                  <c:v>政府補助</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'[勞保(109年).xlsx]1.5普通事故保險應計保費負擔狀況'!$A$18:$A$27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'[勞保(109年).xlsx]1.5普通事故保險應計保費負擔狀況'!$D$18:$D$27</c:f>
              <c:numCache>
                <c:formatCode>#,##0.0_);[Red]\(#,##0.0\)</c:formatCode>
                <c:ptCount val="10"/>
                <c:pt idx="0">
                  <c:v>447.36575886000003</c:v>
                </c:pt>
                <c:pt idx="1">
                  <c:v>495.77009626</c:v>
                </c:pt>
                <c:pt idx="2">
                  <c:v>513.62552753</c:v>
                </c:pt>
                <c:pt idx="3">
                  <c:v>552.28481122999995</c:v>
                </c:pt>
                <c:pt idx="4">
                  <c:v>596.13602777999995</c:v>
                </c:pt>
                <c:pt idx="5">
                  <c:v>604.22455954999998</c:v>
                </c:pt>
                <c:pt idx="6">
                  <c:v>642.33427314999994</c:v>
                </c:pt>
                <c:pt idx="7">
                  <c:v>648.91224590000002</c:v>
                </c:pt>
                <c:pt idx="8">
                  <c:v>691.60321434000002</c:v>
                </c:pt>
                <c:pt idx="9">
                  <c:v>699.95104368</c:v>
                </c:pt>
              </c:numCache>
            </c:numRef>
          </c:val>
          <c:smooth val="0"/>
          <c:extLst xmlns:c16r2="http://schemas.microsoft.com/office/drawing/2015/06/chart">
            <c:ext xmlns:c16="http://schemas.microsoft.com/office/drawing/2014/chart" uri="{C3380CC4-5D6E-409C-BE32-E72D297353CC}">
              <c16:uniqueId val="{00000002-492A-446A-A059-07054F10E364}"/>
            </c:ext>
          </c:extLst>
        </c:ser>
        <c:dLbls>
          <c:dLblPos val="t"/>
          <c:showLegendKey val="0"/>
          <c:showVal val="1"/>
          <c:showCatName val="0"/>
          <c:showSerName val="0"/>
          <c:showPercent val="0"/>
          <c:showBubbleSize val="0"/>
        </c:dLbls>
        <c:marker val="1"/>
        <c:smooth val="0"/>
        <c:axId val="280344064"/>
        <c:axId val="280649024"/>
      </c:lineChart>
      <c:catAx>
        <c:axId val="280344064"/>
        <c:scaling>
          <c:orientation val="minMax"/>
        </c:scaling>
        <c:delete val="0"/>
        <c:axPos val="b"/>
        <c:numFmt formatCode="General" sourceLinked="0"/>
        <c:majorTickMark val="out"/>
        <c:minorTickMark val="none"/>
        <c:tickLblPos val="nextTo"/>
        <c:txPr>
          <a:bodyPr/>
          <a:lstStyle/>
          <a:p>
            <a:pPr>
              <a:defRPr sz="1100"/>
            </a:pPr>
            <a:endParaRPr lang="zh-TW"/>
          </a:p>
        </c:txPr>
        <c:crossAx val="280649024"/>
        <c:crosses val="autoZero"/>
        <c:auto val="1"/>
        <c:lblAlgn val="ctr"/>
        <c:lblOffset val="100"/>
        <c:noMultiLvlLbl val="0"/>
      </c:catAx>
      <c:valAx>
        <c:axId val="280649024"/>
        <c:scaling>
          <c:orientation val="minMax"/>
          <c:max val="2500"/>
          <c:min val="0"/>
        </c:scaling>
        <c:delete val="0"/>
        <c:axPos val="l"/>
        <c:numFmt formatCode="#,##0.0_);[Red]\(#,##0.0\)" sourceLinked="1"/>
        <c:majorTickMark val="out"/>
        <c:minorTickMark val="none"/>
        <c:tickLblPos val="nextTo"/>
        <c:txPr>
          <a:bodyPr/>
          <a:lstStyle/>
          <a:p>
            <a:pPr>
              <a:defRPr sz="1100"/>
            </a:pPr>
            <a:endParaRPr lang="zh-TW"/>
          </a:p>
        </c:txPr>
        <c:crossAx val="280344064"/>
        <c:crosses val="autoZero"/>
        <c:crossBetween val="between"/>
      </c:valAx>
    </c:plotArea>
    <c:plotVisOnly val="1"/>
    <c:dispBlanksAs val="gap"/>
    <c:showDLblsOverMax val="0"/>
  </c:chart>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42230483425071"/>
          <c:y val="2.7408898397790944E-2"/>
          <c:w val="0.81633450566627586"/>
          <c:h val="0.65721775994329967"/>
        </c:manualLayout>
      </c:layout>
      <c:lineChart>
        <c:grouping val="standard"/>
        <c:varyColors val="0"/>
        <c:ser>
          <c:idx val="0"/>
          <c:order val="0"/>
          <c:tx>
            <c:strRef>
              <c:f>'2.1普通事故保險實計現金給付(按給付項目分)'!$B$17</c:f>
              <c:strCache>
                <c:ptCount val="1"/>
                <c:pt idx="0">
                  <c:v>生育給付</c:v>
                </c:pt>
              </c:strCache>
            </c:strRef>
          </c:tx>
          <c:cat>
            <c:strRef>
              <c:f>'2.1普通事故保險實計現金給付(按給付項目分)'!$A$21:$A$30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'2.1普通事故保險實計現金給付(按給付項目分)'!$B$21:$B$30</c:f>
              <c:numCache>
                <c:formatCode>#,##0.0_ </c:formatCode>
                <c:ptCount val="10"/>
                <c:pt idx="0">
                  <c:v>33.554705239999997</c:v>
                </c:pt>
                <c:pt idx="1">
                  <c:v>40.316125079999999</c:v>
                </c:pt>
                <c:pt idx="2">
                  <c:v>38.910281580000003</c:v>
                </c:pt>
                <c:pt idx="3">
                  <c:v>61.366995600000003</c:v>
                </c:pt>
                <c:pt idx="4">
                  <c:v>86.292588550000005</c:v>
                </c:pt>
                <c:pt idx="5">
                  <c:v>86.296492069999999</c:v>
                </c:pt>
                <c:pt idx="6">
                  <c:v>83.737294910000003</c:v>
                </c:pt>
                <c:pt idx="7">
                  <c:v>84.838323000000003</c:v>
                </c:pt>
                <c:pt idx="8">
                  <c:v>84.259752689999999</c:v>
                </c:pt>
                <c:pt idx="9">
                  <c:v>79.549177999999998</c:v>
                </c:pt>
              </c:numCache>
            </c:numRef>
          </c:val>
          <c:smooth val="0"/>
          <c:extLst xmlns:c16r2="http://schemas.microsoft.com/office/drawing/2015/06/chart">
            <c:ext xmlns:c16="http://schemas.microsoft.com/office/drawing/2014/chart" uri="{C3380CC4-5D6E-409C-BE32-E72D297353CC}">
              <c16:uniqueId val="{00000000-C4B2-41A0-ACF6-B1F417096C1D}"/>
            </c:ext>
          </c:extLst>
        </c:ser>
        <c:ser>
          <c:idx val="1"/>
          <c:order val="1"/>
          <c:tx>
            <c:strRef>
              <c:f>'2.1普通事故保險實計現金給付(按給付項目分)'!$C$17</c:f>
              <c:strCache>
                <c:ptCount val="1"/>
                <c:pt idx="0">
                  <c:v>傷病給付</c:v>
                </c:pt>
              </c:strCache>
            </c:strRef>
          </c:tx>
          <c:cat>
            <c:strRef>
              <c:f>'2.1普通事故保險實計現金給付(按給付項目分)'!$A$21:$A$30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'2.1普通事故保險實計現金給付(按給付項目分)'!$C$21:$C$30</c:f>
              <c:numCache>
                <c:formatCode>#,##0.0_ </c:formatCode>
                <c:ptCount val="10"/>
                <c:pt idx="0">
                  <c:v>11.47045862</c:v>
                </c:pt>
                <c:pt idx="1">
                  <c:v>11.739674839999999</c:v>
                </c:pt>
                <c:pt idx="2">
                  <c:v>10.926540360000001</c:v>
                </c:pt>
                <c:pt idx="3">
                  <c:v>10.56596908</c:v>
                </c:pt>
                <c:pt idx="4">
                  <c:v>10.28794484</c:v>
                </c:pt>
                <c:pt idx="5">
                  <c:v>10.47352615</c:v>
                </c:pt>
                <c:pt idx="6">
                  <c:v>10.315417160000001</c:v>
                </c:pt>
                <c:pt idx="7">
                  <c:v>10.37268302</c:v>
                </c:pt>
                <c:pt idx="8">
                  <c:v>10.56898509</c:v>
                </c:pt>
                <c:pt idx="9">
                  <c:v>10.57752771</c:v>
                </c:pt>
              </c:numCache>
            </c:numRef>
          </c:val>
          <c:smooth val="0"/>
          <c:extLst xmlns:c16r2="http://schemas.microsoft.com/office/drawing/2015/06/chart">
            <c:ext xmlns:c16="http://schemas.microsoft.com/office/drawing/2014/chart" uri="{C3380CC4-5D6E-409C-BE32-E72D297353CC}">
              <c16:uniqueId val="{00000001-C4B2-41A0-ACF6-B1F417096C1D}"/>
            </c:ext>
          </c:extLst>
        </c:ser>
        <c:ser>
          <c:idx val="2"/>
          <c:order val="2"/>
          <c:tx>
            <c:strRef>
              <c:f>'2.1普通事故保險實計現金給付(按給付項目分)'!$D$17</c:f>
              <c:strCache>
                <c:ptCount val="1"/>
                <c:pt idx="0">
                  <c:v>失能給付</c:v>
                </c:pt>
              </c:strCache>
            </c:strRef>
          </c:tx>
          <c:cat>
            <c:strRef>
              <c:f>'2.1普通事故保險實計現金給付(按給付項目分)'!$A$21:$A$30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'2.1普通事故保險實計現金給付(按給付項目分)'!$D$21:$D$30</c:f>
              <c:numCache>
                <c:formatCode>#,##0.0_ </c:formatCode>
                <c:ptCount val="10"/>
                <c:pt idx="0">
                  <c:v>62.14817283</c:v>
                </c:pt>
                <c:pt idx="1">
                  <c:v>65.791280810000003</c:v>
                </c:pt>
                <c:pt idx="2">
                  <c:v>62.280552229999998</c:v>
                </c:pt>
                <c:pt idx="3">
                  <c:v>57.931268009999997</c:v>
                </c:pt>
                <c:pt idx="4">
                  <c:v>50.603527999999997</c:v>
                </c:pt>
                <c:pt idx="5">
                  <c:v>49.472383829999998</c:v>
                </c:pt>
                <c:pt idx="6">
                  <c:v>49.030902859999998</c:v>
                </c:pt>
                <c:pt idx="7">
                  <c:v>48.04164024</c:v>
                </c:pt>
                <c:pt idx="8">
                  <c:v>50.672633759999997</c:v>
                </c:pt>
                <c:pt idx="9">
                  <c:v>48.585888910000001</c:v>
                </c:pt>
              </c:numCache>
            </c:numRef>
          </c:val>
          <c:smooth val="0"/>
          <c:extLst xmlns:c16r2="http://schemas.microsoft.com/office/drawing/2015/06/chart">
            <c:ext xmlns:c16="http://schemas.microsoft.com/office/drawing/2014/chart" uri="{C3380CC4-5D6E-409C-BE32-E72D297353CC}">
              <c16:uniqueId val="{00000002-C4B2-41A0-ACF6-B1F417096C1D}"/>
            </c:ext>
          </c:extLst>
        </c:ser>
        <c:ser>
          <c:idx val="3"/>
          <c:order val="3"/>
          <c:tx>
            <c:strRef>
              <c:f>'2.1普通事故保險實計現金給付(按給付項目分)'!$E$17</c:f>
              <c:strCache>
                <c:ptCount val="1"/>
                <c:pt idx="0">
                  <c:v>老年給付</c:v>
                </c:pt>
              </c:strCache>
            </c:strRef>
          </c:tx>
          <c:dLbls>
            <c:dLbl>
              <c:idx val="0"/>
              <c:layout>
                <c:manualLayout>
                  <c:x val="-8.7958771441740882E-3"/>
                  <c:y val="8.0102334539619117E-3"/>
                </c:manualLayout>
              </c:layout>
              <c:spPr/>
              <c:txPr>
                <a:bodyPr/>
                <a:lstStyle/>
                <a:p>
                  <a:pPr>
                    <a:defRPr sz="1000" b="0"/>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B2-41A0-ACF6-B1F417096C1D}"/>
                </c:ext>
              </c:extLst>
            </c:dLbl>
            <c:dLbl>
              <c:idx val="1"/>
              <c:layout>
                <c:manualLayout>
                  <c:x val="-6.91654723845221E-2"/>
                  <c:y val="-3.416008083480112E-2"/>
                </c:manualLayout>
              </c:layout>
              <c:spPr/>
              <c:txPr>
                <a:bodyPr/>
                <a:lstStyle/>
                <a:p>
                  <a:pPr>
                    <a:defRPr sz="1000" b="1"/>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6804100981148713E-2"/>
                      <c:h val="4.7532338531299116E-2"/>
                    </c:manualLayout>
                  </c15:layout>
                </c:ext>
                <c:ext xmlns:c16="http://schemas.microsoft.com/office/drawing/2014/chart" uri="{C3380CC4-5D6E-409C-BE32-E72D297353CC}">
                  <c16:uniqueId val="{00000004-C4B2-41A0-ACF6-B1F417096C1D}"/>
                </c:ext>
              </c:extLst>
            </c:dLbl>
            <c:dLbl>
              <c:idx val="2"/>
              <c:layout>
                <c:manualLayout>
                  <c:x val="-5.2221451593162292E-2"/>
                  <c:y val="4.718929123319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4B2-41A0-ACF6-B1F417096C1D}"/>
                </c:ext>
              </c:extLst>
            </c:dLbl>
            <c:dLbl>
              <c:idx val="3"/>
              <c:layout>
                <c:manualLayout>
                  <c:x val="-3.8992480145692295E-2"/>
                  <c:y val="4.04969706710368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4B2-41A0-ACF6-B1F417096C1D}"/>
                </c:ext>
              </c:extLst>
            </c:dLbl>
            <c:dLbl>
              <c:idx val="4"/>
              <c:layout>
                <c:manualLayout>
                  <c:x val="-2.5825486950279461E-2"/>
                  <c:y val="4.5818946381074963E-2"/>
                </c:manualLayout>
              </c:layout>
              <c:spPr/>
              <c:txPr>
                <a:bodyPr/>
                <a:lstStyle/>
                <a:p>
                  <a:pPr>
                    <a:defRPr sz="1000" b="0"/>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B2-41A0-ACF6-B1F417096C1D}"/>
                </c:ext>
              </c:extLst>
            </c:dLbl>
            <c:dLbl>
              <c:idx val="5"/>
              <c:layout>
                <c:manualLayout>
                  <c:x val="-8.0539273153575688E-2"/>
                  <c:y val="-3.2813852198014574E-2"/>
                </c:manualLayout>
              </c:layout>
              <c:spPr/>
              <c:txPr>
                <a:bodyPr/>
                <a:lstStyle/>
                <a:p>
                  <a:pPr>
                    <a:defRPr sz="1000" b="1"/>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4B2-41A0-ACF6-B1F417096C1D}"/>
                </c:ext>
              </c:extLst>
            </c:dLbl>
            <c:dLbl>
              <c:idx val="6"/>
              <c:layout>
                <c:manualLayout>
                  <c:x val="-8.3451806700769252E-2"/>
                  <c:y val="-2.4123707809068636E-2"/>
                </c:manualLayout>
              </c:layout>
              <c:spPr/>
              <c:txPr>
                <a:bodyPr/>
                <a:lstStyle/>
                <a:p>
                  <a:pPr>
                    <a:defRPr sz="1000" b="1"/>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6804100981148713E-2"/>
                      <c:h val="5.0878498812376577E-2"/>
                    </c:manualLayout>
                  </c15:layout>
                </c:ext>
                <c:ext xmlns:c16="http://schemas.microsoft.com/office/drawing/2014/chart" uri="{C3380CC4-5D6E-409C-BE32-E72D297353CC}">
                  <c16:uniqueId val="{00000007-C4B2-41A0-ACF6-B1F417096C1D}"/>
                </c:ext>
              </c:extLst>
            </c:dLbl>
            <c:dLbl>
              <c:idx val="7"/>
              <c:layout>
                <c:manualLayout>
                  <c:x val="-6.5816802208047559E-2"/>
                  <c:y val="-3.2813852198014602E-2"/>
                </c:manualLayout>
              </c:layout>
              <c:spPr/>
              <c:txPr>
                <a:bodyPr/>
                <a:lstStyle/>
                <a:p>
                  <a:pPr>
                    <a:defRPr sz="1000" b="0"/>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4B2-41A0-ACF6-B1F417096C1D}"/>
                </c:ext>
              </c:extLst>
            </c:dLbl>
            <c:dLbl>
              <c:idx val="8"/>
              <c:layout>
                <c:manualLayout>
                  <c:x val="-7.2723720203204514E-2"/>
                  <c:y val="-2.9802710975491208E-2"/>
                </c:manualLayout>
              </c:layout>
              <c:spPr/>
              <c:txPr>
                <a:bodyPr/>
                <a:lstStyle/>
                <a:p>
                  <a:pPr>
                    <a:defRPr sz="1000" b="0"/>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4B2-41A0-ACF6-B1F417096C1D}"/>
                </c:ext>
              </c:extLst>
            </c:dLbl>
            <c:dLbl>
              <c:idx val="9"/>
              <c:layout>
                <c:manualLayout>
                  <c:x val="-1.9871197225786546E-2"/>
                  <c:y val="-2.679204394843597E-2"/>
                </c:manualLayout>
              </c:layout>
              <c:spPr/>
              <c:txPr>
                <a:bodyPr/>
                <a:lstStyle/>
                <a:p>
                  <a:pPr>
                    <a:defRPr sz="1000" b="0"/>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4B2-41A0-ACF6-B1F417096C1D}"/>
                </c:ext>
              </c:extLst>
            </c:dLbl>
            <c:spPr>
              <a:noFill/>
              <a:ln>
                <a:noFill/>
              </a:ln>
              <a:effectLst/>
            </c:spPr>
            <c:txPr>
              <a:bodyPr/>
              <a:lstStyle/>
              <a:p>
                <a:pPr>
                  <a:defRPr sz="1000" b="0"/>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'2.1普通事故保險實計現金給付(按給付項目分)'!$A$21:$A$30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'2.1普通事故保險實計現金給付(按給付項目分)'!$E$21:$E$30</c:f>
              <c:numCache>
                <c:formatCode>#,##0.0_ </c:formatCode>
                <c:ptCount val="10"/>
                <c:pt idx="0">
                  <c:v>1031.9086517799999</c:v>
                </c:pt>
                <c:pt idx="1">
                  <c:v>2195.2348502700002</c:v>
                </c:pt>
                <c:pt idx="2">
                  <c:v>2391.2722906899999</c:v>
                </c:pt>
                <c:pt idx="3">
                  <c:v>2055.30171105</c:v>
                </c:pt>
                <c:pt idx="4">
                  <c:v>2374.2692500799999</c:v>
                </c:pt>
                <c:pt idx="5">
                  <c:v>2801.6073505999998</c:v>
                </c:pt>
                <c:pt idx="6">
                  <c:v>3439.98366794</c:v>
                </c:pt>
                <c:pt idx="7">
                  <c:v>3489.1792605199998</c:v>
                </c:pt>
                <c:pt idx="8">
                  <c:v>3731.45648944</c:v>
                </c:pt>
                <c:pt idx="9">
                  <c:v>4058.8805113600001</c:v>
                </c:pt>
              </c:numCache>
            </c:numRef>
          </c:val>
          <c:smooth val="0"/>
          <c:extLst xmlns:c16r2="http://schemas.microsoft.com/office/drawing/2015/06/chart">
            <c:ext xmlns:c16="http://schemas.microsoft.com/office/drawing/2014/chart" uri="{C3380CC4-5D6E-409C-BE32-E72D297353CC}">
              <c16:uniqueId val="{0000000B-C4B2-41A0-ACF6-B1F417096C1D}"/>
            </c:ext>
          </c:extLst>
        </c:ser>
        <c:ser>
          <c:idx val="4"/>
          <c:order val="4"/>
          <c:tx>
            <c:strRef>
              <c:f>'2.1普通事故保險實計現金給付(按給付項目分)'!$F$17</c:f>
              <c:strCache>
                <c:ptCount val="1"/>
                <c:pt idx="0">
                  <c:v>死亡給付</c:v>
                </c:pt>
              </c:strCache>
            </c:strRef>
          </c:tx>
          <c:cat>
            <c:strRef>
              <c:f>'2.1普通事故保險實計現金給付(按給付項目分)'!$A$21:$A$30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'2.1普通事故保險實計現金給付(按給付項目分)'!$F$21:$F$30</c:f>
              <c:numCache>
                <c:formatCode>#,##0.0_ </c:formatCode>
                <c:ptCount val="10"/>
                <c:pt idx="0">
                  <c:v>230.90596823999999</c:v>
                </c:pt>
                <c:pt idx="1">
                  <c:v>234.22967177999999</c:v>
                </c:pt>
                <c:pt idx="2">
                  <c:v>227.45527675</c:v>
                </c:pt>
                <c:pt idx="3">
                  <c:v>232.01997091999999</c:v>
                </c:pt>
                <c:pt idx="4">
                  <c:v>233.33908690000001</c:v>
                </c:pt>
                <c:pt idx="5">
                  <c:v>245.57183836999999</c:v>
                </c:pt>
                <c:pt idx="6">
                  <c:v>246.26006186999999</c:v>
                </c:pt>
                <c:pt idx="7">
                  <c:v>263.20486172</c:v>
                </c:pt>
                <c:pt idx="8">
                  <c:v>280.36674420000003</c:v>
                </c:pt>
                <c:pt idx="9">
                  <c:v>290.96457006000003</c:v>
                </c:pt>
              </c:numCache>
            </c:numRef>
          </c:val>
          <c:smooth val="0"/>
          <c:extLst xmlns:c16r2="http://schemas.microsoft.com/office/drawing/2015/06/chart">
            <c:ext xmlns:c16="http://schemas.microsoft.com/office/drawing/2014/chart" uri="{C3380CC4-5D6E-409C-BE32-E72D297353CC}">
              <c16:uniqueId val="{0000000C-C4B2-41A0-ACF6-B1F417096C1D}"/>
            </c:ext>
          </c:extLst>
        </c:ser>
        <c:dLbls>
          <c:showLegendKey val="0"/>
          <c:showVal val="0"/>
          <c:showCatName val="0"/>
          <c:showSerName val="0"/>
          <c:showPercent val="0"/>
          <c:showBubbleSize val="0"/>
        </c:dLbls>
        <c:marker val="1"/>
        <c:smooth val="0"/>
        <c:axId val="280345088"/>
        <c:axId val="281437312"/>
      </c:lineChart>
      <c:catAx>
        <c:axId val="280345088"/>
        <c:scaling>
          <c:orientation val="minMax"/>
        </c:scaling>
        <c:delete val="0"/>
        <c:axPos val="b"/>
        <c:numFmt formatCode="General" sourceLinked="0"/>
        <c:majorTickMark val="out"/>
        <c:minorTickMark val="none"/>
        <c:tickLblPos val="nextTo"/>
        <c:crossAx val="281437312"/>
        <c:crosses val="autoZero"/>
        <c:auto val="1"/>
        <c:lblAlgn val="ctr"/>
        <c:lblOffset val="100"/>
        <c:noMultiLvlLbl val="0"/>
      </c:catAx>
      <c:valAx>
        <c:axId val="281437312"/>
        <c:scaling>
          <c:orientation val="minMax"/>
        </c:scaling>
        <c:delete val="0"/>
        <c:axPos val="l"/>
        <c:numFmt formatCode="#,##0.0_ " sourceLinked="1"/>
        <c:majorTickMark val="out"/>
        <c:minorTickMark val="none"/>
        <c:tickLblPos val="nextTo"/>
        <c:crossAx val="280345088"/>
        <c:crosses val="autoZero"/>
        <c:crossBetween val="between"/>
      </c:valAx>
      <c:dTable>
        <c:showHorzBorder val="1"/>
        <c:showVertBorder val="1"/>
        <c:showOutline val="1"/>
        <c:showKeys val="1"/>
        <c:txPr>
          <a:bodyPr/>
          <a:lstStyle/>
          <a:p>
            <a:pPr rtl="0">
              <a:defRPr sz="900" b="0"/>
            </a:pPr>
            <a:endParaRPr lang="zh-TW"/>
          </a:p>
        </c:txPr>
      </c:dTable>
    </c:plotArea>
    <c:plotVisOnly val="1"/>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48526801253799"/>
          <c:y val="0.16289552347623215"/>
          <c:w val="0.72729100351817733"/>
          <c:h val="0.71739792942548852"/>
        </c:manualLayout>
      </c:layout>
      <c:barChart>
        <c:barDir val="col"/>
        <c:grouping val="clustered"/>
        <c:varyColors val="0"/>
        <c:ser>
          <c:idx val="0"/>
          <c:order val="0"/>
          <c:tx>
            <c:strRef>
              <c:f>'2.2老年給付件數及金額(一次金與年金)'!$N$18</c:f>
              <c:strCache>
                <c:ptCount val="1"/>
                <c:pt idx="0">
                  <c:v>一次給付件數</c:v>
                </c:pt>
              </c:strCache>
            </c:strRef>
          </c:tx>
          <c:invertIfNegative val="0"/>
          <c:dLbls>
            <c:dLbl>
              <c:idx val="9"/>
              <c:layout>
                <c:manualLayout>
                  <c:x val="-4.363079615048282E-3"/>
                  <c:y val="1.3537075957206636E-2"/>
                </c:manualLayout>
              </c:layout>
              <c:spPr/>
              <c:txPr>
                <a:bodyPr/>
                <a:lstStyle/>
                <a:p>
                  <a:pPr>
                    <a:defRPr b="1"/>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1D-4C0A-B34E-968CF32072C4}"/>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'2.2老年給付件數及金額(一次金與年金)'!$M$21:$M$30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'2.2老年給付件數及金額(一次金與年金)'!$N$21:$N$30</c:f>
              <c:numCache>
                <c:formatCode>#,##0.0_);[Red]\(#,##0.0\)</c:formatCode>
                <c:ptCount val="10"/>
                <c:pt idx="0">
                  <c:v>85.3</c:v>
                </c:pt>
                <c:pt idx="1">
                  <c:v>157.80000000000001</c:v>
                </c:pt>
                <c:pt idx="2">
                  <c:v>144.80000000000001</c:v>
                </c:pt>
                <c:pt idx="3">
                  <c:v>97.5</c:v>
                </c:pt>
                <c:pt idx="4">
                  <c:v>102.9</c:v>
                </c:pt>
                <c:pt idx="5">
                  <c:v>114.5</c:v>
                </c:pt>
                <c:pt idx="6" formatCode="0.0_ ">
                  <c:v>135</c:v>
                </c:pt>
                <c:pt idx="7" formatCode="#,##0.0_ ">
                  <c:v>108.9</c:v>
                </c:pt>
                <c:pt idx="8" formatCode="#,##0.0_ ">
                  <c:v>110.7</c:v>
                </c:pt>
                <c:pt idx="9" formatCode="#,##0.0_ ">
                  <c:v>105.9</c:v>
                </c:pt>
              </c:numCache>
            </c:numRef>
          </c:val>
          <c:extLst xmlns:c16r2="http://schemas.microsoft.com/office/drawing/2015/06/chart">
            <c:ext xmlns:c16="http://schemas.microsoft.com/office/drawing/2014/chart" uri="{C3380CC4-5D6E-409C-BE32-E72D297353CC}">
              <c16:uniqueId val="{00000001-CF1D-4C0A-B34E-968CF32072C4}"/>
            </c:ext>
          </c:extLst>
        </c:ser>
        <c:ser>
          <c:idx val="1"/>
          <c:order val="1"/>
          <c:tx>
            <c:strRef>
              <c:f>'2.2老年給付件數及金額(一次金與年金)'!$O$18</c:f>
              <c:strCache>
                <c:ptCount val="1"/>
                <c:pt idx="0">
                  <c:v>年金給付人數</c:v>
                </c:pt>
              </c:strCache>
            </c:strRef>
          </c:tx>
          <c:spPr>
            <a:pattFill prst="wdUpDiag">
              <a:fgClr>
                <a:srgbClr val="00B050"/>
              </a:fgClr>
              <a:bgClr>
                <a:schemeClr val="bg1"/>
              </a:bgClr>
            </a:pattFill>
          </c:spPr>
          <c:invertIfNegative val="0"/>
          <c:dLbls>
            <c:dLbl>
              <c:idx val="9"/>
              <c:layout>
                <c:manualLayout>
                  <c:x val="-4.6941382327209099E-3"/>
                  <c:y val="1.7346130600751197E-2"/>
                </c:manualLayout>
              </c:layout>
              <c:spPr/>
              <c:txPr>
                <a:bodyPr/>
                <a:lstStyle/>
                <a:p>
                  <a:pPr>
                    <a:defRPr b="1"/>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1D-4C0A-B34E-968CF32072C4}"/>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'2.2老年給付件數及金額(一次金與年金)'!$M$21:$M$30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'2.2老年給付件數及金額(一次金與年金)'!$O$21:$O$30</c:f>
              <c:numCache>
                <c:formatCode>0.0_);[Red]\(0.0\)</c:formatCode>
                <c:ptCount val="10"/>
                <c:pt idx="0">
                  <c:v>188.7</c:v>
                </c:pt>
                <c:pt idx="1">
                  <c:v>319</c:v>
                </c:pt>
                <c:pt idx="2">
                  <c:v>497.4</c:v>
                </c:pt>
                <c:pt idx="3">
                  <c:v>615</c:v>
                </c:pt>
                <c:pt idx="4">
                  <c:v>731.4</c:v>
                </c:pt>
                <c:pt idx="5">
                  <c:v>884.5</c:v>
                </c:pt>
                <c:pt idx="6" formatCode="#,##0.0_ ">
                  <c:v>1041.9000000000001</c:v>
                </c:pt>
                <c:pt idx="7" formatCode="#,##0.0_ ">
                  <c:v>1165.8</c:v>
                </c:pt>
                <c:pt idx="8" formatCode="#,##0.0_ ">
                  <c:v>1273.4000000000001</c:v>
                </c:pt>
                <c:pt idx="9" formatCode="#,##0.0_ ">
                  <c:v>1397.3</c:v>
                </c:pt>
              </c:numCache>
            </c:numRef>
          </c:val>
          <c:extLst xmlns:c16r2="http://schemas.microsoft.com/office/drawing/2015/06/chart">
            <c:ext xmlns:c16="http://schemas.microsoft.com/office/drawing/2014/chart" uri="{C3380CC4-5D6E-409C-BE32-E72D297353CC}">
              <c16:uniqueId val="{00000003-CF1D-4C0A-B34E-968CF32072C4}"/>
            </c:ext>
          </c:extLst>
        </c:ser>
        <c:dLbls>
          <c:showLegendKey val="0"/>
          <c:showVal val="0"/>
          <c:showCatName val="0"/>
          <c:showSerName val="0"/>
          <c:showPercent val="0"/>
          <c:showBubbleSize val="0"/>
        </c:dLbls>
        <c:gapWidth val="150"/>
        <c:axId val="281189888"/>
        <c:axId val="281439040"/>
      </c:barChart>
      <c:lineChart>
        <c:grouping val="standard"/>
        <c:varyColors val="0"/>
        <c:ser>
          <c:idx val="2"/>
          <c:order val="2"/>
          <c:tx>
            <c:strRef>
              <c:f>'2.2老年給付件數及金額(一次金與年金)'!$P$18</c:f>
              <c:strCache>
                <c:ptCount val="1"/>
                <c:pt idx="0">
                  <c:v>一次給付金額</c:v>
                </c:pt>
              </c:strCache>
            </c:strRef>
          </c:tx>
          <c:spPr>
            <a:ln>
              <a:solidFill>
                <a:schemeClr val="accent1">
                  <a:lumMod val="75000"/>
                </a:schemeClr>
              </a:solidFill>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1D-4C0A-B34E-968CF32072C4}"/>
                </c:ext>
              </c:extLst>
            </c:dLbl>
            <c:dLbl>
              <c:idx val="1"/>
              <c:layout>
                <c:manualLayout>
                  <c:x val="-5.3315561479506869E-2"/>
                  <c:y val="-2.6064291920069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1D-4C0A-B34E-968CF32072C4}"/>
                </c:ext>
              </c:extLst>
            </c:dLbl>
            <c:dLbl>
              <c:idx val="2"/>
              <c:layout>
                <c:manualLayout>
                  <c:x val="-1.3328890369876749E-2"/>
                  <c:y val="-2.17202432667245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F1D-4C0A-B34E-968CF32072C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F1D-4C0A-B34E-968CF32072C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F1D-4C0A-B34E-968CF32072C4}"/>
                </c:ext>
              </c:extLst>
            </c:dLbl>
            <c:dLbl>
              <c:idx val="5"/>
              <c:layout>
                <c:manualLayout>
                  <c:x val="-3.7773753280839817E-2"/>
                  <c:y val="2.29287073994932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F1D-4C0A-B34E-968CF32072C4}"/>
                </c:ext>
              </c:extLst>
            </c:dLbl>
            <c:dLbl>
              <c:idx val="6"/>
              <c:layout>
                <c:manualLayout>
                  <c:x val="-4.4440944881889766E-2"/>
                  <c:y val="3.44362311327330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F1D-4C0A-B34E-968CF32072C4}"/>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F1D-4C0A-B34E-968CF32072C4}"/>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F1D-4C0A-B34E-968CF32072C4}"/>
                </c:ext>
              </c:extLst>
            </c:dLbl>
            <c:dLbl>
              <c:idx val="9"/>
              <c:layout>
                <c:manualLayout>
                  <c:x val="-5.0082239720034998E-2"/>
                  <c:y val="-3.41656241695375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1D-4C0A-B34E-968CF32072C4}"/>
                </c:ext>
              </c:extLst>
            </c:dLbl>
            <c:spPr>
              <a:noFill/>
              <a:ln>
                <a:noFill/>
              </a:ln>
              <a:effectLst/>
            </c:spPr>
            <c:txPr>
              <a:bodyPr/>
              <a:lstStyle/>
              <a:p>
                <a:pPr>
                  <a:defRPr b="1"/>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'2.2老年給付件數及金額(一次金與年金)'!$M$21:$M$30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'2.2老年給付件數及金額(一次金與年金)'!$P$21:$P$30</c:f>
              <c:numCache>
                <c:formatCode>#,##0.0_ </c:formatCode>
                <c:ptCount val="10"/>
                <c:pt idx="0">
                  <c:v>772.79</c:v>
                </c:pt>
                <c:pt idx="1">
                  <c:v>1767.68</c:v>
                </c:pt>
                <c:pt idx="2">
                  <c:v>1588.83</c:v>
                </c:pt>
                <c:pt idx="3">
                  <c:v>1001.51</c:v>
                </c:pt>
                <c:pt idx="4">
                  <c:v>1065.8699999999999</c:v>
                </c:pt>
                <c:pt idx="5">
                  <c:v>1196.3599999999999</c:v>
                </c:pt>
                <c:pt idx="6">
                  <c:v>1468.8</c:v>
                </c:pt>
                <c:pt idx="7">
                  <c:v>1213.2</c:v>
                </c:pt>
                <c:pt idx="8">
                  <c:v>1178.5999999999999</c:v>
                </c:pt>
                <c:pt idx="9">
                  <c:v>1233.3</c:v>
                </c:pt>
              </c:numCache>
            </c:numRef>
          </c:val>
          <c:smooth val="0"/>
          <c:extLst xmlns:c16r2="http://schemas.microsoft.com/office/drawing/2015/06/chart">
            <c:ext xmlns:c16="http://schemas.microsoft.com/office/drawing/2014/chart" uri="{C3380CC4-5D6E-409C-BE32-E72D297353CC}">
              <c16:uniqueId val="{00000006-CF1D-4C0A-B34E-968CF32072C4}"/>
            </c:ext>
          </c:extLst>
        </c:ser>
        <c:ser>
          <c:idx val="3"/>
          <c:order val="3"/>
          <c:tx>
            <c:strRef>
              <c:f>'2.2老年給付件數及金額(一次金與年金)'!$Q$18</c:f>
              <c:strCache>
                <c:ptCount val="1"/>
                <c:pt idx="0">
                  <c:v>年金給付金額</c:v>
                </c:pt>
              </c:strCache>
            </c:strRef>
          </c:tx>
          <c:spPr>
            <a:ln>
              <a:solidFill>
                <a:srgbClr val="00B050"/>
              </a:solidFill>
              <a:prstDash val="sysDash"/>
            </a:ln>
          </c:spPr>
          <c:marker>
            <c:symbol val="none"/>
          </c:marker>
          <c:dLbls>
            <c:dLbl>
              <c:idx val="9"/>
              <c:layout>
                <c:manualLayout>
                  <c:x val="-5.2520118593816181E-2"/>
                  <c:y val="-2.82524059492563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1D-4C0A-B34E-968CF32072C4}"/>
                </c:ext>
              </c:extLst>
            </c:dLbl>
            <c:spPr>
              <a:noFill/>
              <a:ln>
                <a:noFill/>
              </a:ln>
              <a:effectLst/>
            </c:spPr>
            <c:txPr>
              <a:bodyPr/>
              <a:lstStyle/>
              <a:p>
                <a:pPr>
                  <a:defRPr b="1"/>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'2.2老年給付件數及金額(一次金與年金)'!$M$21:$M$30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'2.2老年給付件數及金額(一次金與年金)'!$Q$21:$Q$30</c:f>
              <c:numCache>
                <c:formatCode>#,##0.0_ </c:formatCode>
                <c:ptCount val="10"/>
                <c:pt idx="0">
                  <c:v>259.12</c:v>
                </c:pt>
                <c:pt idx="1">
                  <c:v>427.56</c:v>
                </c:pt>
                <c:pt idx="2">
                  <c:v>802.44</c:v>
                </c:pt>
                <c:pt idx="3">
                  <c:v>1053.79</c:v>
                </c:pt>
                <c:pt idx="4">
                  <c:v>1308.4000000000001</c:v>
                </c:pt>
                <c:pt idx="5">
                  <c:v>1605.25</c:v>
                </c:pt>
                <c:pt idx="6">
                  <c:v>1971.2</c:v>
                </c:pt>
                <c:pt idx="7">
                  <c:v>2276</c:v>
                </c:pt>
                <c:pt idx="8">
                  <c:v>2552.9</c:v>
                </c:pt>
                <c:pt idx="9">
                  <c:v>2825.5</c:v>
                </c:pt>
              </c:numCache>
            </c:numRef>
          </c:val>
          <c:smooth val="0"/>
          <c:extLst xmlns:c16r2="http://schemas.microsoft.com/office/drawing/2015/06/chart">
            <c:ext xmlns:c16="http://schemas.microsoft.com/office/drawing/2014/chart" uri="{C3380CC4-5D6E-409C-BE32-E72D297353CC}">
              <c16:uniqueId val="{00000008-CF1D-4C0A-B34E-968CF32072C4}"/>
            </c:ext>
          </c:extLst>
        </c:ser>
        <c:dLbls>
          <c:showLegendKey val="0"/>
          <c:showVal val="0"/>
          <c:showCatName val="0"/>
          <c:showSerName val="0"/>
          <c:showPercent val="0"/>
          <c:showBubbleSize val="0"/>
        </c:dLbls>
        <c:marker val="1"/>
        <c:smooth val="0"/>
        <c:axId val="281706496"/>
        <c:axId val="281439616"/>
      </c:lineChart>
      <c:catAx>
        <c:axId val="281189888"/>
        <c:scaling>
          <c:orientation val="minMax"/>
        </c:scaling>
        <c:delete val="0"/>
        <c:axPos val="b"/>
        <c:numFmt formatCode="General" sourceLinked="0"/>
        <c:majorTickMark val="out"/>
        <c:minorTickMark val="none"/>
        <c:tickLblPos val="nextTo"/>
        <c:txPr>
          <a:bodyPr/>
          <a:lstStyle/>
          <a:p>
            <a:pPr>
              <a:defRPr sz="1100"/>
            </a:pPr>
            <a:endParaRPr lang="zh-TW"/>
          </a:p>
        </c:txPr>
        <c:crossAx val="281439040"/>
        <c:crosses val="autoZero"/>
        <c:auto val="1"/>
        <c:lblAlgn val="ctr"/>
        <c:lblOffset val="100"/>
        <c:noMultiLvlLbl val="0"/>
      </c:catAx>
      <c:valAx>
        <c:axId val="281439040"/>
        <c:scaling>
          <c:orientation val="minMax"/>
          <c:max val="2000"/>
        </c:scaling>
        <c:delete val="0"/>
        <c:axPos val="l"/>
        <c:majorGridlines>
          <c:spPr>
            <a:ln>
              <a:noFill/>
            </a:ln>
          </c:spPr>
        </c:majorGridlines>
        <c:numFmt formatCode="#,##0_);[Red]\(#,##0\)" sourceLinked="0"/>
        <c:majorTickMark val="out"/>
        <c:minorTickMark val="none"/>
        <c:tickLblPos val="nextTo"/>
        <c:txPr>
          <a:bodyPr/>
          <a:lstStyle/>
          <a:p>
            <a:pPr>
              <a:defRPr sz="1100"/>
            </a:pPr>
            <a:endParaRPr lang="zh-TW"/>
          </a:p>
        </c:txPr>
        <c:crossAx val="281189888"/>
        <c:crosses val="autoZero"/>
        <c:crossBetween val="between"/>
      </c:valAx>
      <c:valAx>
        <c:axId val="281439616"/>
        <c:scaling>
          <c:orientation val="minMax"/>
          <c:max val="3000"/>
        </c:scaling>
        <c:delete val="0"/>
        <c:axPos val="r"/>
        <c:numFmt formatCode="#,##0_ " sourceLinked="0"/>
        <c:majorTickMark val="out"/>
        <c:minorTickMark val="none"/>
        <c:tickLblPos val="nextTo"/>
        <c:txPr>
          <a:bodyPr/>
          <a:lstStyle/>
          <a:p>
            <a:pPr>
              <a:defRPr sz="1100"/>
            </a:pPr>
            <a:endParaRPr lang="zh-TW"/>
          </a:p>
        </c:txPr>
        <c:crossAx val="281706496"/>
        <c:crosses val="max"/>
        <c:crossBetween val="between"/>
      </c:valAx>
      <c:catAx>
        <c:axId val="281706496"/>
        <c:scaling>
          <c:orientation val="minMax"/>
        </c:scaling>
        <c:delete val="1"/>
        <c:axPos val="b"/>
        <c:numFmt formatCode="General" sourceLinked="1"/>
        <c:majorTickMark val="out"/>
        <c:minorTickMark val="none"/>
        <c:tickLblPos val="nextTo"/>
        <c:crossAx val="281439616"/>
        <c:crosses val="autoZero"/>
        <c:auto val="1"/>
        <c:lblAlgn val="ctr"/>
        <c:lblOffset val="100"/>
        <c:noMultiLvlLbl val="0"/>
      </c:catAx>
    </c:plotArea>
    <c:legend>
      <c:legendPos val="t"/>
      <c:layout>
        <c:manualLayout>
          <c:xMode val="edge"/>
          <c:yMode val="edge"/>
          <c:x val="0.20615030621172353"/>
          <c:y val="4.2393655910560456E-2"/>
          <c:w val="0.53162086818000798"/>
          <c:h val="0.13927274715660543"/>
        </c:manualLayout>
      </c:layout>
      <c:overlay val="0"/>
      <c:txPr>
        <a:bodyPr/>
        <a:lstStyle/>
        <a:p>
          <a:pPr>
            <a:defRPr>
              <a:latin typeface="微軟正黑體" panose="020B0604030504040204" pitchFamily="34" charset="-120"/>
              <a:ea typeface="微軟正黑體" panose="020B0604030504040204" pitchFamily="34" charset="-120"/>
            </a:defRPr>
          </a:pPr>
          <a:endParaRPr lang="zh-TW"/>
        </a:p>
      </c:txPr>
    </c:legend>
    <c:plotVisOnly val="1"/>
    <c:dispBlanksAs val="gap"/>
    <c:showDLblsOverMax val="0"/>
  </c:chart>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78680890695114"/>
          <c:y val="0.15617147390530911"/>
          <c:w val="0.73393175853018378"/>
          <c:h val="0.72906326123349097"/>
        </c:manualLayout>
      </c:layout>
      <c:barChart>
        <c:barDir val="col"/>
        <c:grouping val="clustered"/>
        <c:varyColors val="0"/>
        <c:ser>
          <c:idx val="0"/>
          <c:order val="0"/>
          <c:tx>
            <c:strRef>
              <c:f>'[勞保(109年).xlsx]2.3請領老年年金給付概況'!$B$19</c:f>
              <c:strCache>
                <c:ptCount val="1"/>
                <c:pt idx="0">
                  <c:v>給付平均年齡</c:v>
                </c:pt>
              </c:strCache>
            </c:strRef>
          </c:tx>
          <c:spPr>
            <a:pattFill prst="wdDnDiag">
              <a:fgClr>
                <a:schemeClr val="accent1"/>
              </a:fgClr>
              <a:bgClr>
                <a:schemeClr val="bg1"/>
              </a:bgClr>
            </a:pattFill>
            <a:ln w="6350">
              <a:solidFill>
                <a:schemeClr val="tx1">
                  <a:lumMod val="75000"/>
                  <a:lumOff val="25000"/>
                </a:schemeClr>
              </a:solidFill>
              <a:prstDash val="solid"/>
            </a:ln>
          </c:spPr>
          <c:invertIfNegative val="0"/>
          <c:dLbls>
            <c:dLbl>
              <c:idx val="0"/>
              <c:layout>
                <c:manualLayout>
                  <c:x val="4.3010752688172043E-3"/>
                  <c:y val="1.7754105636928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9B7-4F63-AE99-2BA8C9EC36EF}"/>
                </c:ext>
              </c:extLst>
            </c:dLbl>
            <c:dLbl>
              <c:idx val="9"/>
              <c:layout>
                <c:manualLayout>
                  <c:x val="8.6021505376344086E-3"/>
                  <c:y val="1.851774187347753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9B7-4F63-AE99-2BA8C9EC36EF}"/>
                </c:ext>
              </c:extLst>
            </c:dLbl>
            <c:spPr>
              <a:noFill/>
              <a:ln>
                <a:noFill/>
              </a:ln>
              <a:effectLst/>
            </c:spPr>
            <c:txPr>
              <a:bodyPr/>
              <a:lstStyle/>
              <a:p>
                <a:pPr>
                  <a:defRPr b="1"/>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'[勞保(109年).xlsx]2.3請領老年年金給付概況'!$A$22:$A$31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'[勞保(109年).xlsx]2.3請領老年年金給付概況'!$B$22:$B$31</c:f>
              <c:numCache>
                <c:formatCode>0.0_);[Red]\(0.0\)</c:formatCode>
                <c:ptCount val="10"/>
                <c:pt idx="0">
                  <c:v>61.96</c:v>
                </c:pt>
                <c:pt idx="1">
                  <c:v>61.45</c:v>
                </c:pt>
                <c:pt idx="2">
                  <c:v>61.12</c:v>
                </c:pt>
                <c:pt idx="3">
                  <c:v>61.03</c:v>
                </c:pt>
                <c:pt idx="4">
                  <c:v>61.04</c:v>
                </c:pt>
                <c:pt idx="5">
                  <c:v>61</c:v>
                </c:pt>
                <c:pt idx="6">
                  <c:v>61</c:v>
                </c:pt>
                <c:pt idx="7">
                  <c:v>61</c:v>
                </c:pt>
                <c:pt idx="8" formatCode="#,##0.0_ ">
                  <c:v>61.08</c:v>
                </c:pt>
                <c:pt idx="9" formatCode="#,##0.0_ ">
                  <c:v>61.13</c:v>
                </c:pt>
              </c:numCache>
            </c:numRef>
          </c:val>
          <c:extLst xmlns:c16r2="http://schemas.microsoft.com/office/drawing/2015/06/chart">
            <c:ext xmlns:c16="http://schemas.microsoft.com/office/drawing/2014/chart" uri="{C3380CC4-5D6E-409C-BE32-E72D297353CC}">
              <c16:uniqueId val="{00000002-59B7-4F63-AE99-2BA8C9EC36EF}"/>
            </c:ext>
          </c:extLst>
        </c:ser>
        <c:ser>
          <c:idx val="1"/>
          <c:order val="1"/>
          <c:tx>
            <c:strRef>
              <c:f>'[勞保(109年).xlsx]2.3請領老年年金給付概況'!$C$19</c:f>
              <c:strCache>
                <c:ptCount val="1"/>
                <c:pt idx="0">
                  <c:v>平均投保年資</c:v>
                </c:pt>
              </c:strCache>
            </c:strRef>
          </c:tx>
          <c:spPr>
            <a:pattFill prst="pct20">
              <a:fgClr>
                <a:schemeClr val="accent1"/>
              </a:fgClr>
              <a:bgClr>
                <a:schemeClr val="bg1"/>
              </a:bgClr>
            </a:pattFill>
            <a:ln>
              <a:solidFill>
                <a:schemeClr val="tx1">
                  <a:lumMod val="65000"/>
                  <a:lumOff val="35000"/>
                </a:schemeClr>
              </a:solidFill>
            </a:ln>
          </c:spPr>
          <c:invertIfNegative val="0"/>
          <c:dLbls>
            <c:dLbl>
              <c:idx val="0"/>
              <c:layout>
                <c:manualLayout>
                  <c:x val="4.3007366014732032E-3"/>
                  <c:y val="7.545494895694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9B7-4F63-AE99-2BA8C9EC36EF}"/>
                </c:ext>
              </c:extLst>
            </c:dLbl>
            <c:dLbl>
              <c:idx val="9"/>
              <c:layout>
                <c:manualLayout>
                  <c:x val="4.3010752688172043E-3"/>
                  <c:y val="8.503342874417661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9B7-4F63-AE99-2BA8C9EC36EF}"/>
                </c:ext>
              </c:extLst>
            </c:dLbl>
            <c:spPr>
              <a:noFill/>
              <a:ln>
                <a:noFill/>
              </a:ln>
              <a:effectLst/>
            </c:spPr>
            <c:txPr>
              <a:bodyPr/>
              <a:lstStyle/>
              <a:p>
                <a:pPr>
                  <a:defRPr b="1"/>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'[勞保(109年).xlsx]2.3請領老年年金給付概況'!$A$22:$A$31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'[勞保(109年).xlsx]2.3請領老年年金給付概況'!$C$22:$C$31</c:f>
              <c:numCache>
                <c:formatCode>0.0_);[Red]\(0.0\)</c:formatCode>
                <c:ptCount val="10"/>
                <c:pt idx="0">
                  <c:v>25.81</c:v>
                </c:pt>
                <c:pt idx="1">
                  <c:v>26.53</c:v>
                </c:pt>
                <c:pt idx="2">
                  <c:v>26.98</c:v>
                </c:pt>
                <c:pt idx="3">
                  <c:v>27.31</c:v>
                </c:pt>
                <c:pt idx="4">
                  <c:v>27.62</c:v>
                </c:pt>
                <c:pt idx="5">
                  <c:v>27.99</c:v>
                </c:pt>
                <c:pt idx="6">
                  <c:v>28.3</c:v>
                </c:pt>
                <c:pt idx="7">
                  <c:v>28.6</c:v>
                </c:pt>
                <c:pt idx="8" formatCode="#,##0.0_ ">
                  <c:v>28.75</c:v>
                </c:pt>
                <c:pt idx="9" formatCode="#,##0.0_ ">
                  <c:v>29.02</c:v>
                </c:pt>
              </c:numCache>
            </c:numRef>
          </c:val>
          <c:extLst xmlns:c16r2="http://schemas.microsoft.com/office/drawing/2015/06/chart">
            <c:ext xmlns:c16="http://schemas.microsoft.com/office/drawing/2014/chart" uri="{C3380CC4-5D6E-409C-BE32-E72D297353CC}">
              <c16:uniqueId val="{00000005-59B7-4F63-AE99-2BA8C9EC36EF}"/>
            </c:ext>
          </c:extLst>
        </c:ser>
        <c:dLbls>
          <c:showLegendKey val="0"/>
          <c:showVal val="0"/>
          <c:showCatName val="0"/>
          <c:showSerName val="0"/>
          <c:showPercent val="0"/>
          <c:showBubbleSize val="0"/>
        </c:dLbls>
        <c:gapWidth val="150"/>
        <c:axId val="281709056"/>
        <c:axId val="281441344"/>
      </c:barChart>
      <c:lineChart>
        <c:grouping val="standard"/>
        <c:varyColors val="0"/>
        <c:ser>
          <c:idx val="2"/>
          <c:order val="2"/>
          <c:tx>
            <c:strRef>
              <c:f>'[勞保(109年).xlsx]2.3請領老年年金給付概況'!$D$19</c:f>
              <c:strCache>
                <c:ptCount val="1"/>
                <c:pt idx="0">
                  <c:v>平均投保薪資</c:v>
                </c:pt>
              </c:strCache>
            </c:strRef>
          </c:tx>
          <c:dLbls>
            <c:dLbl>
              <c:idx val="0"/>
              <c:layout>
                <c:manualLayout>
                  <c:x val="-4.0860215053763443E-2"/>
                  <c:y val="-4.43859630728582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9B7-4F63-AE99-2BA8C9EC36EF}"/>
                </c:ext>
              </c:extLst>
            </c:dLbl>
            <c:dLbl>
              <c:idx val="9"/>
              <c:layout>
                <c:manualLayout>
                  <c:x val="-4.8311912623825247E-2"/>
                  <c:y val="-4.48403004218347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9B7-4F63-AE99-2BA8C9EC36EF}"/>
                </c:ext>
              </c:extLst>
            </c:dLbl>
            <c:spPr>
              <a:noFill/>
              <a:ln>
                <a:noFill/>
              </a:ln>
              <a:effectLst/>
            </c:spPr>
            <c:txPr>
              <a:bodyPr/>
              <a:lstStyle/>
              <a:p>
                <a:pPr>
                  <a:defRPr b="1"/>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'[勞保(109年).xlsx]2.3請領老年年金給付概況'!$A$22:$A$31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'[勞保(109年).xlsx]2.3請領老年年金給付概況'!$D$22:$D$31</c:f>
              <c:numCache>
                <c:formatCode>#,##0_ </c:formatCode>
                <c:ptCount val="10"/>
                <c:pt idx="0">
                  <c:v>32650</c:v>
                </c:pt>
                <c:pt idx="1">
                  <c:v>34076</c:v>
                </c:pt>
                <c:pt idx="2">
                  <c:v>34841</c:v>
                </c:pt>
                <c:pt idx="3">
                  <c:v>35277</c:v>
                </c:pt>
                <c:pt idx="4">
                  <c:v>35684</c:v>
                </c:pt>
                <c:pt idx="5" formatCode="#,##0">
                  <c:v>36139</c:v>
                </c:pt>
                <c:pt idx="6" formatCode="#,##0">
                  <c:v>36499</c:v>
                </c:pt>
                <c:pt idx="7" formatCode="#,##0">
                  <c:v>36787</c:v>
                </c:pt>
                <c:pt idx="8" formatCode="#,##0_);[Red]\(#,##0\)">
                  <c:v>37008.019999999997</c:v>
                </c:pt>
                <c:pt idx="9">
                  <c:v>37305</c:v>
                </c:pt>
              </c:numCache>
            </c:numRef>
          </c:val>
          <c:smooth val="0"/>
          <c:extLst xmlns:c16r2="http://schemas.microsoft.com/office/drawing/2015/06/chart">
            <c:ext xmlns:c16="http://schemas.microsoft.com/office/drawing/2014/chart" uri="{C3380CC4-5D6E-409C-BE32-E72D297353CC}">
              <c16:uniqueId val="{00000008-59B7-4F63-AE99-2BA8C9EC36EF}"/>
            </c:ext>
          </c:extLst>
        </c:ser>
        <c:ser>
          <c:idx val="3"/>
          <c:order val="3"/>
          <c:tx>
            <c:strRef>
              <c:f>'[勞保(109年).xlsx]2.3請領老年年金給付概況'!$E$19</c:f>
              <c:strCache>
                <c:ptCount val="1"/>
                <c:pt idx="0">
                  <c:v>平均給付金額</c:v>
                </c:pt>
              </c:strCache>
            </c:strRef>
          </c:tx>
          <c:spPr>
            <a:ln cap="sq">
              <a:solidFill>
                <a:schemeClr val="tx1">
                  <a:lumMod val="65000"/>
                  <a:lumOff val="35000"/>
                </a:schemeClr>
              </a:solidFill>
              <a:prstDash val="lgDash"/>
            </a:ln>
          </c:spPr>
          <c:marker>
            <c:spPr>
              <a:noFill/>
              <a:ln>
                <a:solidFill>
                  <a:schemeClr val="tx1">
                    <a:lumMod val="65000"/>
                    <a:lumOff val="35000"/>
                  </a:schemeClr>
                </a:solidFill>
              </a:ln>
            </c:spPr>
          </c:marker>
          <c:dLbls>
            <c:dLbl>
              <c:idx val="0"/>
              <c:layout>
                <c:manualLayout>
                  <c:x val="-2.795715858098383E-2"/>
                  <c:y val="-4.88241399918219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9B7-4F63-AE99-2BA8C9EC36EF}"/>
                </c:ext>
              </c:extLst>
            </c:dLbl>
            <c:dLbl>
              <c:idx val="9"/>
              <c:layout>
                <c:manualLayout>
                  <c:x val="-3.5408686817373636E-2"/>
                  <c:y val="-4.0401774012602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59B7-4F63-AE99-2BA8C9EC36EF}"/>
                </c:ext>
              </c:extLst>
            </c:dLbl>
            <c:spPr>
              <a:noFill/>
              <a:ln>
                <a:noFill/>
              </a:ln>
              <a:effectLst/>
            </c:spPr>
            <c:txPr>
              <a:bodyPr/>
              <a:lstStyle/>
              <a:p>
                <a:pPr>
                  <a:defRPr b="1"/>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'[勞保(109年).xlsx]2.3請領老年年金給付概況'!$A$22:$A$31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'[勞保(109年).xlsx]2.3請領老年年金給付概況'!$E$22:$E$31</c:f>
              <c:numCache>
                <c:formatCode>#,##0_ </c:formatCode>
                <c:ptCount val="10"/>
                <c:pt idx="0">
                  <c:v>14067</c:v>
                </c:pt>
                <c:pt idx="1">
                  <c:v>14884</c:v>
                </c:pt>
                <c:pt idx="2">
                  <c:v>15344</c:v>
                </c:pt>
                <c:pt idx="3">
                  <c:v>15753</c:v>
                </c:pt>
                <c:pt idx="4">
                  <c:v>16179</c:v>
                </c:pt>
                <c:pt idx="5" formatCode="#,##0">
                  <c:v>16533</c:v>
                </c:pt>
                <c:pt idx="6" formatCode="#,##0">
                  <c:v>16911</c:v>
                </c:pt>
                <c:pt idx="7" formatCode="#,##0">
                  <c:v>17120</c:v>
                </c:pt>
                <c:pt idx="8" formatCode="#,##0_);[Red]\(#,##0\)">
                  <c:v>17444</c:v>
                </c:pt>
                <c:pt idx="9">
                  <c:v>17651</c:v>
                </c:pt>
              </c:numCache>
            </c:numRef>
          </c:val>
          <c:smooth val="0"/>
          <c:extLst xmlns:c16r2="http://schemas.microsoft.com/office/drawing/2015/06/chart">
            <c:ext xmlns:c16="http://schemas.microsoft.com/office/drawing/2014/chart" uri="{C3380CC4-5D6E-409C-BE32-E72D297353CC}">
              <c16:uniqueId val="{0000000B-59B7-4F63-AE99-2BA8C9EC36EF}"/>
            </c:ext>
          </c:extLst>
        </c:ser>
        <c:dLbls>
          <c:showLegendKey val="0"/>
          <c:showVal val="0"/>
          <c:showCatName val="0"/>
          <c:showSerName val="0"/>
          <c:showPercent val="0"/>
          <c:showBubbleSize val="0"/>
        </c:dLbls>
        <c:marker val="1"/>
        <c:smooth val="0"/>
        <c:axId val="281709568"/>
        <c:axId val="281441920"/>
      </c:lineChart>
      <c:catAx>
        <c:axId val="281709056"/>
        <c:scaling>
          <c:orientation val="minMax"/>
        </c:scaling>
        <c:delete val="0"/>
        <c:axPos val="b"/>
        <c:numFmt formatCode="General" sourceLinked="0"/>
        <c:majorTickMark val="out"/>
        <c:minorTickMark val="none"/>
        <c:tickLblPos val="nextTo"/>
        <c:txPr>
          <a:bodyPr/>
          <a:lstStyle/>
          <a:p>
            <a:pPr>
              <a:defRPr sz="1100"/>
            </a:pPr>
            <a:endParaRPr lang="zh-TW"/>
          </a:p>
        </c:txPr>
        <c:crossAx val="281441344"/>
        <c:crosses val="autoZero"/>
        <c:auto val="1"/>
        <c:lblAlgn val="ctr"/>
        <c:lblOffset val="100"/>
        <c:noMultiLvlLbl val="0"/>
      </c:catAx>
      <c:valAx>
        <c:axId val="281441344"/>
        <c:scaling>
          <c:orientation val="minMax"/>
          <c:max val="90"/>
        </c:scaling>
        <c:delete val="0"/>
        <c:axPos val="l"/>
        <c:numFmt formatCode="0_ " sourceLinked="0"/>
        <c:majorTickMark val="out"/>
        <c:minorTickMark val="none"/>
        <c:tickLblPos val="nextTo"/>
        <c:txPr>
          <a:bodyPr/>
          <a:lstStyle/>
          <a:p>
            <a:pPr>
              <a:defRPr sz="1100"/>
            </a:pPr>
            <a:endParaRPr lang="zh-TW"/>
          </a:p>
        </c:txPr>
        <c:crossAx val="281709056"/>
        <c:crosses val="autoZero"/>
        <c:crossBetween val="between"/>
      </c:valAx>
      <c:valAx>
        <c:axId val="281441920"/>
        <c:scaling>
          <c:orientation val="minMax"/>
        </c:scaling>
        <c:delete val="0"/>
        <c:axPos val="r"/>
        <c:numFmt formatCode="#,##0_ " sourceLinked="1"/>
        <c:majorTickMark val="out"/>
        <c:minorTickMark val="none"/>
        <c:tickLblPos val="nextTo"/>
        <c:txPr>
          <a:bodyPr/>
          <a:lstStyle/>
          <a:p>
            <a:pPr>
              <a:defRPr sz="1100"/>
            </a:pPr>
            <a:endParaRPr lang="zh-TW"/>
          </a:p>
        </c:txPr>
        <c:crossAx val="281709568"/>
        <c:crosses val="max"/>
        <c:crossBetween val="between"/>
      </c:valAx>
      <c:catAx>
        <c:axId val="281709568"/>
        <c:scaling>
          <c:orientation val="minMax"/>
        </c:scaling>
        <c:delete val="1"/>
        <c:axPos val="b"/>
        <c:numFmt formatCode="General" sourceLinked="1"/>
        <c:majorTickMark val="out"/>
        <c:minorTickMark val="none"/>
        <c:tickLblPos val="nextTo"/>
        <c:crossAx val="281441920"/>
        <c:crosses val="autoZero"/>
        <c:auto val="1"/>
        <c:lblAlgn val="ctr"/>
        <c:lblOffset val="100"/>
        <c:noMultiLvlLbl val="0"/>
      </c:catAx>
    </c:plotArea>
    <c:legend>
      <c:legendPos val="t"/>
      <c:overlay val="0"/>
      <c:txPr>
        <a:bodyPr/>
        <a:lstStyle/>
        <a:p>
          <a:pPr>
            <a:defRPr>
              <a:latin typeface="微軟正黑體" panose="020B0604030504040204" pitchFamily="34" charset="-120"/>
              <a:ea typeface="微軟正黑體" panose="020B0604030504040204" pitchFamily="34" charset="-120"/>
            </a:defRPr>
          </a:pPr>
          <a:endParaRPr lang="zh-TW"/>
        </a:p>
      </c:txPr>
    </c:legend>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30401124101909"/>
          <c:y val="0.16289552347623215"/>
          <c:w val="0.84454784061083277"/>
          <c:h val="0.77316948810342645"/>
        </c:manualLayout>
      </c:layout>
      <c:barChart>
        <c:barDir val="col"/>
        <c:grouping val="clustered"/>
        <c:varyColors val="0"/>
        <c:ser>
          <c:idx val="0"/>
          <c:order val="0"/>
          <c:tx>
            <c:strRef>
              <c:f>'3.1普通事故保險保費收支概況'!$B$2</c:f>
              <c:strCache>
                <c:ptCount val="1"/>
                <c:pt idx="0">
                  <c:v>保費收入</c:v>
                </c:pt>
              </c:strCache>
            </c:strRef>
          </c:tx>
          <c:spPr>
            <a:solidFill>
              <a:schemeClr val="accent2"/>
            </a:solidFill>
          </c:spPr>
          <c:invertIfNegative val="0"/>
          <c:dLbls>
            <c:dLbl>
              <c:idx val="14"/>
              <c:layout>
                <c:manualLayout>
                  <c:x val="-1.262626262626278E-2"/>
                  <c:y val="2.8420625253755584E-2"/>
                </c:manualLayout>
              </c:layout>
              <c:spPr/>
              <c:txPr>
                <a:bodyPr/>
                <a:lstStyle/>
                <a:p>
                  <a:pPr>
                    <a:defRPr b="1"/>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F2-440F-9260-7DEDE1CDCB23}"/>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'3.1普通事故保險保費收支概況'!$A$7:$A$20</c:f>
              <c:strCache>
                <c:ptCount val="14"/>
                <c:pt idx="0">
                  <c:v>96年</c:v>
                </c:pt>
                <c:pt idx="1">
                  <c:v>97年</c:v>
                </c:pt>
                <c:pt idx="2">
                  <c:v>98年</c:v>
                </c:pt>
                <c:pt idx="3">
                  <c:v>99年</c:v>
                </c:pt>
                <c:pt idx="4">
                  <c:v>100年</c:v>
                </c:pt>
                <c:pt idx="5">
                  <c:v>101年</c:v>
                </c:pt>
                <c:pt idx="6">
                  <c:v>102年</c:v>
                </c:pt>
                <c:pt idx="7">
                  <c:v>103年</c:v>
                </c:pt>
                <c:pt idx="8">
                  <c:v>104年</c:v>
                </c:pt>
                <c:pt idx="9">
                  <c:v>105年</c:v>
                </c:pt>
                <c:pt idx="10">
                  <c:v>106年</c:v>
                </c:pt>
                <c:pt idx="11">
                  <c:v>107年</c:v>
                </c:pt>
                <c:pt idx="12">
                  <c:v>108年</c:v>
                </c:pt>
                <c:pt idx="13">
                  <c:v>109年</c:v>
                </c:pt>
              </c:strCache>
            </c:strRef>
          </c:cat>
          <c:val>
            <c:numRef>
              <c:f>'3.1普通事故保險保費收支概況'!$B$7:$B$20</c:f>
              <c:numCache>
                <c:formatCode>#,##0_ </c:formatCode>
                <c:ptCount val="14"/>
                <c:pt idx="0">
                  <c:v>1570</c:v>
                </c:pt>
                <c:pt idx="1">
                  <c:v>1612</c:v>
                </c:pt>
                <c:pt idx="2">
                  <c:v>1918</c:v>
                </c:pt>
                <c:pt idx="3">
                  <c:v>2008</c:v>
                </c:pt>
                <c:pt idx="4">
                  <c:v>2275</c:v>
                </c:pt>
                <c:pt idx="5">
                  <c:v>2533</c:v>
                </c:pt>
                <c:pt idx="6">
                  <c:v>2698</c:v>
                </c:pt>
                <c:pt idx="7">
                  <c:v>2936</c:v>
                </c:pt>
                <c:pt idx="8">
                  <c:v>3194</c:v>
                </c:pt>
                <c:pt idx="9">
                  <c:v>3281</c:v>
                </c:pt>
                <c:pt idx="10">
                  <c:v>3553</c:v>
                </c:pt>
                <c:pt idx="11">
                  <c:v>3642</c:v>
                </c:pt>
                <c:pt idx="12">
                  <c:v>3929</c:v>
                </c:pt>
                <c:pt idx="13">
                  <c:v>4002</c:v>
                </c:pt>
              </c:numCache>
            </c:numRef>
          </c:val>
          <c:extLst xmlns:c16r2="http://schemas.microsoft.com/office/drawing/2015/06/chart">
            <c:ext xmlns:c16="http://schemas.microsoft.com/office/drawing/2014/chart" uri="{C3380CC4-5D6E-409C-BE32-E72D297353CC}">
              <c16:uniqueId val="{00000001-2FF2-440F-9260-7DEDE1CDCB23}"/>
            </c:ext>
          </c:extLst>
        </c:ser>
        <c:ser>
          <c:idx val="1"/>
          <c:order val="1"/>
          <c:tx>
            <c:strRef>
              <c:f>'3.1普通事故保險保費收支概況'!$C$2</c:f>
              <c:strCache>
                <c:ptCount val="1"/>
                <c:pt idx="0">
                  <c:v>給付支出</c:v>
                </c:pt>
              </c:strCache>
            </c:strRef>
          </c:tx>
          <c:spPr>
            <a:pattFill prst="smCheck">
              <a:fgClr>
                <a:schemeClr val="accent1"/>
              </a:fgClr>
              <a:bgClr>
                <a:schemeClr val="bg1"/>
              </a:bgClr>
            </a:pattFill>
          </c:spPr>
          <c:invertIfNegative val="0"/>
          <c:dLbls>
            <c:dLbl>
              <c:idx val="1"/>
              <c:showLegendKey val="0"/>
              <c:showVal val="1"/>
              <c:showCatName val="0"/>
              <c:showSerName val="0"/>
              <c:showPercent val="0"/>
              <c:showBubbleSize val="0"/>
            </c:dLbl>
            <c:dLbl>
              <c:idx val="10"/>
              <c:showLegendKey val="0"/>
              <c:showVal val="1"/>
              <c:showCatName val="0"/>
              <c:showSerName val="0"/>
              <c:showPercent val="0"/>
              <c:showBubbleSize val="0"/>
            </c:dLbl>
            <c:dLbl>
              <c:idx val="13"/>
              <c:showLegendKey val="0"/>
              <c:showVal val="1"/>
              <c:showCatName val="0"/>
              <c:showSerName val="0"/>
              <c:showPercent val="0"/>
              <c:showBubbleSize val="0"/>
            </c:dLbl>
            <c:dLbl>
              <c:idx val="14"/>
              <c:layout>
                <c:manualLayout>
                  <c:x val="1.0521885521885523E-2"/>
                  <c:y val="8.1201786439301284E-3"/>
                </c:manualLayout>
              </c:layout>
              <c:showLegendKey val="0"/>
              <c:showVal val="1"/>
              <c:showCatName val="0"/>
              <c:showSerName val="0"/>
              <c:showPercent val="0"/>
              <c:showBubbleSize val="0"/>
            </c:dLbl>
            <c:spPr>
              <a:noFill/>
              <a:ln>
                <a:noFill/>
              </a:ln>
              <a:effectLst/>
            </c:spPr>
            <c:txPr>
              <a:bodyPr/>
              <a:lstStyle/>
              <a:p>
                <a:pPr>
                  <a:defRPr b="0"/>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'3.1普通事故保險保費收支概況'!$A$7:$A$20</c:f>
              <c:strCache>
                <c:ptCount val="14"/>
                <c:pt idx="0">
                  <c:v>96年</c:v>
                </c:pt>
                <c:pt idx="1">
                  <c:v>97年</c:v>
                </c:pt>
                <c:pt idx="2">
                  <c:v>98年</c:v>
                </c:pt>
                <c:pt idx="3">
                  <c:v>99年</c:v>
                </c:pt>
                <c:pt idx="4">
                  <c:v>100年</c:v>
                </c:pt>
                <c:pt idx="5">
                  <c:v>101年</c:v>
                </c:pt>
                <c:pt idx="6">
                  <c:v>102年</c:v>
                </c:pt>
                <c:pt idx="7">
                  <c:v>103年</c:v>
                </c:pt>
                <c:pt idx="8">
                  <c:v>104年</c:v>
                </c:pt>
                <c:pt idx="9">
                  <c:v>105年</c:v>
                </c:pt>
                <c:pt idx="10">
                  <c:v>106年</c:v>
                </c:pt>
                <c:pt idx="11">
                  <c:v>107年</c:v>
                </c:pt>
                <c:pt idx="12">
                  <c:v>108年</c:v>
                </c:pt>
                <c:pt idx="13">
                  <c:v>109年</c:v>
                </c:pt>
              </c:strCache>
            </c:strRef>
          </c:cat>
          <c:val>
            <c:numRef>
              <c:f>'3.1普通事故保險保費收支概況'!$C$7:$C$20</c:f>
              <c:numCache>
                <c:formatCode>#,##0_ </c:formatCode>
                <c:ptCount val="14"/>
                <c:pt idx="0">
                  <c:v>1863</c:v>
                </c:pt>
                <c:pt idx="1">
                  <c:v>3521</c:v>
                </c:pt>
                <c:pt idx="2">
                  <c:v>1337</c:v>
                </c:pt>
                <c:pt idx="3">
                  <c:v>1239</c:v>
                </c:pt>
                <c:pt idx="4">
                  <c:v>1369</c:v>
                </c:pt>
                <c:pt idx="5">
                  <c:v>2547</c:v>
                </c:pt>
                <c:pt idx="6">
                  <c:v>2730</c:v>
                </c:pt>
                <c:pt idx="7">
                  <c:v>2417</c:v>
                </c:pt>
                <c:pt idx="8">
                  <c:v>2754</c:v>
                </c:pt>
                <c:pt idx="9">
                  <c:v>3193</c:v>
                </c:pt>
                <c:pt idx="10">
                  <c:v>3829.33</c:v>
                </c:pt>
                <c:pt idx="11">
                  <c:v>3895</c:v>
                </c:pt>
                <c:pt idx="12">
                  <c:v>4157</c:v>
                </c:pt>
                <c:pt idx="13">
                  <c:v>4489</c:v>
                </c:pt>
              </c:numCache>
            </c:numRef>
          </c:val>
          <c:extLst xmlns:c16r2="http://schemas.microsoft.com/office/drawing/2015/06/chart">
            <c:ext xmlns:c16="http://schemas.microsoft.com/office/drawing/2014/chart" uri="{C3380CC4-5D6E-409C-BE32-E72D297353CC}">
              <c16:uniqueId val="{00000003-2FF2-440F-9260-7DEDE1CDCB23}"/>
            </c:ext>
          </c:extLst>
        </c:ser>
        <c:ser>
          <c:idx val="2"/>
          <c:order val="2"/>
          <c:tx>
            <c:strRef>
              <c:f>'3.1普通事故保險保費收支概況'!$D$2</c:f>
              <c:strCache>
                <c:ptCount val="1"/>
                <c:pt idx="0">
                  <c:v>結餘</c:v>
                </c:pt>
              </c:strCache>
            </c:strRef>
          </c:tx>
          <c:spPr>
            <a:solidFill>
              <a:schemeClr val="accent5">
                <a:lumMod val="60000"/>
                <a:lumOff val="40000"/>
              </a:schemeClr>
            </a:solidFill>
          </c:spPr>
          <c:invertIfNegative val="0"/>
          <c:dLbls>
            <c:dLbl>
              <c:idx val="1"/>
              <c:showLegendKey val="0"/>
              <c:showVal val="1"/>
              <c:showCatName val="0"/>
              <c:showSerName val="0"/>
              <c:showPercent val="0"/>
              <c:showBubbleSize val="0"/>
            </c:dLbl>
            <c:dLbl>
              <c:idx val="13"/>
              <c:layout>
                <c:manualLayout>
                  <c:x val="1.1094675848515567E-2"/>
                  <c:y val="-5.4347826086955523E-3"/>
                </c:manualLayout>
              </c:layout>
              <c:showLegendKey val="0"/>
              <c:showVal val="1"/>
              <c:showCatName val="0"/>
              <c:showSerName val="0"/>
              <c:showPercent val="0"/>
              <c:showBubbleSize val="0"/>
            </c:dLbl>
            <c:dLbl>
              <c:idx val="14"/>
              <c:layout>
                <c:manualLayout>
                  <c:x val="1.2626262626262626E-2"/>
                  <c:y val="7.3083525947807065E-2"/>
                </c:manualLayout>
              </c:layout>
              <c:spPr/>
              <c:txPr>
                <a:bodyPr/>
                <a:lstStyle/>
                <a:p>
                  <a:pPr>
                    <a:defRPr b="1">
                      <a:solidFill>
                        <a:srgbClr val="FF0000"/>
                      </a:solidFill>
                    </a:defRPr>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FF2-440F-9260-7DEDE1CDCB23}"/>
                </c:ext>
              </c:extLst>
            </c:dLbl>
            <c:spPr>
              <a:noFill/>
              <a:ln>
                <a:noFill/>
              </a:ln>
              <a:effectLst/>
            </c:spPr>
            <c:txPr>
              <a:bodyPr/>
              <a:lstStyle/>
              <a:p>
                <a:pPr>
                  <a:defRPr>
                    <a:solidFill>
                      <a:srgbClr val="FF0000"/>
                    </a:solidFill>
                  </a:defRPr>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'3.1普通事故保險保費收支概況'!$A$7:$A$20</c:f>
              <c:strCache>
                <c:ptCount val="14"/>
                <c:pt idx="0">
                  <c:v>96年</c:v>
                </c:pt>
                <c:pt idx="1">
                  <c:v>97年</c:v>
                </c:pt>
                <c:pt idx="2">
                  <c:v>98年</c:v>
                </c:pt>
                <c:pt idx="3">
                  <c:v>99年</c:v>
                </c:pt>
                <c:pt idx="4">
                  <c:v>100年</c:v>
                </c:pt>
                <c:pt idx="5">
                  <c:v>101年</c:v>
                </c:pt>
                <c:pt idx="6">
                  <c:v>102年</c:v>
                </c:pt>
                <c:pt idx="7">
                  <c:v>103年</c:v>
                </c:pt>
                <c:pt idx="8">
                  <c:v>104年</c:v>
                </c:pt>
                <c:pt idx="9">
                  <c:v>105年</c:v>
                </c:pt>
                <c:pt idx="10">
                  <c:v>106年</c:v>
                </c:pt>
                <c:pt idx="11">
                  <c:v>107年</c:v>
                </c:pt>
                <c:pt idx="12">
                  <c:v>108年</c:v>
                </c:pt>
                <c:pt idx="13">
                  <c:v>109年</c:v>
                </c:pt>
              </c:strCache>
            </c:strRef>
          </c:cat>
          <c:val>
            <c:numRef>
              <c:f>'3.1普通事故保險保費收支概況'!$D$7:$D$20</c:f>
              <c:numCache>
                <c:formatCode>#,##0_ </c:formatCode>
                <c:ptCount val="14"/>
                <c:pt idx="0">
                  <c:v>-293</c:v>
                </c:pt>
                <c:pt idx="1">
                  <c:v>-1909</c:v>
                </c:pt>
                <c:pt idx="2">
                  <c:v>581</c:v>
                </c:pt>
                <c:pt idx="3">
                  <c:v>769</c:v>
                </c:pt>
                <c:pt idx="4">
                  <c:v>906</c:v>
                </c:pt>
                <c:pt idx="5">
                  <c:v>-14</c:v>
                </c:pt>
                <c:pt idx="6">
                  <c:v>-32</c:v>
                </c:pt>
                <c:pt idx="7">
                  <c:v>519</c:v>
                </c:pt>
                <c:pt idx="8">
                  <c:v>440</c:v>
                </c:pt>
                <c:pt idx="9">
                  <c:v>88</c:v>
                </c:pt>
                <c:pt idx="10">
                  <c:v>-276</c:v>
                </c:pt>
                <c:pt idx="11">
                  <c:v>-253</c:v>
                </c:pt>
                <c:pt idx="12">
                  <c:v>-228</c:v>
                </c:pt>
                <c:pt idx="13">
                  <c:v>-487</c:v>
                </c:pt>
              </c:numCache>
            </c:numRef>
          </c:val>
          <c:extLst xmlns:c16r2="http://schemas.microsoft.com/office/drawing/2015/06/chart">
            <c:ext xmlns:c16="http://schemas.microsoft.com/office/drawing/2014/chart" uri="{C3380CC4-5D6E-409C-BE32-E72D297353CC}">
              <c16:uniqueId val="{00000005-2FF2-440F-9260-7DEDE1CDCB23}"/>
            </c:ext>
          </c:extLst>
        </c:ser>
        <c:dLbls>
          <c:showLegendKey val="0"/>
          <c:showVal val="0"/>
          <c:showCatName val="0"/>
          <c:showSerName val="0"/>
          <c:showPercent val="0"/>
          <c:showBubbleSize val="0"/>
        </c:dLbls>
        <c:gapWidth val="150"/>
        <c:axId val="281907712"/>
        <c:axId val="281443648"/>
      </c:barChart>
      <c:catAx>
        <c:axId val="281907712"/>
        <c:scaling>
          <c:orientation val="minMax"/>
        </c:scaling>
        <c:delete val="0"/>
        <c:axPos val="b"/>
        <c:numFmt formatCode="General" sourceLinked="0"/>
        <c:majorTickMark val="out"/>
        <c:minorTickMark val="none"/>
        <c:tickLblPos val="nextTo"/>
        <c:crossAx val="281443648"/>
        <c:crosses val="autoZero"/>
        <c:auto val="1"/>
        <c:lblAlgn val="ctr"/>
        <c:lblOffset val="100"/>
        <c:noMultiLvlLbl val="0"/>
      </c:catAx>
      <c:valAx>
        <c:axId val="281443648"/>
        <c:scaling>
          <c:orientation val="minMax"/>
          <c:max val="5000"/>
          <c:min val="-2000"/>
        </c:scaling>
        <c:delete val="0"/>
        <c:axPos val="l"/>
        <c:numFmt formatCode="#,##0_ " sourceLinked="1"/>
        <c:majorTickMark val="out"/>
        <c:minorTickMark val="none"/>
        <c:tickLblPos val="nextTo"/>
        <c:crossAx val="281907712"/>
        <c:crosses val="autoZero"/>
        <c:crossBetween val="between"/>
      </c:valAx>
    </c:plotArea>
    <c:legend>
      <c:legendPos val="t"/>
      <c:layout>
        <c:manualLayout>
          <c:xMode val="edge"/>
          <c:yMode val="edge"/>
          <c:x val="0.30056387364458231"/>
          <c:y val="3.0421555845284658E-2"/>
          <c:w val="0.3778284816670644"/>
          <c:h val="9.5970940399073321E-2"/>
        </c:manualLayout>
      </c:layout>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13161127696548E-2"/>
          <c:y val="4.6089380406305766E-2"/>
          <c:w val="0.88172626360266004"/>
          <c:h val="0.84557286262560349"/>
        </c:manualLayout>
      </c:layout>
      <c:areaChart>
        <c:grouping val="standard"/>
        <c:varyColors val="0"/>
        <c:ser>
          <c:idx val="0"/>
          <c:order val="0"/>
          <c:tx>
            <c:strRef>
              <c:f>工作表1!$A$2</c:f>
              <c:strCache>
                <c:ptCount val="1"/>
                <c:pt idx="0">
                  <c:v>勞工保險</c:v>
                </c:pt>
              </c:strCache>
            </c:strRef>
          </c:tx>
          <c:spPr>
            <a:solidFill>
              <a:schemeClr val="accent6">
                <a:lumMod val="40000"/>
                <a:lumOff val="60000"/>
              </a:schemeClr>
            </a:solidFill>
          </c:spPr>
          <c:dLbls>
            <c:dLbl>
              <c:idx val="0"/>
              <c:layout>
                <c:manualLayout>
                  <c:x val="3.2385646148781436E-2"/>
                  <c:y val="-0.13643051503845433"/>
                </c:manualLayout>
              </c:layout>
              <c:showLegendKey val="0"/>
              <c:showVal val="1"/>
              <c:showCatName val="0"/>
              <c:showSerName val="0"/>
              <c:showPercent val="0"/>
              <c:showBubbleSize val="0"/>
            </c:dLbl>
            <c:dLbl>
              <c:idx val="1"/>
              <c:layout>
                <c:manualLayout>
                  <c:x val="-1.5432706328375619E-3"/>
                  <c:y val="-0.12426350302568998"/>
                </c:manualLayout>
              </c:layout>
              <c:showLegendKey val="0"/>
              <c:showVal val="1"/>
              <c:showCatName val="0"/>
              <c:showSerName val="0"/>
              <c:showPercent val="0"/>
              <c:showBubbleSize val="0"/>
            </c:dLbl>
            <c:dLbl>
              <c:idx val="2"/>
              <c:layout>
                <c:manualLayout>
                  <c:x val="4.6296296296296034E-3"/>
                  <c:y val="-0.16836195965366926"/>
                </c:manualLayout>
              </c:layout>
              <c:showLegendKey val="0"/>
              <c:showVal val="1"/>
              <c:showCatName val="0"/>
              <c:showSerName val="0"/>
              <c:showPercent val="0"/>
              <c:showBubbleSize val="0"/>
            </c:dLbl>
            <c:dLbl>
              <c:idx val="3"/>
              <c:layout>
                <c:manualLayout>
                  <c:x val="-1.5432098765432102E-3"/>
                  <c:y val="-0.14871973102740796"/>
                </c:manualLayout>
              </c:layout>
              <c:showLegendKey val="0"/>
              <c:showVal val="1"/>
              <c:showCatName val="0"/>
              <c:showSerName val="0"/>
              <c:showPercent val="0"/>
              <c:showBubbleSize val="0"/>
            </c:dLbl>
            <c:dLbl>
              <c:idx val="4"/>
              <c:layout>
                <c:manualLayout>
                  <c:x val="1.5432098765431534E-3"/>
                  <c:y val="-0.1655559269927748"/>
                </c:manualLayout>
              </c:layout>
              <c:showLegendKey val="0"/>
              <c:showVal val="1"/>
              <c:showCatName val="0"/>
              <c:showSerName val="0"/>
              <c:showPercent val="0"/>
              <c:showBubbleSize val="0"/>
            </c:dLbl>
            <c:dLbl>
              <c:idx val="5"/>
              <c:layout>
                <c:manualLayout>
                  <c:x val="0"/>
                  <c:y val="-0.30866359269839366"/>
                </c:manualLayout>
              </c:layout>
              <c:showLegendKey val="0"/>
              <c:showVal val="1"/>
              <c:showCatName val="0"/>
              <c:showSerName val="0"/>
              <c:showPercent val="0"/>
              <c:showBubbleSize val="0"/>
            </c:dLbl>
            <c:dLbl>
              <c:idx val="6"/>
              <c:layout>
                <c:manualLayout>
                  <c:x val="1.535752235612309E-3"/>
                  <c:y val="-0.35497780453658695"/>
                </c:manualLayout>
              </c:layout>
              <c:showLegendKey val="0"/>
              <c:showVal val="1"/>
              <c:showCatName val="0"/>
              <c:showSerName val="0"/>
              <c:showPercent val="0"/>
              <c:showBubbleSize val="0"/>
            </c:dLbl>
            <c:dLbl>
              <c:idx val="7"/>
              <c:layout>
                <c:manualLayout>
                  <c:x val="3.08641975308642E-3"/>
                  <c:y val="-0.27779723342855422"/>
                </c:manualLayout>
              </c:layout>
              <c:showLegendKey val="0"/>
              <c:showVal val="1"/>
              <c:showCatName val="0"/>
              <c:showSerName val="0"/>
              <c:showPercent val="0"/>
              <c:showBubbleSize val="0"/>
            </c:dLbl>
            <c:dLbl>
              <c:idx val="8"/>
              <c:layout>
                <c:manualLayout>
                  <c:x val="-6.1728395061728392E-3"/>
                  <c:y val="-0.30024549471571021"/>
                </c:manualLayout>
              </c:layout>
              <c:showLegendKey val="0"/>
              <c:showVal val="1"/>
              <c:showCatName val="0"/>
              <c:showSerName val="0"/>
              <c:showPercent val="0"/>
              <c:showBubbleSize val="0"/>
            </c:dLbl>
            <c:dLbl>
              <c:idx val="9"/>
              <c:layout>
                <c:manualLayout>
                  <c:x val="-2.7777899290366375E-2"/>
                  <c:y val="-0.37320234389896695"/>
                </c:manualLayout>
              </c:layout>
              <c:tx>
                <c:rich>
                  <a:bodyPr/>
                  <a:lstStyle/>
                  <a:p>
                    <a:r>
                      <a:rPr lang="en-US" altLang="en-US"/>
                      <a:t>4,05</a:t>
                    </a:r>
                    <a:r>
                      <a:rPr lang="en-US" altLang="zh-TW"/>
                      <a:t>8</a:t>
                    </a:r>
                    <a:r>
                      <a:rPr lang="en-US" altLang="en-US"/>
                      <a:t>.9</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工作表1!$B$1:$K$1</c:f>
              <c:strCache>
                <c:ptCount val="10"/>
                <c:pt idx="0">
                  <c:v>100年</c:v>
                </c:pt>
                <c:pt idx="1">
                  <c:v>101年</c:v>
                </c:pt>
                <c:pt idx="2">
                  <c:v>102年</c:v>
                </c:pt>
                <c:pt idx="3">
                  <c:v>103年</c:v>
                </c:pt>
                <c:pt idx="4">
                  <c:v>104年</c:v>
                </c:pt>
                <c:pt idx="5">
                  <c:v>105年</c:v>
                </c:pt>
                <c:pt idx="6">
                  <c:v>106年</c:v>
                </c:pt>
                <c:pt idx="7">
                  <c:v>107年</c:v>
                </c:pt>
                <c:pt idx="8">
                  <c:v>108</c:v>
                </c:pt>
                <c:pt idx="9">
                  <c:v>109</c:v>
                </c:pt>
              </c:strCache>
            </c:strRef>
          </c:cat>
          <c:val>
            <c:numRef>
              <c:f>工作表1!$B$2:$K$2</c:f>
              <c:numCache>
                <c:formatCode>#,##0.0</c:formatCode>
                <c:ptCount val="10"/>
                <c:pt idx="0">
                  <c:v>1031.9000000000001</c:v>
                </c:pt>
                <c:pt idx="1">
                  <c:v>2195.1999999999998</c:v>
                </c:pt>
                <c:pt idx="2">
                  <c:v>2391.3000000000002</c:v>
                </c:pt>
                <c:pt idx="3">
                  <c:v>2055.3000000000002</c:v>
                </c:pt>
                <c:pt idx="4">
                  <c:v>2374.3000000000002</c:v>
                </c:pt>
                <c:pt idx="5">
                  <c:v>2801.6</c:v>
                </c:pt>
                <c:pt idx="6">
                  <c:v>3440</c:v>
                </c:pt>
                <c:pt idx="7">
                  <c:v>3489.2</c:v>
                </c:pt>
                <c:pt idx="8">
                  <c:v>3731.5</c:v>
                </c:pt>
                <c:pt idx="9">
                  <c:v>4059.9</c:v>
                </c:pt>
              </c:numCache>
            </c:numRef>
          </c:val>
        </c:ser>
        <c:ser>
          <c:idx val="1"/>
          <c:order val="1"/>
          <c:tx>
            <c:strRef>
              <c:f>工作表1!$A$3</c:f>
              <c:strCache>
                <c:ptCount val="1"/>
                <c:pt idx="0">
                  <c:v>國民年金</c:v>
                </c:pt>
              </c:strCache>
            </c:strRef>
          </c:tx>
          <c:spPr>
            <a:solidFill>
              <a:schemeClr val="tx2">
                <a:lumMod val="40000"/>
                <a:lumOff val="60000"/>
              </a:schemeClr>
            </a:solidFill>
          </c:spPr>
          <c:dLbls>
            <c:dLbl>
              <c:idx val="0"/>
              <c:delete val="1"/>
            </c:dLbl>
            <c:dLbl>
              <c:idx val="1"/>
              <c:layout>
                <c:manualLayout>
                  <c:x val="-1.5432098765432102E-3"/>
                  <c:y val="-1.683619596536683E-2"/>
                </c:manualLayout>
              </c:layout>
              <c:showLegendKey val="0"/>
              <c:showVal val="1"/>
              <c:showCatName val="0"/>
              <c:showSerName val="0"/>
              <c:showPercent val="0"/>
              <c:showBubbleSize val="0"/>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1.0802469135802472E-2"/>
                  <c:y val="-5.89266858787842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工作表1!$B$1:$K$1</c:f>
              <c:strCache>
                <c:ptCount val="10"/>
                <c:pt idx="0">
                  <c:v>100年</c:v>
                </c:pt>
                <c:pt idx="1">
                  <c:v>101年</c:v>
                </c:pt>
                <c:pt idx="2">
                  <c:v>102年</c:v>
                </c:pt>
                <c:pt idx="3">
                  <c:v>103年</c:v>
                </c:pt>
                <c:pt idx="4">
                  <c:v>104年</c:v>
                </c:pt>
                <c:pt idx="5">
                  <c:v>105年</c:v>
                </c:pt>
                <c:pt idx="6">
                  <c:v>106年</c:v>
                </c:pt>
                <c:pt idx="7">
                  <c:v>107年</c:v>
                </c:pt>
                <c:pt idx="8">
                  <c:v>108</c:v>
                </c:pt>
                <c:pt idx="9">
                  <c:v>109</c:v>
                </c:pt>
              </c:strCache>
            </c:strRef>
          </c:cat>
          <c:val>
            <c:numRef>
              <c:f>工作表1!$B$3:$K$3</c:f>
              <c:numCache>
                <c:formatCode>#,##0.0</c:formatCode>
                <c:ptCount val="10"/>
                <c:pt idx="0">
                  <c:v>84.1</c:v>
                </c:pt>
                <c:pt idx="1">
                  <c:v>133.9</c:v>
                </c:pt>
                <c:pt idx="2">
                  <c:v>181.7</c:v>
                </c:pt>
                <c:pt idx="3">
                  <c:v>224.9</c:v>
                </c:pt>
                <c:pt idx="4">
                  <c:v>273.39999999999998</c:v>
                </c:pt>
                <c:pt idx="5">
                  <c:v>333.9</c:v>
                </c:pt>
                <c:pt idx="6">
                  <c:v>389.1</c:v>
                </c:pt>
                <c:pt idx="7">
                  <c:v>440.4</c:v>
                </c:pt>
                <c:pt idx="8">
                  <c:v>484.6</c:v>
                </c:pt>
                <c:pt idx="9">
                  <c:v>533.6</c:v>
                </c:pt>
              </c:numCache>
            </c:numRef>
          </c:val>
        </c:ser>
        <c:ser>
          <c:idx val="2"/>
          <c:order val="2"/>
          <c:tx>
            <c:strRef>
              <c:f>工作表1!$A$4</c:f>
              <c:strCache>
                <c:ptCount val="1"/>
                <c:pt idx="0">
                  <c:v>公教人員保險</c:v>
                </c:pt>
              </c:strCache>
            </c:strRef>
          </c:tx>
          <c:spPr>
            <a:solidFill>
              <a:schemeClr val="accent2">
                <a:lumMod val="60000"/>
                <a:lumOff val="40000"/>
                <a:alpha val="70000"/>
              </a:schemeClr>
            </a:solidFill>
            <a:ln w="25400">
              <a:noFill/>
            </a:ln>
          </c:spPr>
          <c:dLbls>
            <c:dLbl>
              <c:idx val="0"/>
              <c:layout>
                <c:manualLayout>
                  <c:x val="0"/>
                  <c:y val="-4.2090489913417337E-2"/>
                </c:manualLayout>
              </c:layout>
              <c:showLegendKey val="0"/>
              <c:showVal val="1"/>
              <c:showCatName val="0"/>
              <c:showSerName val="0"/>
              <c:showPercent val="0"/>
              <c:showBubbleSize val="0"/>
            </c:dLbl>
            <c:dLbl>
              <c:idx val="1"/>
              <c:layout>
                <c:manualLayout>
                  <c:x val="-1.5432098765432102E-3"/>
                  <c:y val="-4.7702555235206313E-2"/>
                </c:manualLayout>
              </c:layout>
              <c:showLegendKey val="0"/>
              <c:showVal val="1"/>
              <c:showCatName val="0"/>
              <c:showSerName val="0"/>
              <c:showPercent val="0"/>
              <c:showBubbleSize val="0"/>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1.2345679012345682E-2"/>
                  <c:y val="-1.68364169128205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工作表1!$B$1:$K$1</c:f>
              <c:strCache>
                <c:ptCount val="10"/>
                <c:pt idx="0">
                  <c:v>100年</c:v>
                </c:pt>
                <c:pt idx="1">
                  <c:v>101年</c:v>
                </c:pt>
                <c:pt idx="2">
                  <c:v>102年</c:v>
                </c:pt>
                <c:pt idx="3">
                  <c:v>103年</c:v>
                </c:pt>
                <c:pt idx="4">
                  <c:v>104年</c:v>
                </c:pt>
                <c:pt idx="5">
                  <c:v>105年</c:v>
                </c:pt>
                <c:pt idx="6">
                  <c:v>106年</c:v>
                </c:pt>
                <c:pt idx="7">
                  <c:v>107年</c:v>
                </c:pt>
                <c:pt idx="8">
                  <c:v>108</c:v>
                </c:pt>
                <c:pt idx="9">
                  <c:v>109</c:v>
                </c:pt>
              </c:strCache>
            </c:strRef>
          </c:cat>
          <c:val>
            <c:numRef>
              <c:f>工作表1!$B$4:$K$4</c:f>
              <c:numCache>
                <c:formatCode>#,##0.0</c:formatCode>
                <c:ptCount val="10"/>
                <c:pt idx="0">
                  <c:v>239.3</c:v>
                </c:pt>
                <c:pt idx="1">
                  <c:v>251.4</c:v>
                </c:pt>
                <c:pt idx="2">
                  <c:v>232.8</c:v>
                </c:pt>
                <c:pt idx="3">
                  <c:v>208.7</c:v>
                </c:pt>
                <c:pt idx="4">
                  <c:v>289.7</c:v>
                </c:pt>
                <c:pt idx="5">
                  <c:v>258.8</c:v>
                </c:pt>
                <c:pt idx="6">
                  <c:v>210.5</c:v>
                </c:pt>
                <c:pt idx="7">
                  <c:v>193.2</c:v>
                </c:pt>
                <c:pt idx="8">
                  <c:v>207.7</c:v>
                </c:pt>
                <c:pt idx="9">
                  <c:v>182.7</c:v>
                </c:pt>
              </c:numCache>
            </c:numRef>
          </c:val>
        </c:ser>
        <c:dLbls>
          <c:showLegendKey val="0"/>
          <c:showVal val="0"/>
          <c:showCatName val="0"/>
          <c:showSerName val="0"/>
          <c:showPercent val="0"/>
          <c:showBubbleSize val="0"/>
        </c:dLbls>
        <c:axId val="321673216"/>
        <c:axId val="318446336"/>
      </c:areaChart>
      <c:catAx>
        <c:axId val="321673216"/>
        <c:scaling>
          <c:orientation val="minMax"/>
        </c:scaling>
        <c:delete val="0"/>
        <c:axPos val="b"/>
        <c:majorTickMark val="out"/>
        <c:minorTickMark val="none"/>
        <c:tickLblPos val="nextTo"/>
        <c:spPr>
          <a:ln w="25400">
            <a:solidFill>
              <a:schemeClr val="tx1"/>
            </a:solidFill>
          </a:ln>
        </c:spPr>
        <c:crossAx val="318446336"/>
        <c:crosses val="autoZero"/>
        <c:auto val="1"/>
        <c:lblAlgn val="ctr"/>
        <c:lblOffset val="100"/>
        <c:noMultiLvlLbl val="0"/>
      </c:catAx>
      <c:valAx>
        <c:axId val="318446336"/>
        <c:scaling>
          <c:orientation val="minMax"/>
        </c:scaling>
        <c:delete val="1"/>
        <c:axPos val="l"/>
        <c:majorGridlines>
          <c:spPr>
            <a:ln>
              <a:solidFill>
                <a:schemeClr val="bg1">
                  <a:lumMod val="85000"/>
                </a:schemeClr>
              </a:solidFill>
            </a:ln>
          </c:spPr>
        </c:majorGridlines>
        <c:title>
          <c:tx>
            <c:rich>
              <a:bodyPr rot="0" vert="wordArtVertRtl"/>
              <a:lstStyle/>
              <a:p>
                <a:pPr>
                  <a:defRPr sz="1000">
                    <a:latin typeface="+mn-ea"/>
                    <a:ea typeface="+mn-ea"/>
                  </a:defRPr>
                </a:pPr>
                <a:r>
                  <a:rPr lang="zh-TW" sz="1000">
                    <a:latin typeface="+mn-ea"/>
                    <a:ea typeface="+mn-ea"/>
                  </a:rPr>
                  <a:t>老年給付總額</a:t>
                </a:r>
                <a:r>
                  <a:rPr lang="en-US" sz="1000">
                    <a:latin typeface="+mn-ea"/>
                    <a:ea typeface="+mn-ea"/>
                  </a:rPr>
                  <a:t>(</a:t>
                </a:r>
                <a:r>
                  <a:rPr lang="zh-TW" sz="1000">
                    <a:latin typeface="+mn-ea"/>
                    <a:ea typeface="+mn-ea"/>
                  </a:rPr>
                  <a:t>億元</a:t>
                </a:r>
                <a:r>
                  <a:rPr lang="en-US" sz="1000">
                    <a:latin typeface="+mn-ea"/>
                    <a:ea typeface="+mn-ea"/>
                  </a:rPr>
                  <a:t>)</a:t>
                </a:r>
                <a:endParaRPr lang="zh-TW" sz="1000">
                  <a:latin typeface="+mn-ea"/>
                  <a:ea typeface="+mn-ea"/>
                </a:endParaRPr>
              </a:p>
            </c:rich>
          </c:tx>
          <c:layout>
            <c:manualLayout>
              <c:xMode val="edge"/>
              <c:yMode val="edge"/>
              <c:x val="1.5389398499164325E-2"/>
              <c:y val="0.18239626879589119"/>
            </c:manualLayout>
          </c:layout>
          <c:overlay val="0"/>
        </c:title>
        <c:numFmt formatCode="#,##0.0" sourceLinked="1"/>
        <c:majorTickMark val="out"/>
        <c:minorTickMark val="none"/>
        <c:tickLblPos val="none"/>
        <c:crossAx val="321673216"/>
        <c:crosses val="autoZero"/>
        <c:crossBetween val="midCat"/>
      </c:valAx>
    </c:plotArea>
    <c:plotVisOnly val="1"/>
    <c:dispBlanksAs val="zero"/>
    <c:showDLblsOverMax val="0"/>
  </c:chart>
  <c:txPr>
    <a:bodyPr/>
    <a:lstStyle/>
    <a:p>
      <a:pPr>
        <a:defRPr sz="1000"/>
      </a:pPr>
      <a:endParaRPr lang="zh-TW"/>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83005249343833"/>
          <c:y val="0.10695610965296004"/>
          <c:w val="0.77065530460008291"/>
          <c:h val="0.69886227763196263"/>
        </c:manualLayout>
      </c:layout>
      <c:barChart>
        <c:barDir val="col"/>
        <c:grouping val="clustered"/>
        <c:varyColors val="0"/>
        <c:ser>
          <c:idx val="1"/>
          <c:order val="1"/>
          <c:tx>
            <c:strRef>
              <c:f>'[勞保(109年).xlsx]3.2基金運用收益'!$F$15</c:f>
              <c:strCache>
                <c:ptCount val="1"/>
                <c:pt idx="0">
                  <c:v>收益率</c:v>
                </c:pt>
              </c:strCache>
            </c:strRef>
          </c:tx>
          <c:spPr>
            <a:solidFill>
              <a:schemeClr val="accent2">
                <a:lumMod val="60000"/>
                <a:lumOff val="40000"/>
              </a:schemeClr>
            </a:solidFill>
          </c:spPr>
          <c:invertIfNegative val="0"/>
          <c:dLbls>
            <c:dLbl>
              <c:idx val="0"/>
              <c:layout>
                <c:manualLayout>
                  <c:x val="-2.2189351697031135E-3"/>
                  <c:y val="3.5177381673444669E-2"/>
                </c:manualLayout>
              </c:layout>
              <c:spPr/>
              <c:txPr>
                <a:bodyPr/>
                <a:lstStyle/>
                <a:p>
                  <a:pPr>
                    <a:defRPr b="1">
                      <a:solidFill>
                        <a:srgbClr val="FF0000"/>
                      </a:solidFill>
                    </a:defRPr>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601-415B-B13F-76CB93228097}"/>
                </c:ext>
              </c:extLst>
            </c:dLbl>
            <c:dLbl>
              <c:idx val="1"/>
              <c:layout>
                <c:manualLayout>
                  <c:x val="2.1929824561403508E-3"/>
                  <c:y val="9.25909630388113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601-415B-B13F-76CB93228097}"/>
                </c:ext>
              </c:extLst>
            </c:dLbl>
            <c:dLbl>
              <c:idx val="2"/>
              <c:layout>
                <c:manualLayout>
                  <c:x val="0"/>
                  <c:y val="8.778831737083793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601-415B-B13F-76CB93228097}"/>
                </c:ext>
              </c:extLst>
            </c:dLbl>
            <c:dLbl>
              <c:idx val="3"/>
              <c:layout>
                <c:manualLayout>
                  <c:x val="-4.0204213920063137E-17"/>
                  <c:y val="8.883441061652411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601-415B-B13F-76CB93228097}"/>
                </c:ext>
              </c:extLst>
            </c:dLbl>
            <c:dLbl>
              <c:idx val="4"/>
              <c:spPr>
                <a:noFill/>
                <a:ln>
                  <a:noFill/>
                </a:ln>
                <a:effectLst/>
              </c:spPr>
              <c:txPr>
                <a:bodyPr/>
                <a:lstStyle/>
                <a:p>
                  <a:pPr>
                    <a:defRPr>
                      <a:solidFill>
                        <a:srgbClr val="FF0000"/>
                      </a:solidFill>
                    </a:defRPr>
                  </a:pPr>
                  <a:endParaRPr lang="zh-TW"/>
                </a:p>
              </c:txPr>
              <c:dLblPos val="ctr"/>
              <c:showLegendKey val="0"/>
              <c:showVal val="1"/>
              <c:showCatName val="0"/>
              <c:showSerName val="0"/>
              <c:showPercent val="0"/>
              <c:showBubbleSize val="0"/>
            </c:dLbl>
            <c:dLbl>
              <c:idx val="7"/>
              <c:layout>
                <c:manualLayout>
                  <c:x val="6.6304228940994841E-3"/>
                  <c:y val="2.5688327420610887E-2"/>
                </c:manualLayout>
              </c:layout>
              <c:spPr>
                <a:noFill/>
                <a:ln>
                  <a:noFill/>
                </a:ln>
                <a:effectLst/>
              </c:spPr>
              <c:txPr>
                <a:bodyPr/>
                <a:lstStyle/>
                <a:p>
                  <a:pPr>
                    <a:defRPr>
                      <a:solidFill>
                        <a:srgbClr val="FF0000"/>
                      </a:solidFill>
                    </a:defRPr>
                  </a:pPr>
                  <a:endParaRPr lang="zh-TW"/>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601-415B-B13F-76CB93228097}"/>
                </c:ext>
              </c:extLst>
            </c:dLbl>
            <c:dLbl>
              <c:idx val="9"/>
              <c:layout>
                <c:manualLayout>
                  <c:x val="0"/>
                  <c:y val="0.12176650562609165"/>
                </c:manualLayout>
              </c:layout>
              <c:tx>
                <c:rich>
                  <a:bodyPr/>
                  <a:lstStyle/>
                  <a:p>
                    <a:pPr>
                      <a:defRPr b="1"/>
                    </a:pPr>
                    <a:r>
                      <a:rPr lang="en-US" altLang="en-US"/>
                      <a:t>8.8</a:t>
                    </a:r>
                  </a:p>
                </c:rich>
              </c:tx>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601-415B-B13F-76CB93228097}"/>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'[勞保(109年).xlsx]3.2基金運用收益'!$D$19:$D$28</c:f>
              <c:strCache>
                <c:ptCount val="10"/>
                <c:pt idx="0">
                  <c:v>100年度</c:v>
                </c:pt>
                <c:pt idx="1">
                  <c:v>101年度</c:v>
                </c:pt>
                <c:pt idx="2">
                  <c:v>102年度</c:v>
                </c:pt>
                <c:pt idx="3">
                  <c:v>103年度</c:v>
                </c:pt>
                <c:pt idx="4">
                  <c:v>104年度</c:v>
                </c:pt>
                <c:pt idx="5">
                  <c:v>105年度</c:v>
                </c:pt>
                <c:pt idx="6">
                  <c:v>106年度</c:v>
                </c:pt>
                <c:pt idx="7">
                  <c:v>107年度</c:v>
                </c:pt>
                <c:pt idx="8">
                  <c:v>108年度</c:v>
                </c:pt>
                <c:pt idx="9">
                  <c:v>109年度</c:v>
                </c:pt>
              </c:strCache>
            </c:strRef>
          </c:cat>
          <c:val>
            <c:numRef>
              <c:f>'[勞保(109年).xlsx]3.2基金運用收益'!$F$19:$F$28</c:f>
              <c:numCache>
                <c:formatCode>0.0_ </c:formatCode>
                <c:ptCount val="10"/>
                <c:pt idx="0">
                  <c:v>-2.97</c:v>
                </c:pt>
                <c:pt idx="1">
                  <c:v>6.25</c:v>
                </c:pt>
                <c:pt idx="2">
                  <c:v>6.35</c:v>
                </c:pt>
                <c:pt idx="3">
                  <c:v>5.61</c:v>
                </c:pt>
                <c:pt idx="4">
                  <c:v>-0.55000000000000004</c:v>
                </c:pt>
                <c:pt idx="5">
                  <c:v>4.0199999999999996</c:v>
                </c:pt>
                <c:pt idx="6">
                  <c:v>7.87</c:v>
                </c:pt>
                <c:pt idx="7" formatCode="General">
                  <c:v>-2.2000000000000002</c:v>
                </c:pt>
                <c:pt idx="8" formatCode="General">
                  <c:v>13.3</c:v>
                </c:pt>
                <c:pt idx="9" formatCode="General">
                  <c:v>8.83</c:v>
                </c:pt>
              </c:numCache>
            </c:numRef>
          </c:val>
          <c:extLst xmlns:c16r2="http://schemas.microsoft.com/office/drawing/2015/06/chart">
            <c:ext xmlns:c16="http://schemas.microsoft.com/office/drawing/2014/chart" uri="{C3380CC4-5D6E-409C-BE32-E72D297353CC}">
              <c16:uniqueId val="{00000006-F601-415B-B13F-76CB93228097}"/>
            </c:ext>
          </c:extLst>
        </c:ser>
        <c:dLbls>
          <c:showLegendKey val="0"/>
          <c:showVal val="0"/>
          <c:showCatName val="0"/>
          <c:showSerName val="0"/>
          <c:showPercent val="0"/>
          <c:showBubbleSize val="0"/>
        </c:dLbls>
        <c:gapWidth val="150"/>
        <c:axId val="281910784"/>
        <c:axId val="281461888"/>
      </c:barChart>
      <c:lineChart>
        <c:grouping val="standard"/>
        <c:varyColors val="0"/>
        <c:ser>
          <c:idx val="0"/>
          <c:order val="0"/>
          <c:tx>
            <c:strRef>
              <c:f>'[勞保(109年).xlsx]3.2基金運用收益'!$E$15</c:f>
              <c:strCache>
                <c:ptCount val="1"/>
                <c:pt idx="0">
                  <c:v>收益數</c:v>
                </c:pt>
              </c:strCache>
            </c:strRef>
          </c:tx>
          <c:dLbls>
            <c:dLbl>
              <c:idx val="0"/>
              <c:layout>
                <c:manualLayout>
                  <c:x val="-8.3670978389668083E-2"/>
                  <c:y val="-1.421822272215963E-2"/>
                </c:manualLayout>
              </c:layout>
              <c:spPr/>
              <c:txPr>
                <a:bodyPr/>
                <a:lstStyle/>
                <a:p>
                  <a:pPr>
                    <a:defRPr b="1">
                      <a:solidFill>
                        <a:srgbClr val="FF0000"/>
                      </a:solidFill>
                    </a:defRPr>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F601-415B-B13F-76CB93228097}"/>
                </c:ext>
              </c:extLst>
            </c:dLbl>
            <c:dLbl>
              <c:idx val="1"/>
              <c:layout>
                <c:manualLayout>
                  <c:x val="-4.6052631578947366E-2"/>
                  <c:y val="-5.08909117487198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601-415B-B13F-76CB93228097}"/>
                </c:ext>
              </c:extLst>
            </c:dLbl>
            <c:dLbl>
              <c:idx val="2"/>
              <c:layout>
                <c:manualLayout>
                  <c:x val="-4.8245959386655615E-2"/>
                  <c:y val="-5.10192289956150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601-415B-B13F-76CB93228097}"/>
                </c:ext>
              </c:extLst>
            </c:dLbl>
            <c:dLbl>
              <c:idx val="3"/>
              <c:layout>
                <c:manualLayout>
                  <c:x val="-5.0438769167011975E-2"/>
                  <c:y val="-4.61796273769220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601-415B-B13F-76CB93228097}"/>
                </c:ext>
              </c:extLst>
            </c:dLbl>
            <c:dLbl>
              <c:idx val="4"/>
              <c:layout>
                <c:manualLayout>
                  <c:x val="-2.1748185452661026E-2"/>
                  <c:y val="2.7041187159297396E-2"/>
                </c:manualLayout>
              </c:layout>
              <c:spPr>
                <a:noFill/>
                <a:ln>
                  <a:noFill/>
                </a:ln>
                <a:effectLst/>
              </c:spPr>
              <c:txPr>
                <a:bodyPr/>
                <a:lstStyle/>
                <a:p>
                  <a:pPr>
                    <a:defRPr>
                      <a:solidFill>
                        <a:srgbClr val="FF0000"/>
                      </a:solidFill>
                    </a:defRPr>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601-415B-B13F-76CB93228097}"/>
                </c:ext>
              </c:extLst>
            </c:dLbl>
            <c:dLbl>
              <c:idx val="5"/>
              <c:layout>
                <c:manualLayout>
                  <c:x val="-5.0438596491228067E-2"/>
                  <c:y val="-4.61796687281464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601-415B-B13F-76CB93228097}"/>
                </c:ext>
              </c:extLst>
            </c:dLbl>
            <c:dLbl>
              <c:idx val="6"/>
              <c:layout>
                <c:manualLayout>
                  <c:x val="-3.2894736842105261E-2"/>
                  <c:y val="-4.63196098280804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601-415B-B13F-76CB93228097}"/>
                </c:ext>
              </c:extLst>
            </c:dLbl>
            <c:dLbl>
              <c:idx val="7"/>
              <c:layout>
                <c:manualLayout>
                  <c:x val="-1.5325678531155853E-2"/>
                  <c:y val="3.6475728995414036E-3"/>
                </c:manualLayout>
              </c:layout>
              <c:spPr>
                <a:noFill/>
                <a:ln>
                  <a:noFill/>
                </a:ln>
                <a:effectLst/>
              </c:spPr>
              <c:txPr>
                <a:bodyPr/>
                <a:lstStyle/>
                <a:p>
                  <a:pPr>
                    <a:defRPr>
                      <a:solidFill>
                        <a:srgbClr val="FF0000"/>
                      </a:solidFill>
                    </a:defRPr>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F601-415B-B13F-76CB93228097}"/>
                </c:ext>
              </c:extLst>
            </c:dLbl>
            <c:dLbl>
              <c:idx val="8"/>
              <c:layout>
                <c:manualLayout>
                  <c:x val="-4.8245614035087717E-2"/>
                  <c:y val="-5.08325857274038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F601-415B-B13F-76CB93228097}"/>
                </c:ext>
              </c:extLst>
            </c:dLbl>
            <c:dLbl>
              <c:idx val="9"/>
              <c:layout>
                <c:manualLayout>
                  <c:x val="-3.5087719298245612E-2"/>
                  <c:y val="-4.6401995333189179E-2"/>
                </c:manualLayout>
              </c:layout>
              <c:spPr/>
              <c:txPr>
                <a:bodyPr/>
                <a:lstStyle/>
                <a:p>
                  <a:pPr>
                    <a:defRPr b="1"/>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F601-415B-B13F-76CB9322809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'[勞保(109年).xlsx]3.2基金運用收益'!$D$19:$D$28</c:f>
              <c:strCache>
                <c:ptCount val="10"/>
                <c:pt idx="0">
                  <c:v>100年度</c:v>
                </c:pt>
                <c:pt idx="1">
                  <c:v>101年度</c:v>
                </c:pt>
                <c:pt idx="2">
                  <c:v>102年度</c:v>
                </c:pt>
                <c:pt idx="3">
                  <c:v>103年度</c:v>
                </c:pt>
                <c:pt idx="4">
                  <c:v>104年度</c:v>
                </c:pt>
                <c:pt idx="5">
                  <c:v>105年度</c:v>
                </c:pt>
                <c:pt idx="6">
                  <c:v>106年度</c:v>
                </c:pt>
                <c:pt idx="7">
                  <c:v>107年度</c:v>
                </c:pt>
                <c:pt idx="8">
                  <c:v>108年度</c:v>
                </c:pt>
                <c:pt idx="9">
                  <c:v>109年度</c:v>
                </c:pt>
              </c:strCache>
            </c:strRef>
          </c:cat>
          <c:val>
            <c:numRef>
              <c:f>'[勞保(109年).xlsx]3.2基金運用收益'!$E$19:$E$28</c:f>
              <c:numCache>
                <c:formatCode>0.0_ </c:formatCode>
                <c:ptCount val="10"/>
                <c:pt idx="0">
                  <c:v>-124.47814337</c:v>
                </c:pt>
                <c:pt idx="1">
                  <c:v>313.03980747999998</c:v>
                </c:pt>
                <c:pt idx="2">
                  <c:v>304.44525121999999</c:v>
                </c:pt>
                <c:pt idx="3">
                  <c:v>310.42757240999998</c:v>
                </c:pt>
                <c:pt idx="4">
                  <c:v>-35.024155010000001</c:v>
                </c:pt>
                <c:pt idx="5">
                  <c:v>270.02872846000002</c:v>
                </c:pt>
                <c:pt idx="6">
                  <c:v>532.5333306</c:v>
                </c:pt>
                <c:pt idx="7">
                  <c:v>-156.52782654999999</c:v>
                </c:pt>
                <c:pt idx="8">
                  <c:v>898.09587658999999</c:v>
                </c:pt>
                <c:pt idx="9">
                  <c:v>644.04775881</c:v>
                </c:pt>
              </c:numCache>
            </c:numRef>
          </c:val>
          <c:smooth val="0"/>
          <c:extLst xmlns:c16r2="http://schemas.microsoft.com/office/drawing/2015/06/chart">
            <c:ext xmlns:c16="http://schemas.microsoft.com/office/drawing/2014/chart" uri="{C3380CC4-5D6E-409C-BE32-E72D297353CC}">
              <c16:uniqueId val="{00000011-F601-415B-B13F-76CB93228097}"/>
            </c:ext>
          </c:extLst>
        </c:ser>
        <c:dLbls>
          <c:showLegendKey val="0"/>
          <c:showVal val="0"/>
          <c:showCatName val="0"/>
          <c:showSerName val="0"/>
          <c:showPercent val="0"/>
          <c:showBubbleSize val="0"/>
        </c:dLbls>
        <c:marker val="1"/>
        <c:smooth val="0"/>
        <c:axId val="282055680"/>
        <c:axId val="281462464"/>
      </c:lineChart>
      <c:catAx>
        <c:axId val="281910784"/>
        <c:scaling>
          <c:orientation val="minMax"/>
        </c:scaling>
        <c:delete val="0"/>
        <c:axPos val="b"/>
        <c:numFmt formatCode="General" sourceLinked="0"/>
        <c:majorTickMark val="out"/>
        <c:minorTickMark val="none"/>
        <c:tickLblPos val="low"/>
        <c:crossAx val="281461888"/>
        <c:crosses val="autoZero"/>
        <c:auto val="1"/>
        <c:lblAlgn val="ctr"/>
        <c:lblOffset val="100"/>
        <c:noMultiLvlLbl val="0"/>
      </c:catAx>
      <c:valAx>
        <c:axId val="281461888"/>
        <c:scaling>
          <c:orientation val="minMax"/>
          <c:max val="20"/>
          <c:min val="-5"/>
        </c:scaling>
        <c:delete val="0"/>
        <c:axPos val="l"/>
        <c:numFmt formatCode="0.0_ " sourceLinked="1"/>
        <c:majorTickMark val="out"/>
        <c:minorTickMark val="none"/>
        <c:tickLblPos val="nextTo"/>
        <c:crossAx val="281910784"/>
        <c:crosses val="autoZero"/>
        <c:crossBetween val="between"/>
        <c:majorUnit val="5"/>
      </c:valAx>
      <c:valAx>
        <c:axId val="281462464"/>
        <c:scaling>
          <c:orientation val="minMax"/>
          <c:max val="1200"/>
          <c:min val="-600"/>
        </c:scaling>
        <c:delete val="0"/>
        <c:axPos val="r"/>
        <c:numFmt formatCode="#,##0_ " sourceLinked="0"/>
        <c:majorTickMark val="out"/>
        <c:minorTickMark val="none"/>
        <c:tickLblPos val="nextTo"/>
        <c:crossAx val="282055680"/>
        <c:crosses val="max"/>
        <c:crossBetween val="between"/>
      </c:valAx>
      <c:catAx>
        <c:axId val="282055680"/>
        <c:scaling>
          <c:orientation val="minMax"/>
        </c:scaling>
        <c:delete val="1"/>
        <c:axPos val="b"/>
        <c:numFmt formatCode="General" sourceLinked="1"/>
        <c:majorTickMark val="out"/>
        <c:minorTickMark val="none"/>
        <c:tickLblPos val="nextTo"/>
        <c:crossAx val="281462464"/>
        <c:crosses val="autoZero"/>
        <c:auto val="1"/>
        <c:lblAlgn val="ctr"/>
        <c:lblOffset val="100"/>
        <c:noMultiLvlLbl val="0"/>
      </c:catAx>
      <c:spPr>
        <a:noFill/>
        <a:ln w="25400">
          <a:noFill/>
        </a:ln>
      </c:spPr>
    </c:plotArea>
    <c:legend>
      <c:legendPos val="t"/>
      <c:layout>
        <c:manualLayout>
          <c:xMode val="edge"/>
          <c:yMode val="edge"/>
          <c:x val="0.30526315789473679"/>
          <c:y val="2.7777767651732409E-2"/>
          <c:w val="0.33684210526315789"/>
          <c:h val="8.8735750679589276E-2"/>
        </c:manualLayout>
      </c:layout>
      <c:overlay val="0"/>
      <c:txPr>
        <a:bodyPr/>
        <a:lstStyle/>
        <a:p>
          <a:pPr>
            <a:defRPr>
              <a:latin typeface="微軟正黑體" panose="020B0604030504040204" pitchFamily="34" charset="-120"/>
              <a:ea typeface="微軟正黑體" panose="020B0604030504040204" pitchFamily="34" charset="-120"/>
            </a:defRPr>
          </a:pPr>
          <a:endParaRPr lang="zh-TW"/>
        </a:p>
      </c:txPr>
    </c:legend>
    <c:plotVisOnly val="1"/>
    <c:dispBlanksAs val="gap"/>
    <c:showDLblsOverMax val="0"/>
  </c:chart>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77776580258463E-3"/>
          <c:y val="6.6509068177361796E-2"/>
          <c:w val="0.71852465272048738"/>
          <c:h val="0.93336434716533689"/>
        </c:manualLayout>
      </c:layout>
      <c:pie3DChart>
        <c:varyColors val="1"/>
        <c:ser>
          <c:idx val="0"/>
          <c:order val="0"/>
          <c:spPr>
            <a:solidFill>
              <a:schemeClr val="accent6">
                <a:lumMod val="40000"/>
                <a:lumOff val="60000"/>
              </a:schemeClr>
            </a:solidFill>
          </c:spPr>
          <c:explosion val="32"/>
          <c:dPt>
            <c:idx val="7"/>
            <c:bubble3D val="0"/>
            <c:extLst xmlns:c16r2="http://schemas.microsoft.com/office/drawing/2015/06/chart">
              <c:ext xmlns:c16="http://schemas.microsoft.com/office/drawing/2014/chart" uri="{C3380CC4-5D6E-409C-BE32-E72D297353CC}">
                <c16:uniqueId val="{00000000-DD69-410C-9324-B81063B5F8EA}"/>
              </c:ext>
            </c:extLst>
          </c:dPt>
          <c:dPt>
            <c:idx val="8"/>
            <c:bubble3D val="0"/>
            <c:spPr>
              <a:solidFill>
                <a:schemeClr val="accent6"/>
              </a:solidFill>
            </c:spPr>
            <c:extLst xmlns:c16r2="http://schemas.microsoft.com/office/drawing/2015/06/chart">
              <c:ext xmlns:c16="http://schemas.microsoft.com/office/drawing/2014/chart" uri="{C3380CC4-5D6E-409C-BE32-E72D297353CC}">
                <c16:uniqueId val="{00000002-DD69-410C-9324-B81063B5F8EA}"/>
              </c:ext>
            </c:extLst>
          </c:dPt>
          <c:dPt>
            <c:idx val="9"/>
            <c:bubble3D val="0"/>
            <c:spPr>
              <a:solidFill>
                <a:schemeClr val="accent6"/>
              </a:solidFill>
            </c:spPr>
            <c:extLst xmlns:c16r2="http://schemas.microsoft.com/office/drawing/2015/06/chart">
              <c:ext xmlns:c16="http://schemas.microsoft.com/office/drawing/2014/chart" uri="{C3380CC4-5D6E-409C-BE32-E72D297353CC}">
                <c16:uniqueId val="{00000004-DD69-410C-9324-B81063B5F8EA}"/>
              </c:ext>
            </c:extLst>
          </c:dPt>
          <c:dLbls>
            <c:dLbl>
              <c:idx val="0"/>
              <c:layout>
                <c:manualLayout>
                  <c:x val="-0.12280719021964356"/>
                  <c:y val="7.3426022796101539E-2"/>
                </c:manualLayout>
              </c:layout>
              <c:tx>
                <c:rich>
                  <a:bodyPr/>
                  <a:lstStyle/>
                  <a:p>
                    <a:r>
                      <a:rPr lang="zh-TW" altLang="en-US" sz="1000"/>
                      <a:t>轉存金融機構</a:t>
                    </a:r>
                    <a:r>
                      <a:rPr lang="en-US" altLang="zh-TW" sz="1000"/>
                      <a:t>, 703.4</a:t>
                    </a:r>
                    <a:r>
                      <a:rPr lang="zh-TW" altLang="en-US" sz="1000"/>
                      <a:t>億元</a:t>
                    </a:r>
                    <a:r>
                      <a:rPr lang="en-US" altLang="zh-TW" sz="1000"/>
                      <a:t>, </a:t>
                    </a:r>
                  </a:p>
                  <a:p>
                    <a:r>
                      <a:rPr lang="en-US" altLang="zh-TW" sz="1000"/>
                      <a:t>9.0%</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EB-45AF-A922-134D3D841F47}"/>
                </c:ext>
              </c:extLst>
            </c:dLbl>
            <c:dLbl>
              <c:idx val="1"/>
              <c:layout>
                <c:manualLayout>
                  <c:x val="3.2894736842105261E-2"/>
                  <c:y val="-5.2447827762788383E-2"/>
                </c:manualLayout>
              </c:layout>
              <c:tx>
                <c:rich>
                  <a:bodyPr/>
                  <a:lstStyle/>
                  <a:p>
                    <a:r>
                      <a:rPr lang="zh-TW" altLang="en-US" sz="1000"/>
                      <a:t>短期票券</a:t>
                    </a:r>
                    <a:r>
                      <a:rPr lang="en-US" altLang="zh-TW" sz="1000"/>
                      <a:t>, </a:t>
                    </a:r>
                  </a:p>
                  <a:p>
                    <a:r>
                      <a:rPr lang="en-US" altLang="zh-TW" sz="1000"/>
                      <a:t>161.8</a:t>
                    </a:r>
                    <a:r>
                      <a:rPr lang="zh-TW" altLang="en-US" sz="1000"/>
                      <a:t>億元</a:t>
                    </a:r>
                    <a:r>
                      <a:rPr lang="en-US" altLang="zh-TW" sz="1000"/>
                      <a:t>, </a:t>
                    </a:r>
                  </a:p>
                  <a:p>
                    <a:r>
                      <a:rPr lang="en-US" altLang="zh-TW" sz="1000"/>
                      <a:t>2.1%</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0EB-45AF-A922-134D3D841F47}"/>
                </c:ext>
              </c:extLst>
            </c:dLbl>
            <c:dLbl>
              <c:idx val="2"/>
              <c:layout>
                <c:manualLayout>
                  <c:x val="0.14473666942947921"/>
                  <c:y val="-6.2937338252298886E-2"/>
                </c:manualLayout>
              </c:layout>
              <c:tx>
                <c:rich>
                  <a:bodyPr/>
                  <a:lstStyle/>
                  <a:p>
                    <a:r>
                      <a:rPr lang="zh-TW" altLang="en-US" sz="1000"/>
                      <a:t>公債、公司債、</a:t>
                    </a:r>
                    <a:endParaRPr lang="en-US" altLang="zh-TW" sz="1000"/>
                  </a:p>
                  <a:p>
                    <a:r>
                      <a:rPr lang="zh-TW" altLang="en-US" sz="1000"/>
                      <a:t>金融債券及證券化商品</a:t>
                    </a:r>
                    <a:r>
                      <a:rPr lang="en-US" altLang="zh-TW" sz="1000"/>
                      <a:t>, 731.1</a:t>
                    </a:r>
                    <a:r>
                      <a:rPr lang="zh-TW" altLang="en-US" sz="1000"/>
                      <a:t>億元</a:t>
                    </a:r>
                    <a:r>
                      <a:rPr lang="en-US" altLang="zh-TW" sz="1000"/>
                      <a:t>, 9.3%</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0EB-45AF-A922-134D3D841F47}"/>
                </c:ext>
              </c:extLst>
            </c:dLbl>
            <c:dLbl>
              <c:idx val="3"/>
              <c:layout>
                <c:manualLayout>
                  <c:x val="0.10964912280701754"/>
                  <c:y val="6.6433566433566432E-2"/>
                </c:manualLayout>
              </c:layout>
              <c:tx>
                <c:rich>
                  <a:bodyPr/>
                  <a:lstStyle/>
                  <a:p>
                    <a:r>
                      <a:rPr lang="zh-TW" altLang="en-US" sz="1000"/>
                      <a:t>房屋及土地</a:t>
                    </a:r>
                    <a:r>
                      <a:rPr lang="en-US" altLang="zh-TW" sz="1000"/>
                      <a:t>, </a:t>
                    </a:r>
                  </a:p>
                  <a:p>
                    <a:r>
                      <a:rPr lang="en-US" altLang="zh-TW" sz="1000"/>
                      <a:t>16.6</a:t>
                    </a:r>
                    <a:r>
                      <a:rPr lang="zh-TW" altLang="en-US" sz="1000"/>
                      <a:t>億元</a:t>
                    </a:r>
                    <a:r>
                      <a:rPr lang="en-US" altLang="zh-TW" sz="1000"/>
                      <a:t>, 0.2%</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0EB-45AF-A922-134D3D841F47}"/>
                </c:ext>
              </c:extLst>
            </c:dLbl>
            <c:dLbl>
              <c:idx val="4"/>
              <c:layout>
                <c:manualLayout>
                  <c:x val="9.6491055394391484E-2"/>
                  <c:y val="0.25874098342602281"/>
                </c:manualLayout>
              </c:layout>
              <c:tx>
                <c:rich>
                  <a:bodyPr/>
                  <a:lstStyle/>
                  <a:p>
                    <a:r>
                      <a:rPr lang="zh-TW" altLang="en-US" sz="1000"/>
                      <a:t>政府或公營事業   貸款</a:t>
                    </a:r>
                    <a:r>
                      <a:rPr lang="en-US" altLang="zh-TW" sz="1000"/>
                      <a:t>, 38.4</a:t>
                    </a:r>
                    <a:r>
                      <a:rPr lang="zh-TW" altLang="en-US" sz="1000"/>
                      <a:t>億元</a:t>
                    </a:r>
                    <a:r>
                      <a:rPr lang="en-US" altLang="zh-TW" sz="1000"/>
                      <a:t>, 0.5%</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0EB-45AF-A922-134D3D841F47}"/>
                </c:ext>
              </c:extLst>
            </c:dLbl>
            <c:dLbl>
              <c:idx val="5"/>
              <c:layout>
                <c:manualLayout>
                  <c:x val="5.0438596491228067E-2"/>
                  <c:y val="0.43006993006993005"/>
                </c:manualLayout>
              </c:layout>
              <c:tx>
                <c:rich>
                  <a:bodyPr/>
                  <a:lstStyle/>
                  <a:p>
                    <a:r>
                      <a:rPr lang="zh-TW" altLang="en-US" sz="1000"/>
                      <a:t>被保險人貸款</a:t>
                    </a:r>
                    <a:r>
                      <a:rPr lang="en-US" altLang="zh-TW" sz="1000"/>
                      <a:t>, 272.7</a:t>
                    </a:r>
                    <a:r>
                      <a:rPr lang="zh-TW" altLang="en-US" sz="1000"/>
                      <a:t>億元</a:t>
                    </a:r>
                    <a:r>
                      <a:rPr lang="en-US" altLang="zh-TW" sz="1000"/>
                      <a:t>, </a:t>
                    </a:r>
                  </a:p>
                  <a:p>
                    <a:r>
                      <a:rPr lang="en-US" altLang="zh-TW" sz="1000"/>
                      <a:t>3.5%</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0EB-45AF-A922-134D3D841F47}"/>
                </c:ext>
              </c:extLst>
            </c:dLbl>
            <c:dLbl>
              <c:idx val="6"/>
              <c:layout>
                <c:manualLayout>
                  <c:x val="-0.19298245614035087"/>
                  <c:y val="-0.16083943615439686"/>
                </c:manualLayout>
              </c:layout>
              <c:tx>
                <c:rich>
                  <a:bodyPr/>
                  <a:lstStyle/>
                  <a:p>
                    <a:r>
                      <a:rPr lang="zh-TW" altLang="en-US" sz="1000"/>
                      <a:t>  股票及受益憑證 投資</a:t>
                    </a:r>
                    <a:r>
                      <a:rPr lang="en-US" altLang="zh-TW" sz="1000"/>
                      <a:t>(</a:t>
                    </a:r>
                    <a:r>
                      <a:rPr lang="zh-TW" altLang="en-US" sz="1000"/>
                      <a:t>含期貨</a:t>
                    </a:r>
                    <a:r>
                      <a:rPr lang="en-US" altLang="zh-TW" sz="1000"/>
                      <a:t>), </a:t>
                    </a:r>
                  </a:p>
                  <a:p>
                    <a:r>
                      <a:rPr lang="en-US" altLang="zh-TW" sz="1000"/>
                      <a:t>1,695.9</a:t>
                    </a:r>
                    <a:r>
                      <a:rPr lang="zh-TW" altLang="en-US" sz="1000"/>
                      <a:t>億元</a:t>
                    </a:r>
                    <a:r>
                      <a:rPr lang="en-US" altLang="zh-TW" sz="1000"/>
                      <a:t>, 21.6%</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0EB-45AF-A922-134D3D841F47}"/>
                </c:ext>
              </c:extLst>
            </c:dLbl>
            <c:dLbl>
              <c:idx val="7"/>
              <c:layout>
                <c:manualLayout>
                  <c:x val="0.13157894736842105"/>
                  <c:y val="-0.25174825174825166"/>
                </c:manualLayout>
              </c:layout>
              <c:tx>
                <c:rich>
                  <a:bodyPr/>
                  <a:lstStyle/>
                  <a:p>
                    <a:r>
                      <a:rPr lang="zh-TW" altLang="en-US" sz="1000"/>
                      <a:t>國外投資</a:t>
                    </a:r>
                    <a:r>
                      <a:rPr lang="en-US" altLang="zh-TW" sz="1000"/>
                      <a:t>, </a:t>
                    </a:r>
                  </a:p>
                  <a:p>
                    <a:r>
                      <a:rPr lang="en-US" altLang="zh-TW" sz="1000"/>
                      <a:t>1,514.3</a:t>
                    </a:r>
                    <a:r>
                      <a:rPr lang="zh-TW" altLang="en-US" sz="1000"/>
                      <a:t>億元</a:t>
                    </a:r>
                    <a:r>
                      <a:rPr lang="en-US" altLang="zh-TW" sz="1000"/>
                      <a:t>, 19.3%</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69-410C-9324-B81063B5F8EA}"/>
                </c:ext>
              </c:extLst>
            </c:dLbl>
            <c:dLbl>
              <c:idx val="8"/>
              <c:layout>
                <c:manualLayout>
                  <c:x val="1.3157894736842105E-2"/>
                  <c:y val="0.17482517482517496"/>
                </c:manualLayout>
              </c:layout>
              <c:tx>
                <c:rich>
                  <a:bodyPr/>
                  <a:lstStyle/>
                  <a:p>
                    <a:r>
                      <a:rPr lang="zh-TW" altLang="en-US" sz="1000"/>
                      <a:t>國內委託經營</a:t>
                    </a:r>
                    <a:r>
                      <a:rPr lang="en-US" altLang="zh-TW" sz="1000"/>
                      <a:t>, 271.9</a:t>
                    </a:r>
                    <a:r>
                      <a:rPr lang="zh-TW" altLang="en-US" sz="1000"/>
                      <a:t>億元</a:t>
                    </a:r>
                    <a:r>
                      <a:rPr lang="en-US" altLang="zh-TW" sz="1000"/>
                      <a:t>, </a:t>
                    </a:r>
                  </a:p>
                  <a:p>
                    <a:r>
                      <a:rPr lang="en-US" altLang="zh-TW" sz="1000"/>
                      <a:t>3.5%</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D69-410C-9324-B81063B5F8EA}"/>
                </c:ext>
              </c:extLst>
            </c:dLbl>
            <c:dLbl>
              <c:idx val="9"/>
              <c:layout>
                <c:manualLayout>
                  <c:x val="1.0964912280701754E-2"/>
                  <c:y val="-7.3426573426573424E-2"/>
                </c:manualLayout>
              </c:layout>
              <c:tx>
                <c:rich>
                  <a:bodyPr/>
                  <a:lstStyle/>
                  <a:p>
                    <a:r>
                      <a:rPr lang="zh-TW" altLang="en-US" sz="1000"/>
                      <a:t>國外委託經營</a:t>
                    </a:r>
                    <a:r>
                      <a:rPr lang="en-US" altLang="zh-TW" sz="1000"/>
                      <a:t>, 2,444.7</a:t>
                    </a:r>
                    <a:r>
                      <a:rPr lang="zh-TW" altLang="en-US" sz="1000"/>
                      <a:t>億元</a:t>
                    </a:r>
                    <a:r>
                      <a:rPr lang="en-US" altLang="zh-TW" sz="1000"/>
                      <a:t>, 31.1%</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D69-410C-9324-B81063B5F8EA}"/>
                </c:ext>
              </c:extLst>
            </c:dLbl>
            <c:numFmt formatCode="0.0%" sourceLinked="0"/>
            <c:spPr>
              <a:noFill/>
              <a:ln>
                <a:noFill/>
              </a:ln>
              <a:effectLst/>
            </c:spPr>
            <c:txPr>
              <a:bodyPr/>
              <a:lstStyle/>
              <a:p>
                <a:pPr>
                  <a:lnSpc>
                    <a:spcPts val="1400"/>
                  </a:lnSpc>
                  <a:defRPr sz="1000">
                    <a:latin typeface="微軟正黑體" panose="020B0604030504040204" pitchFamily="34" charset="-120"/>
                    <a:ea typeface="微軟正黑體" panose="020B0604030504040204" pitchFamily="34" charset="-120"/>
                  </a:defRPr>
                </a:pPr>
                <a:endParaRPr lang="zh-TW"/>
              </a:p>
            </c:txPr>
            <c:dLblPos val="outEnd"/>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'[勞工保險(109年).xlsx]3.3基金資產配置 '!$B$14:$K$14</c:f>
              <c:strCache>
                <c:ptCount val="10"/>
                <c:pt idx="0">
                  <c:v>轉存金融機構</c:v>
                </c:pt>
                <c:pt idx="1">
                  <c:v>短期票券</c:v>
                </c:pt>
                <c:pt idx="2">
                  <c:v>公債、公司債、金融債券及證券化商品</c:v>
                </c:pt>
                <c:pt idx="3">
                  <c:v>房屋及土地</c:v>
                </c:pt>
                <c:pt idx="4">
                  <c:v>政府或公營事業貸款</c:v>
                </c:pt>
                <c:pt idx="5">
                  <c:v>被保險人貸款</c:v>
                </c:pt>
                <c:pt idx="6">
                  <c:v>股票及受益憑證投資(含期貨)</c:v>
                </c:pt>
                <c:pt idx="7">
                  <c:v>國外投資</c:v>
                </c:pt>
                <c:pt idx="8">
                  <c:v>國內委託經營</c:v>
                </c:pt>
                <c:pt idx="9">
                  <c:v>國外委託經營</c:v>
                </c:pt>
              </c:strCache>
            </c:strRef>
          </c:cat>
          <c:val>
            <c:numRef>
              <c:f>'[勞工保險(109年).xlsx]3.3基金資產配置 '!$B$15:$K$15</c:f>
              <c:numCache>
                <c:formatCode>#,##0.0</c:formatCode>
                <c:ptCount val="10"/>
                <c:pt idx="0">
                  <c:v>703.42257065000001</c:v>
                </c:pt>
                <c:pt idx="1">
                  <c:v>161.76849324</c:v>
                </c:pt>
                <c:pt idx="2">
                  <c:v>731.10786155000005</c:v>
                </c:pt>
                <c:pt idx="3">
                  <c:v>16.563074879999999</c:v>
                </c:pt>
                <c:pt idx="4">
                  <c:v>38.4</c:v>
                </c:pt>
                <c:pt idx="5">
                  <c:v>272.69824639000001</c:v>
                </c:pt>
                <c:pt idx="6">
                  <c:v>1695.9284359000001</c:v>
                </c:pt>
                <c:pt idx="7">
                  <c:v>1514.2938796599999</c:v>
                </c:pt>
                <c:pt idx="8">
                  <c:v>271.86916324999999</c:v>
                </c:pt>
                <c:pt idx="9">
                  <c:v>2444.74484476</c:v>
                </c:pt>
              </c:numCache>
            </c:numRef>
          </c:val>
          <c:extLst xmlns:c16r2="http://schemas.microsoft.com/office/drawing/2015/06/chart">
            <c:ext xmlns:c16="http://schemas.microsoft.com/office/drawing/2014/chart" uri="{C3380CC4-5D6E-409C-BE32-E72D297353CC}">
              <c16:uniqueId val="{00000005-DD69-410C-9324-B81063B5F8EA}"/>
            </c:ext>
          </c:extLst>
        </c:ser>
        <c:ser>
          <c:idx val="1"/>
          <c:order val="1"/>
          <c:explosion val="25"/>
          <c:cat>
            <c:strRef>
              <c:f>'[勞工保險(109年).xlsx]3.3基金資產配置 '!$B$14:$K$14</c:f>
              <c:strCache>
                <c:ptCount val="10"/>
                <c:pt idx="0">
                  <c:v>轉存金融機構</c:v>
                </c:pt>
                <c:pt idx="1">
                  <c:v>短期票券</c:v>
                </c:pt>
                <c:pt idx="2">
                  <c:v>公債、公司債、金融債券及證券化商品</c:v>
                </c:pt>
                <c:pt idx="3">
                  <c:v>房屋及土地</c:v>
                </c:pt>
                <c:pt idx="4">
                  <c:v>政府或公營事業貸款</c:v>
                </c:pt>
                <c:pt idx="5">
                  <c:v>被保險人貸款</c:v>
                </c:pt>
                <c:pt idx="6">
                  <c:v>股票及受益憑證投資(含期貨)</c:v>
                </c:pt>
                <c:pt idx="7">
                  <c:v>國外投資</c:v>
                </c:pt>
                <c:pt idx="8">
                  <c:v>國內委託經營</c:v>
                </c:pt>
                <c:pt idx="9">
                  <c:v>國外委託經營</c:v>
                </c:pt>
              </c:strCache>
            </c:strRef>
          </c:cat>
          <c:val>
            <c:numRef>
              <c:f>'[勞工保險(109年).xlsx]3.3基金資產配置 '!$B$16:$K$16</c:f>
              <c:numCache>
                <c:formatCode>0.0_ </c:formatCode>
                <c:ptCount val="10"/>
                <c:pt idx="0">
                  <c:v>8.9598878833885305</c:v>
                </c:pt>
                <c:pt idx="1">
                  <c:v>2.0605360461432833</c:v>
                </c:pt>
                <c:pt idx="2">
                  <c:v>9.3125309642805458</c:v>
                </c:pt>
                <c:pt idx="3">
                  <c:v>0.21097317618318157</c:v>
                </c:pt>
                <c:pt idx="4">
                  <c:v>0.48912234136045707</c:v>
                </c:pt>
                <c:pt idx="5">
                  <c:v>3.4735105406033235</c:v>
                </c:pt>
                <c:pt idx="6">
                  <c:v>21.601991857999632</c:v>
                </c:pt>
                <c:pt idx="7">
                  <c:v>19.288410623101811</c:v>
                </c:pt>
                <c:pt idx="8">
                  <c:v>3.4629500435559466</c:v>
                </c:pt>
                <c:pt idx="9">
                  <c:v>31.140086523383292</c:v>
                </c:pt>
              </c:numCache>
            </c:numRef>
          </c:val>
          <c:extLst xmlns:c16r2="http://schemas.microsoft.com/office/drawing/2015/06/chart">
            <c:ext xmlns:c16="http://schemas.microsoft.com/office/drawing/2014/chart" uri="{C3380CC4-5D6E-409C-BE32-E72D297353CC}">
              <c16:uniqueId val="{00000006-DD69-410C-9324-B81063B5F8EA}"/>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6709632186387"/>
          <c:y val="5.4918836239861261E-2"/>
          <c:w val="0.56423929457447952"/>
          <c:h val="0.90154787423117932"/>
        </c:manualLayout>
      </c:layout>
      <c:pieChart>
        <c:varyColors val="1"/>
        <c:ser>
          <c:idx val="0"/>
          <c:order val="0"/>
          <c:spPr>
            <a:effectLst/>
          </c:spPr>
          <c:explosion val="3"/>
          <c:dPt>
            <c:idx val="0"/>
            <c:bubble3D val="0"/>
            <c:spPr>
              <a:solidFill>
                <a:schemeClr val="tx2">
                  <a:lumMod val="40000"/>
                  <a:lumOff val="60000"/>
                </a:schemeClr>
              </a:solidFill>
              <a:effectLst/>
            </c:spPr>
          </c:dPt>
          <c:dPt>
            <c:idx val="2"/>
            <c:bubble3D val="0"/>
            <c:spPr>
              <a:solidFill>
                <a:schemeClr val="accent3">
                  <a:lumMod val="60000"/>
                  <a:lumOff val="40000"/>
                </a:schemeClr>
              </a:solidFill>
              <a:effectLst/>
            </c:spPr>
          </c:dPt>
          <c:dPt>
            <c:idx val="3"/>
            <c:bubble3D val="0"/>
            <c:spPr>
              <a:solidFill>
                <a:schemeClr val="accent4">
                  <a:lumMod val="60000"/>
                  <a:lumOff val="40000"/>
                </a:schemeClr>
              </a:solidFill>
              <a:effectLst/>
            </c:spPr>
          </c:dPt>
          <c:dLbls>
            <c:dLbl>
              <c:idx val="0"/>
              <c:layout>
                <c:manualLayout>
                  <c:x val="-0.14643117846109874"/>
                  <c:y val="0.1616197003859709"/>
                </c:manualLayout>
              </c:layout>
              <c:tx>
                <c:rich>
                  <a:bodyPr/>
                  <a:lstStyle/>
                  <a:p>
                    <a:r>
                      <a:rPr lang="zh-TW" altLang="en-US"/>
                      <a:t>中央政府</a:t>
                    </a:r>
                    <a:r>
                      <a:rPr lang="en-US" altLang="zh-TW"/>
                      <a:t>, </a:t>
                    </a:r>
                  </a:p>
                  <a:p>
                    <a:r>
                      <a:rPr lang="en-US" altLang="zh-TW"/>
                      <a:t>1,766</a:t>
                    </a:r>
                    <a:r>
                      <a:rPr lang="zh-TW" altLang="en-US"/>
                      <a:t>個</a:t>
                    </a:r>
                    <a:r>
                      <a:rPr lang="en-US" altLang="zh-TW"/>
                      <a:t> , </a:t>
                    </a:r>
                  </a:p>
                  <a:p>
                    <a:r>
                      <a:rPr lang="en-US" altLang="zh-TW"/>
                      <a:t>23.9%</a:t>
                    </a:r>
                    <a:endParaRPr lang="zh-TW" altLang="en-US"/>
                  </a:p>
                </c:rich>
              </c:tx>
              <c:showLegendKey val="0"/>
              <c:showVal val="1"/>
              <c:showCatName val="1"/>
              <c:showSerName val="0"/>
              <c:showPercent val="1"/>
              <c:showBubbleSize val="0"/>
            </c:dLbl>
            <c:dLbl>
              <c:idx val="1"/>
              <c:layout>
                <c:manualLayout>
                  <c:x val="3.0743565562944962E-2"/>
                  <c:y val="-1.7841297788477567E-2"/>
                </c:manualLayout>
              </c:layout>
              <c:tx>
                <c:rich>
                  <a:bodyPr/>
                  <a:lstStyle/>
                  <a:p>
                    <a:r>
                      <a:rPr lang="zh-TW" altLang="en-US"/>
                      <a:t>福建省</a:t>
                    </a:r>
                    <a:r>
                      <a:rPr lang="en-US" altLang="zh-TW"/>
                      <a:t>, </a:t>
                    </a:r>
                  </a:p>
                  <a:p>
                    <a:r>
                      <a:rPr lang="en-US" altLang="zh-TW"/>
                      <a:t>98</a:t>
                    </a:r>
                    <a:r>
                      <a:rPr lang="zh-TW" altLang="en-US"/>
                      <a:t>個</a:t>
                    </a:r>
                    <a:r>
                      <a:rPr lang="en-US" altLang="zh-TW"/>
                      <a:t> , </a:t>
                    </a:r>
                  </a:p>
                  <a:p>
                    <a:r>
                      <a:rPr lang="en-US" altLang="zh-TW"/>
                      <a:t>1.3%</a:t>
                    </a:r>
                    <a:endParaRPr lang="zh-TW" altLang="en-US"/>
                  </a:p>
                </c:rich>
              </c:tx>
              <c:showLegendKey val="0"/>
              <c:showVal val="1"/>
              <c:showCatName val="1"/>
              <c:showSerName val="0"/>
              <c:showPercent val="1"/>
              <c:showBubbleSize val="0"/>
            </c:dLbl>
            <c:dLbl>
              <c:idx val="2"/>
              <c:layout>
                <c:manualLayout>
                  <c:x val="-7.920486268902692E-2"/>
                  <c:y val="-0.14827457599261662"/>
                </c:manualLayout>
              </c:layout>
              <c:tx>
                <c:rich>
                  <a:bodyPr/>
                  <a:lstStyle/>
                  <a:p>
                    <a:r>
                      <a:rPr lang="zh-TW" altLang="en-US"/>
                      <a:t>直轄市級</a:t>
                    </a:r>
                    <a:r>
                      <a:rPr lang="en-US" altLang="zh-TW"/>
                      <a:t>, </a:t>
                    </a:r>
                  </a:p>
                  <a:p>
                    <a:r>
                      <a:rPr lang="en-US" altLang="zh-TW"/>
                      <a:t>2,949</a:t>
                    </a:r>
                    <a:r>
                      <a:rPr lang="zh-TW" altLang="en-US"/>
                      <a:t>個</a:t>
                    </a:r>
                    <a:r>
                      <a:rPr lang="en-US" altLang="zh-TW"/>
                      <a:t> , </a:t>
                    </a:r>
                  </a:p>
                  <a:p>
                    <a:r>
                      <a:rPr lang="en-US" altLang="zh-TW"/>
                      <a:t>40.0%</a:t>
                    </a:r>
                    <a:endParaRPr lang="zh-TW" altLang="en-US"/>
                  </a:p>
                </c:rich>
              </c:tx>
              <c:showLegendKey val="0"/>
              <c:showVal val="1"/>
              <c:showCatName val="1"/>
              <c:showSerName val="0"/>
              <c:showPercent val="1"/>
              <c:showBubbleSize val="0"/>
            </c:dLbl>
            <c:dLbl>
              <c:idx val="3"/>
              <c:layout>
                <c:manualLayout>
                  <c:x val="0.16736892976683237"/>
                  <c:y val="0.13894420107084385"/>
                </c:manualLayout>
              </c:layout>
              <c:tx>
                <c:rich>
                  <a:bodyPr/>
                  <a:lstStyle/>
                  <a:p>
                    <a:r>
                      <a:rPr lang="zh-TW" altLang="en-US"/>
                      <a:t>縣市級</a:t>
                    </a:r>
                    <a:r>
                      <a:rPr lang="en-US" altLang="zh-TW"/>
                      <a:t>, </a:t>
                    </a:r>
                  </a:p>
                  <a:p>
                    <a:r>
                      <a:rPr lang="en-US" altLang="zh-TW"/>
                      <a:t>2,561</a:t>
                    </a:r>
                    <a:r>
                      <a:rPr lang="zh-TW" altLang="en-US"/>
                      <a:t>個</a:t>
                    </a:r>
                    <a:r>
                      <a:rPr lang="en-US" altLang="zh-TW"/>
                      <a:t> , </a:t>
                    </a:r>
                  </a:p>
                  <a:p>
                    <a:r>
                      <a:rPr lang="en-US" altLang="zh-TW"/>
                      <a:t>34.7%</a:t>
                    </a:r>
                    <a:endParaRPr lang="zh-TW" altLang="en-US"/>
                  </a:p>
                </c:rich>
              </c:tx>
              <c:showLegendKey val="0"/>
              <c:showVal val="1"/>
              <c:showCatName val="1"/>
              <c:showSerName val="0"/>
              <c:showPercent val="1"/>
              <c:showBubbleSize val="0"/>
            </c:dLbl>
            <c:numFmt formatCode="0.0%" sourceLinked="0"/>
            <c:spPr>
              <a:noFill/>
              <a:ln>
                <a:noFill/>
              </a:ln>
              <a:effectLst/>
            </c:spPr>
            <c:txPr>
              <a:bodyPr/>
              <a:lstStyle/>
              <a:p>
                <a:pPr>
                  <a:defRPr sz="1100" b="0">
                    <a:latin typeface="微軟正黑體" panose="020B0604030504040204" pitchFamily="34" charset="-120"/>
                    <a:ea typeface="微軟正黑體" panose="020B0604030504040204" pitchFamily="34" charset="-120"/>
                  </a:defRPr>
                </a:pPr>
                <a:endParaRPr lang="zh-TW"/>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'[公保(109年).xlsx]0.要保機關數'!$B$2:$E$2</c:f>
              <c:strCache>
                <c:ptCount val="4"/>
                <c:pt idx="0">
                  <c:v>中央政府</c:v>
                </c:pt>
                <c:pt idx="1">
                  <c:v>福建省</c:v>
                </c:pt>
                <c:pt idx="2">
                  <c:v>直轄市級</c:v>
                </c:pt>
                <c:pt idx="3">
                  <c:v>縣市級</c:v>
                </c:pt>
              </c:strCache>
            </c:strRef>
          </c:cat>
          <c:val>
            <c:numRef>
              <c:f>'[公保(109年).xlsx]0.要保機關數'!$B$6:$E$6</c:f>
              <c:numCache>
                <c:formatCode>#,##0_ </c:formatCode>
                <c:ptCount val="4"/>
                <c:pt idx="0">
                  <c:v>1766</c:v>
                </c:pt>
                <c:pt idx="1">
                  <c:v>98</c:v>
                </c:pt>
                <c:pt idx="2">
                  <c:v>2949</c:v>
                </c:pt>
                <c:pt idx="3">
                  <c:v>2561</c:v>
                </c:pt>
              </c:numCache>
            </c:numRef>
          </c:val>
          <c:extLst xmlns:c16r2="http://schemas.microsoft.com/office/drawing/2015/06/chart">
            <c:ext xmlns:c16="http://schemas.microsoft.com/office/drawing/2014/chart" uri="{C3380CC4-5D6E-409C-BE32-E72D297353CC}">
              <c16:uniqueId val="{00000000-9545-4EF2-86F4-8667BA3CDDDD}"/>
            </c:ext>
          </c:extLst>
        </c:ser>
        <c:dLbls>
          <c:showLegendKey val="0"/>
          <c:showVal val="0"/>
          <c:showCatName val="1"/>
          <c:showSerName val="0"/>
          <c:showPercent val="1"/>
          <c:showBubbleSize val="0"/>
          <c:showLeaderLines val="1"/>
        </c:dLbls>
        <c:firstSliceAng val="0"/>
      </c:pieChart>
      <c:spPr>
        <a:effectLst/>
      </c:spPr>
    </c:plotArea>
    <c:plotVisOnly val="1"/>
    <c:dispBlanksAs val="gap"/>
    <c:showDLblsOverMax val="0"/>
  </c:chart>
  <c:spPr>
    <a:effectLst/>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905635950911537"/>
          <c:y val="6.865801477220565E-2"/>
          <c:w val="0.48031265517485988"/>
          <c:h val="0.86937961230182548"/>
        </c:manualLayout>
      </c:layout>
      <c:pieChart>
        <c:varyColors val="1"/>
        <c:ser>
          <c:idx val="0"/>
          <c:order val="0"/>
          <c:spPr>
            <a:effectLst/>
          </c:spPr>
          <c:dPt>
            <c:idx val="0"/>
            <c:bubble3D val="0"/>
            <c:explosion val="3"/>
            <c:spPr>
              <a:solidFill>
                <a:schemeClr val="tx2">
                  <a:lumMod val="40000"/>
                  <a:lumOff val="60000"/>
                </a:schemeClr>
              </a:solidFill>
              <a:effectLst/>
            </c:spPr>
            <c:extLst xmlns:c16r2="http://schemas.microsoft.com/office/drawing/2015/06/chart">
              <c:ext xmlns:c16="http://schemas.microsoft.com/office/drawing/2014/chart" uri="{C3380CC4-5D6E-409C-BE32-E72D297353CC}">
                <c16:uniqueId val="{00000000-8CF3-498A-AB3C-F5612BA6171E}"/>
              </c:ext>
            </c:extLst>
          </c:dPt>
          <c:dPt>
            <c:idx val="2"/>
            <c:bubble3D val="0"/>
            <c:explosion val="4"/>
            <c:spPr>
              <a:solidFill>
                <a:schemeClr val="accent3">
                  <a:lumMod val="60000"/>
                  <a:lumOff val="40000"/>
                </a:schemeClr>
              </a:solidFill>
              <a:effectLst/>
            </c:spPr>
            <c:extLst xmlns:c16r2="http://schemas.microsoft.com/office/drawing/2015/06/chart">
              <c:ext xmlns:c16="http://schemas.microsoft.com/office/drawing/2014/chart" uri="{C3380CC4-5D6E-409C-BE32-E72D297353CC}">
                <c16:uniqueId val="{00000001-8CF3-498A-AB3C-F5612BA6171E}"/>
              </c:ext>
            </c:extLst>
          </c:dPt>
          <c:dPt>
            <c:idx val="3"/>
            <c:bubble3D val="0"/>
            <c:spPr>
              <a:solidFill>
                <a:schemeClr val="accent4">
                  <a:lumMod val="60000"/>
                  <a:lumOff val="40000"/>
                </a:schemeClr>
              </a:solidFill>
              <a:effectLst/>
            </c:spPr>
          </c:dPt>
          <c:dLbls>
            <c:dLbl>
              <c:idx val="0"/>
              <c:layout>
                <c:manualLayout>
                  <c:x val="-0.20141318215221335"/>
                  <c:y val="4.7692134791512852E-2"/>
                </c:manualLayout>
              </c:layout>
              <c:tx>
                <c:rich>
                  <a:bodyPr/>
                  <a:lstStyle/>
                  <a:p>
                    <a:r>
                      <a:rPr lang="zh-TW" altLang="en-US" sz="1100"/>
                      <a:t>中央政府</a:t>
                    </a:r>
                    <a:r>
                      <a:rPr lang="en-US" altLang="zh-TW" sz="1100"/>
                      <a:t>, </a:t>
                    </a:r>
                  </a:p>
                  <a:p>
                    <a:r>
                      <a:rPr lang="en-US" altLang="zh-TW" sz="1100"/>
                      <a:t>26</a:t>
                    </a:r>
                    <a:r>
                      <a:rPr lang="zh-TW" altLang="en-US" sz="1100"/>
                      <a:t>萬</a:t>
                    </a:r>
                    <a:r>
                      <a:rPr lang="en-US" altLang="zh-TW" sz="1100"/>
                      <a:t>565</a:t>
                    </a:r>
                    <a:r>
                      <a:rPr lang="zh-TW" altLang="en-US" sz="1100"/>
                      <a:t>人</a:t>
                    </a:r>
                    <a:r>
                      <a:rPr lang="en-US" altLang="zh-TW" sz="1100"/>
                      <a:t> , 43.8%</a:t>
                    </a:r>
                    <a:endParaRPr lang="en-US" altLang="zh-TW"/>
                  </a:p>
                </c:rich>
              </c:tx>
              <c:showLegendKey val="0"/>
              <c:showVal val="1"/>
              <c:showCatName val="1"/>
              <c:showSerName val="0"/>
              <c:showPercent val="1"/>
              <c:showBubbleSize val="0"/>
            </c:dLbl>
            <c:dLbl>
              <c:idx val="1"/>
              <c:layout>
                <c:manualLayout>
                  <c:x val="0.12667202006616271"/>
                  <c:y val="-6.517847754082412E-2"/>
                </c:manualLayout>
              </c:layout>
              <c:tx>
                <c:rich>
                  <a:bodyPr/>
                  <a:lstStyle/>
                  <a:p>
                    <a:r>
                      <a:rPr lang="zh-TW" altLang="en-US" sz="1100"/>
                      <a:t>福建省</a:t>
                    </a:r>
                    <a:r>
                      <a:rPr lang="en-US" altLang="zh-TW" sz="1100"/>
                      <a:t>, </a:t>
                    </a:r>
                  </a:p>
                  <a:p>
                    <a:r>
                      <a:rPr lang="en-US" altLang="zh-TW" sz="1100"/>
                      <a:t>2,614</a:t>
                    </a:r>
                    <a:r>
                      <a:rPr lang="zh-TW" altLang="en-US" sz="1100"/>
                      <a:t>人</a:t>
                    </a:r>
                    <a:r>
                      <a:rPr lang="en-US" altLang="zh-TW" sz="1100"/>
                      <a:t> ,</a:t>
                    </a:r>
                  </a:p>
                  <a:p>
                    <a:r>
                      <a:rPr lang="en-US" altLang="zh-TW" sz="1100"/>
                      <a:t> 0.4%</a:t>
                    </a:r>
                    <a:endParaRPr lang="en-US" altLang="zh-TW"/>
                  </a:p>
                </c:rich>
              </c:tx>
              <c:showLegendKey val="0"/>
              <c:showVal val="1"/>
              <c:showCatName val="1"/>
              <c:showSerName val="0"/>
              <c:showPercent val="1"/>
              <c:showBubbleSize val="0"/>
            </c:dLbl>
            <c:dLbl>
              <c:idx val="2"/>
              <c:layout>
                <c:manualLayout>
                  <c:x val="0.16239040221323686"/>
                  <c:y val="-0.21908080875483785"/>
                </c:manualLayout>
              </c:layout>
              <c:tx>
                <c:rich>
                  <a:bodyPr/>
                  <a:lstStyle/>
                  <a:p>
                    <a:r>
                      <a:rPr lang="zh-TW" altLang="en-US" sz="1100"/>
                      <a:t>直轄市級</a:t>
                    </a:r>
                    <a:r>
                      <a:rPr lang="en-US" altLang="zh-TW" sz="1100"/>
                      <a:t>, </a:t>
                    </a:r>
                  </a:p>
                  <a:p>
                    <a:r>
                      <a:rPr lang="en-US" altLang="zh-TW" sz="1100"/>
                      <a:t>22</a:t>
                    </a:r>
                    <a:r>
                      <a:rPr lang="zh-TW" altLang="en-US" sz="1100"/>
                      <a:t>萬</a:t>
                    </a:r>
                    <a:r>
                      <a:rPr lang="en-US" altLang="zh-TW" sz="1100"/>
                      <a:t>7,749</a:t>
                    </a:r>
                    <a:r>
                      <a:rPr lang="zh-TW" altLang="en-US" sz="1100"/>
                      <a:t>人</a:t>
                    </a:r>
                    <a:r>
                      <a:rPr lang="en-US" altLang="zh-TW" sz="1100"/>
                      <a:t> , 38.3%</a:t>
                    </a:r>
                    <a:endParaRPr lang="en-US" altLang="zh-TW"/>
                  </a:p>
                </c:rich>
              </c:tx>
              <c:showLegendKey val="0"/>
              <c:showVal val="1"/>
              <c:showCatName val="1"/>
              <c:showSerName val="0"/>
              <c:showPercent val="1"/>
              <c:showBubbleSize val="0"/>
            </c:dLbl>
            <c:dLbl>
              <c:idx val="3"/>
              <c:layout>
                <c:manualLayout>
                  <c:x val="0.13313098531602466"/>
                  <c:y val="0.12494861871079674"/>
                </c:manualLayout>
              </c:layout>
              <c:tx>
                <c:rich>
                  <a:bodyPr/>
                  <a:lstStyle/>
                  <a:p>
                    <a:r>
                      <a:rPr lang="zh-TW" altLang="en-US" sz="1100"/>
                      <a:t>縣市級</a:t>
                    </a:r>
                    <a:r>
                      <a:rPr lang="en-US" altLang="zh-TW" sz="1100"/>
                      <a:t>, </a:t>
                    </a:r>
                  </a:p>
                  <a:p>
                    <a:r>
                      <a:rPr lang="en-US" altLang="zh-TW" sz="1100"/>
                      <a:t>10</a:t>
                    </a:r>
                    <a:r>
                      <a:rPr lang="zh-TW" altLang="en-US" sz="1100"/>
                      <a:t>萬</a:t>
                    </a:r>
                    <a:r>
                      <a:rPr lang="en-US" altLang="zh-TW" sz="1100"/>
                      <a:t>3,418</a:t>
                    </a:r>
                    <a:r>
                      <a:rPr lang="zh-TW" altLang="en-US" sz="1100"/>
                      <a:t>人</a:t>
                    </a:r>
                    <a:r>
                      <a:rPr lang="en-US" altLang="zh-TW" sz="1100"/>
                      <a:t> ,</a:t>
                    </a:r>
                  </a:p>
                  <a:p>
                    <a:r>
                      <a:rPr lang="en-US" altLang="zh-TW" sz="1100"/>
                      <a:t> 17.4%</a:t>
                    </a:r>
                    <a:endParaRPr lang="zh-TW" altLang="en-US"/>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F3-498A-AB3C-F5612BA6171E}"/>
                </c:ext>
              </c:extLst>
            </c:dLbl>
            <c:numFmt formatCode="0.0%" sourceLinked="0"/>
            <c:spPr>
              <a:noFill/>
              <a:ln>
                <a:noFill/>
              </a:ln>
              <a:effectLst/>
            </c:spPr>
            <c:txPr>
              <a:bodyPr/>
              <a:lstStyle/>
              <a:p>
                <a:pPr>
                  <a:defRPr sz="1100">
                    <a:latin typeface="微軟正黑體" pitchFamily="34" charset="-120"/>
                    <a:ea typeface="微軟正黑體" pitchFamily="34" charset="-120"/>
                  </a:defRPr>
                </a:pPr>
                <a:endParaRPr lang="zh-TW"/>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'[公保(109年).xlsx]1.1被保險人人數(按要保機關分)'!$A$17:$D$17</c:f>
              <c:strCache>
                <c:ptCount val="4"/>
                <c:pt idx="0">
                  <c:v>中央政府</c:v>
                </c:pt>
                <c:pt idx="1">
                  <c:v>福建省</c:v>
                </c:pt>
                <c:pt idx="2">
                  <c:v>直轄市級</c:v>
                </c:pt>
                <c:pt idx="3">
                  <c:v>縣市級</c:v>
                </c:pt>
              </c:strCache>
            </c:strRef>
          </c:cat>
          <c:val>
            <c:numRef>
              <c:f>'[公保(109年).xlsx]1.1被保險人人數(按要保機關分)'!$A$18:$D$18</c:f>
              <c:numCache>
                <c:formatCode>#,##0_ </c:formatCode>
                <c:ptCount val="4"/>
                <c:pt idx="0">
                  <c:v>260565</c:v>
                </c:pt>
                <c:pt idx="1">
                  <c:v>2614</c:v>
                </c:pt>
                <c:pt idx="2">
                  <c:v>227749</c:v>
                </c:pt>
                <c:pt idx="3">
                  <c:v>103418</c:v>
                </c:pt>
              </c:numCache>
            </c:numRef>
          </c:val>
          <c:extLst xmlns:c16r2="http://schemas.microsoft.com/office/drawing/2015/06/chart">
            <c:ext xmlns:c16="http://schemas.microsoft.com/office/drawing/2014/chart" uri="{C3380CC4-5D6E-409C-BE32-E72D297353CC}">
              <c16:uniqueId val="{00000003-8CF3-498A-AB3C-F5612BA6171E}"/>
            </c:ext>
          </c:extLst>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941467560107992"/>
          <c:y val="0.15336668044354482"/>
          <c:w val="0.80193202926998008"/>
          <c:h val="0.72614604197355548"/>
        </c:manualLayout>
      </c:layout>
      <c:lineChart>
        <c:grouping val="standard"/>
        <c:varyColors val="0"/>
        <c:ser>
          <c:idx val="0"/>
          <c:order val="0"/>
          <c:tx>
            <c:strRef>
              <c:f>'1.1被保險人人數(按要保機關分)'!$B$26</c:f>
              <c:strCache>
                <c:ptCount val="1"/>
                <c:pt idx="0">
                  <c:v>合計</c:v>
                </c:pt>
              </c:strCache>
            </c:strRef>
          </c:tx>
          <c:marker>
            <c:symbol val="diamond"/>
            <c:size val="7"/>
            <c:spPr>
              <a:solidFill>
                <a:schemeClr val="bg1"/>
              </a:solidFill>
              <a:ln w="22225"/>
            </c:spPr>
          </c:marker>
          <c:dLbls>
            <c:dLbl>
              <c:idx val="1"/>
              <c:layout>
                <c:manualLayout>
                  <c:x val="-5.1425377305757407E-2"/>
                  <c:y val="-4.04653515427415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296-469B-821D-146E3F9618CC}"/>
                </c:ext>
              </c:extLst>
            </c:dLbl>
            <c:dLbl>
              <c:idx val="10"/>
              <c:layout>
                <c:manualLayout>
                  <c:x val="-2.0412230472308904E-2"/>
                  <c:y val="-4.0252669478530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296-469B-821D-146E3F9618C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'1.1被保險人人數(按要保機關分)'!$A$29:$A$39</c:f>
              <c:strCache>
                <c:ptCount val="11"/>
                <c:pt idx="0">
                  <c:v>99年</c:v>
                </c:pt>
                <c:pt idx="1">
                  <c:v>100年</c:v>
                </c:pt>
                <c:pt idx="2">
                  <c:v>101年</c:v>
                </c:pt>
                <c:pt idx="3">
                  <c:v>102年</c:v>
                </c:pt>
                <c:pt idx="4">
                  <c:v>103年</c:v>
                </c:pt>
                <c:pt idx="5">
                  <c:v>104年</c:v>
                </c:pt>
                <c:pt idx="6">
                  <c:v>105年</c:v>
                </c:pt>
                <c:pt idx="7">
                  <c:v>106年</c:v>
                </c:pt>
                <c:pt idx="8">
                  <c:v>107年</c:v>
                </c:pt>
                <c:pt idx="9">
                  <c:v>108年</c:v>
                </c:pt>
                <c:pt idx="10">
                  <c:v>109年</c:v>
                </c:pt>
              </c:strCache>
            </c:strRef>
          </c:cat>
          <c:val>
            <c:numRef>
              <c:f>'1.1被保險人人數(按要保機關分)'!$B$29:$B$39</c:f>
              <c:numCache>
                <c:formatCode>#,##0_ </c:formatCode>
                <c:ptCount val="11"/>
                <c:pt idx="0">
                  <c:v>597583</c:v>
                </c:pt>
                <c:pt idx="1">
                  <c:v>593949</c:v>
                </c:pt>
                <c:pt idx="2">
                  <c:v>593846</c:v>
                </c:pt>
                <c:pt idx="3">
                  <c:v>593760</c:v>
                </c:pt>
                <c:pt idx="4">
                  <c:v>587459</c:v>
                </c:pt>
                <c:pt idx="5">
                  <c:v>582725</c:v>
                </c:pt>
                <c:pt idx="6">
                  <c:v>578624</c:v>
                </c:pt>
                <c:pt idx="7">
                  <c:v>584469</c:v>
                </c:pt>
                <c:pt idx="8">
                  <c:v>589483</c:v>
                </c:pt>
                <c:pt idx="9">
                  <c:v>591856</c:v>
                </c:pt>
                <c:pt idx="10">
                  <c:v>594346</c:v>
                </c:pt>
              </c:numCache>
            </c:numRef>
          </c:val>
          <c:smooth val="0"/>
          <c:extLst xmlns:c16r2="http://schemas.microsoft.com/office/drawing/2015/06/chart">
            <c:ext xmlns:c16="http://schemas.microsoft.com/office/drawing/2014/chart" uri="{C3380CC4-5D6E-409C-BE32-E72D297353CC}">
              <c16:uniqueId val="{00000002-A296-469B-821D-146E3F9618CC}"/>
            </c:ext>
          </c:extLst>
        </c:ser>
        <c:ser>
          <c:idx val="1"/>
          <c:order val="1"/>
          <c:tx>
            <c:strRef>
              <c:f>'1.1被保險人人數(按要保機關分)'!$C$26</c:f>
              <c:strCache>
                <c:ptCount val="1"/>
                <c:pt idx="0">
                  <c:v>中央</c:v>
                </c:pt>
              </c:strCache>
            </c:strRef>
          </c:tx>
          <c:dLbls>
            <c:dLbl>
              <c:idx val="1"/>
              <c:layout>
                <c:manualLayout>
                  <c:x val="-4.916220472440945E-2"/>
                  <c:y val="-5.05878910406470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296-469B-821D-146E3F9618CC}"/>
                </c:ext>
              </c:extLst>
            </c:dLbl>
            <c:dLbl>
              <c:idx val="10"/>
              <c:layout>
                <c:manualLayout>
                  <c:x val="-1.590427238132756E-2"/>
                  <c:y val="-5.78751550227366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296-469B-821D-146E3F9618C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'1.1被保險人人數(按要保機關分)'!$A$29:$A$39</c:f>
              <c:strCache>
                <c:ptCount val="11"/>
                <c:pt idx="0">
                  <c:v>99年</c:v>
                </c:pt>
                <c:pt idx="1">
                  <c:v>100年</c:v>
                </c:pt>
                <c:pt idx="2">
                  <c:v>101年</c:v>
                </c:pt>
                <c:pt idx="3">
                  <c:v>102年</c:v>
                </c:pt>
                <c:pt idx="4">
                  <c:v>103年</c:v>
                </c:pt>
                <c:pt idx="5">
                  <c:v>104年</c:v>
                </c:pt>
                <c:pt idx="6">
                  <c:v>105年</c:v>
                </c:pt>
                <c:pt idx="7">
                  <c:v>106年</c:v>
                </c:pt>
                <c:pt idx="8">
                  <c:v>107年</c:v>
                </c:pt>
                <c:pt idx="9">
                  <c:v>108年</c:v>
                </c:pt>
                <c:pt idx="10">
                  <c:v>109年</c:v>
                </c:pt>
              </c:strCache>
            </c:strRef>
          </c:cat>
          <c:val>
            <c:numRef>
              <c:f>'1.1被保險人人數(按要保機關分)'!$C$29:$C$39</c:f>
              <c:numCache>
                <c:formatCode>#,##0_ </c:formatCode>
                <c:ptCount val="11"/>
                <c:pt idx="0">
                  <c:v>276635</c:v>
                </c:pt>
                <c:pt idx="1">
                  <c:v>266677</c:v>
                </c:pt>
                <c:pt idx="2">
                  <c:v>265880</c:v>
                </c:pt>
                <c:pt idx="3">
                  <c:v>265265</c:v>
                </c:pt>
                <c:pt idx="4">
                  <c:v>262590</c:v>
                </c:pt>
                <c:pt idx="5">
                  <c:v>257747</c:v>
                </c:pt>
                <c:pt idx="6">
                  <c:v>255641</c:v>
                </c:pt>
                <c:pt idx="7">
                  <c:v>256138</c:v>
                </c:pt>
                <c:pt idx="8">
                  <c:v>258985</c:v>
                </c:pt>
                <c:pt idx="9">
                  <c:v>259529</c:v>
                </c:pt>
                <c:pt idx="10">
                  <c:v>260565</c:v>
                </c:pt>
              </c:numCache>
            </c:numRef>
          </c:val>
          <c:smooth val="0"/>
          <c:extLst xmlns:c16r2="http://schemas.microsoft.com/office/drawing/2015/06/chart">
            <c:ext xmlns:c16="http://schemas.microsoft.com/office/drawing/2014/chart" uri="{C3380CC4-5D6E-409C-BE32-E72D297353CC}">
              <c16:uniqueId val="{00000005-A296-469B-821D-146E3F9618CC}"/>
            </c:ext>
          </c:extLst>
        </c:ser>
        <c:ser>
          <c:idx val="2"/>
          <c:order val="2"/>
          <c:tx>
            <c:strRef>
              <c:f>'1.1被保險人人數(按要保機關分)'!$D$26</c:f>
              <c:strCache>
                <c:ptCount val="1"/>
                <c:pt idx="0">
                  <c:v>福建省及臺灣省</c:v>
                </c:pt>
              </c:strCache>
            </c:strRef>
          </c:tx>
          <c:dLbls>
            <c:dLbl>
              <c:idx val="1"/>
              <c:layout>
                <c:manualLayout>
                  <c:x val="-4.2481833426495287E-2"/>
                  <c:y val="-4.04653515427415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296-469B-821D-146E3F9618CC}"/>
                </c:ext>
              </c:extLst>
            </c:dLbl>
            <c:dLbl>
              <c:idx val="10"/>
              <c:layout>
                <c:manualLayout>
                  <c:x val="-2.7228337653992244E-2"/>
                  <c:y val="-3.87291118200514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296-469B-821D-146E3F9618C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'1.1被保險人人數(按要保機關分)'!$A$29:$A$39</c:f>
              <c:strCache>
                <c:ptCount val="11"/>
                <c:pt idx="0">
                  <c:v>99年</c:v>
                </c:pt>
                <c:pt idx="1">
                  <c:v>100年</c:v>
                </c:pt>
                <c:pt idx="2">
                  <c:v>101年</c:v>
                </c:pt>
                <c:pt idx="3">
                  <c:v>102年</c:v>
                </c:pt>
                <c:pt idx="4">
                  <c:v>103年</c:v>
                </c:pt>
                <c:pt idx="5">
                  <c:v>104年</c:v>
                </c:pt>
                <c:pt idx="6">
                  <c:v>105年</c:v>
                </c:pt>
                <c:pt idx="7">
                  <c:v>106年</c:v>
                </c:pt>
                <c:pt idx="8">
                  <c:v>107年</c:v>
                </c:pt>
                <c:pt idx="9">
                  <c:v>108年</c:v>
                </c:pt>
                <c:pt idx="10">
                  <c:v>109年</c:v>
                </c:pt>
              </c:strCache>
            </c:strRef>
          </c:cat>
          <c:val>
            <c:numRef>
              <c:f>'1.1被保險人人數(按要保機關分)'!$D$29:$D$39</c:f>
              <c:numCache>
                <c:formatCode>#,##0_ </c:formatCode>
                <c:ptCount val="11"/>
                <c:pt idx="0">
                  <c:v>2819</c:v>
                </c:pt>
                <c:pt idx="1">
                  <c:v>2246</c:v>
                </c:pt>
                <c:pt idx="2">
                  <c:v>2235</c:v>
                </c:pt>
                <c:pt idx="3">
                  <c:v>2254</c:v>
                </c:pt>
                <c:pt idx="4">
                  <c:v>2320</c:v>
                </c:pt>
                <c:pt idx="5">
                  <c:v>2366</c:v>
                </c:pt>
                <c:pt idx="6">
                  <c:v>2367</c:v>
                </c:pt>
                <c:pt idx="7">
                  <c:v>2418</c:v>
                </c:pt>
                <c:pt idx="8">
                  <c:v>2480</c:v>
                </c:pt>
                <c:pt idx="9">
                  <c:v>2562</c:v>
                </c:pt>
                <c:pt idx="10">
                  <c:v>2614</c:v>
                </c:pt>
              </c:numCache>
            </c:numRef>
          </c:val>
          <c:smooth val="0"/>
          <c:extLst xmlns:c16r2="http://schemas.microsoft.com/office/drawing/2015/06/chart">
            <c:ext xmlns:c16="http://schemas.microsoft.com/office/drawing/2014/chart" uri="{C3380CC4-5D6E-409C-BE32-E72D297353CC}">
              <c16:uniqueId val="{00000008-A296-469B-821D-146E3F9618CC}"/>
            </c:ext>
          </c:extLst>
        </c:ser>
        <c:ser>
          <c:idx val="3"/>
          <c:order val="3"/>
          <c:tx>
            <c:strRef>
              <c:f>'1.1被保險人人數(按要保機關分)'!$E$26</c:f>
              <c:strCache>
                <c:ptCount val="1"/>
                <c:pt idx="0">
                  <c:v>直轄市級</c:v>
                </c:pt>
              </c:strCache>
            </c:strRef>
          </c:tx>
          <c:dLbls>
            <c:dLbl>
              <c:idx val="1"/>
              <c:layout>
                <c:manualLayout>
                  <c:x val="-4.9189491335941866E-2"/>
                  <c:y val="-2.36047883999325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296-469B-821D-146E3F9618CC}"/>
                </c:ext>
              </c:extLst>
            </c:dLbl>
            <c:dLbl>
              <c:idx val="10"/>
              <c:layout>
                <c:manualLayout>
                  <c:x val="-2.2720389116182228E-3"/>
                  <c:y val="2.89375775113684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296-469B-821D-146E3F9618C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'1.1被保險人人數(按要保機關分)'!$A$29:$A$39</c:f>
              <c:strCache>
                <c:ptCount val="11"/>
                <c:pt idx="0">
                  <c:v>99年</c:v>
                </c:pt>
                <c:pt idx="1">
                  <c:v>100年</c:v>
                </c:pt>
                <c:pt idx="2">
                  <c:v>101年</c:v>
                </c:pt>
                <c:pt idx="3">
                  <c:v>102年</c:v>
                </c:pt>
                <c:pt idx="4">
                  <c:v>103年</c:v>
                </c:pt>
                <c:pt idx="5">
                  <c:v>104年</c:v>
                </c:pt>
                <c:pt idx="6">
                  <c:v>105年</c:v>
                </c:pt>
                <c:pt idx="7">
                  <c:v>106年</c:v>
                </c:pt>
                <c:pt idx="8">
                  <c:v>107年</c:v>
                </c:pt>
                <c:pt idx="9">
                  <c:v>108年</c:v>
                </c:pt>
                <c:pt idx="10">
                  <c:v>109年</c:v>
                </c:pt>
              </c:strCache>
            </c:strRef>
          </c:cat>
          <c:val>
            <c:numRef>
              <c:f>'1.1被保險人人數(按要保機關分)'!$E$29:$E$39</c:f>
              <c:numCache>
                <c:formatCode>#,##0_ </c:formatCode>
                <c:ptCount val="11"/>
                <c:pt idx="0">
                  <c:v>78250</c:v>
                </c:pt>
                <c:pt idx="1">
                  <c:v>197023</c:v>
                </c:pt>
                <c:pt idx="2">
                  <c:v>197767</c:v>
                </c:pt>
                <c:pt idx="3">
                  <c:v>198071</c:v>
                </c:pt>
                <c:pt idx="4">
                  <c:v>195647</c:v>
                </c:pt>
                <c:pt idx="5">
                  <c:v>220643</c:v>
                </c:pt>
                <c:pt idx="6">
                  <c:v>219875</c:v>
                </c:pt>
                <c:pt idx="7">
                  <c:v>224104</c:v>
                </c:pt>
                <c:pt idx="8">
                  <c:v>225263</c:v>
                </c:pt>
                <c:pt idx="9">
                  <c:v>226732</c:v>
                </c:pt>
                <c:pt idx="10">
                  <c:v>227749</c:v>
                </c:pt>
              </c:numCache>
            </c:numRef>
          </c:val>
          <c:smooth val="0"/>
          <c:extLst xmlns:c16r2="http://schemas.microsoft.com/office/drawing/2015/06/chart">
            <c:ext xmlns:c16="http://schemas.microsoft.com/office/drawing/2014/chart" uri="{C3380CC4-5D6E-409C-BE32-E72D297353CC}">
              <c16:uniqueId val="{0000000B-A296-469B-821D-146E3F9618CC}"/>
            </c:ext>
          </c:extLst>
        </c:ser>
        <c:ser>
          <c:idx val="4"/>
          <c:order val="4"/>
          <c:tx>
            <c:strRef>
              <c:f>'1.1被保險人人數(按要保機關分)'!$F$26</c:f>
              <c:strCache>
                <c:ptCount val="1"/>
                <c:pt idx="0">
                  <c:v>縣市級</c:v>
                </c:pt>
              </c:strCache>
            </c:strRef>
          </c:tx>
          <c:dLbls>
            <c:dLbl>
              <c:idx val="1"/>
              <c:layout>
                <c:manualLayout>
                  <c:x val="-5.3661263275572989E-2"/>
                  <c:y val="2.36047883999325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296-469B-821D-146E3F9618CC}"/>
                </c:ext>
              </c:extLst>
            </c:dLbl>
            <c:dLbl>
              <c:idx val="10"/>
              <c:layout>
                <c:manualLayout>
                  <c:x val="-9.0159020787577634E-3"/>
                  <c:y val="-3.38334415330103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296-469B-821D-146E3F9618C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'1.1被保險人人數(按要保機關分)'!$A$29:$A$39</c:f>
              <c:strCache>
                <c:ptCount val="11"/>
                <c:pt idx="0">
                  <c:v>99年</c:v>
                </c:pt>
                <c:pt idx="1">
                  <c:v>100年</c:v>
                </c:pt>
                <c:pt idx="2">
                  <c:v>101年</c:v>
                </c:pt>
                <c:pt idx="3">
                  <c:v>102年</c:v>
                </c:pt>
                <c:pt idx="4">
                  <c:v>103年</c:v>
                </c:pt>
                <c:pt idx="5">
                  <c:v>104年</c:v>
                </c:pt>
                <c:pt idx="6">
                  <c:v>105年</c:v>
                </c:pt>
                <c:pt idx="7">
                  <c:v>106年</c:v>
                </c:pt>
                <c:pt idx="8">
                  <c:v>107年</c:v>
                </c:pt>
                <c:pt idx="9">
                  <c:v>108年</c:v>
                </c:pt>
                <c:pt idx="10">
                  <c:v>109年</c:v>
                </c:pt>
              </c:strCache>
            </c:strRef>
          </c:cat>
          <c:val>
            <c:numRef>
              <c:f>'1.1被保險人人數(按要保機關分)'!$F$29:$F$39</c:f>
              <c:numCache>
                <c:formatCode>#,##0_ </c:formatCode>
                <c:ptCount val="11"/>
                <c:pt idx="0">
                  <c:v>239879</c:v>
                </c:pt>
                <c:pt idx="1">
                  <c:v>128003</c:v>
                </c:pt>
                <c:pt idx="2">
                  <c:v>127964</c:v>
                </c:pt>
                <c:pt idx="3">
                  <c:v>128170</c:v>
                </c:pt>
                <c:pt idx="4">
                  <c:v>126902</c:v>
                </c:pt>
                <c:pt idx="5">
                  <c:v>101969</c:v>
                </c:pt>
                <c:pt idx="6">
                  <c:v>100741</c:v>
                </c:pt>
                <c:pt idx="7">
                  <c:v>101809</c:v>
                </c:pt>
                <c:pt idx="8">
                  <c:v>102755</c:v>
                </c:pt>
                <c:pt idx="9">
                  <c:v>103033</c:v>
                </c:pt>
                <c:pt idx="10">
                  <c:v>103418</c:v>
                </c:pt>
              </c:numCache>
            </c:numRef>
          </c:val>
          <c:smooth val="0"/>
          <c:extLst xmlns:c16r2="http://schemas.microsoft.com/office/drawing/2015/06/chart">
            <c:ext xmlns:c16="http://schemas.microsoft.com/office/drawing/2014/chart" uri="{C3380CC4-5D6E-409C-BE32-E72D297353CC}">
              <c16:uniqueId val="{0000000D-A296-469B-821D-146E3F9618CC}"/>
            </c:ext>
          </c:extLst>
        </c:ser>
        <c:dLbls>
          <c:showLegendKey val="0"/>
          <c:showVal val="0"/>
          <c:showCatName val="0"/>
          <c:showSerName val="0"/>
          <c:showPercent val="0"/>
          <c:showBubbleSize val="0"/>
        </c:dLbls>
        <c:marker val="1"/>
        <c:smooth val="0"/>
        <c:axId val="282123264"/>
        <c:axId val="281468224"/>
      </c:lineChart>
      <c:catAx>
        <c:axId val="282123264"/>
        <c:scaling>
          <c:orientation val="minMax"/>
        </c:scaling>
        <c:delete val="0"/>
        <c:axPos val="b"/>
        <c:numFmt formatCode="General" sourceLinked="0"/>
        <c:majorTickMark val="out"/>
        <c:minorTickMark val="none"/>
        <c:tickLblPos val="nextTo"/>
        <c:crossAx val="281468224"/>
        <c:crosses val="autoZero"/>
        <c:auto val="1"/>
        <c:lblAlgn val="ctr"/>
        <c:lblOffset val="100"/>
        <c:noMultiLvlLbl val="0"/>
      </c:catAx>
      <c:valAx>
        <c:axId val="281468224"/>
        <c:scaling>
          <c:orientation val="minMax"/>
        </c:scaling>
        <c:delete val="0"/>
        <c:axPos val="l"/>
        <c:majorGridlines/>
        <c:numFmt formatCode="#,##0_ " sourceLinked="1"/>
        <c:majorTickMark val="out"/>
        <c:minorTickMark val="none"/>
        <c:tickLblPos val="nextTo"/>
        <c:crossAx val="282123264"/>
        <c:crosses val="autoZero"/>
        <c:crossBetween val="between"/>
      </c:valAx>
    </c:plotArea>
    <c:legend>
      <c:legendPos val="t"/>
      <c:layout>
        <c:manualLayout>
          <c:xMode val="edge"/>
          <c:yMode val="edge"/>
          <c:x val="0.15004220894970577"/>
          <c:y val="2.9937722124643372E-2"/>
          <c:w val="0.81842473280732952"/>
          <c:h val="7.4753672533388882E-2"/>
        </c:manualLayout>
      </c:layout>
      <c:overlay val="0"/>
      <c:txPr>
        <a:bodyPr/>
        <a:lstStyle/>
        <a:p>
          <a:pPr>
            <a:defRPr>
              <a:latin typeface="微軟正黑體" panose="020B0604030504040204" pitchFamily="34" charset="-120"/>
              <a:ea typeface="微軟正黑體" panose="020B0604030504040204" pitchFamily="34" charset="-120"/>
            </a:defRPr>
          </a:pPr>
          <a:endParaRPr lang="zh-TW"/>
        </a:p>
      </c:txPr>
    </c:legend>
    <c:plotVisOnly val="1"/>
    <c:dispBlanksAs val="gap"/>
    <c:showDLblsOverMax val="0"/>
  </c:chart>
  <c:txPr>
    <a:bodyPr/>
    <a:lstStyle/>
    <a:p>
      <a:pPr>
        <a:defRPr sz="1100"/>
      </a:pPr>
      <a:endParaRPr lang="zh-TW"/>
    </a:p>
  </c:txPr>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45621466514083"/>
          <c:y val="3.3201740551279058E-2"/>
          <c:w val="0.84580787401574808"/>
          <c:h val="0.6246796221883063"/>
        </c:manualLayout>
      </c:layout>
      <c:barChart>
        <c:barDir val="col"/>
        <c:grouping val="clustered"/>
        <c:varyColors val="0"/>
        <c:ser>
          <c:idx val="0"/>
          <c:order val="0"/>
          <c:tx>
            <c:strRef>
              <c:f>'1.3被保險人人數(按性別年齡分)'!$B$18</c:f>
              <c:strCache>
                <c:ptCount val="1"/>
                <c:pt idx="0">
                  <c:v>男</c:v>
                </c:pt>
              </c:strCache>
            </c:strRef>
          </c:tx>
          <c:invertIfNegative val="0"/>
          <c:cat>
            <c:strRef>
              <c:f>'1.3被保險人人數(按性別年齡分)'!$A$19:$A$28</c:f>
              <c:strCache>
                <c:ptCount val="10"/>
                <c:pt idx="0">
                  <c:v>未滿25歲</c:v>
                </c:pt>
                <c:pt idx="1">
                  <c:v>25-29歲</c:v>
                </c:pt>
                <c:pt idx="2">
                  <c:v>30-34歲</c:v>
                </c:pt>
                <c:pt idx="3">
                  <c:v>35-39歲</c:v>
                </c:pt>
                <c:pt idx="4">
                  <c:v>40-44歲</c:v>
                </c:pt>
                <c:pt idx="5">
                  <c:v>45-49歲</c:v>
                </c:pt>
                <c:pt idx="6">
                  <c:v>50-54歲</c:v>
                </c:pt>
                <c:pt idx="7">
                  <c:v>55-59歲</c:v>
                </c:pt>
                <c:pt idx="8">
                  <c:v>60-64歲</c:v>
                </c:pt>
                <c:pt idx="9">
                  <c:v>65歲以上</c:v>
                </c:pt>
              </c:strCache>
            </c:strRef>
          </c:cat>
          <c:val>
            <c:numRef>
              <c:f>'1.3被保險人人數(按性別年齡分)'!$B$19:$B$28</c:f>
              <c:numCache>
                <c:formatCode>#,##0_);[Red]\(#,##0\)</c:formatCode>
                <c:ptCount val="10"/>
                <c:pt idx="0">
                  <c:v>10356</c:v>
                </c:pt>
                <c:pt idx="1">
                  <c:v>22522</c:v>
                </c:pt>
                <c:pt idx="2">
                  <c:v>25408</c:v>
                </c:pt>
                <c:pt idx="3">
                  <c:v>37387</c:v>
                </c:pt>
                <c:pt idx="4">
                  <c:v>40549</c:v>
                </c:pt>
                <c:pt idx="5">
                  <c:v>50254</c:v>
                </c:pt>
                <c:pt idx="6">
                  <c:v>52344</c:v>
                </c:pt>
                <c:pt idx="7">
                  <c:v>32779</c:v>
                </c:pt>
                <c:pt idx="8">
                  <c:v>19643</c:v>
                </c:pt>
                <c:pt idx="9">
                  <c:v>2079</c:v>
                </c:pt>
              </c:numCache>
            </c:numRef>
          </c:val>
          <c:extLst xmlns:c16r2="http://schemas.microsoft.com/office/drawing/2015/06/chart">
            <c:ext xmlns:c16="http://schemas.microsoft.com/office/drawing/2014/chart" uri="{C3380CC4-5D6E-409C-BE32-E72D297353CC}">
              <c16:uniqueId val="{00000000-4847-4191-996B-95E32DDFDABB}"/>
            </c:ext>
          </c:extLst>
        </c:ser>
        <c:ser>
          <c:idx val="1"/>
          <c:order val="1"/>
          <c:tx>
            <c:strRef>
              <c:f>'1.3被保險人人數(按性別年齡分)'!$C$18</c:f>
              <c:strCache>
                <c:ptCount val="1"/>
                <c:pt idx="0">
                  <c:v>女</c:v>
                </c:pt>
              </c:strCache>
            </c:strRef>
          </c:tx>
          <c:spPr>
            <a:pattFill prst="pct50">
              <a:fgClr>
                <a:srgbClr val="C00000"/>
              </a:fgClr>
              <a:bgClr>
                <a:schemeClr val="bg1"/>
              </a:bgClr>
            </a:pattFill>
            <a:ln w="9525">
              <a:noFill/>
              <a:prstDash val="dash"/>
            </a:ln>
          </c:spPr>
          <c:invertIfNegative val="0"/>
          <c:cat>
            <c:strRef>
              <c:f>'1.3被保險人人數(按性別年齡分)'!$A$19:$A$28</c:f>
              <c:strCache>
                <c:ptCount val="10"/>
                <c:pt idx="0">
                  <c:v>未滿25歲</c:v>
                </c:pt>
                <c:pt idx="1">
                  <c:v>25-29歲</c:v>
                </c:pt>
                <c:pt idx="2">
                  <c:v>30-34歲</c:v>
                </c:pt>
                <c:pt idx="3">
                  <c:v>35-39歲</c:v>
                </c:pt>
                <c:pt idx="4">
                  <c:v>40-44歲</c:v>
                </c:pt>
                <c:pt idx="5">
                  <c:v>45-49歲</c:v>
                </c:pt>
                <c:pt idx="6">
                  <c:v>50-54歲</c:v>
                </c:pt>
                <c:pt idx="7">
                  <c:v>55-59歲</c:v>
                </c:pt>
                <c:pt idx="8">
                  <c:v>60-64歲</c:v>
                </c:pt>
                <c:pt idx="9">
                  <c:v>65歲以上</c:v>
                </c:pt>
              </c:strCache>
            </c:strRef>
          </c:cat>
          <c:val>
            <c:numRef>
              <c:f>'1.3被保險人人數(按性別年齡分)'!$C$19:$C$28</c:f>
              <c:numCache>
                <c:formatCode>#,##0_);[Red]\(#,##0\)</c:formatCode>
                <c:ptCount val="10"/>
                <c:pt idx="0">
                  <c:v>4252</c:v>
                </c:pt>
                <c:pt idx="1">
                  <c:v>19447</c:v>
                </c:pt>
                <c:pt idx="2">
                  <c:v>30144</c:v>
                </c:pt>
                <c:pt idx="3">
                  <c:v>45769</c:v>
                </c:pt>
                <c:pt idx="4">
                  <c:v>55263</c:v>
                </c:pt>
                <c:pt idx="5">
                  <c:v>55235</c:v>
                </c:pt>
                <c:pt idx="6">
                  <c:v>51963</c:v>
                </c:pt>
                <c:pt idx="7">
                  <c:v>26928</c:v>
                </c:pt>
                <c:pt idx="8">
                  <c:v>11389</c:v>
                </c:pt>
                <c:pt idx="9">
                  <c:v>635</c:v>
                </c:pt>
              </c:numCache>
            </c:numRef>
          </c:val>
          <c:extLst xmlns:c16r2="http://schemas.microsoft.com/office/drawing/2015/06/chart">
            <c:ext xmlns:c16="http://schemas.microsoft.com/office/drawing/2014/chart" uri="{C3380CC4-5D6E-409C-BE32-E72D297353CC}">
              <c16:uniqueId val="{00000001-4847-4191-996B-95E32DDFDABB}"/>
            </c:ext>
          </c:extLst>
        </c:ser>
        <c:dLbls>
          <c:showLegendKey val="0"/>
          <c:showVal val="0"/>
          <c:showCatName val="0"/>
          <c:showSerName val="0"/>
          <c:showPercent val="0"/>
          <c:showBubbleSize val="0"/>
        </c:dLbls>
        <c:gapWidth val="150"/>
        <c:axId val="282122752"/>
        <c:axId val="281986176"/>
      </c:barChart>
      <c:lineChart>
        <c:grouping val="standard"/>
        <c:varyColors val="0"/>
        <c:ser>
          <c:idx val="2"/>
          <c:order val="2"/>
          <c:tx>
            <c:strRef>
              <c:f>'1.3被保險人人數(按性別年齡分)'!$D$18</c:f>
              <c:strCache>
                <c:ptCount val="1"/>
                <c:pt idx="0">
                  <c:v>合計</c:v>
                </c:pt>
              </c:strCache>
            </c:strRef>
          </c:tx>
          <c:spPr>
            <a:ln w="28575">
              <a:solidFill>
                <a:srgbClr val="00B050"/>
              </a:solidFill>
              <a:prstDash val="solid"/>
            </a:ln>
          </c:spPr>
          <c:marker>
            <c:symbol val="circle"/>
            <c:size val="7"/>
            <c:spPr>
              <a:solidFill>
                <a:schemeClr val="bg1"/>
              </a:solidFill>
              <a:ln w="28575">
                <a:solidFill>
                  <a:srgbClr val="00B050"/>
                </a:solidFill>
                <a:prstDash val="solid"/>
              </a:ln>
            </c:spPr>
          </c:marker>
          <c:dLbls>
            <c:dLbl>
              <c:idx val="0"/>
              <c:layout>
                <c:manualLayout>
                  <c:x val="-4.4458974970785992E-2"/>
                  <c:y val="-6.06598133566637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47-4191-996B-95E32DDFDABB}"/>
                </c:ext>
              </c:extLst>
            </c:dLbl>
            <c:dLbl>
              <c:idx val="5"/>
              <c:layout>
                <c:manualLayout>
                  <c:x val="-4.972315523496626E-2"/>
                  <c:y val="-4.9606299212598438E-2"/>
                </c:manualLayout>
              </c:layout>
              <c:spPr>
                <a:noFill/>
                <a:ln>
                  <a:noFill/>
                </a:ln>
                <a:effectLst/>
              </c:spPr>
              <c:txPr>
                <a:bodyPr/>
                <a:lstStyle/>
                <a:p>
                  <a:pPr>
                    <a:defRPr sz="1000" b="1"/>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47-4191-996B-95E32DDFDABB}"/>
                </c:ext>
              </c:extLst>
            </c:dLbl>
            <c:dLbl>
              <c:idx val="6"/>
              <c:layout>
                <c:manualLayout>
                  <c:x val="-8.7427658499209335E-3"/>
                  <c:y val="4.5132079316161618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47-4191-996B-95E32DDFDABB}"/>
                </c:ext>
              </c:extLst>
            </c:dLbl>
            <c:dLbl>
              <c:idx val="7"/>
              <c:layout>
                <c:manualLayout>
                  <c:x val="-3.9670784158973134E-2"/>
                  <c:y val="-8.38079615048119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47-4191-996B-95E32DDFDABB}"/>
                </c:ext>
              </c:extLst>
            </c:dLbl>
            <c:dLbl>
              <c:idx val="9"/>
              <c:layout>
                <c:manualLayout>
                  <c:x val="-3.3136177033814829E-2"/>
                  <c:y val="-6.06601778944298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847-4191-996B-95E32DDFDABB}"/>
                </c:ext>
              </c:extLst>
            </c:dLbl>
            <c:spPr>
              <a:noFill/>
              <a:ln>
                <a:noFill/>
              </a:ln>
              <a:effectLst/>
            </c:spPr>
            <c:txPr>
              <a:bodyPr/>
              <a:lstStyle/>
              <a:p>
                <a:pPr>
                  <a:defRPr sz="1000"/>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'1.3被保險人人數(按性別年齡分)'!$A$19:$A$28</c:f>
              <c:strCache>
                <c:ptCount val="10"/>
                <c:pt idx="0">
                  <c:v>未滿25歲</c:v>
                </c:pt>
                <c:pt idx="1">
                  <c:v>25-29歲</c:v>
                </c:pt>
                <c:pt idx="2">
                  <c:v>30-34歲</c:v>
                </c:pt>
                <c:pt idx="3">
                  <c:v>35-39歲</c:v>
                </c:pt>
                <c:pt idx="4">
                  <c:v>40-44歲</c:v>
                </c:pt>
                <c:pt idx="5">
                  <c:v>45-49歲</c:v>
                </c:pt>
                <c:pt idx="6">
                  <c:v>50-54歲</c:v>
                </c:pt>
                <c:pt idx="7">
                  <c:v>55-59歲</c:v>
                </c:pt>
                <c:pt idx="8">
                  <c:v>60-64歲</c:v>
                </c:pt>
                <c:pt idx="9">
                  <c:v>65歲以上</c:v>
                </c:pt>
              </c:strCache>
            </c:strRef>
          </c:cat>
          <c:val>
            <c:numRef>
              <c:f>'1.3被保險人人數(按性別年齡分)'!$D$19:$D$28</c:f>
              <c:numCache>
                <c:formatCode>#,##0_ </c:formatCode>
                <c:ptCount val="10"/>
                <c:pt idx="0">
                  <c:v>14608</c:v>
                </c:pt>
                <c:pt idx="1">
                  <c:v>41969</c:v>
                </c:pt>
                <c:pt idx="2">
                  <c:v>55552</c:v>
                </c:pt>
                <c:pt idx="3">
                  <c:v>83156</c:v>
                </c:pt>
                <c:pt idx="4">
                  <c:v>95812</c:v>
                </c:pt>
                <c:pt idx="5">
                  <c:v>105489</c:v>
                </c:pt>
                <c:pt idx="6">
                  <c:v>104307</c:v>
                </c:pt>
                <c:pt idx="7">
                  <c:v>59707</c:v>
                </c:pt>
                <c:pt idx="8">
                  <c:v>31032</c:v>
                </c:pt>
                <c:pt idx="9">
                  <c:v>2714</c:v>
                </c:pt>
              </c:numCache>
            </c:numRef>
          </c:val>
          <c:smooth val="0"/>
          <c:extLst xmlns:c16r2="http://schemas.microsoft.com/office/drawing/2015/06/chart">
            <c:ext xmlns:c16="http://schemas.microsoft.com/office/drawing/2014/chart" uri="{C3380CC4-5D6E-409C-BE32-E72D297353CC}">
              <c16:uniqueId val="{00000007-4847-4191-996B-95E32DDFDABB}"/>
            </c:ext>
          </c:extLst>
        </c:ser>
        <c:dLbls>
          <c:showLegendKey val="0"/>
          <c:showVal val="0"/>
          <c:showCatName val="0"/>
          <c:showSerName val="0"/>
          <c:showPercent val="0"/>
          <c:showBubbleSize val="0"/>
        </c:dLbls>
        <c:marker val="1"/>
        <c:smooth val="0"/>
        <c:axId val="282122752"/>
        <c:axId val="281986176"/>
      </c:lineChart>
      <c:catAx>
        <c:axId val="282122752"/>
        <c:scaling>
          <c:orientation val="minMax"/>
        </c:scaling>
        <c:delete val="0"/>
        <c:axPos val="b"/>
        <c:numFmt formatCode="General" sourceLinked="0"/>
        <c:majorTickMark val="out"/>
        <c:minorTickMark val="none"/>
        <c:tickLblPos val="nextTo"/>
        <c:txPr>
          <a:bodyPr/>
          <a:lstStyle/>
          <a:p>
            <a:pPr>
              <a:defRPr sz="1050" b="0"/>
            </a:pPr>
            <a:endParaRPr lang="zh-TW"/>
          </a:p>
        </c:txPr>
        <c:crossAx val="281986176"/>
        <c:crosses val="autoZero"/>
        <c:auto val="1"/>
        <c:lblAlgn val="ctr"/>
        <c:lblOffset val="100"/>
        <c:noMultiLvlLbl val="0"/>
      </c:catAx>
      <c:valAx>
        <c:axId val="281986176"/>
        <c:scaling>
          <c:orientation val="minMax"/>
        </c:scaling>
        <c:delete val="0"/>
        <c:axPos val="l"/>
        <c:numFmt formatCode="#,##0_);[Red]\(#,##0\)" sourceLinked="1"/>
        <c:majorTickMark val="out"/>
        <c:minorTickMark val="none"/>
        <c:tickLblPos val="nextTo"/>
        <c:crossAx val="282122752"/>
        <c:crosses val="autoZero"/>
        <c:crossBetween val="between"/>
      </c:valAx>
      <c:dTable>
        <c:showHorzBorder val="1"/>
        <c:showVertBorder val="1"/>
        <c:showOutline val="1"/>
        <c:showKeys val="1"/>
        <c:txPr>
          <a:bodyPr/>
          <a:lstStyle/>
          <a:p>
            <a:pPr rtl="0">
              <a:defRPr sz="900"/>
            </a:pPr>
            <a:endParaRPr lang="zh-TW"/>
          </a:p>
        </c:txPr>
      </c:dTable>
    </c:plotArea>
    <c:plotVisOnly val="1"/>
    <c:dispBlanksAs val="gap"/>
    <c:showDLblsOverMax val="0"/>
  </c:chart>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95557367124766"/>
          <c:y val="9.5849672987125781E-2"/>
          <c:w val="0.83000389467445601"/>
          <c:h val="0.78485942229480232"/>
        </c:manualLayout>
      </c:layout>
      <c:barChart>
        <c:barDir val="col"/>
        <c:grouping val="clustered"/>
        <c:varyColors val="0"/>
        <c:ser>
          <c:idx val="0"/>
          <c:order val="0"/>
          <c:spPr>
            <a:solidFill>
              <a:schemeClr val="tx2">
                <a:lumMod val="40000"/>
                <a:lumOff val="60000"/>
              </a:schemeClr>
            </a:solidFill>
            <a:effectLst/>
          </c:spPr>
          <c:invertIfNegative val="0"/>
          <c:dLbls>
            <c:dLbl>
              <c:idx val="0"/>
              <c:tx>
                <c:rich>
                  <a:bodyPr/>
                  <a:lstStyle/>
                  <a:p>
                    <a:r>
                      <a:rPr lang="en-US" altLang="en-US" sz="900">
                        <a:latin typeface="微軟正黑體" pitchFamily="34" charset="-120"/>
                        <a:ea typeface="微軟正黑體" pitchFamily="34" charset="-120"/>
                      </a:rPr>
                      <a:t>35,443</a:t>
                    </a:r>
                  </a:p>
                  <a:p>
                    <a:r>
                      <a:rPr lang="en-US" altLang="zh-TW" sz="900">
                        <a:latin typeface="微軟正黑體" pitchFamily="34" charset="-120"/>
                        <a:ea typeface="微軟正黑體" pitchFamily="34" charset="-120"/>
                      </a:rPr>
                      <a:t>(5.9%)</a:t>
                    </a:r>
                    <a:r>
                      <a:rPr lang="en-US" altLang="en-US" sz="900">
                        <a:latin typeface="微軟正黑體" pitchFamily="34" charset="-120"/>
                        <a:ea typeface="微軟正黑體" pitchFamily="34" charset="-120"/>
                      </a:rPr>
                      <a:t> </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516-4897-B2B1-D0CE5215E632}"/>
                </c:ext>
              </c:extLst>
            </c:dLbl>
            <c:dLbl>
              <c:idx val="1"/>
              <c:tx>
                <c:rich>
                  <a:bodyPr/>
                  <a:lstStyle/>
                  <a:p>
                    <a:r>
                      <a:rPr lang="en-US" altLang="en-US" sz="900">
                        <a:latin typeface="微軟正黑體" pitchFamily="34" charset="-120"/>
                        <a:ea typeface="微軟正黑體" pitchFamily="34" charset="-120"/>
                      </a:rPr>
                      <a:t>126,488</a:t>
                    </a:r>
                  </a:p>
                  <a:p>
                    <a:r>
                      <a:rPr lang="en-US" altLang="zh-TW" sz="900">
                        <a:latin typeface="微軟正黑體" pitchFamily="34" charset="-120"/>
                        <a:ea typeface="微軟正黑體" pitchFamily="34" charset="-120"/>
                      </a:rPr>
                      <a:t>(21.3%)</a:t>
                    </a:r>
                    <a:r>
                      <a:rPr lang="en-US" altLang="en-US" sz="900">
                        <a:latin typeface="微軟正黑體" pitchFamily="34" charset="-120"/>
                        <a:ea typeface="微軟正黑體" pitchFamily="34" charset="-120"/>
                      </a:rPr>
                      <a:t> </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16-4897-B2B1-D0CE5215E632}"/>
                </c:ext>
              </c:extLst>
            </c:dLbl>
            <c:dLbl>
              <c:idx val="2"/>
              <c:tx>
                <c:rich>
                  <a:bodyPr/>
                  <a:lstStyle/>
                  <a:p>
                    <a:r>
                      <a:rPr lang="en-US" altLang="en-US" sz="900">
                        <a:latin typeface="微軟正黑體" pitchFamily="34" charset="-120"/>
                        <a:ea typeface="微軟正黑體" pitchFamily="34" charset="-120"/>
                      </a:rPr>
                      <a:t>135,269</a:t>
                    </a:r>
                  </a:p>
                  <a:p>
                    <a:r>
                      <a:rPr lang="en-US" altLang="zh-TW" sz="900">
                        <a:latin typeface="微軟正黑體" pitchFamily="34" charset="-120"/>
                        <a:ea typeface="微軟正黑體" pitchFamily="34" charset="-120"/>
                      </a:rPr>
                      <a:t>(22.8%)</a:t>
                    </a:r>
                    <a:r>
                      <a:rPr lang="en-US" altLang="en-US" sz="900">
                        <a:latin typeface="微軟正黑體" pitchFamily="34" charset="-120"/>
                        <a:ea typeface="微軟正黑體" pitchFamily="34" charset="-120"/>
                      </a:rPr>
                      <a:t> </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16-4897-B2B1-D0CE5215E632}"/>
                </c:ext>
              </c:extLst>
            </c:dLbl>
            <c:dLbl>
              <c:idx val="3"/>
              <c:tx>
                <c:rich>
                  <a:bodyPr/>
                  <a:lstStyle/>
                  <a:p>
                    <a:r>
                      <a:rPr lang="en-US" altLang="en-US" sz="900">
                        <a:latin typeface="微軟正黑體" pitchFamily="34" charset="-120"/>
                        <a:ea typeface="微軟正黑體" pitchFamily="34" charset="-120"/>
                      </a:rPr>
                      <a:t>258,615</a:t>
                    </a:r>
                  </a:p>
                  <a:p>
                    <a:r>
                      <a:rPr lang="en-US" altLang="zh-TW" sz="900">
                        <a:latin typeface="微軟正黑體" pitchFamily="34" charset="-120"/>
                        <a:ea typeface="微軟正黑體" pitchFamily="34" charset="-120"/>
                      </a:rPr>
                      <a:t>(43.5%)</a:t>
                    </a:r>
                    <a:r>
                      <a:rPr lang="en-US" altLang="en-US" sz="900">
                        <a:latin typeface="微軟正黑體" pitchFamily="34" charset="-120"/>
                        <a:ea typeface="微軟正黑體" pitchFamily="34" charset="-120"/>
                      </a:rPr>
                      <a:t> </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16-4897-B2B1-D0CE5215E632}"/>
                </c:ext>
              </c:extLst>
            </c:dLbl>
            <c:dLbl>
              <c:idx val="4"/>
              <c:tx>
                <c:rich>
                  <a:bodyPr/>
                  <a:lstStyle/>
                  <a:p>
                    <a:r>
                      <a:rPr lang="en-US" altLang="en-US" sz="900">
                        <a:latin typeface="微軟正黑體" pitchFamily="34" charset="-120"/>
                        <a:ea typeface="微軟正黑體" pitchFamily="34" charset="-120"/>
                      </a:rPr>
                      <a:t>38,531</a:t>
                    </a:r>
                  </a:p>
                  <a:p>
                    <a:r>
                      <a:rPr lang="en-US" altLang="zh-TW" sz="900">
                        <a:latin typeface="微軟正黑體" pitchFamily="34" charset="-120"/>
                        <a:ea typeface="微軟正黑體" pitchFamily="34" charset="-120"/>
                      </a:rPr>
                      <a:t>(6.5%)</a:t>
                    </a:r>
                    <a:r>
                      <a:rPr lang="en-US" altLang="en-US" sz="900">
                        <a:latin typeface="微軟正黑體" pitchFamily="34" charset="-120"/>
                        <a:ea typeface="微軟正黑體" pitchFamily="34" charset="-120"/>
                      </a:rPr>
                      <a:t> </a:t>
                    </a:r>
                    <a:endParaRPr lang="en-US" alt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516-4897-B2B1-D0CE5215E632}"/>
                </c:ext>
              </c:extLst>
            </c:dLbl>
            <c:spPr>
              <a:noFill/>
              <a:ln>
                <a:noFill/>
              </a:ln>
              <a:effectLst/>
            </c:spPr>
            <c:txPr>
              <a:bodyPr/>
              <a:lstStyle/>
              <a:p>
                <a:pPr>
                  <a:lnSpc>
                    <a:spcPts val="1300"/>
                  </a:lnSpc>
                  <a:defRPr sz="1000">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'1.2被保險人人數(按保俸分)'!$B$17:$F$17</c:f>
              <c:strCache>
                <c:ptCount val="5"/>
                <c:pt idx="0">
                  <c:v>未達20,000元</c:v>
                </c:pt>
                <c:pt idx="1">
                  <c:v>20,000-29,999元</c:v>
                </c:pt>
                <c:pt idx="2">
                  <c:v>30,000-39,999元</c:v>
                </c:pt>
                <c:pt idx="3">
                  <c:v>40,000-49,999元</c:v>
                </c:pt>
                <c:pt idx="4">
                  <c:v>50,000元以上</c:v>
                </c:pt>
              </c:strCache>
            </c:strRef>
          </c:cat>
          <c:val>
            <c:numRef>
              <c:f>'1.2被保險人人數(按保俸分)'!$B$18:$F$18</c:f>
              <c:numCache>
                <c:formatCode>#,##0_ </c:formatCode>
                <c:ptCount val="5"/>
                <c:pt idx="0">
                  <c:v>35443</c:v>
                </c:pt>
                <c:pt idx="1">
                  <c:v>126488</c:v>
                </c:pt>
                <c:pt idx="2">
                  <c:v>135269</c:v>
                </c:pt>
                <c:pt idx="3">
                  <c:v>258615</c:v>
                </c:pt>
                <c:pt idx="4">
                  <c:v>38531</c:v>
                </c:pt>
              </c:numCache>
            </c:numRef>
          </c:val>
          <c:extLst xmlns:c16r2="http://schemas.microsoft.com/office/drawing/2015/06/chart">
            <c:ext xmlns:c16="http://schemas.microsoft.com/office/drawing/2014/chart" uri="{C3380CC4-5D6E-409C-BE32-E72D297353CC}">
              <c16:uniqueId val="{00000005-D516-4897-B2B1-D0CE5215E632}"/>
            </c:ext>
          </c:extLst>
        </c:ser>
        <c:dLbls>
          <c:showLegendKey val="0"/>
          <c:showVal val="0"/>
          <c:showCatName val="0"/>
          <c:showSerName val="0"/>
          <c:showPercent val="0"/>
          <c:showBubbleSize val="0"/>
        </c:dLbls>
        <c:gapWidth val="150"/>
        <c:axId val="282750976"/>
        <c:axId val="281990208"/>
      </c:barChart>
      <c:catAx>
        <c:axId val="282750976"/>
        <c:scaling>
          <c:orientation val="minMax"/>
        </c:scaling>
        <c:delete val="0"/>
        <c:axPos val="b"/>
        <c:numFmt formatCode="General" sourceLinked="0"/>
        <c:majorTickMark val="out"/>
        <c:minorTickMark val="none"/>
        <c:tickLblPos val="nextTo"/>
        <c:txPr>
          <a:bodyPr/>
          <a:lstStyle/>
          <a:p>
            <a:pPr>
              <a:defRPr sz="1000" b="0">
                <a:latin typeface="+mn-lt"/>
                <a:ea typeface="+mn-ea"/>
              </a:defRPr>
            </a:pPr>
            <a:endParaRPr lang="zh-TW"/>
          </a:p>
        </c:txPr>
        <c:crossAx val="281990208"/>
        <c:crosses val="autoZero"/>
        <c:auto val="1"/>
        <c:lblAlgn val="ctr"/>
        <c:lblOffset val="100"/>
        <c:noMultiLvlLbl val="0"/>
      </c:catAx>
      <c:valAx>
        <c:axId val="281990208"/>
        <c:scaling>
          <c:orientation val="minMax"/>
        </c:scaling>
        <c:delete val="0"/>
        <c:axPos val="l"/>
        <c:numFmt formatCode="#,##0_ " sourceLinked="1"/>
        <c:majorTickMark val="out"/>
        <c:minorTickMark val="none"/>
        <c:tickLblPos val="nextTo"/>
        <c:txPr>
          <a:bodyPr/>
          <a:lstStyle/>
          <a:p>
            <a:pPr>
              <a:defRPr sz="900">
                <a:latin typeface="微軟正黑體" panose="020B0604030504040204" pitchFamily="34" charset="-120"/>
                <a:ea typeface="微軟正黑體" panose="020B0604030504040204" pitchFamily="34" charset="-120"/>
              </a:defRPr>
            </a:pPr>
            <a:endParaRPr lang="zh-TW"/>
          </a:p>
        </c:txPr>
        <c:crossAx val="282750976"/>
        <c:crosses val="autoZero"/>
        <c:crossBetween val="between"/>
      </c:valAx>
    </c:plotArea>
    <c:plotVisOnly val="1"/>
    <c:dispBlanksAs val="gap"/>
    <c:showDLblsOverMax val="0"/>
  </c:chart>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75931868813033"/>
          <c:y val="5.6617615836332784E-2"/>
          <c:w val="0.80563018890442117"/>
          <c:h val="0.82364060372806902"/>
        </c:manualLayout>
      </c:layout>
      <c:lineChart>
        <c:grouping val="standard"/>
        <c:varyColors val="0"/>
        <c:ser>
          <c:idx val="0"/>
          <c:order val="0"/>
          <c:dLbls>
            <c:dLbl>
              <c:idx val="0"/>
              <c:layout>
                <c:manualLayout>
                  <c:x val="-3.2958551199652651E-2"/>
                  <c:y val="5.17026605487237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F2-447C-9F53-2C0D2B3B4FEE}"/>
                </c:ext>
              </c:extLst>
            </c:dLbl>
            <c:dLbl>
              <c:idx val="1"/>
              <c:layout>
                <c:manualLayout>
                  <c:x val="-7.5673395148459138E-2"/>
                  <c:y val="-4.4021214165947363E-2"/>
                </c:manualLayout>
              </c:layout>
              <c:spPr>
                <a:noFill/>
                <a:ln>
                  <a:noFill/>
                </a:ln>
                <a:effectLst/>
              </c:spPr>
              <c:txPr>
                <a:bodyPr/>
                <a:lstStyle/>
                <a:p>
                  <a:pPr>
                    <a:defRPr sz="1050" b="1"/>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F2-447C-9F53-2C0D2B3B4FEE}"/>
                </c:ext>
              </c:extLst>
            </c:dLbl>
            <c:dLbl>
              <c:idx val="2"/>
              <c:layout>
                <c:manualLayout>
                  <c:x val="-6.0806125869780299E-2"/>
                  <c:y val="-5.65013724429484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5F2-447C-9F53-2C0D2B3B4FEE}"/>
                </c:ext>
              </c:extLst>
            </c:dLbl>
            <c:dLbl>
              <c:idx val="3"/>
              <c:layout>
                <c:manualLayout>
                  <c:x val="-5.6424934354919722E-2"/>
                  <c:y val="-5.09286996064538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F2-447C-9F53-2C0D2B3B4FEE}"/>
                </c:ext>
              </c:extLst>
            </c:dLbl>
            <c:dLbl>
              <c:idx val="4"/>
              <c:layout>
                <c:manualLayout>
                  <c:x val="-5.8919113959016972E-2"/>
                  <c:y val="-5.594392369294624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5F2-447C-9F53-2C0D2B3B4FEE}"/>
                </c:ext>
              </c:extLst>
            </c:dLbl>
            <c:dLbl>
              <c:idx val="5"/>
              <c:layout>
                <c:manualLayout>
                  <c:x val="-5.29925416799314E-2"/>
                  <c:y val="-5.02974700504947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F2-447C-9F53-2C0D2B3B4FEE}"/>
                </c:ext>
              </c:extLst>
            </c:dLbl>
            <c:dLbl>
              <c:idx val="6"/>
              <c:layout>
                <c:manualLayout>
                  <c:x val="-4.4153051228258848E-2"/>
                  <c:y val="-5.762066065363125E-2"/>
                </c:manualLayout>
              </c:layout>
              <c:dLblPos val="r"/>
              <c:showLegendKey val="0"/>
              <c:showVal val="1"/>
              <c:showCatName val="0"/>
              <c:showSerName val="0"/>
              <c:showPercent val="0"/>
              <c:showBubbleSize val="0"/>
            </c:dLbl>
            <c:dLbl>
              <c:idx val="7"/>
              <c:layout>
                <c:manualLayout>
                  <c:x val="-6.2630022186475204E-3"/>
                  <c:y val="3.3013769653665821E-2"/>
                </c:manualLayout>
              </c:layout>
              <c:dLblPos val="r"/>
              <c:showLegendKey val="0"/>
              <c:showVal val="1"/>
              <c:showCatName val="0"/>
              <c:showSerName val="0"/>
              <c:showPercent val="0"/>
              <c:showBubbleSize val="0"/>
            </c:dLbl>
            <c:dLbl>
              <c:idx val="8"/>
              <c:layout>
                <c:manualLayout>
                  <c:x val="-6.1933294559943675E-2"/>
                  <c:y val="-4.8552935681312206E-2"/>
                </c:manualLayout>
              </c:layout>
              <c:spPr>
                <a:noFill/>
                <a:ln>
                  <a:noFill/>
                </a:ln>
                <a:effectLst/>
              </c:spPr>
              <c:txPr>
                <a:bodyPr/>
                <a:lstStyle/>
                <a:p>
                  <a:pPr>
                    <a:defRPr sz="1050" b="1"/>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5F2-447C-9F53-2C0D2B3B4FEE}"/>
                </c:ext>
              </c:extLst>
            </c:dLbl>
            <c:dLbl>
              <c:idx val="9"/>
              <c:layout>
                <c:manualLayout>
                  <c:x val="-5.4022540279456223E-2"/>
                  <c:y val="-5.76160218835761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F2-447C-9F53-2C0D2B3B4FEE}"/>
                </c:ext>
              </c:extLst>
            </c:dLbl>
            <c:dLbl>
              <c:idx val="10"/>
              <c:layout>
                <c:manualLayout>
                  <c:x val="-1.8185117546902635E-3"/>
                  <c:y val="-6.6684103684360951E-2"/>
                </c:manualLayout>
              </c:layout>
              <c:dLblPos val="r"/>
              <c:showLegendKey val="0"/>
              <c:showVal val="1"/>
              <c:showCatName val="0"/>
              <c:showSerName val="0"/>
              <c:showPercent val="0"/>
              <c:showBubbleSize val="0"/>
            </c:dLbl>
            <c:spPr>
              <a:noFill/>
              <a:ln>
                <a:noFill/>
              </a:ln>
              <a:effectLst/>
            </c:spPr>
            <c:txPr>
              <a:bodyPr/>
              <a:lstStyle/>
              <a:p>
                <a:pPr>
                  <a:defRPr sz="1050"/>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'[公保(109年).xlsx]被保險人平均保俸'!$A$5:$A$15</c:f>
              <c:strCache>
                <c:ptCount val="11"/>
                <c:pt idx="0">
                  <c:v>99年</c:v>
                </c:pt>
                <c:pt idx="1">
                  <c:v>100年</c:v>
                </c:pt>
                <c:pt idx="2">
                  <c:v>101年</c:v>
                </c:pt>
                <c:pt idx="3">
                  <c:v>102年</c:v>
                </c:pt>
                <c:pt idx="4">
                  <c:v>103年</c:v>
                </c:pt>
                <c:pt idx="5">
                  <c:v>104年</c:v>
                </c:pt>
                <c:pt idx="6">
                  <c:v>105年</c:v>
                </c:pt>
                <c:pt idx="7">
                  <c:v>106年</c:v>
                </c:pt>
                <c:pt idx="8">
                  <c:v>107年</c:v>
                </c:pt>
                <c:pt idx="9">
                  <c:v>108年</c:v>
                </c:pt>
                <c:pt idx="10">
                  <c:v>109年</c:v>
                </c:pt>
              </c:strCache>
            </c:strRef>
          </c:cat>
          <c:val>
            <c:numRef>
              <c:f>'[公保(109年).xlsx]被保險人平均保俸'!$B$5:$B$15</c:f>
              <c:numCache>
                <c:formatCode>#,##0_ </c:formatCode>
                <c:ptCount val="11"/>
                <c:pt idx="0">
                  <c:v>33814</c:v>
                </c:pt>
                <c:pt idx="1">
                  <c:v>35109</c:v>
                </c:pt>
                <c:pt idx="2">
                  <c:v>35256</c:v>
                </c:pt>
                <c:pt idx="3">
                  <c:v>35476</c:v>
                </c:pt>
                <c:pt idx="4">
                  <c:v>35765</c:v>
                </c:pt>
                <c:pt idx="5">
                  <c:v>35902</c:v>
                </c:pt>
                <c:pt idx="6">
                  <c:v>36024</c:v>
                </c:pt>
                <c:pt idx="7">
                  <c:v>35965</c:v>
                </c:pt>
                <c:pt idx="8" formatCode="#,##0">
                  <c:v>37128</c:v>
                </c:pt>
                <c:pt idx="9" formatCode="#,##0">
                  <c:v>37254</c:v>
                </c:pt>
                <c:pt idx="10" formatCode="#,##0">
                  <c:v>37401</c:v>
                </c:pt>
              </c:numCache>
            </c:numRef>
          </c:val>
          <c:smooth val="0"/>
          <c:extLst xmlns:c16r2="http://schemas.microsoft.com/office/drawing/2015/06/chart">
            <c:ext xmlns:c16="http://schemas.microsoft.com/office/drawing/2014/chart" uri="{C3380CC4-5D6E-409C-BE32-E72D297353CC}">
              <c16:uniqueId val="{00000008-95F2-447C-9F53-2C0D2B3B4FEE}"/>
            </c:ext>
          </c:extLst>
        </c:ser>
        <c:dLbls>
          <c:showLegendKey val="0"/>
          <c:showVal val="0"/>
          <c:showCatName val="0"/>
          <c:showSerName val="0"/>
          <c:showPercent val="0"/>
          <c:showBubbleSize val="0"/>
        </c:dLbls>
        <c:marker val="1"/>
        <c:smooth val="0"/>
        <c:axId val="282753024"/>
        <c:axId val="281987328"/>
      </c:lineChart>
      <c:catAx>
        <c:axId val="282753024"/>
        <c:scaling>
          <c:orientation val="minMax"/>
        </c:scaling>
        <c:delete val="0"/>
        <c:axPos val="b"/>
        <c:numFmt formatCode="General" sourceLinked="0"/>
        <c:majorTickMark val="out"/>
        <c:minorTickMark val="none"/>
        <c:tickLblPos val="nextTo"/>
        <c:txPr>
          <a:bodyPr/>
          <a:lstStyle/>
          <a:p>
            <a:pPr>
              <a:defRPr sz="1100"/>
            </a:pPr>
            <a:endParaRPr lang="zh-TW"/>
          </a:p>
        </c:txPr>
        <c:crossAx val="281987328"/>
        <c:crosses val="autoZero"/>
        <c:auto val="1"/>
        <c:lblAlgn val="ctr"/>
        <c:lblOffset val="100"/>
        <c:noMultiLvlLbl val="0"/>
      </c:catAx>
      <c:valAx>
        <c:axId val="281987328"/>
        <c:scaling>
          <c:orientation val="minMax"/>
        </c:scaling>
        <c:delete val="0"/>
        <c:axPos val="l"/>
        <c:numFmt formatCode="#,##0_ " sourceLinked="1"/>
        <c:majorTickMark val="out"/>
        <c:minorTickMark val="none"/>
        <c:tickLblPos val="nextTo"/>
        <c:txPr>
          <a:bodyPr/>
          <a:lstStyle/>
          <a:p>
            <a:pPr>
              <a:defRPr sz="1100"/>
            </a:pPr>
            <a:endParaRPr lang="zh-TW"/>
          </a:p>
        </c:txPr>
        <c:crossAx val="282753024"/>
        <c:crosses val="autoZero"/>
        <c:crossBetween val="between"/>
      </c:valAx>
    </c:plotArea>
    <c:plotVisOnly val="1"/>
    <c:dispBlanksAs val="gap"/>
    <c:showDLblsOverMax val="0"/>
  </c:chart>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59961385352644"/>
          <c:y val="3.0420353982300884E-2"/>
          <c:w val="0.80150635522303593"/>
          <c:h val="0.48524297087310991"/>
        </c:manualLayout>
      </c:layout>
      <c:barChart>
        <c:barDir val="bar"/>
        <c:grouping val="stacked"/>
        <c:varyColors val="0"/>
        <c:ser>
          <c:idx val="0"/>
          <c:order val="0"/>
          <c:tx>
            <c:strRef>
              <c:f>'2.1給付金額(含一次金、年金)(按給付項目分)'!$C$18</c:f>
              <c:strCache>
                <c:ptCount val="1"/>
                <c:pt idx="0">
                  <c:v>養老給付</c:v>
                </c:pt>
              </c:strCache>
            </c:strRef>
          </c:tx>
          <c:spPr>
            <a:solidFill>
              <a:schemeClr val="accent6"/>
            </a:solidFill>
            <a:ln>
              <a:noFill/>
            </a:ln>
          </c:spPr>
          <c:invertIfNegative val="0"/>
          <c:cat>
            <c:strRef>
              <c:f>'2.1給付金額(含一次金、年金)(按給付項目分)'!$A$22:$A$31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'2.1給付金額(含一次金、年金)(按給付項目分)'!$C$22:$C$31</c:f>
              <c:numCache>
                <c:formatCode>#,##0.0_ </c:formatCode>
                <c:ptCount val="10"/>
                <c:pt idx="0">
                  <c:v>239.27578</c:v>
                </c:pt>
                <c:pt idx="1">
                  <c:v>251.42385999999999</c:v>
                </c:pt>
                <c:pt idx="2">
                  <c:v>232.76649</c:v>
                </c:pt>
                <c:pt idx="3">
                  <c:v>208.65514999999999</c:v>
                </c:pt>
                <c:pt idx="4">
                  <c:v>289.76625000000001</c:v>
                </c:pt>
                <c:pt idx="5">
                  <c:v>259.09044</c:v>
                </c:pt>
                <c:pt idx="6">
                  <c:v>210.45385999999999</c:v>
                </c:pt>
                <c:pt idx="7">
                  <c:v>193.17586</c:v>
                </c:pt>
                <c:pt idx="8">
                  <c:v>207.74112</c:v>
                </c:pt>
                <c:pt idx="9">
                  <c:v>182.71186</c:v>
                </c:pt>
              </c:numCache>
            </c:numRef>
          </c:val>
          <c:extLst xmlns:c16r2="http://schemas.microsoft.com/office/drawing/2015/06/chart">
            <c:ext xmlns:c16="http://schemas.microsoft.com/office/drawing/2014/chart" uri="{C3380CC4-5D6E-409C-BE32-E72D297353CC}">
              <c16:uniqueId val="{00000000-6FD9-4EFE-9AE1-3C5D8CB8400D}"/>
            </c:ext>
          </c:extLst>
        </c:ser>
        <c:ser>
          <c:idx val="1"/>
          <c:order val="1"/>
          <c:tx>
            <c:strRef>
              <c:f>'2.1給付金額(含一次金、年金)(按給付項目分)'!$D$18</c:f>
              <c:strCache>
                <c:ptCount val="1"/>
                <c:pt idx="0">
                  <c:v>眷屬喪葬
津貼</c:v>
                </c:pt>
              </c:strCache>
            </c:strRef>
          </c:tx>
          <c:spPr>
            <a:solidFill>
              <a:schemeClr val="accent3">
                <a:lumMod val="60000"/>
                <a:lumOff val="40000"/>
              </a:schemeClr>
            </a:solidFill>
          </c:spPr>
          <c:invertIfNegative val="0"/>
          <c:cat>
            <c:strRef>
              <c:f>'2.1給付金額(含一次金、年金)(按給付項目分)'!$A$22:$A$31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'2.1給付金額(含一次金、年金)(按給付項目分)'!$D$22:$D$31</c:f>
              <c:numCache>
                <c:formatCode>#,##0.0_ </c:formatCode>
                <c:ptCount val="10"/>
                <c:pt idx="0">
                  <c:v>17.060880000000001</c:v>
                </c:pt>
                <c:pt idx="1">
                  <c:v>17.39988</c:v>
                </c:pt>
                <c:pt idx="2">
                  <c:v>17.559750000000001</c:v>
                </c:pt>
                <c:pt idx="3">
                  <c:v>18.349699999999999</c:v>
                </c:pt>
                <c:pt idx="4">
                  <c:v>17.754809999999999</c:v>
                </c:pt>
                <c:pt idx="5">
                  <c:v>18.388960000000001</c:v>
                </c:pt>
                <c:pt idx="6">
                  <c:v>17.967849999999999</c:v>
                </c:pt>
                <c:pt idx="7">
                  <c:v>18.614599999999999</c:v>
                </c:pt>
                <c:pt idx="8">
                  <c:v>18.55865</c:v>
                </c:pt>
                <c:pt idx="9">
                  <c:v>18.703810000000001</c:v>
                </c:pt>
              </c:numCache>
            </c:numRef>
          </c:val>
          <c:extLst xmlns:c16r2="http://schemas.microsoft.com/office/drawing/2015/06/chart">
            <c:ext xmlns:c16="http://schemas.microsoft.com/office/drawing/2014/chart" uri="{C3380CC4-5D6E-409C-BE32-E72D297353CC}">
              <c16:uniqueId val="{00000001-6FD9-4EFE-9AE1-3C5D8CB8400D}"/>
            </c:ext>
          </c:extLst>
        </c:ser>
        <c:ser>
          <c:idx val="2"/>
          <c:order val="2"/>
          <c:tx>
            <c:strRef>
              <c:f>'2.1給付金額(含一次金、年金)(按給付項目分)'!$E$18</c:f>
              <c:strCache>
                <c:ptCount val="1"/>
                <c:pt idx="0">
                  <c:v>死亡給付</c:v>
                </c:pt>
              </c:strCache>
            </c:strRef>
          </c:tx>
          <c:spPr>
            <a:solidFill>
              <a:srgbClr val="7030A0"/>
            </a:solidFill>
          </c:spPr>
          <c:invertIfNegative val="0"/>
          <c:cat>
            <c:strRef>
              <c:f>'2.1給付金額(含一次金、年金)(按給付項目分)'!$A$22:$A$31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'2.1給付金額(含一次金、年金)(按給付項目分)'!$E$22:$E$31</c:f>
              <c:numCache>
                <c:formatCode>#,##0.0_ </c:formatCode>
                <c:ptCount val="10"/>
                <c:pt idx="0">
                  <c:v>6.4331399999999999</c:v>
                </c:pt>
                <c:pt idx="1">
                  <c:v>6.2174899999999997</c:v>
                </c:pt>
                <c:pt idx="2">
                  <c:v>6.4359900000000003</c:v>
                </c:pt>
                <c:pt idx="3">
                  <c:v>6.8120200000000004</c:v>
                </c:pt>
                <c:pt idx="4">
                  <c:v>6.1953899999999997</c:v>
                </c:pt>
                <c:pt idx="5">
                  <c:v>6.4993499999999997</c:v>
                </c:pt>
                <c:pt idx="6">
                  <c:v>6.3117900000000002</c:v>
                </c:pt>
                <c:pt idx="7">
                  <c:v>6.61151</c:v>
                </c:pt>
                <c:pt idx="8">
                  <c:v>6.7800599999999998</c:v>
                </c:pt>
                <c:pt idx="9">
                  <c:v>5.82029</c:v>
                </c:pt>
              </c:numCache>
            </c:numRef>
          </c:val>
          <c:extLst xmlns:c16r2="http://schemas.microsoft.com/office/drawing/2015/06/chart">
            <c:ext xmlns:c16="http://schemas.microsoft.com/office/drawing/2014/chart" uri="{C3380CC4-5D6E-409C-BE32-E72D297353CC}">
              <c16:uniqueId val="{00000002-6FD9-4EFE-9AE1-3C5D8CB8400D}"/>
            </c:ext>
          </c:extLst>
        </c:ser>
        <c:ser>
          <c:idx val="3"/>
          <c:order val="3"/>
          <c:tx>
            <c:strRef>
              <c:f>'2.1給付金額(含一次金、年金)(按給付項目分)'!$F$18</c:f>
              <c:strCache>
                <c:ptCount val="1"/>
                <c:pt idx="0">
                  <c:v>失能給付</c:v>
                </c:pt>
              </c:strCache>
            </c:strRef>
          </c:tx>
          <c:spPr>
            <a:solidFill>
              <a:schemeClr val="accent1">
                <a:lumMod val="60000"/>
                <a:lumOff val="40000"/>
              </a:schemeClr>
            </a:solidFill>
          </c:spPr>
          <c:invertIfNegative val="0"/>
          <c:cat>
            <c:strRef>
              <c:f>'2.1給付金額(含一次金、年金)(按給付項目分)'!$A$22:$A$31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'2.1給付金額(含一次金、年金)(按給付項目分)'!$F$22:$F$31</c:f>
              <c:numCache>
                <c:formatCode>#,##0.0_ </c:formatCode>
                <c:ptCount val="10"/>
                <c:pt idx="0">
                  <c:v>3.3749699999999998</c:v>
                </c:pt>
                <c:pt idx="1">
                  <c:v>3.6134400000000002</c:v>
                </c:pt>
                <c:pt idx="2">
                  <c:v>3.2025199999999998</c:v>
                </c:pt>
                <c:pt idx="3">
                  <c:v>3.2776100000000001</c:v>
                </c:pt>
                <c:pt idx="4">
                  <c:v>3.0271300000000001</c:v>
                </c:pt>
                <c:pt idx="5">
                  <c:v>3.2441300000000002</c:v>
                </c:pt>
                <c:pt idx="6">
                  <c:v>3.1368399999999999</c:v>
                </c:pt>
                <c:pt idx="7">
                  <c:v>2.94712</c:v>
                </c:pt>
                <c:pt idx="8">
                  <c:v>3.2643900000000001</c:v>
                </c:pt>
                <c:pt idx="9">
                  <c:v>2.8643100000000001</c:v>
                </c:pt>
              </c:numCache>
            </c:numRef>
          </c:val>
          <c:extLst xmlns:c16r2="http://schemas.microsoft.com/office/drawing/2015/06/chart">
            <c:ext xmlns:c16="http://schemas.microsoft.com/office/drawing/2014/chart" uri="{C3380CC4-5D6E-409C-BE32-E72D297353CC}">
              <c16:uniqueId val="{00000003-6FD9-4EFE-9AE1-3C5D8CB8400D}"/>
            </c:ext>
          </c:extLst>
        </c:ser>
        <c:ser>
          <c:idx val="4"/>
          <c:order val="4"/>
          <c:tx>
            <c:strRef>
              <c:f>'2.1給付金額(含一次金、年金)(按給付項目分)'!$G$18</c:f>
              <c:strCache>
                <c:ptCount val="1"/>
                <c:pt idx="0">
                  <c:v>育嬰留職
停薪津貼</c:v>
                </c:pt>
              </c:strCache>
            </c:strRef>
          </c:tx>
          <c:spPr>
            <a:solidFill>
              <a:schemeClr val="accent6">
                <a:lumMod val="40000"/>
                <a:lumOff val="60000"/>
              </a:schemeClr>
            </a:solidFill>
          </c:spPr>
          <c:invertIfNegative val="0"/>
          <c:cat>
            <c:strRef>
              <c:f>'2.1給付金額(含一次金、年金)(按給付項目分)'!$A$22:$A$31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'2.1給付金額(含一次金、年金)(按給付項目分)'!$G$22:$G$31</c:f>
              <c:numCache>
                <c:formatCode>#,##0.0_ </c:formatCode>
                <c:ptCount val="10"/>
                <c:pt idx="0">
                  <c:v>3.3357800000000002</c:v>
                </c:pt>
                <c:pt idx="1">
                  <c:v>3.7808000000000002</c:v>
                </c:pt>
                <c:pt idx="2">
                  <c:v>4.0765900000000004</c:v>
                </c:pt>
                <c:pt idx="3">
                  <c:v>4.4479199999999999</c:v>
                </c:pt>
                <c:pt idx="4">
                  <c:v>4.9787699999999999</c:v>
                </c:pt>
                <c:pt idx="5">
                  <c:v>5.2007000000000003</c:v>
                </c:pt>
                <c:pt idx="6">
                  <c:v>5.3411200000000001</c:v>
                </c:pt>
                <c:pt idx="7">
                  <c:v>5.3256500000000004</c:v>
                </c:pt>
                <c:pt idx="8">
                  <c:v>5.1485000000000003</c:v>
                </c:pt>
                <c:pt idx="9">
                  <c:v>4.9100799999999998</c:v>
                </c:pt>
              </c:numCache>
            </c:numRef>
          </c:val>
          <c:extLst xmlns:c16r2="http://schemas.microsoft.com/office/drawing/2015/06/chart">
            <c:ext xmlns:c16="http://schemas.microsoft.com/office/drawing/2014/chart" uri="{C3380CC4-5D6E-409C-BE32-E72D297353CC}">
              <c16:uniqueId val="{00000004-6FD9-4EFE-9AE1-3C5D8CB8400D}"/>
            </c:ext>
          </c:extLst>
        </c:ser>
        <c:ser>
          <c:idx val="5"/>
          <c:order val="5"/>
          <c:tx>
            <c:strRef>
              <c:f>'2.1給付金額(含一次金、年金)(按給付項目分)'!$H$18</c:f>
              <c:strCache>
                <c:ptCount val="1"/>
                <c:pt idx="0">
                  <c:v>生育給付</c:v>
                </c:pt>
              </c:strCache>
            </c:strRef>
          </c:tx>
          <c:spPr>
            <a:solidFill>
              <a:schemeClr val="accent2">
                <a:lumMod val="60000"/>
                <a:lumOff val="40000"/>
              </a:schemeClr>
            </a:solidFill>
          </c:spPr>
          <c:invertIfNegative val="0"/>
          <c:cat>
            <c:strRef>
              <c:f>'2.1給付金額(含一次金、年金)(按給付項目分)'!$A$22:$A$31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'2.1給付金額(含一次金、年金)(按給付項目分)'!$H$22:$H$31</c:f>
              <c:numCache>
                <c:formatCode>General</c:formatCode>
                <c:ptCount val="10"/>
                <c:pt idx="3" formatCode="#,##0.0_ ">
                  <c:v>2.6851799999999999</c:v>
                </c:pt>
                <c:pt idx="4" formatCode="#,##0.0_ ">
                  <c:v>6.1056499999999998</c:v>
                </c:pt>
                <c:pt idx="5" formatCode="#,##0.0_ ">
                  <c:v>6.0819000000000001</c:v>
                </c:pt>
                <c:pt idx="6" formatCode="#,##0.0_ ">
                  <c:v>5.7959699999999996</c:v>
                </c:pt>
                <c:pt idx="7" formatCode="#,##0.0_ ">
                  <c:v>5.4386200000000002</c:v>
                </c:pt>
                <c:pt idx="8" formatCode="#,##0.0_ ">
                  <c:v>5.0580299999999996</c:v>
                </c:pt>
                <c:pt idx="9" formatCode="#,##0.0_ ">
                  <c:v>4.7202700000000002</c:v>
                </c:pt>
              </c:numCache>
            </c:numRef>
          </c:val>
          <c:extLst xmlns:c16r2="http://schemas.microsoft.com/office/drawing/2015/06/chart">
            <c:ext xmlns:c16="http://schemas.microsoft.com/office/drawing/2014/chart" uri="{C3380CC4-5D6E-409C-BE32-E72D297353CC}">
              <c16:uniqueId val="{00000005-6FD9-4EFE-9AE1-3C5D8CB8400D}"/>
            </c:ext>
          </c:extLst>
        </c:ser>
        <c:dLbls>
          <c:showLegendKey val="0"/>
          <c:showVal val="0"/>
          <c:showCatName val="0"/>
          <c:showSerName val="0"/>
          <c:showPercent val="0"/>
          <c:showBubbleSize val="0"/>
        </c:dLbls>
        <c:gapWidth val="150"/>
        <c:overlap val="100"/>
        <c:axId val="282754048"/>
        <c:axId val="281989056"/>
      </c:barChart>
      <c:catAx>
        <c:axId val="282754048"/>
        <c:scaling>
          <c:orientation val="minMax"/>
        </c:scaling>
        <c:delete val="0"/>
        <c:axPos val="l"/>
        <c:numFmt formatCode="General" sourceLinked="0"/>
        <c:majorTickMark val="out"/>
        <c:minorTickMark val="none"/>
        <c:tickLblPos val="nextTo"/>
        <c:txPr>
          <a:bodyPr/>
          <a:lstStyle/>
          <a:p>
            <a:pPr>
              <a:defRPr sz="1100"/>
            </a:pPr>
            <a:endParaRPr lang="zh-TW"/>
          </a:p>
        </c:txPr>
        <c:crossAx val="281989056"/>
        <c:crosses val="autoZero"/>
        <c:auto val="1"/>
        <c:lblAlgn val="ctr"/>
        <c:lblOffset val="100"/>
        <c:noMultiLvlLbl val="0"/>
      </c:catAx>
      <c:valAx>
        <c:axId val="281989056"/>
        <c:scaling>
          <c:orientation val="minMax"/>
        </c:scaling>
        <c:delete val="0"/>
        <c:axPos val="b"/>
        <c:majorGridlines/>
        <c:numFmt formatCode="#,##0.0_ " sourceLinked="1"/>
        <c:majorTickMark val="out"/>
        <c:minorTickMark val="none"/>
        <c:tickLblPos val="nextTo"/>
        <c:crossAx val="282754048"/>
        <c:crosses val="autoZero"/>
        <c:crossBetween val="between"/>
      </c:valAx>
      <c:dTable>
        <c:showHorzBorder val="1"/>
        <c:showVertBorder val="1"/>
        <c:showOutline val="1"/>
        <c:showKeys val="1"/>
        <c:txPr>
          <a:bodyPr/>
          <a:lstStyle/>
          <a:p>
            <a:pPr rtl="0">
              <a:defRPr sz="1100"/>
            </a:pPr>
            <a:endParaRPr lang="zh-TW"/>
          </a:p>
        </c:txPr>
      </c:dTable>
    </c:plotArea>
    <c:plotVisOnly val="1"/>
    <c:dispBlanksAs val="gap"/>
    <c:showDLblsOverMax val="0"/>
  </c:chart>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24146981627297"/>
          <c:y val="0.13527655928822047"/>
          <c:w val="0.86320287741810053"/>
          <c:h val="0.76531315938448874"/>
        </c:manualLayout>
      </c:layout>
      <c:barChart>
        <c:barDir val="bar"/>
        <c:grouping val="percentStacked"/>
        <c:varyColors val="0"/>
        <c:ser>
          <c:idx val="0"/>
          <c:order val="0"/>
          <c:tx>
            <c:strRef>
              <c:f>'2.1給付金額(含一次金、年金)(按給付項目分)'!$B$34</c:f>
              <c:strCache>
                <c:ptCount val="1"/>
                <c:pt idx="0">
                  <c:v>養老給付</c:v>
                </c:pt>
              </c:strCache>
            </c:strRef>
          </c:tx>
          <c:spPr>
            <a:solidFill>
              <a:schemeClr val="tx2">
                <a:lumMod val="40000"/>
                <a:lumOff val="60000"/>
              </a:schemeClr>
            </a:solidFill>
            <a:ln>
              <a:solidFill>
                <a:schemeClr val="bg1">
                  <a:lumMod val="50000"/>
                </a:schemeClr>
              </a:solidFill>
              <a:prstDash val="solid"/>
            </a:ln>
          </c:spPr>
          <c:invertIfNegative val="0"/>
          <c:dLbls>
            <c:spPr>
              <a:noFill/>
              <a:ln>
                <a:noFill/>
              </a:ln>
              <a:effectLst/>
            </c:spPr>
            <c:txPr>
              <a:bodyPr/>
              <a:lstStyle/>
              <a:p>
                <a:pPr>
                  <a:defRPr b="1"/>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'2.1給付金額(含一次金、年金)(按給付項目分)'!$A$38:$A$47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'2.1給付金額(含一次金、年金)(按給付項目分)'!$B$38:$B$47</c:f>
              <c:numCache>
                <c:formatCode>#,##0.0_ </c:formatCode>
                <c:ptCount val="10"/>
                <c:pt idx="0">
                  <c:v>88.791484209157218</c:v>
                </c:pt>
                <c:pt idx="1">
                  <c:v>89.019933970047532</c:v>
                </c:pt>
                <c:pt idx="2">
                  <c:v>88.155320678193803</c:v>
                </c:pt>
                <c:pt idx="3">
                  <c:v>85.434720353860115</c:v>
                </c:pt>
                <c:pt idx="4">
                  <c:v>88.389719609063292</c:v>
                </c:pt>
                <c:pt idx="5">
                  <c:v>86.795876805875622</c:v>
                </c:pt>
                <c:pt idx="6">
                  <c:v>84.517097159827841</c:v>
                </c:pt>
                <c:pt idx="7">
                  <c:v>83.224798712559988</c:v>
                </c:pt>
                <c:pt idx="8">
                  <c:v>84.258972412737435</c:v>
                </c:pt>
                <c:pt idx="9">
                  <c:v>83.152662109632232</c:v>
                </c:pt>
              </c:numCache>
            </c:numRef>
          </c:val>
          <c:extLst xmlns:c16r2="http://schemas.microsoft.com/office/drawing/2015/06/chart">
            <c:ext xmlns:c16="http://schemas.microsoft.com/office/drawing/2014/chart" uri="{C3380CC4-5D6E-409C-BE32-E72D297353CC}">
              <c16:uniqueId val="{00000000-61A5-437F-B650-C4215E1EC84E}"/>
            </c:ext>
          </c:extLst>
        </c:ser>
        <c:ser>
          <c:idx val="1"/>
          <c:order val="1"/>
          <c:tx>
            <c:strRef>
              <c:f>'2.1給付金額(含一次金、年金)(按給付項目分)'!$C$34</c:f>
              <c:strCache>
                <c:ptCount val="1"/>
                <c:pt idx="0">
                  <c:v>眷屬喪葬津貼</c:v>
                </c:pt>
              </c:strCache>
            </c:strRef>
          </c:tx>
          <c:spPr>
            <a:pattFill prst="wdUpDiag">
              <a:fgClr>
                <a:srgbClr val="00B0F0"/>
              </a:fgClr>
              <a:bgClr>
                <a:schemeClr val="bg1"/>
              </a:bgClr>
            </a:pattFill>
            <a:ln>
              <a:solidFill>
                <a:schemeClr val="bg1">
                  <a:lumMod val="50000"/>
                </a:schemeClr>
              </a:solidFill>
            </a:ln>
          </c:spPr>
          <c:invertIfNegative val="0"/>
          <c:dLbls>
            <c:spPr>
              <a:noFill/>
              <a:ln>
                <a:noFill/>
              </a:ln>
              <a:effectLst/>
            </c:spPr>
            <c:txPr>
              <a:bodyPr/>
              <a:lstStyle/>
              <a:p>
                <a:pPr>
                  <a:defRPr b="1"/>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'2.1給付金額(含一次金、年金)(按給付項目分)'!$A$38:$A$47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'2.1給付金額(含一次金、年金)(按給付項目分)'!$C$38:$C$47</c:f>
              <c:numCache>
                <c:formatCode>#,##0.0_ </c:formatCode>
                <c:ptCount val="10"/>
                <c:pt idx="0">
                  <c:v>6.3310246323899815</c:v>
                </c:pt>
                <c:pt idx="1">
                  <c:v>6.1606570223158243</c:v>
                </c:pt>
                <c:pt idx="2">
                  <c:v>6.6503790656417667</c:v>
                </c:pt>
                <c:pt idx="3">
                  <c:v>7.5133611036067265</c:v>
                </c:pt>
                <c:pt idx="4">
                  <c:v>5.4158918701270178</c:v>
                </c:pt>
                <c:pt idx="5">
                  <c:v>6.1603427233678492</c:v>
                </c:pt>
                <c:pt idx="6">
                  <c:v>7.2157884117840005</c:v>
                </c:pt>
                <c:pt idx="7">
                  <c:v>8.0196166234995374</c:v>
                </c:pt>
                <c:pt idx="8">
                  <c:v>7.5273146614769848</c:v>
                </c:pt>
                <c:pt idx="9">
                  <c:v>8.5121545645299683</c:v>
                </c:pt>
              </c:numCache>
            </c:numRef>
          </c:val>
          <c:extLst xmlns:c16r2="http://schemas.microsoft.com/office/drawing/2015/06/chart">
            <c:ext xmlns:c16="http://schemas.microsoft.com/office/drawing/2014/chart" uri="{C3380CC4-5D6E-409C-BE32-E72D297353CC}">
              <c16:uniqueId val="{00000001-61A5-437F-B650-C4215E1EC84E}"/>
            </c:ext>
          </c:extLst>
        </c:ser>
        <c:ser>
          <c:idx val="2"/>
          <c:order val="2"/>
          <c:tx>
            <c:strRef>
              <c:f>'2.1給付金額(含一次金、年金)(按給付項目分)'!$D$34</c:f>
              <c:strCache>
                <c:ptCount val="1"/>
                <c:pt idx="0">
                  <c:v>死亡給付</c:v>
                </c:pt>
              </c:strCache>
            </c:strRef>
          </c:tx>
          <c:spPr>
            <a:pattFill prst="narHorz">
              <a:fgClr>
                <a:schemeClr val="accent3">
                  <a:lumMod val="60000"/>
                  <a:lumOff val="40000"/>
                </a:schemeClr>
              </a:fgClr>
              <a:bgClr>
                <a:schemeClr val="bg1"/>
              </a:bgClr>
            </a:pattFill>
            <a:ln>
              <a:solidFill>
                <a:schemeClr val="bg1">
                  <a:lumMod val="50000"/>
                </a:schemeClr>
              </a:solidFill>
            </a:ln>
          </c:spPr>
          <c:invertIfNegative val="0"/>
          <c:dLbls>
            <c:spPr>
              <a:noFill/>
              <a:ln>
                <a:noFill/>
              </a:ln>
              <a:effectLst/>
            </c:spPr>
            <c:txPr>
              <a:bodyPr/>
              <a:lstStyle/>
              <a:p>
                <a:pPr>
                  <a:defRPr b="1"/>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'2.1給付金額(含一次金、年金)(按給付項目分)'!$A$38:$A$47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'2.1給付金額(含一次金、年金)(按給付項目分)'!$D$38:$D$47</c:f>
              <c:numCache>
                <c:formatCode>#,##0.0_ </c:formatCode>
                <c:ptCount val="10"/>
                <c:pt idx="0">
                  <c:v>2.3872372236140973</c:v>
                </c:pt>
                <c:pt idx="1">
                  <c:v>2.2013843445861934</c:v>
                </c:pt>
                <c:pt idx="2">
                  <c:v>2.4374933107065737</c:v>
                </c:pt>
                <c:pt idx="3">
                  <c:v>2.7892099655575344</c:v>
                </c:pt>
                <c:pt idx="4">
                  <c:v>1.8898294227460741</c:v>
                </c:pt>
                <c:pt idx="5">
                  <c:v>2.1772967845446853</c:v>
                </c:pt>
                <c:pt idx="6">
                  <c:v>2.5347796836913785</c:v>
                </c:pt>
                <c:pt idx="7">
                  <c:v>2.8483972528248485</c:v>
                </c:pt>
                <c:pt idx="8">
                  <c:v>2.7499653823793024</c:v>
                </c:pt>
                <c:pt idx="9">
                  <c:v>2.6488297352458208</c:v>
                </c:pt>
              </c:numCache>
            </c:numRef>
          </c:val>
          <c:extLst xmlns:c16r2="http://schemas.microsoft.com/office/drawing/2015/06/chart">
            <c:ext xmlns:c16="http://schemas.microsoft.com/office/drawing/2014/chart" uri="{C3380CC4-5D6E-409C-BE32-E72D297353CC}">
              <c16:uniqueId val="{00000002-61A5-437F-B650-C4215E1EC84E}"/>
            </c:ext>
          </c:extLst>
        </c:ser>
        <c:ser>
          <c:idx val="3"/>
          <c:order val="3"/>
          <c:tx>
            <c:strRef>
              <c:f>'2.1給付金額(含一次金、年金)(按給付項目分)'!$E$34</c:f>
              <c:strCache>
                <c:ptCount val="1"/>
                <c:pt idx="0">
                  <c:v>失能給付</c:v>
                </c:pt>
              </c:strCache>
            </c:strRef>
          </c:tx>
          <c:spPr>
            <a:pattFill prst="wdDnDiag">
              <a:fgClr>
                <a:schemeClr val="accent2">
                  <a:lumMod val="60000"/>
                  <a:lumOff val="40000"/>
                </a:schemeClr>
              </a:fgClr>
              <a:bgClr>
                <a:schemeClr val="bg1"/>
              </a:bgClr>
            </a:pattFill>
            <a:ln>
              <a:solidFill>
                <a:schemeClr val="bg1">
                  <a:lumMod val="50000"/>
                </a:schemeClr>
              </a:solidFill>
            </a:ln>
          </c:spPr>
          <c:invertIfNegative val="0"/>
          <c:dLbls>
            <c:spPr>
              <a:noFill/>
              <a:ln>
                <a:noFill/>
              </a:ln>
              <a:effectLst/>
            </c:spPr>
            <c:txPr>
              <a:bodyPr/>
              <a:lstStyle/>
              <a:p>
                <a:pPr>
                  <a:defRPr b="1"/>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'2.1給付金額(含一次金、年金)(按給付項目分)'!$A$38:$A$47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'2.1給付金額(含一次金、年金)(按給付項目分)'!$E$38:$E$47</c:f>
              <c:numCache>
                <c:formatCode>#,##0.0_ </c:formatCode>
                <c:ptCount val="10"/>
                <c:pt idx="0">
                  <c:v>1.2523983641862093</c:v>
                </c:pt>
                <c:pt idx="1">
                  <c:v>1.2793860940832287</c:v>
                </c:pt>
                <c:pt idx="2">
                  <c:v>1.2128858306809078</c:v>
                </c:pt>
                <c:pt idx="3">
                  <c:v>1.3420310679080554</c:v>
                </c:pt>
                <c:pt idx="4">
                  <c:v>0.92338970435716283</c:v>
                </c:pt>
                <c:pt idx="5">
                  <c:v>1.0867908048720181</c:v>
                </c:pt>
                <c:pt idx="6">
                  <c:v>1.2597374600534026</c:v>
                </c:pt>
                <c:pt idx="7">
                  <c:v>1.2696900574521051</c:v>
                </c:pt>
                <c:pt idx="8">
                  <c:v>1.3240236066620608</c:v>
                </c:pt>
                <c:pt idx="9">
                  <c:v>1.3035552350418891</c:v>
                </c:pt>
              </c:numCache>
            </c:numRef>
          </c:val>
          <c:extLst xmlns:c16r2="http://schemas.microsoft.com/office/drawing/2015/06/chart">
            <c:ext xmlns:c16="http://schemas.microsoft.com/office/drawing/2014/chart" uri="{C3380CC4-5D6E-409C-BE32-E72D297353CC}">
              <c16:uniqueId val="{00000003-61A5-437F-B650-C4215E1EC84E}"/>
            </c:ext>
          </c:extLst>
        </c:ser>
        <c:ser>
          <c:idx val="4"/>
          <c:order val="4"/>
          <c:tx>
            <c:strRef>
              <c:f>'2.1給付金額(含一次金、年金)(按給付項目分)'!$F$34</c:f>
              <c:strCache>
                <c:ptCount val="1"/>
                <c:pt idx="0">
                  <c:v>育嬰留職停薪津貼</c:v>
                </c:pt>
              </c:strCache>
            </c:strRef>
          </c:tx>
          <c:spPr>
            <a:pattFill prst="pct50">
              <a:fgClr>
                <a:schemeClr val="accent4">
                  <a:lumMod val="75000"/>
                </a:schemeClr>
              </a:fgClr>
              <a:bgClr>
                <a:schemeClr val="bg1"/>
              </a:bgClr>
            </a:pattFill>
            <a:ln>
              <a:solidFill>
                <a:schemeClr val="bg1">
                  <a:lumMod val="50000"/>
                </a:schemeClr>
              </a:solidFill>
            </a:ln>
          </c:spPr>
          <c:invertIfNegative val="0"/>
          <c:dLbls>
            <c:spPr>
              <a:noFill/>
              <a:ln>
                <a:noFill/>
              </a:ln>
              <a:effectLst/>
            </c:spPr>
            <c:txPr>
              <a:bodyPr/>
              <a:lstStyle/>
              <a:p>
                <a:pPr>
                  <a:defRPr b="1"/>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'2.1給付金額(含一次金、年金)(按給付項目分)'!$A$38:$A$47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'2.1給付金額(含一次金、年金)(按給付項目分)'!$F$38:$F$47</c:f>
              <c:numCache>
                <c:formatCode>#,##0.0_ </c:formatCode>
                <c:ptCount val="10"/>
                <c:pt idx="0">
                  <c:v>1.2378555706525016</c:v>
                </c:pt>
                <c:pt idx="1">
                  <c:v>1.3386421095991274</c:v>
                </c:pt>
                <c:pt idx="2">
                  <c:v>1.5439211147769512</c:v>
                </c:pt>
                <c:pt idx="3">
                  <c:v>1.8212193725213179</c:v>
                </c:pt>
                <c:pt idx="4">
                  <c:v>1.5187140817745892</c:v>
                </c:pt>
                <c:pt idx="5">
                  <c:v>1.7422461303640433</c:v>
                </c:pt>
                <c:pt idx="6">
                  <c:v>2.1449640219585406</c:v>
                </c:pt>
                <c:pt idx="7">
                  <c:v>2.2944178908459114</c:v>
                </c:pt>
                <c:pt idx="8">
                  <c:v>2.088211132523877</c:v>
                </c:pt>
                <c:pt idx="9">
                  <c:v>2.2345907001946292</c:v>
                </c:pt>
              </c:numCache>
            </c:numRef>
          </c:val>
          <c:extLst xmlns:c16r2="http://schemas.microsoft.com/office/drawing/2015/06/chart">
            <c:ext xmlns:c16="http://schemas.microsoft.com/office/drawing/2014/chart" uri="{C3380CC4-5D6E-409C-BE32-E72D297353CC}">
              <c16:uniqueId val="{00000004-61A5-437F-B650-C4215E1EC84E}"/>
            </c:ext>
          </c:extLst>
        </c:ser>
        <c:ser>
          <c:idx val="5"/>
          <c:order val="5"/>
          <c:tx>
            <c:strRef>
              <c:f>'2.1給付金額(含一次金、年金)(按給付項目分)'!$G$34</c:f>
              <c:strCache>
                <c:ptCount val="1"/>
                <c:pt idx="0">
                  <c:v>生育給付</c:v>
                </c:pt>
              </c:strCache>
            </c:strRef>
          </c:tx>
          <c:spPr>
            <a:pattFill prst="pct10">
              <a:fgClr>
                <a:schemeClr val="accent4">
                  <a:lumMod val="75000"/>
                </a:schemeClr>
              </a:fgClr>
              <a:bgClr>
                <a:schemeClr val="bg1"/>
              </a:bgClr>
            </a:pattFill>
            <a:ln>
              <a:solidFill>
                <a:schemeClr val="bg1">
                  <a:lumMod val="50000"/>
                </a:schemeClr>
              </a:solidFill>
            </a:ln>
          </c:spPr>
          <c:invertIfNegative val="0"/>
          <c:dLbls>
            <c:spPr>
              <a:noFill/>
              <a:ln>
                <a:noFill/>
              </a:ln>
              <a:effectLst/>
            </c:spPr>
            <c:txPr>
              <a:bodyPr/>
              <a:lstStyle/>
              <a:p>
                <a:pPr>
                  <a:defRPr b="1"/>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'2.1給付金額(含一次金、年金)(按給付項目分)'!$A$38:$A$47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'2.1給付金額(含一次金、年金)(按給付項目分)'!$G$38:$G$47</c:f>
              <c:numCache>
                <c:formatCode>General</c:formatCode>
                <c:ptCount val="10"/>
                <c:pt idx="3" formatCode="#,##0.0_ ">
                  <c:v>1.0994581365462492</c:v>
                </c:pt>
                <c:pt idx="4" formatCode="#,##0.0_ ">
                  <c:v>1.8624553119318668</c:v>
                </c:pt>
                <c:pt idx="5" formatCode="#,##0.0_ ">
                  <c:v>2.0374501009981492</c:v>
                </c:pt>
                <c:pt idx="6" formatCode="#,##0.0_ ">
                  <c:v>2.327629246740579</c:v>
                </c:pt>
                <c:pt idx="7" formatCode="#,##0.0_ ">
                  <c:v>2.3430880792978122</c:v>
                </c:pt>
                <c:pt idx="8" formatCode="#,##0.0_ ">
                  <c:v>2.0515168601805858</c:v>
                </c:pt>
                <c:pt idx="9" formatCode="#,##0.0_ ">
                  <c:v>2.1482076553554532</c:v>
                </c:pt>
              </c:numCache>
            </c:numRef>
          </c:val>
          <c:extLst xmlns:c16r2="http://schemas.microsoft.com/office/drawing/2015/06/chart">
            <c:ext xmlns:c16="http://schemas.microsoft.com/office/drawing/2014/chart" uri="{C3380CC4-5D6E-409C-BE32-E72D297353CC}">
              <c16:uniqueId val="{00000005-61A5-437F-B650-C4215E1EC84E}"/>
            </c:ext>
          </c:extLst>
        </c:ser>
        <c:dLbls>
          <c:showLegendKey val="0"/>
          <c:showVal val="0"/>
          <c:showCatName val="0"/>
          <c:showSerName val="0"/>
          <c:showPercent val="0"/>
          <c:showBubbleSize val="0"/>
        </c:dLbls>
        <c:gapWidth val="150"/>
        <c:overlap val="100"/>
        <c:serLines/>
        <c:axId val="282709504"/>
        <c:axId val="281992512"/>
      </c:barChart>
      <c:catAx>
        <c:axId val="282709504"/>
        <c:scaling>
          <c:orientation val="minMax"/>
        </c:scaling>
        <c:delete val="0"/>
        <c:axPos val="l"/>
        <c:numFmt formatCode="General" sourceLinked="0"/>
        <c:majorTickMark val="out"/>
        <c:minorTickMark val="none"/>
        <c:tickLblPos val="nextTo"/>
        <c:crossAx val="281992512"/>
        <c:crosses val="autoZero"/>
        <c:auto val="1"/>
        <c:lblAlgn val="ctr"/>
        <c:lblOffset val="100"/>
        <c:noMultiLvlLbl val="0"/>
      </c:catAx>
      <c:valAx>
        <c:axId val="281992512"/>
        <c:scaling>
          <c:orientation val="minMax"/>
          <c:min val="0.75000000000000011"/>
        </c:scaling>
        <c:delete val="0"/>
        <c:axPos val="b"/>
        <c:majorGridlines/>
        <c:numFmt formatCode="0%" sourceLinked="1"/>
        <c:majorTickMark val="out"/>
        <c:minorTickMark val="none"/>
        <c:tickLblPos val="nextTo"/>
        <c:crossAx val="282709504"/>
        <c:crosses val="autoZero"/>
        <c:crossBetween val="between"/>
      </c:valAx>
    </c:plotArea>
    <c:legend>
      <c:legendPos val="t"/>
      <c:layout>
        <c:manualLayout>
          <c:xMode val="edge"/>
          <c:yMode val="edge"/>
          <c:x val="8.1265099934109367E-2"/>
          <c:y val="1.9223518719146283E-2"/>
          <c:w val="0.8913465379753075"/>
          <c:h val="0.10636611600020586"/>
        </c:manualLayout>
      </c:layout>
      <c:overlay val="0"/>
      <c:txPr>
        <a:bodyPr/>
        <a:lstStyle/>
        <a:p>
          <a:pPr>
            <a:defRPr b="1">
              <a:latin typeface="微軟正黑體" panose="020B0604030504040204" pitchFamily="34" charset="-120"/>
              <a:ea typeface="微軟正黑體" panose="020B0604030504040204" pitchFamily="34" charset="-120"/>
            </a:defRPr>
          </a:pPr>
          <a:endParaRPr lang="zh-TW"/>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工作表1!$A$2</c:f>
              <c:strCache>
                <c:ptCount val="1"/>
                <c:pt idx="0">
                  <c:v>勞工保險老年年金</c:v>
                </c:pt>
              </c:strCache>
            </c:strRef>
          </c:tx>
          <c:spPr>
            <a:solidFill>
              <a:schemeClr val="accent6">
                <a:lumMod val="60000"/>
                <a:lumOff val="40000"/>
              </a:schemeClr>
            </a:solidFill>
          </c:spPr>
          <c:invertIfNegative val="0"/>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工作表1!$B$2:$K$2</c:f>
              <c:numCache>
                <c:formatCode>#,##0.0_ </c:formatCode>
                <c:ptCount val="10"/>
                <c:pt idx="0">
                  <c:v>18.899999999999999</c:v>
                </c:pt>
                <c:pt idx="1">
                  <c:v>31.9</c:v>
                </c:pt>
                <c:pt idx="2">
                  <c:v>49.7</c:v>
                </c:pt>
                <c:pt idx="3">
                  <c:v>61.5</c:v>
                </c:pt>
                <c:pt idx="4">
                  <c:v>73.099999999999994</c:v>
                </c:pt>
                <c:pt idx="5">
                  <c:v>88.4</c:v>
                </c:pt>
                <c:pt idx="6">
                  <c:v>104.2</c:v>
                </c:pt>
                <c:pt idx="7">
                  <c:v>116.6</c:v>
                </c:pt>
                <c:pt idx="8">
                  <c:v>127.3</c:v>
                </c:pt>
                <c:pt idx="9">
                  <c:v>139.69999999999999</c:v>
                </c:pt>
              </c:numCache>
            </c:numRef>
          </c:val>
        </c:ser>
        <c:ser>
          <c:idx val="1"/>
          <c:order val="1"/>
          <c:tx>
            <c:strRef>
              <c:f>工作表1!$A$3</c:f>
              <c:strCache>
                <c:ptCount val="1"/>
                <c:pt idx="0">
                  <c:v>國民年金保險老年給付</c:v>
                </c:pt>
              </c:strCache>
            </c:strRef>
          </c:tx>
          <c:spPr>
            <a:solidFill>
              <a:schemeClr val="accent1">
                <a:lumMod val="60000"/>
                <a:lumOff val="40000"/>
              </a:schemeClr>
            </a:solidFill>
          </c:spPr>
          <c:invertIfNegative val="0"/>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工作表1!$B$3:$K$3</c:f>
              <c:numCache>
                <c:formatCode>#,##0.0_ </c:formatCode>
                <c:ptCount val="10"/>
                <c:pt idx="0">
                  <c:v>27.2</c:v>
                </c:pt>
                <c:pt idx="1">
                  <c:v>36.5</c:v>
                </c:pt>
                <c:pt idx="2">
                  <c:v>46.7</c:v>
                </c:pt>
                <c:pt idx="3">
                  <c:v>57.1</c:v>
                </c:pt>
                <c:pt idx="4">
                  <c:v>67.599999999999994</c:v>
                </c:pt>
                <c:pt idx="5">
                  <c:v>79.099999999999994</c:v>
                </c:pt>
                <c:pt idx="6">
                  <c:v>90.2</c:v>
                </c:pt>
                <c:pt idx="7">
                  <c:v>100.7</c:v>
                </c:pt>
                <c:pt idx="8">
                  <c:v>110.2</c:v>
                </c:pt>
                <c:pt idx="9">
                  <c:v>118.9</c:v>
                </c:pt>
              </c:numCache>
            </c:numRef>
          </c:val>
        </c:ser>
        <c:ser>
          <c:idx val="2"/>
          <c:order val="2"/>
          <c:tx>
            <c:strRef>
              <c:f>工作表1!$A$4</c:f>
              <c:strCache>
                <c:ptCount val="1"/>
                <c:pt idx="0">
                  <c:v>公教人員保險養老給付</c:v>
                </c:pt>
              </c:strCache>
            </c:strRef>
          </c:tx>
          <c:spPr>
            <a:solidFill>
              <a:schemeClr val="accent2">
                <a:lumMod val="60000"/>
                <a:lumOff val="40000"/>
              </a:schemeClr>
            </a:solidFill>
          </c:spPr>
          <c:invertIfNegative val="0"/>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工作表1!$B$4:$K$4</c:f>
              <c:numCache>
                <c:formatCode>General</c:formatCode>
                <c:ptCount val="10"/>
                <c:pt idx="3" formatCode="#,##0.0_ ">
                  <c:v>0.3</c:v>
                </c:pt>
                <c:pt idx="4" formatCode="#,##0.0_ ">
                  <c:v>0.5</c:v>
                </c:pt>
                <c:pt idx="5" formatCode="#,##0.0_ ">
                  <c:v>0.7</c:v>
                </c:pt>
                <c:pt idx="6" formatCode="#,##0.0_ ">
                  <c:v>0.9</c:v>
                </c:pt>
                <c:pt idx="7" formatCode="#,##0.0_ ">
                  <c:v>1.1000000000000001</c:v>
                </c:pt>
                <c:pt idx="8" formatCode="#,##0.0_ ">
                  <c:v>1.3</c:v>
                </c:pt>
                <c:pt idx="9" formatCode="#,##0.0_ ">
                  <c:v>1.6</c:v>
                </c:pt>
              </c:numCache>
            </c:numRef>
          </c:val>
        </c:ser>
        <c:dLbls>
          <c:showLegendKey val="0"/>
          <c:showVal val="0"/>
          <c:showCatName val="0"/>
          <c:showSerName val="0"/>
          <c:showPercent val="0"/>
          <c:showBubbleSize val="0"/>
        </c:dLbls>
        <c:gapWidth val="37"/>
        <c:overlap val="100"/>
        <c:axId val="318758400"/>
        <c:axId val="318472768"/>
      </c:barChart>
      <c:lineChart>
        <c:grouping val="standard"/>
        <c:varyColors val="0"/>
        <c:ser>
          <c:idx val="3"/>
          <c:order val="3"/>
          <c:tx>
            <c:strRef>
              <c:f>工作表1!$A$5</c:f>
              <c:strCache>
                <c:ptCount val="1"/>
                <c:pt idx="0">
                  <c:v>保險年金給付合計</c:v>
                </c:pt>
              </c:strCache>
            </c:strRef>
          </c:tx>
          <c:spPr>
            <a:ln w="50800">
              <a:solidFill>
                <a:schemeClr val="accent2"/>
              </a:solidFill>
            </a:ln>
          </c:spPr>
          <c:marker>
            <c:symbol val="circle"/>
            <c:size val="12"/>
            <c:spPr>
              <a:solidFill>
                <a:schemeClr val="bg1"/>
              </a:solidFill>
              <a:ln w="41275">
                <a:solidFill>
                  <a:schemeClr val="accent2"/>
                </a:solidFill>
              </a:ln>
            </c:spPr>
          </c:marker>
          <c:dLbls>
            <c:dLbl>
              <c:idx val="0"/>
              <c:layout>
                <c:manualLayout>
                  <c:x val="-4.8993146689997075E-2"/>
                  <c:y val="-6.279194063230302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工作表1!$B$5:$K$5</c:f>
              <c:numCache>
                <c:formatCode>#,##0.0_ </c:formatCode>
                <c:ptCount val="10"/>
                <c:pt idx="0">
                  <c:v>46</c:v>
                </c:pt>
                <c:pt idx="1">
                  <c:v>68.400000000000006</c:v>
                </c:pt>
                <c:pt idx="2">
                  <c:v>96.4</c:v>
                </c:pt>
                <c:pt idx="3">
                  <c:v>118.9</c:v>
                </c:pt>
                <c:pt idx="4">
                  <c:v>141.19999999999999</c:v>
                </c:pt>
                <c:pt idx="5">
                  <c:v>168.3</c:v>
                </c:pt>
                <c:pt idx="6">
                  <c:v>195.3</c:v>
                </c:pt>
                <c:pt idx="7">
                  <c:v>218.5</c:v>
                </c:pt>
                <c:pt idx="8">
                  <c:v>238.9</c:v>
                </c:pt>
                <c:pt idx="9">
                  <c:v>260.2</c:v>
                </c:pt>
              </c:numCache>
            </c:numRef>
          </c:val>
          <c:smooth val="0"/>
        </c:ser>
        <c:dLbls>
          <c:showLegendKey val="0"/>
          <c:showVal val="0"/>
          <c:showCatName val="0"/>
          <c:showSerName val="0"/>
          <c:showPercent val="0"/>
          <c:showBubbleSize val="0"/>
        </c:dLbls>
        <c:marker val="1"/>
        <c:smooth val="0"/>
        <c:axId val="318758400"/>
        <c:axId val="318472768"/>
      </c:lineChart>
      <c:lineChart>
        <c:grouping val="standard"/>
        <c:varyColors val="0"/>
        <c:ser>
          <c:idx val="4"/>
          <c:order val="4"/>
          <c:tx>
            <c:strRef>
              <c:f>工作表1!$A$6</c:f>
              <c:strCache>
                <c:ptCount val="1"/>
                <c:pt idx="0">
                  <c:v>保險一次給付合計</c:v>
                </c:pt>
              </c:strCache>
            </c:strRef>
          </c:tx>
          <c:spPr>
            <a:ln w="47625"/>
          </c:spPr>
          <c:marker>
            <c:symbol val="circle"/>
            <c:size val="12"/>
            <c:spPr>
              <a:solidFill>
                <a:schemeClr val="bg1"/>
              </a:solidFill>
              <a:ln w="41275">
                <a:solidFill>
                  <a:schemeClr val="accent5">
                    <a:shade val="95000"/>
                    <a:satMod val="105000"/>
                  </a:schemeClr>
                </a:solidFill>
              </a:ln>
            </c:spPr>
          </c:marker>
          <c:dLbls>
            <c:dLbl>
              <c:idx val="0"/>
              <c:layout>
                <c:manualLayout>
                  <c:x val="-2.9913313588095045E-2"/>
                  <c:y val="3.7468169909801743E-2"/>
                </c:manualLayout>
              </c:layout>
              <c:dLblPos val="r"/>
              <c:showLegendKey val="0"/>
              <c:showVal val="1"/>
              <c:showCatName val="0"/>
              <c:showSerName val="0"/>
              <c:showPercent val="0"/>
              <c:showBubbleSize val="0"/>
            </c:dLbl>
            <c:dLbl>
              <c:idx val="1"/>
              <c:layout>
                <c:manualLayout>
                  <c:x val="-3.5208394089627656E-2"/>
                  <c:y val="-3.8940663014699853E-2"/>
                </c:manualLayout>
              </c:layout>
              <c:dLblPos val="r"/>
              <c:showLegendKey val="0"/>
              <c:showVal val="1"/>
              <c:showCatName val="0"/>
              <c:showSerName val="0"/>
              <c:showPercent val="0"/>
              <c:showBubbleSize val="0"/>
            </c:dLbl>
            <c:dLbl>
              <c:idx val="2"/>
              <c:layout>
                <c:manualLayout>
                  <c:x val="-3.6751603966170901E-2"/>
                  <c:y val="-4.4552728336488837E-2"/>
                </c:manualLayout>
              </c:layout>
              <c:dLblPos val="r"/>
              <c:showLegendKey val="0"/>
              <c:showVal val="1"/>
              <c:showCatName val="0"/>
              <c:showSerName val="0"/>
              <c:showPercent val="0"/>
              <c:showBubbleSize val="0"/>
            </c:dLbl>
            <c:dLbl>
              <c:idx val="3"/>
              <c:layout>
                <c:manualLayout>
                  <c:x val="-3.8294813842714055E-2"/>
                  <c:y val="-4.7358760997383328E-2"/>
                </c:manualLayout>
              </c:layout>
              <c:dLblPos val="r"/>
              <c:showLegendKey val="0"/>
              <c:showVal val="1"/>
              <c:showCatName val="0"/>
              <c:showSerName val="0"/>
              <c:showPercent val="0"/>
              <c:showBubbleSize val="0"/>
            </c:dLbl>
            <c:dLbl>
              <c:idx val="4"/>
              <c:layout>
                <c:manualLayout>
                  <c:x val="-3.9838023719257321E-2"/>
                  <c:y val="-5.2970826319172298E-2"/>
                </c:manualLayout>
              </c:layout>
              <c:dLblPos val="r"/>
              <c:showLegendKey val="0"/>
              <c:showVal val="1"/>
              <c:showCatName val="0"/>
              <c:showSerName val="0"/>
              <c:showPercent val="0"/>
              <c:showBubbleSize val="0"/>
            </c:dLbl>
            <c:dLbl>
              <c:idx val="5"/>
              <c:layout>
                <c:manualLayout>
                  <c:x val="-4.1381233595800516E-2"/>
                  <c:y val="-5.5776858980066783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工作表1!$B$1:$K$1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工作表1!$B$6:$K$6</c:f>
              <c:numCache>
                <c:formatCode>#,##0.0_ </c:formatCode>
                <c:ptCount val="10"/>
                <c:pt idx="0">
                  <c:v>10.3</c:v>
                </c:pt>
                <c:pt idx="1">
                  <c:v>17.600000000000001</c:v>
                </c:pt>
                <c:pt idx="2">
                  <c:v>16.2</c:v>
                </c:pt>
                <c:pt idx="3">
                  <c:v>11.2</c:v>
                </c:pt>
                <c:pt idx="4">
                  <c:v>12.4</c:v>
                </c:pt>
                <c:pt idx="5">
                  <c:v>13.3</c:v>
                </c:pt>
                <c:pt idx="6">
                  <c:v>15</c:v>
                </c:pt>
                <c:pt idx="7">
                  <c:v>12.2</c:v>
                </c:pt>
                <c:pt idx="8">
                  <c:v>12.4</c:v>
                </c:pt>
                <c:pt idx="9">
                  <c:v>11.7</c:v>
                </c:pt>
              </c:numCache>
            </c:numRef>
          </c:val>
          <c:smooth val="0"/>
        </c:ser>
        <c:dLbls>
          <c:showLegendKey val="0"/>
          <c:showVal val="0"/>
          <c:showCatName val="0"/>
          <c:showSerName val="0"/>
          <c:showPercent val="0"/>
          <c:showBubbleSize val="0"/>
        </c:dLbls>
        <c:marker val="1"/>
        <c:smooth val="0"/>
        <c:axId val="321671168"/>
        <c:axId val="318473344"/>
      </c:lineChart>
      <c:catAx>
        <c:axId val="318758400"/>
        <c:scaling>
          <c:orientation val="minMax"/>
        </c:scaling>
        <c:delete val="0"/>
        <c:axPos val="b"/>
        <c:majorTickMark val="out"/>
        <c:minorTickMark val="none"/>
        <c:tickLblPos val="nextTo"/>
        <c:crossAx val="318472768"/>
        <c:crosses val="autoZero"/>
        <c:auto val="1"/>
        <c:lblAlgn val="ctr"/>
        <c:lblOffset val="100"/>
        <c:noMultiLvlLbl val="0"/>
      </c:catAx>
      <c:valAx>
        <c:axId val="318472768"/>
        <c:scaling>
          <c:orientation val="minMax"/>
        </c:scaling>
        <c:delete val="1"/>
        <c:axPos val="l"/>
        <c:majorGridlines>
          <c:spPr>
            <a:ln>
              <a:solidFill>
                <a:schemeClr val="bg1">
                  <a:lumMod val="85000"/>
                </a:schemeClr>
              </a:solidFill>
            </a:ln>
          </c:spPr>
        </c:majorGridlines>
        <c:title>
          <c:tx>
            <c:rich>
              <a:bodyPr rot="0" vert="wordArtVertRtl"/>
              <a:lstStyle/>
              <a:p>
                <a:pPr>
                  <a:defRPr>
                    <a:latin typeface="+mn-ea"/>
                    <a:ea typeface="+mn-ea"/>
                  </a:defRPr>
                </a:pPr>
                <a:r>
                  <a:rPr lang="zh-TW">
                    <a:latin typeface="+mn-ea"/>
                    <a:ea typeface="+mn-ea"/>
                  </a:rPr>
                  <a:t>老年給付領取人數</a:t>
                </a:r>
                <a:r>
                  <a:rPr lang="en-US">
                    <a:latin typeface="+mn-ea"/>
                    <a:ea typeface="+mn-ea"/>
                  </a:rPr>
                  <a:t>(</a:t>
                </a:r>
                <a:r>
                  <a:rPr lang="zh-TW">
                    <a:latin typeface="+mn-ea"/>
                    <a:ea typeface="+mn-ea"/>
                  </a:rPr>
                  <a:t>萬人</a:t>
                </a:r>
                <a:r>
                  <a:rPr lang="en-US">
                    <a:latin typeface="+mn-ea"/>
                    <a:ea typeface="+mn-ea"/>
                  </a:rPr>
                  <a:t>)</a:t>
                </a:r>
                <a:endParaRPr lang="zh-TW">
                  <a:latin typeface="+mn-ea"/>
                  <a:ea typeface="+mn-ea"/>
                </a:endParaRPr>
              </a:p>
            </c:rich>
          </c:tx>
          <c:layout>
            <c:manualLayout>
              <c:xMode val="edge"/>
              <c:yMode val="edge"/>
              <c:x val="1.1574074074074073E-2"/>
              <c:y val="0.18752743128204308"/>
            </c:manualLayout>
          </c:layout>
          <c:overlay val="0"/>
        </c:title>
        <c:numFmt formatCode="#,##0.0_ " sourceLinked="1"/>
        <c:majorTickMark val="out"/>
        <c:minorTickMark val="none"/>
        <c:tickLblPos val="none"/>
        <c:crossAx val="318758400"/>
        <c:crosses val="autoZero"/>
        <c:crossBetween val="between"/>
      </c:valAx>
      <c:valAx>
        <c:axId val="318473344"/>
        <c:scaling>
          <c:orientation val="minMax"/>
        </c:scaling>
        <c:delete val="1"/>
        <c:axPos val="r"/>
        <c:numFmt formatCode="#,##0.0_ " sourceLinked="1"/>
        <c:majorTickMark val="out"/>
        <c:minorTickMark val="none"/>
        <c:tickLblPos val="none"/>
        <c:crossAx val="321671168"/>
        <c:crosses val="max"/>
        <c:crossBetween val="between"/>
      </c:valAx>
      <c:catAx>
        <c:axId val="321671168"/>
        <c:scaling>
          <c:orientation val="minMax"/>
        </c:scaling>
        <c:delete val="1"/>
        <c:axPos val="b"/>
        <c:majorTickMark val="out"/>
        <c:minorTickMark val="none"/>
        <c:tickLblPos val="none"/>
        <c:crossAx val="318473344"/>
        <c:crosses val="autoZero"/>
        <c:auto val="1"/>
        <c:lblAlgn val="ctr"/>
        <c:lblOffset val="100"/>
        <c:noMultiLvlLbl val="0"/>
      </c:catAx>
    </c:plotArea>
    <c:legend>
      <c:legendPos val="t"/>
      <c:layout>
        <c:manualLayout>
          <c:xMode val="edge"/>
          <c:yMode val="edge"/>
          <c:x val="8.0246913580246909E-2"/>
          <c:y val="1.9642228626261415E-2"/>
          <c:w val="0.89351851851851849"/>
          <c:h val="0.13291447588060265"/>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80692513707712"/>
          <c:y val="5.6956255468066486E-2"/>
          <c:w val="0.82193438852268375"/>
          <c:h val="0.82717366579177598"/>
        </c:manualLayout>
      </c:layout>
      <c:barChart>
        <c:barDir val="col"/>
        <c:grouping val="stacked"/>
        <c:varyColors val="0"/>
        <c:ser>
          <c:idx val="0"/>
          <c:order val="0"/>
          <c:tx>
            <c:strRef>
              <c:f>'[公保(109年).xlsx]2.2養老給付領取人數(含一次金、年金)'!$B$2</c:f>
              <c:strCache>
                <c:ptCount val="1"/>
                <c:pt idx="0">
                  <c:v>一次給付</c:v>
                </c:pt>
              </c:strCache>
            </c:strRef>
          </c:tx>
          <c:spPr>
            <a:solidFill>
              <a:schemeClr val="tx2">
                <a:lumMod val="60000"/>
                <a:lumOff val="40000"/>
              </a:schemeClr>
            </a:solidFill>
          </c:spPr>
          <c:invertIfNegative val="0"/>
          <c:dLbls>
            <c:dLbl>
              <c:idx val="1"/>
              <c:layout>
                <c:manualLayout>
                  <c:x val="2.4141258043679122E-3"/>
                  <c:y val="-0.11919400699912511"/>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884-4FE3-9D50-B1CE3310D340}"/>
                </c:ext>
              </c:extLst>
            </c:dLbl>
            <c:dLbl>
              <c:idx val="4"/>
              <c:layout>
                <c:manualLayout>
                  <c:x val="0"/>
                  <c:y val="-0.1859189997083698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884-4FE3-9D50-B1CE3310D340}"/>
                </c:ext>
              </c:extLst>
            </c:dLbl>
            <c:dLbl>
              <c:idx val="5"/>
              <c:layout>
                <c:manualLayout>
                  <c:x val="-1.8172377985462097E-4"/>
                  <c:y val="-0.1429389034703995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884-4FE3-9D50-B1CE3310D340}"/>
                </c:ext>
              </c:extLst>
            </c:dLbl>
            <c:dLbl>
              <c:idx val="6"/>
              <c:layout>
                <c:manualLayout>
                  <c:x val="-4.0882740124774124E-7"/>
                  <c:y val="-0.1567997229512977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884-4FE3-9D50-B1CE3310D340}"/>
                </c:ext>
              </c:extLst>
            </c:dLbl>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'[公保(109年).xlsx]2.2養老給付領取人數(含一次金、年金)'!$A$7:$A$16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'[公保(109年).xlsx]2.2養老給付領取人數(含一次金、年金)'!$B$7:$B$16</c:f>
              <c:numCache>
                <c:formatCode>#,##0_);[Red]\(#,##0\)</c:formatCode>
                <c:ptCount val="10"/>
                <c:pt idx="0">
                  <c:v>17365</c:v>
                </c:pt>
                <c:pt idx="1">
                  <c:v>17989</c:v>
                </c:pt>
                <c:pt idx="2">
                  <c:v>16896</c:v>
                </c:pt>
                <c:pt idx="3">
                  <c:v>14947</c:v>
                </c:pt>
                <c:pt idx="4">
                  <c:v>20676</c:v>
                </c:pt>
                <c:pt idx="5">
                  <c:v>18189</c:v>
                </c:pt>
                <c:pt idx="6">
                  <c:v>14720</c:v>
                </c:pt>
                <c:pt idx="7">
                  <c:v>12572</c:v>
                </c:pt>
                <c:pt idx="8">
                  <c:v>13093</c:v>
                </c:pt>
                <c:pt idx="9">
                  <c:v>10811</c:v>
                </c:pt>
              </c:numCache>
            </c:numRef>
          </c:val>
          <c:extLst xmlns:c16r2="http://schemas.microsoft.com/office/drawing/2015/06/chart">
            <c:ext xmlns:c16="http://schemas.microsoft.com/office/drawing/2014/chart" uri="{C3380CC4-5D6E-409C-BE32-E72D297353CC}">
              <c16:uniqueId val="{00000004-2884-4FE3-9D50-B1CE3310D340}"/>
            </c:ext>
          </c:extLst>
        </c:ser>
        <c:ser>
          <c:idx val="1"/>
          <c:order val="1"/>
          <c:tx>
            <c:strRef>
              <c:f>'[公保(109年).xlsx]2.2養老給付領取人數(含一次金、年金)'!$C$2</c:f>
              <c:strCache>
                <c:ptCount val="1"/>
                <c:pt idx="0">
                  <c:v>年金給付</c:v>
                </c:pt>
              </c:strCache>
            </c:strRef>
          </c:tx>
          <c:spPr>
            <a:solidFill>
              <a:schemeClr val="accent6">
                <a:lumMod val="40000"/>
                <a:lumOff val="60000"/>
              </a:schemeClr>
            </a:solidFill>
          </c:spPr>
          <c:invertIfNegative val="0"/>
          <c:dLbls>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layout>
                <c:manualLayout>
                  <c:x val="-9.5187546975850416E-17"/>
                  <c:y val="-1.388888888888888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884-4FE3-9D50-B1CE3310D340}"/>
                </c:ext>
              </c:extLst>
            </c:dLbl>
            <c:dLbl>
              <c:idx val="6"/>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884-4FE3-9D50-B1CE3310D340}"/>
                </c:ext>
              </c:extLst>
            </c:dLbl>
            <c:dLbl>
              <c:idx val="7"/>
              <c:layout>
                <c:manualLayout>
                  <c:x val="-2.2658607576824278E-3"/>
                  <c:y val="-5.368000406477613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2884-4FE3-9D50-B1CE3310D340}"/>
                </c:ext>
              </c:extLst>
            </c:dLbl>
            <c:dLbl>
              <c:idx val="8"/>
              <c:layout>
                <c:manualLayout>
                  <c:x val="4.5317215153648557E-3"/>
                  <c:y val="-7.945166526568574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2884-4FE3-9D50-B1CE3310D340}"/>
                </c:ext>
              </c:extLst>
            </c:dLbl>
            <c:dLbl>
              <c:idx val="9"/>
              <c:layout>
                <c:manualLayout>
                  <c:x val="0"/>
                  <c:y val="-0.1229224848974847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2884-4FE3-9D50-B1CE3310D340}"/>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'[公保(109年).xlsx]2.2養老給付領取人數(含一次金、年金)'!$A$7:$A$16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'[公保(109年).xlsx]2.2養老給付領取人數(含一次金、年金)'!$C$7:$C$16</c:f>
              <c:numCache>
                <c:formatCode>#,##0_);[Red]\(#,##0\)</c:formatCode>
                <c:ptCount val="10"/>
                <c:pt idx="0">
                  <c:v>0</c:v>
                </c:pt>
                <c:pt idx="1">
                  <c:v>0</c:v>
                </c:pt>
                <c:pt idx="2">
                  <c:v>0</c:v>
                </c:pt>
                <c:pt idx="3">
                  <c:v>3060</c:v>
                </c:pt>
                <c:pt idx="4">
                  <c:v>5318</c:v>
                </c:pt>
                <c:pt idx="5">
                  <c:v>7418</c:v>
                </c:pt>
                <c:pt idx="6">
                  <c:v>9419</c:v>
                </c:pt>
                <c:pt idx="7">
                  <c:v>11375</c:v>
                </c:pt>
                <c:pt idx="8">
                  <c:v>13401</c:v>
                </c:pt>
                <c:pt idx="9">
                  <c:v>15733</c:v>
                </c:pt>
              </c:numCache>
            </c:numRef>
          </c:val>
          <c:extLst xmlns:c16r2="http://schemas.microsoft.com/office/drawing/2015/06/chart">
            <c:ext xmlns:c16="http://schemas.microsoft.com/office/drawing/2014/chart" uri="{C3380CC4-5D6E-409C-BE32-E72D297353CC}">
              <c16:uniqueId val="{0000000A-2884-4FE3-9D50-B1CE3310D340}"/>
            </c:ext>
          </c:extLst>
        </c:ser>
        <c:dLbls>
          <c:showLegendKey val="0"/>
          <c:showVal val="0"/>
          <c:showCatName val="0"/>
          <c:showSerName val="0"/>
          <c:showPercent val="0"/>
          <c:showBubbleSize val="0"/>
        </c:dLbls>
        <c:gapWidth val="150"/>
        <c:overlap val="100"/>
        <c:axId val="282708992"/>
        <c:axId val="282993216"/>
      </c:barChart>
      <c:catAx>
        <c:axId val="282708992"/>
        <c:scaling>
          <c:orientation val="minMax"/>
        </c:scaling>
        <c:delete val="0"/>
        <c:axPos val="b"/>
        <c:numFmt formatCode="General" sourceLinked="0"/>
        <c:majorTickMark val="out"/>
        <c:minorTickMark val="none"/>
        <c:tickLblPos val="nextTo"/>
        <c:crossAx val="282993216"/>
        <c:crosses val="autoZero"/>
        <c:auto val="1"/>
        <c:lblAlgn val="ctr"/>
        <c:lblOffset val="100"/>
        <c:noMultiLvlLbl val="0"/>
      </c:catAx>
      <c:valAx>
        <c:axId val="282993216"/>
        <c:scaling>
          <c:orientation val="minMax"/>
        </c:scaling>
        <c:delete val="0"/>
        <c:axPos val="l"/>
        <c:numFmt formatCode="#,##0_);[Red]\(#,##0\)" sourceLinked="1"/>
        <c:majorTickMark val="out"/>
        <c:minorTickMark val="none"/>
        <c:tickLblPos val="nextTo"/>
        <c:crossAx val="282708992"/>
        <c:crosses val="autoZero"/>
        <c:crossBetween val="between"/>
      </c:valAx>
    </c:plotArea>
    <c:legend>
      <c:legendPos val="r"/>
      <c:layout>
        <c:manualLayout>
          <c:xMode val="edge"/>
          <c:yMode val="edge"/>
          <c:x val="0.16684389147133577"/>
          <c:y val="2.8319772528433939E-2"/>
          <c:w val="0.3293441999656585"/>
          <c:h val="7.4841790609507144E-2"/>
        </c:manualLayout>
      </c:layout>
      <c:overlay val="0"/>
      <c:txPr>
        <a:bodyPr/>
        <a:lstStyle/>
        <a:p>
          <a:pPr>
            <a:defRPr>
              <a:latin typeface="微軟正黑體" panose="020B0604030504040204" pitchFamily="34" charset="-120"/>
              <a:ea typeface="微軟正黑體" panose="020B0604030504040204" pitchFamily="34" charset="-120"/>
            </a:defRPr>
          </a:pPr>
          <a:endParaRPr lang="zh-TW"/>
        </a:p>
      </c:txPr>
    </c:legend>
    <c:plotVisOnly val="1"/>
    <c:dispBlanksAs val="gap"/>
    <c:showDLblsOverMax val="0"/>
  </c:chart>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47082430567015"/>
          <c:y val="6.8486942729281144E-2"/>
          <c:w val="0.84185563251453788"/>
          <c:h val="0.78861072160500489"/>
        </c:manualLayout>
      </c:layout>
      <c:lineChart>
        <c:grouping val="standard"/>
        <c:varyColors val="0"/>
        <c:ser>
          <c:idx val="0"/>
          <c:order val="0"/>
          <c:tx>
            <c:strRef>
              <c:f>'2.4養老給付領取概況'!$J$3</c:f>
              <c:strCache>
                <c:ptCount val="1"/>
                <c:pt idx="0">
                  <c:v>一次給付</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'2.4養老給付領取概況'!$I$7:$I$16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'2.4養老給付領取概況'!$J$7:$J$16</c:f>
              <c:numCache>
                <c:formatCode>0.0_);[Red]\(0.0\)</c:formatCode>
                <c:ptCount val="10"/>
                <c:pt idx="0">
                  <c:v>55.1</c:v>
                </c:pt>
                <c:pt idx="1">
                  <c:v>55.2</c:v>
                </c:pt>
                <c:pt idx="2">
                  <c:v>55.5</c:v>
                </c:pt>
                <c:pt idx="3">
                  <c:v>55.2</c:v>
                </c:pt>
                <c:pt idx="4">
                  <c:v>55.8</c:v>
                </c:pt>
                <c:pt idx="5">
                  <c:v>55.9</c:v>
                </c:pt>
                <c:pt idx="6">
                  <c:v>56.26</c:v>
                </c:pt>
                <c:pt idx="7">
                  <c:v>56.6</c:v>
                </c:pt>
                <c:pt idx="8" formatCode="General">
                  <c:v>57.1</c:v>
                </c:pt>
                <c:pt idx="9" formatCode="General">
                  <c:v>57.3</c:v>
                </c:pt>
              </c:numCache>
            </c:numRef>
          </c:val>
          <c:smooth val="0"/>
          <c:extLst xmlns:c16r2="http://schemas.microsoft.com/office/drawing/2015/06/chart">
            <c:ext xmlns:c16="http://schemas.microsoft.com/office/drawing/2014/chart" uri="{C3380CC4-5D6E-409C-BE32-E72D297353CC}">
              <c16:uniqueId val="{00000000-66CC-4C70-B3F9-8ABEC793D6B5}"/>
            </c:ext>
          </c:extLst>
        </c:ser>
        <c:ser>
          <c:idx val="1"/>
          <c:order val="1"/>
          <c:tx>
            <c:strRef>
              <c:f>'2.4養老給付領取概況'!$K$3</c:f>
              <c:strCache>
                <c:ptCount val="1"/>
                <c:pt idx="0">
                  <c:v>年金給付</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'2.4養老給付領取概況'!$I$7:$I$16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'2.4養老給付領取概況'!$K$7:$K$16</c:f>
              <c:numCache>
                <c:formatCode>General</c:formatCode>
                <c:ptCount val="10"/>
                <c:pt idx="3" formatCode="0.0_);[Red]\(0.0\)">
                  <c:v>61.19</c:v>
                </c:pt>
                <c:pt idx="4" formatCode="0.0_);[Red]\(0.0\)">
                  <c:v>62.3</c:v>
                </c:pt>
                <c:pt idx="5" formatCode="0.0_);[Red]\(0.0\)">
                  <c:v>62.21</c:v>
                </c:pt>
                <c:pt idx="6" formatCode="0.0_);[Red]\(0.0\)">
                  <c:v>62.1</c:v>
                </c:pt>
                <c:pt idx="7" formatCode="0.0_);[Red]\(0.0\)">
                  <c:v>62.02</c:v>
                </c:pt>
                <c:pt idx="8" formatCode="0.0_ ">
                  <c:v>61.93</c:v>
                </c:pt>
                <c:pt idx="9" formatCode="0.0_ ">
                  <c:v>61.66</c:v>
                </c:pt>
              </c:numCache>
            </c:numRef>
          </c:val>
          <c:smooth val="0"/>
          <c:extLst xmlns:c16r2="http://schemas.microsoft.com/office/drawing/2015/06/chart">
            <c:ext xmlns:c16="http://schemas.microsoft.com/office/drawing/2014/chart" uri="{C3380CC4-5D6E-409C-BE32-E72D297353CC}">
              <c16:uniqueId val="{00000001-66CC-4C70-B3F9-8ABEC793D6B5}"/>
            </c:ext>
          </c:extLst>
        </c:ser>
        <c:dLbls>
          <c:showLegendKey val="0"/>
          <c:showVal val="0"/>
          <c:showCatName val="0"/>
          <c:showSerName val="0"/>
          <c:showPercent val="0"/>
          <c:showBubbleSize val="0"/>
        </c:dLbls>
        <c:marker val="1"/>
        <c:smooth val="0"/>
        <c:axId val="283420160"/>
        <c:axId val="282994944"/>
      </c:lineChart>
      <c:catAx>
        <c:axId val="283420160"/>
        <c:scaling>
          <c:orientation val="minMax"/>
        </c:scaling>
        <c:delete val="0"/>
        <c:axPos val="b"/>
        <c:numFmt formatCode="General" sourceLinked="0"/>
        <c:majorTickMark val="out"/>
        <c:minorTickMark val="none"/>
        <c:tickLblPos val="nextTo"/>
        <c:crossAx val="282994944"/>
        <c:crosses val="autoZero"/>
        <c:auto val="1"/>
        <c:lblAlgn val="ctr"/>
        <c:lblOffset val="100"/>
        <c:noMultiLvlLbl val="0"/>
      </c:catAx>
      <c:valAx>
        <c:axId val="282994944"/>
        <c:scaling>
          <c:orientation val="minMax"/>
          <c:max val="70"/>
          <c:min val="50"/>
        </c:scaling>
        <c:delete val="0"/>
        <c:axPos val="l"/>
        <c:numFmt formatCode="0.0_);[Red]\(0.0\)" sourceLinked="1"/>
        <c:majorTickMark val="out"/>
        <c:minorTickMark val="none"/>
        <c:tickLblPos val="nextTo"/>
        <c:crossAx val="283420160"/>
        <c:crosses val="autoZero"/>
        <c:crossBetween val="between"/>
      </c:valAx>
    </c:plotArea>
    <c:legend>
      <c:legendPos val="r"/>
      <c:layout>
        <c:manualLayout>
          <c:xMode val="edge"/>
          <c:yMode val="edge"/>
          <c:x val="0.16827425808293214"/>
          <c:y val="2.6014733769789571E-2"/>
          <c:w val="0.47610735064887333"/>
          <c:h val="0.11165619070922299"/>
        </c:manualLayout>
      </c:layout>
      <c:overlay val="0"/>
      <c:txPr>
        <a:bodyPr/>
        <a:lstStyle/>
        <a:p>
          <a:pPr>
            <a:defRPr>
              <a:latin typeface="微軟正黑體" panose="020B0604030504040204" pitchFamily="34" charset="-120"/>
              <a:ea typeface="微軟正黑體" panose="020B0604030504040204" pitchFamily="34" charset="-120"/>
            </a:defRPr>
          </a:pPr>
          <a:endParaRPr lang="zh-TW"/>
        </a:p>
      </c:txPr>
    </c:legend>
    <c:plotVisOnly val="1"/>
    <c:dispBlanksAs val="gap"/>
    <c:showDLblsOverMax val="0"/>
  </c:chart>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49800503031696"/>
          <c:y val="3.8983404932559987E-2"/>
          <c:w val="0.83710059538802439"/>
          <c:h val="0.66211125681839833"/>
        </c:manualLayout>
      </c:layout>
      <c:barChart>
        <c:barDir val="col"/>
        <c:grouping val="stacked"/>
        <c:varyColors val="0"/>
        <c:ser>
          <c:idx val="0"/>
          <c:order val="0"/>
          <c:tx>
            <c:strRef>
              <c:f>'[公保(109年).xlsx]2.3養老給付領取人數(按年資分)(含一次金、年金)'!$B$25</c:f>
              <c:strCache>
                <c:ptCount val="1"/>
                <c:pt idx="0">
                  <c:v>一次給付</c:v>
                </c:pt>
              </c:strCache>
            </c:strRef>
          </c:tx>
          <c:spPr>
            <a:solidFill>
              <a:schemeClr val="tx2">
                <a:lumMod val="60000"/>
                <a:lumOff val="40000"/>
              </a:schemeClr>
            </a:solidFill>
          </c:spPr>
          <c:invertIfNegative val="0"/>
          <c:dLbls>
            <c:dLbl>
              <c:idx val="0"/>
              <c:layout>
                <c:manualLayout>
                  <c:x val="4.5382202736118848E-3"/>
                  <c:y val="-0.12775009845685728"/>
                </c:manualLayout>
              </c:layout>
              <c:tx>
                <c:rich>
                  <a:bodyPr/>
                  <a:lstStyle/>
                  <a:p>
                    <a:r>
                      <a:rPr lang="en-US" altLang="zh-TW" sz="1050"/>
                      <a:t>201</a:t>
                    </a:r>
                  </a:p>
                  <a:p>
                    <a:r>
                      <a:rPr lang="en-US" altLang="zh-TW" sz="1050"/>
                      <a:t>(1.6%)</a:t>
                    </a:r>
                    <a:r>
                      <a:rPr lang="en-US" altLang="en-US" sz="1050"/>
                      <a:t> </a:t>
                    </a:r>
                    <a:endParaRPr lang="en-US" alt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9BBE-4D6E-9AC7-A5074510B40D}"/>
                </c:ext>
              </c:extLst>
            </c:dLbl>
            <c:dLbl>
              <c:idx val="1"/>
              <c:layout>
                <c:manualLayout>
                  <c:x val="0"/>
                  <c:y val="-0.12292694672088336"/>
                </c:manualLayout>
              </c:layout>
              <c:tx>
                <c:rich>
                  <a:bodyPr/>
                  <a:lstStyle/>
                  <a:p>
                    <a:r>
                      <a:rPr lang="en-US" altLang="zh-TW" sz="1050"/>
                      <a:t>183</a:t>
                    </a:r>
                  </a:p>
                  <a:p>
                    <a:r>
                      <a:rPr lang="en-US" altLang="zh-TW" sz="1050"/>
                      <a:t>(1.4%)</a:t>
                    </a:r>
                    <a:r>
                      <a:rPr lang="en-US" altLang="en-US" sz="1050"/>
                      <a:t> </a:t>
                    </a:r>
                    <a:endParaRPr lang="en-US" alt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BBE-4D6E-9AC7-A5074510B40D}"/>
                </c:ext>
              </c:extLst>
            </c:dLbl>
            <c:dLbl>
              <c:idx val="2"/>
              <c:layout>
                <c:manualLayout>
                  <c:x val="0"/>
                  <c:y val="-0.11270034593770994"/>
                </c:manualLayout>
              </c:layout>
              <c:tx>
                <c:rich>
                  <a:bodyPr/>
                  <a:lstStyle/>
                  <a:p>
                    <a:r>
                      <a:rPr lang="en-US" altLang="zh-TW" sz="1050"/>
                      <a:t>419</a:t>
                    </a:r>
                  </a:p>
                  <a:p>
                    <a:r>
                      <a:rPr lang="en-US" altLang="zh-TW" sz="1050"/>
                      <a:t>(3.2%)</a:t>
                    </a:r>
                    <a:r>
                      <a:rPr lang="en-US" altLang="en-US" sz="1050"/>
                      <a:t> </a:t>
                    </a:r>
                    <a:endParaRPr lang="en-US" alt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BBE-4D6E-9AC7-A5074510B40D}"/>
                </c:ext>
              </c:extLst>
            </c:dLbl>
            <c:dLbl>
              <c:idx val="3"/>
              <c:layout>
                <c:manualLayout>
                  <c:x val="0"/>
                  <c:y val="-0.19454391403700458"/>
                </c:manualLayout>
              </c:layout>
              <c:tx>
                <c:rich>
                  <a:bodyPr/>
                  <a:lstStyle/>
                  <a:p>
                    <a:r>
                      <a:rPr lang="en-US" altLang="zh-TW" sz="1050"/>
                      <a:t>1</a:t>
                    </a:r>
                    <a:r>
                      <a:rPr lang="en-US" altLang="en-US" sz="1050"/>
                      <a:t>,</a:t>
                    </a:r>
                    <a:r>
                      <a:rPr lang="en-US" altLang="zh-TW" sz="1050"/>
                      <a:t>057</a:t>
                    </a:r>
                  </a:p>
                  <a:p>
                    <a:r>
                      <a:rPr lang="en-US" altLang="zh-TW" sz="1050"/>
                      <a:t>(8.2%)</a:t>
                    </a:r>
                    <a:r>
                      <a:rPr lang="en-US" altLang="en-US" sz="1050"/>
                      <a:t> </a:t>
                    </a:r>
                    <a:endParaRPr lang="en-US" alt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BBE-4D6E-9AC7-A5074510B40D}"/>
                </c:ext>
              </c:extLst>
            </c:dLbl>
            <c:dLbl>
              <c:idx val="4"/>
              <c:layout>
                <c:manualLayout>
                  <c:x val="-1.7868415913110896E-7"/>
                  <c:y val="-0.39712312291099616"/>
                </c:manualLayout>
              </c:layout>
              <c:tx>
                <c:rich>
                  <a:bodyPr/>
                  <a:lstStyle/>
                  <a:p>
                    <a:r>
                      <a:rPr lang="en-US" altLang="zh-TW" sz="1050"/>
                      <a:t>3,451</a:t>
                    </a:r>
                  </a:p>
                  <a:p>
                    <a:r>
                      <a:rPr lang="en-US" altLang="zh-TW" sz="1050"/>
                      <a:t>(26.9%)</a:t>
                    </a:r>
                    <a:r>
                      <a:rPr lang="en-US" altLang="en-US" sz="1050"/>
                      <a:t> </a:t>
                    </a:r>
                    <a:endParaRPr lang="en-US" alt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BBE-4D6E-9AC7-A5074510B40D}"/>
                </c:ext>
              </c:extLst>
            </c:dLbl>
            <c:dLbl>
              <c:idx val="5"/>
              <c:layout>
                <c:manualLayout>
                  <c:x val="-5.3605247739332687E-7"/>
                  <c:y val="-0.4269081736471344"/>
                </c:manualLayout>
              </c:layout>
              <c:tx>
                <c:rich>
                  <a:bodyPr/>
                  <a:lstStyle/>
                  <a:p>
                    <a:r>
                      <a:rPr lang="en-US" altLang="zh-TW" sz="1050"/>
                      <a:t>4</a:t>
                    </a:r>
                    <a:r>
                      <a:rPr lang="en-US" altLang="en-US" sz="1050"/>
                      <a:t>,</a:t>
                    </a:r>
                    <a:r>
                      <a:rPr lang="en-US" altLang="zh-TW" sz="1050"/>
                      <a:t>236</a:t>
                    </a:r>
                  </a:p>
                  <a:p>
                    <a:r>
                      <a:rPr lang="en-US" altLang="zh-TW" sz="1050"/>
                      <a:t>(33.0%)</a:t>
                    </a:r>
                    <a:r>
                      <a:rPr lang="en-US" altLang="en-US" sz="1050"/>
                      <a:t> </a:t>
                    </a:r>
                    <a:endParaRPr lang="en-US" alt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BBE-4D6E-9AC7-A5074510B40D}"/>
                </c:ext>
              </c:extLst>
            </c:dLbl>
            <c:dLbl>
              <c:idx val="6"/>
              <c:layout>
                <c:manualLayout>
                  <c:x val="1.39373644122265E-5"/>
                  <c:y val="-0.3287190582473426"/>
                </c:manualLayout>
              </c:layout>
              <c:tx>
                <c:rich>
                  <a:bodyPr/>
                  <a:lstStyle/>
                  <a:p>
                    <a:r>
                      <a:rPr lang="en-US" altLang="zh-TW" sz="1050"/>
                      <a:t>2</a:t>
                    </a:r>
                    <a:r>
                      <a:rPr lang="en-US" altLang="en-US" sz="1050"/>
                      <a:t>,</a:t>
                    </a:r>
                    <a:r>
                      <a:rPr lang="en-US" altLang="zh-TW" sz="1050"/>
                      <a:t>322</a:t>
                    </a:r>
                  </a:p>
                  <a:p>
                    <a:r>
                      <a:rPr lang="en-US" altLang="zh-TW" sz="1050"/>
                      <a:t>(18.1%)</a:t>
                    </a:r>
                    <a:r>
                      <a:rPr lang="en-US" altLang="en-US" sz="1050"/>
                      <a:t> </a:t>
                    </a:r>
                    <a:endParaRPr lang="en-US" alt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BBE-4D6E-9AC7-A5074510B40D}"/>
                </c:ext>
              </c:extLst>
            </c:dLbl>
            <c:dLbl>
              <c:idx val="7"/>
              <c:layout>
                <c:manualLayout>
                  <c:x val="-1.7868415913110896E-7"/>
                  <c:y val="-0.19217563260192325"/>
                </c:manualLayout>
              </c:layout>
              <c:tx>
                <c:rich>
                  <a:bodyPr/>
                  <a:lstStyle/>
                  <a:p>
                    <a:r>
                      <a:rPr lang="en-US" altLang="zh-TW" sz="1050"/>
                      <a:t>974</a:t>
                    </a:r>
                    <a:endParaRPr lang="en-US" altLang="en-US" sz="1050"/>
                  </a:p>
                  <a:p>
                    <a:r>
                      <a:rPr lang="en-US" altLang="en-US" sz="1050"/>
                      <a:t>(</a:t>
                    </a:r>
                    <a:r>
                      <a:rPr lang="en-US" altLang="zh-TW" sz="1050"/>
                      <a:t>7</a:t>
                    </a:r>
                    <a:r>
                      <a:rPr lang="en-US" altLang="en-US" sz="1050"/>
                      <a:t>.</a:t>
                    </a:r>
                    <a:r>
                      <a:rPr lang="en-US" altLang="zh-TW" sz="1050"/>
                      <a:t>6</a:t>
                    </a:r>
                    <a:r>
                      <a:rPr lang="en-US" altLang="en-US" sz="1050"/>
                      <a:t>%) </a:t>
                    </a:r>
                    <a:endParaRPr lang="en-US" alt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BBE-4D6E-9AC7-A5074510B40D}"/>
                </c:ext>
              </c:extLst>
            </c:dLbl>
            <c:spPr>
              <a:noFill/>
              <a:ln>
                <a:solidFill>
                  <a:schemeClr val="bg1">
                    <a:lumMod val="65000"/>
                  </a:schemeClr>
                </a:solidFill>
              </a:ln>
              <a:effectLst/>
            </c:spPr>
            <c:txPr>
              <a:bodyPr/>
              <a:lstStyle/>
              <a:p>
                <a:pPr>
                  <a:defRPr sz="1050"/>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'[公保(109年).xlsx]2.3養老給付領取人數(按年資分)(含一次金、年金)'!$C$24:$J$24</c:f>
              <c:strCache>
                <c:ptCount val="8"/>
                <c:pt idx="0">
                  <c:v>未達10年</c:v>
                </c:pt>
                <c:pt idx="1">
                  <c:v>10-14.9年</c:v>
                </c:pt>
                <c:pt idx="2">
                  <c:v>15-19.9年</c:v>
                </c:pt>
                <c:pt idx="3">
                  <c:v>20-24.9年</c:v>
                </c:pt>
                <c:pt idx="4">
                  <c:v>25-29.9年</c:v>
                </c:pt>
                <c:pt idx="5">
                  <c:v>30-34.9年</c:v>
                </c:pt>
                <c:pt idx="6">
                  <c:v>35-39.9年</c:v>
                </c:pt>
                <c:pt idx="7">
                  <c:v>40年以上</c:v>
                </c:pt>
              </c:strCache>
            </c:strRef>
          </c:cat>
          <c:val>
            <c:numRef>
              <c:f>'[公保(109年).xlsx]2.3養老給付領取人數(按年資分)(含一次金、年金)'!$C$25:$J$25</c:f>
              <c:numCache>
                <c:formatCode>General</c:formatCode>
                <c:ptCount val="8"/>
                <c:pt idx="0">
                  <c:v>201</c:v>
                </c:pt>
                <c:pt idx="1">
                  <c:v>181</c:v>
                </c:pt>
                <c:pt idx="2">
                  <c:v>335</c:v>
                </c:pt>
                <c:pt idx="3" formatCode="#,##0_ ">
                  <c:v>866</c:v>
                </c:pt>
                <c:pt idx="4" formatCode="#,##0_ ">
                  <c:v>2850</c:v>
                </c:pt>
                <c:pt idx="5" formatCode="#,##0_ ">
                  <c:v>3616</c:v>
                </c:pt>
                <c:pt idx="6" formatCode="#,##0_ ">
                  <c:v>1614</c:v>
                </c:pt>
                <c:pt idx="7">
                  <c:v>747</c:v>
                </c:pt>
              </c:numCache>
            </c:numRef>
          </c:val>
          <c:extLst xmlns:c16r2="http://schemas.microsoft.com/office/drawing/2015/06/chart">
            <c:ext xmlns:c16="http://schemas.microsoft.com/office/drawing/2014/chart" uri="{C3380CC4-5D6E-409C-BE32-E72D297353CC}">
              <c16:uniqueId val="{00000008-9BBE-4D6E-9AC7-A5074510B40D}"/>
            </c:ext>
          </c:extLst>
        </c:ser>
        <c:ser>
          <c:idx val="1"/>
          <c:order val="1"/>
          <c:tx>
            <c:strRef>
              <c:f>'[公保(109年).xlsx]2.3養老給付領取人數(按年資分)(含一次金、年金)'!$B$26</c:f>
              <c:strCache>
                <c:ptCount val="1"/>
                <c:pt idx="0">
                  <c:v>年金給付</c:v>
                </c:pt>
              </c:strCache>
            </c:strRef>
          </c:tx>
          <c:spPr>
            <a:solidFill>
              <a:schemeClr val="accent6">
                <a:lumMod val="60000"/>
                <a:lumOff val="40000"/>
              </a:schemeClr>
            </a:solidFill>
          </c:spPr>
          <c:invertIfNegative val="0"/>
          <c:cat>
            <c:strRef>
              <c:f>'[公保(109年).xlsx]2.3養老給付領取人數(按年資分)(含一次金、年金)'!$C$24:$J$24</c:f>
              <c:strCache>
                <c:ptCount val="8"/>
                <c:pt idx="0">
                  <c:v>未達10年</c:v>
                </c:pt>
                <c:pt idx="1">
                  <c:v>10-14.9年</c:v>
                </c:pt>
                <c:pt idx="2">
                  <c:v>15-19.9年</c:v>
                </c:pt>
                <c:pt idx="3">
                  <c:v>20-24.9年</c:v>
                </c:pt>
                <c:pt idx="4">
                  <c:v>25-29.9年</c:v>
                </c:pt>
                <c:pt idx="5">
                  <c:v>30-34.9年</c:v>
                </c:pt>
                <c:pt idx="6">
                  <c:v>35-39.9年</c:v>
                </c:pt>
                <c:pt idx="7">
                  <c:v>40年以上</c:v>
                </c:pt>
              </c:strCache>
            </c:strRef>
          </c:cat>
          <c:val>
            <c:numRef>
              <c:f>'[公保(109年).xlsx]2.3養老給付領取人數(按年資分)(含一次金、年金)'!$C$26:$J$26</c:f>
              <c:numCache>
                <c:formatCode>General</c:formatCode>
                <c:ptCount val="8"/>
                <c:pt idx="0">
                  <c:v>0</c:v>
                </c:pt>
                <c:pt idx="1">
                  <c:v>2</c:v>
                </c:pt>
                <c:pt idx="2">
                  <c:v>84</c:v>
                </c:pt>
                <c:pt idx="3">
                  <c:v>191</c:v>
                </c:pt>
                <c:pt idx="4">
                  <c:v>601</c:v>
                </c:pt>
                <c:pt idx="5">
                  <c:v>620</c:v>
                </c:pt>
                <c:pt idx="6">
                  <c:v>708</c:v>
                </c:pt>
                <c:pt idx="7">
                  <c:v>227</c:v>
                </c:pt>
              </c:numCache>
            </c:numRef>
          </c:val>
          <c:extLst xmlns:c16r2="http://schemas.microsoft.com/office/drawing/2015/06/chart">
            <c:ext xmlns:c16="http://schemas.microsoft.com/office/drawing/2014/chart" uri="{C3380CC4-5D6E-409C-BE32-E72D297353CC}">
              <c16:uniqueId val="{00000009-9BBE-4D6E-9AC7-A5074510B40D}"/>
            </c:ext>
          </c:extLst>
        </c:ser>
        <c:dLbls>
          <c:showLegendKey val="0"/>
          <c:showVal val="0"/>
          <c:showCatName val="0"/>
          <c:showSerName val="0"/>
          <c:showPercent val="0"/>
          <c:showBubbleSize val="0"/>
        </c:dLbls>
        <c:gapWidth val="150"/>
        <c:overlap val="100"/>
        <c:axId val="283420672"/>
        <c:axId val="280625728"/>
      </c:barChart>
      <c:catAx>
        <c:axId val="283420672"/>
        <c:scaling>
          <c:orientation val="minMax"/>
        </c:scaling>
        <c:delete val="0"/>
        <c:axPos val="b"/>
        <c:numFmt formatCode="General" sourceLinked="0"/>
        <c:majorTickMark val="out"/>
        <c:minorTickMark val="none"/>
        <c:tickLblPos val="nextTo"/>
        <c:crossAx val="280625728"/>
        <c:crosses val="autoZero"/>
        <c:auto val="1"/>
        <c:lblAlgn val="ctr"/>
        <c:lblOffset val="100"/>
        <c:noMultiLvlLbl val="0"/>
      </c:catAx>
      <c:valAx>
        <c:axId val="280625728"/>
        <c:scaling>
          <c:orientation val="minMax"/>
          <c:max val="5000"/>
        </c:scaling>
        <c:delete val="0"/>
        <c:axPos val="l"/>
        <c:numFmt formatCode="General" sourceLinked="1"/>
        <c:majorTickMark val="out"/>
        <c:minorTickMark val="none"/>
        <c:tickLblPos val="nextTo"/>
        <c:txPr>
          <a:bodyPr/>
          <a:lstStyle/>
          <a:p>
            <a:pPr>
              <a:defRPr sz="1000"/>
            </a:pPr>
            <a:endParaRPr lang="zh-TW"/>
          </a:p>
        </c:txPr>
        <c:crossAx val="283420672"/>
        <c:crosses val="autoZero"/>
        <c:crossBetween val="between"/>
        <c:majorUnit val="1000"/>
      </c:valAx>
      <c:dTable>
        <c:showHorzBorder val="1"/>
        <c:showVertBorder val="1"/>
        <c:showOutline val="1"/>
        <c:showKeys val="1"/>
      </c:dTable>
    </c:plotArea>
    <c:plotVisOnly val="1"/>
    <c:dispBlanksAs val="gap"/>
    <c:showDLblsOverMax val="0"/>
  </c:chart>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9340771179113"/>
          <c:y val="0.14924754037647134"/>
          <c:w val="0.64765118645883546"/>
          <c:h val="0.73104584319598087"/>
        </c:manualLayout>
      </c:layout>
      <c:barChart>
        <c:barDir val="col"/>
        <c:grouping val="clustered"/>
        <c:varyColors val="0"/>
        <c:ser>
          <c:idx val="1"/>
          <c:order val="1"/>
          <c:tx>
            <c:strRef>
              <c:f>'[公保(109年).xlsx]2.4養老給付領取概況'!$D$21</c:f>
              <c:strCache>
                <c:ptCount val="1"/>
                <c:pt idx="0">
                  <c:v>一次給付平均保險年資</c:v>
                </c:pt>
              </c:strCache>
            </c:strRef>
          </c:tx>
          <c:spPr>
            <a:solidFill>
              <a:schemeClr val="accent6">
                <a:lumMod val="60000"/>
                <a:lumOff val="40000"/>
              </a:schemeClr>
            </a:solidFill>
          </c:spPr>
          <c:invertIfNegative val="0"/>
          <c:dLbls>
            <c:spPr>
              <a:noFill/>
              <a:ln>
                <a:noFill/>
              </a:ln>
              <a:effectLst/>
            </c:spPr>
            <c:txPr>
              <a:bodyPr/>
              <a:lstStyle/>
              <a:p>
                <a:pPr>
                  <a:defRPr sz="900" b="0"/>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'[公保(109年).xlsx]2.4養老給付領取概況'!$B$25:$B$34</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'[公保(109年).xlsx]2.4養老給付領取概況'!$D$25:$D$34</c:f>
              <c:numCache>
                <c:formatCode>0.0_);[Red]\(0.0\)</c:formatCode>
                <c:ptCount val="10"/>
                <c:pt idx="0">
                  <c:v>28.2</c:v>
                </c:pt>
                <c:pt idx="1">
                  <c:v>28.26</c:v>
                </c:pt>
                <c:pt idx="2">
                  <c:v>28.04</c:v>
                </c:pt>
                <c:pt idx="3">
                  <c:v>28.76</c:v>
                </c:pt>
                <c:pt idx="4">
                  <c:v>28.92</c:v>
                </c:pt>
                <c:pt idx="5">
                  <c:v>28.65</c:v>
                </c:pt>
                <c:pt idx="6">
                  <c:v>28.01</c:v>
                </c:pt>
                <c:pt idx="7">
                  <c:v>28.35</c:v>
                </c:pt>
                <c:pt idx="8">
                  <c:v>28.63</c:v>
                </c:pt>
                <c:pt idx="9">
                  <c:v>29.59</c:v>
                </c:pt>
              </c:numCache>
            </c:numRef>
          </c:val>
          <c:extLst xmlns:c16r2="http://schemas.microsoft.com/office/drawing/2015/06/chart">
            <c:ext xmlns:c16="http://schemas.microsoft.com/office/drawing/2014/chart" uri="{C3380CC4-5D6E-409C-BE32-E72D297353CC}">
              <c16:uniqueId val="{00000000-59E0-422F-8348-2518ABD92D74}"/>
            </c:ext>
          </c:extLst>
        </c:ser>
        <c:dLbls>
          <c:showLegendKey val="0"/>
          <c:showVal val="0"/>
          <c:showCatName val="0"/>
          <c:showSerName val="0"/>
          <c:showPercent val="0"/>
          <c:showBubbleSize val="0"/>
        </c:dLbls>
        <c:gapWidth val="150"/>
        <c:axId val="283116544"/>
        <c:axId val="283000128"/>
      </c:barChart>
      <c:lineChart>
        <c:grouping val="standard"/>
        <c:varyColors val="0"/>
        <c:ser>
          <c:idx val="0"/>
          <c:order val="0"/>
          <c:tx>
            <c:strRef>
              <c:f>'[公保(109年).xlsx]2.4養老給付領取概況'!$C$21</c:f>
              <c:strCache>
                <c:ptCount val="1"/>
                <c:pt idx="0">
                  <c:v>一次給付平均金額</c:v>
                </c:pt>
              </c:strCache>
            </c:strRef>
          </c:tx>
          <c:dLbls>
            <c:dLbl>
              <c:idx val="0"/>
              <c:layout>
                <c:manualLayout>
                  <c:x val="-4.5641588337240961E-2"/>
                  <c:y val="4.00115830698530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9E0-422F-8348-2518ABD92D74}"/>
                </c:ext>
              </c:extLst>
            </c:dLbl>
            <c:dLbl>
              <c:idx val="1"/>
              <c:layout>
                <c:manualLayout>
                  <c:x val="-5.7549916309780583E-2"/>
                  <c:y val="-3.56531543428337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9E0-422F-8348-2518ABD92D74}"/>
                </c:ext>
              </c:extLst>
            </c:dLbl>
            <c:dLbl>
              <c:idx val="2"/>
              <c:layout>
                <c:manualLayout>
                  <c:x val="-2.7198275524971338E-2"/>
                  <c:y val="-3.635084250797993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9E0-422F-8348-2518ABD92D74}"/>
                </c:ext>
              </c:extLst>
            </c:dLbl>
            <c:dLbl>
              <c:idx val="3"/>
              <c:layout>
                <c:manualLayout>
                  <c:x val="-6.1629825140217788E-2"/>
                  <c:y val="3.35055602326438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9E0-422F-8348-2518ABD92D74}"/>
                </c:ext>
              </c:extLst>
            </c:dLbl>
            <c:dLbl>
              <c:idx val="4"/>
              <c:layout>
                <c:manualLayout>
                  <c:x val="-5.9979492359373443E-2"/>
                  <c:y val="-3.26573821540431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9E0-422F-8348-2518ABD92D74}"/>
                </c:ext>
              </c:extLst>
            </c:dLbl>
            <c:dLbl>
              <c:idx val="5"/>
              <c:layout>
                <c:manualLayout>
                  <c:x val="-3.6761494969402099E-2"/>
                  <c:y val="-3.65879118529641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9E0-422F-8348-2518ABD92D74}"/>
                </c:ext>
              </c:extLst>
            </c:dLbl>
            <c:dLbl>
              <c:idx val="6"/>
              <c:layout>
                <c:manualLayout>
                  <c:x val="-3.0191226194938647E-2"/>
                  <c:y val="3.64181274414369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59E0-422F-8348-2518ABD92D74}"/>
                </c:ext>
              </c:extLst>
            </c:dLbl>
            <c:dLbl>
              <c:idx val="7"/>
              <c:layout>
                <c:manualLayout>
                  <c:x val="-9.4147904798124057E-2"/>
                  <c:y val="-3.37732636085349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59E0-422F-8348-2518ABD92D74}"/>
                </c:ext>
              </c:extLst>
            </c:dLbl>
            <c:dLbl>
              <c:idx val="8"/>
              <c:layout>
                <c:manualLayout>
                  <c:x val="-5.269110024584181E-2"/>
                  <c:y val="3.958680762545806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59E0-422F-8348-2518ABD92D74}"/>
                </c:ext>
              </c:extLst>
            </c:dLbl>
            <c:dLbl>
              <c:idx val="9"/>
              <c:layout>
                <c:manualLayout>
                  <c:x val="-7.2127208588722333E-2"/>
                  <c:y val="-3.50386149947597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59E0-422F-8348-2518ABD92D74}"/>
                </c:ext>
              </c:extLst>
            </c:dLbl>
            <c:spPr>
              <a:noFill/>
              <a:ln>
                <a:noFill/>
              </a:ln>
              <a:effectLst/>
            </c:spPr>
            <c:txPr>
              <a:bodyPr wrap="square" lIns="38100" tIns="19050" rIns="38100" bIns="19050" anchor="ctr">
                <a:spAutoFit/>
              </a:bodyPr>
              <a:lstStyle/>
              <a:p>
                <a:pPr>
                  <a:defRPr sz="800"/>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'[公保(109年).xlsx]2.4養老給付領取概況'!$B$25:$B$34</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'[公保(109年).xlsx]2.4養老給付領取概況'!$C$25:$C$34</c:f>
              <c:numCache>
                <c:formatCode>#,##0</c:formatCode>
                <c:ptCount val="10"/>
                <c:pt idx="0">
                  <c:v>1377920</c:v>
                </c:pt>
                <c:pt idx="1">
                  <c:v>1397653</c:v>
                </c:pt>
                <c:pt idx="2">
                  <c:v>1377643</c:v>
                </c:pt>
                <c:pt idx="3">
                  <c:v>1349988</c:v>
                </c:pt>
                <c:pt idx="4">
                  <c:v>1375612</c:v>
                </c:pt>
                <c:pt idx="5">
                  <c:v>1380927</c:v>
                </c:pt>
                <c:pt idx="6">
                  <c:v>1358465</c:v>
                </c:pt>
                <c:pt idx="7">
                  <c:v>1432342</c:v>
                </c:pt>
                <c:pt idx="8">
                  <c:v>1467792</c:v>
                </c:pt>
                <c:pt idx="9">
                  <c:v>1518007</c:v>
                </c:pt>
              </c:numCache>
            </c:numRef>
          </c:val>
          <c:smooth val="0"/>
          <c:extLst xmlns:c16r2="http://schemas.microsoft.com/office/drawing/2015/06/chart">
            <c:ext xmlns:c16="http://schemas.microsoft.com/office/drawing/2014/chart" uri="{C3380CC4-5D6E-409C-BE32-E72D297353CC}">
              <c16:uniqueId val="{0000000B-59E0-422F-8348-2518ABD92D74}"/>
            </c:ext>
          </c:extLst>
        </c:ser>
        <c:dLbls>
          <c:showLegendKey val="0"/>
          <c:showVal val="0"/>
          <c:showCatName val="0"/>
          <c:showSerName val="0"/>
          <c:showPercent val="0"/>
          <c:showBubbleSize val="0"/>
        </c:dLbls>
        <c:marker val="1"/>
        <c:smooth val="0"/>
        <c:axId val="283117568"/>
        <c:axId val="282999552"/>
      </c:lineChart>
      <c:catAx>
        <c:axId val="283116544"/>
        <c:scaling>
          <c:orientation val="minMax"/>
        </c:scaling>
        <c:delete val="0"/>
        <c:axPos val="b"/>
        <c:numFmt formatCode="General" sourceLinked="0"/>
        <c:majorTickMark val="out"/>
        <c:minorTickMark val="none"/>
        <c:tickLblPos val="nextTo"/>
        <c:crossAx val="283000128"/>
        <c:crosses val="autoZero"/>
        <c:auto val="1"/>
        <c:lblAlgn val="ctr"/>
        <c:lblOffset val="100"/>
        <c:noMultiLvlLbl val="0"/>
      </c:catAx>
      <c:valAx>
        <c:axId val="283000128"/>
        <c:scaling>
          <c:orientation val="minMax"/>
          <c:max val="31"/>
          <c:min val="27.5"/>
        </c:scaling>
        <c:delete val="0"/>
        <c:axPos val="l"/>
        <c:numFmt formatCode="0.0_);[Red]\(0.0\)" sourceLinked="1"/>
        <c:majorTickMark val="out"/>
        <c:minorTickMark val="none"/>
        <c:tickLblPos val="nextTo"/>
        <c:crossAx val="283116544"/>
        <c:crosses val="autoZero"/>
        <c:crossBetween val="between"/>
        <c:majorUnit val="0.5"/>
      </c:valAx>
      <c:valAx>
        <c:axId val="282999552"/>
        <c:scaling>
          <c:orientation val="minMax"/>
          <c:max val="1600000"/>
          <c:min val="1000000"/>
        </c:scaling>
        <c:delete val="0"/>
        <c:axPos val="r"/>
        <c:numFmt formatCode="#,##0" sourceLinked="1"/>
        <c:majorTickMark val="out"/>
        <c:minorTickMark val="none"/>
        <c:tickLblPos val="nextTo"/>
        <c:crossAx val="283117568"/>
        <c:crosses val="max"/>
        <c:crossBetween val="between"/>
        <c:majorUnit val="100000"/>
      </c:valAx>
      <c:catAx>
        <c:axId val="283117568"/>
        <c:scaling>
          <c:orientation val="minMax"/>
        </c:scaling>
        <c:delete val="1"/>
        <c:axPos val="b"/>
        <c:numFmt formatCode="General" sourceLinked="1"/>
        <c:majorTickMark val="out"/>
        <c:minorTickMark val="none"/>
        <c:tickLblPos val="nextTo"/>
        <c:crossAx val="282999552"/>
        <c:crosses val="autoZero"/>
        <c:auto val="1"/>
        <c:lblAlgn val="ctr"/>
        <c:lblOffset val="100"/>
        <c:noMultiLvlLbl val="0"/>
      </c:catAx>
    </c:plotArea>
    <c:legend>
      <c:legendPos val="t"/>
      <c:layout>
        <c:manualLayout>
          <c:xMode val="edge"/>
          <c:yMode val="edge"/>
          <c:x val="0.1749271137026239"/>
          <c:y val="3.1448945751746511E-2"/>
          <c:w val="0.67930029154518956"/>
          <c:h val="7.3958745954301727E-2"/>
        </c:manualLayout>
      </c:layout>
      <c:overlay val="0"/>
      <c:txPr>
        <a:bodyPr/>
        <a:lstStyle/>
        <a:p>
          <a:pPr>
            <a:defRPr>
              <a:latin typeface="微軟正黑體" panose="020B0604030504040204" pitchFamily="34" charset="-120"/>
              <a:ea typeface="微軟正黑體" panose="020B0604030504040204" pitchFamily="34" charset="-120"/>
            </a:defRPr>
          </a:pPr>
          <a:endParaRPr lang="zh-TW"/>
        </a:p>
      </c:txPr>
    </c:legend>
    <c:plotVisOnly val="1"/>
    <c:dispBlanksAs val="gap"/>
    <c:showDLblsOverMax val="0"/>
  </c:chart>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93136414942952"/>
          <c:y val="0.1946200470692353"/>
          <c:w val="0.69737765873528101"/>
          <c:h val="0.68567587058117008"/>
        </c:manualLayout>
      </c:layout>
      <c:barChart>
        <c:barDir val="col"/>
        <c:grouping val="clustered"/>
        <c:varyColors val="0"/>
        <c:ser>
          <c:idx val="1"/>
          <c:order val="1"/>
          <c:tx>
            <c:strRef>
              <c:f>'[公保(109年).xlsx]2.4養老給付領取概況'!$D$36</c:f>
              <c:strCache>
                <c:ptCount val="1"/>
                <c:pt idx="0">
                  <c:v>年金給付平均保險年資</c:v>
                </c:pt>
              </c:strCache>
            </c:strRef>
          </c:tx>
          <c:spPr>
            <a:solidFill>
              <a:schemeClr val="accent6">
                <a:lumMod val="60000"/>
                <a:lumOff val="40000"/>
              </a:schemeClr>
            </a:solidFill>
          </c:spPr>
          <c:invertIfNegative val="0"/>
          <c:dLbls>
            <c:dLbl>
              <c:idx val="1"/>
              <c:layout>
                <c:manualLayout>
                  <c:x val="4.5537340619307837E-3"/>
                  <c:y val="0.4486220472440944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356E-4F33-BA48-BE2E81D27A3D}"/>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'[公保(109年).xlsx]2.4養老給付領取概況'!$B$37:$B$43</c:f>
              <c:strCache>
                <c:ptCount val="7"/>
                <c:pt idx="0">
                  <c:v>103年</c:v>
                </c:pt>
                <c:pt idx="1">
                  <c:v>104年</c:v>
                </c:pt>
                <c:pt idx="2">
                  <c:v>105年</c:v>
                </c:pt>
                <c:pt idx="3">
                  <c:v>106年</c:v>
                </c:pt>
                <c:pt idx="4">
                  <c:v>107年</c:v>
                </c:pt>
                <c:pt idx="5">
                  <c:v>108年</c:v>
                </c:pt>
                <c:pt idx="6">
                  <c:v>109年</c:v>
                </c:pt>
              </c:strCache>
            </c:strRef>
          </c:cat>
          <c:val>
            <c:numRef>
              <c:f>'[公保(109年).xlsx]2.4養老給付領取概況'!$D$37:$D$43</c:f>
              <c:numCache>
                <c:formatCode>0.0_ </c:formatCode>
                <c:ptCount val="7"/>
                <c:pt idx="0">
                  <c:v>28.89</c:v>
                </c:pt>
                <c:pt idx="1">
                  <c:v>32.479999999999997</c:v>
                </c:pt>
                <c:pt idx="2">
                  <c:v>32.14</c:v>
                </c:pt>
                <c:pt idx="3">
                  <c:v>31.93</c:v>
                </c:pt>
                <c:pt idx="4">
                  <c:v>31.92</c:v>
                </c:pt>
                <c:pt idx="5">
                  <c:v>32.17</c:v>
                </c:pt>
                <c:pt idx="6">
                  <c:v>32.159999999999997</c:v>
                </c:pt>
              </c:numCache>
            </c:numRef>
          </c:val>
          <c:extLst xmlns:c16r2="http://schemas.microsoft.com/office/drawing/2015/06/chart">
            <c:ext xmlns:c16="http://schemas.microsoft.com/office/drawing/2014/chart" uri="{C3380CC4-5D6E-409C-BE32-E72D297353CC}">
              <c16:uniqueId val="{00000001-356E-4F33-BA48-BE2E81D27A3D}"/>
            </c:ext>
          </c:extLst>
        </c:ser>
        <c:dLbls>
          <c:showLegendKey val="0"/>
          <c:showVal val="0"/>
          <c:showCatName val="0"/>
          <c:showSerName val="0"/>
          <c:showPercent val="0"/>
          <c:showBubbleSize val="0"/>
        </c:dLbls>
        <c:gapWidth val="150"/>
        <c:axId val="283119104"/>
        <c:axId val="280627456"/>
      </c:barChart>
      <c:lineChart>
        <c:grouping val="standard"/>
        <c:varyColors val="0"/>
        <c:ser>
          <c:idx val="0"/>
          <c:order val="0"/>
          <c:tx>
            <c:strRef>
              <c:f>'[公保(109年).xlsx]2.4養老給付領取概況'!$C$36</c:f>
              <c:strCache>
                <c:ptCount val="1"/>
                <c:pt idx="0">
                  <c:v>年金給付平均每月給付金額</c:v>
                </c:pt>
              </c:strCache>
            </c:strRef>
          </c:tx>
          <c:dLbls>
            <c:dLbl>
              <c:idx val="1"/>
              <c:layout>
                <c:manualLayout>
                  <c:x val="-7.0622857593620469E-2"/>
                  <c:y val="-5.14005540974044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56E-4F33-BA48-BE2E81D27A3D}"/>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'[公保(109年).xlsx]2.4養老給付領取概況'!$B$37:$B$43</c:f>
              <c:strCache>
                <c:ptCount val="7"/>
                <c:pt idx="0">
                  <c:v>103年</c:v>
                </c:pt>
                <c:pt idx="1">
                  <c:v>104年</c:v>
                </c:pt>
                <c:pt idx="2">
                  <c:v>105年</c:v>
                </c:pt>
                <c:pt idx="3">
                  <c:v>106年</c:v>
                </c:pt>
                <c:pt idx="4">
                  <c:v>107年</c:v>
                </c:pt>
                <c:pt idx="5">
                  <c:v>108年</c:v>
                </c:pt>
                <c:pt idx="6">
                  <c:v>109年</c:v>
                </c:pt>
              </c:strCache>
            </c:strRef>
          </c:cat>
          <c:val>
            <c:numRef>
              <c:f>'[公保(109年).xlsx]2.4養老給付領取概況'!$C$37:$C$43</c:f>
              <c:numCache>
                <c:formatCode>_-* #,##0_-;\-* #,##0_-;_-* "-"??_-;_-@_-</c:formatCode>
                <c:ptCount val="7"/>
                <c:pt idx="0">
                  <c:v>9209</c:v>
                </c:pt>
                <c:pt idx="1">
                  <c:v>9730</c:v>
                </c:pt>
                <c:pt idx="2">
                  <c:v>17778</c:v>
                </c:pt>
                <c:pt idx="3">
                  <c:v>17642</c:v>
                </c:pt>
                <c:pt idx="4">
                  <c:v>17739</c:v>
                </c:pt>
                <c:pt idx="5">
                  <c:v>17937</c:v>
                </c:pt>
                <c:pt idx="6">
                  <c:v>18041</c:v>
                </c:pt>
              </c:numCache>
            </c:numRef>
          </c:val>
          <c:smooth val="0"/>
          <c:extLst xmlns:c16r2="http://schemas.microsoft.com/office/drawing/2015/06/chart">
            <c:ext xmlns:c16="http://schemas.microsoft.com/office/drawing/2014/chart" uri="{C3380CC4-5D6E-409C-BE32-E72D297353CC}">
              <c16:uniqueId val="{00000003-356E-4F33-BA48-BE2E81D27A3D}"/>
            </c:ext>
          </c:extLst>
        </c:ser>
        <c:dLbls>
          <c:showLegendKey val="0"/>
          <c:showVal val="0"/>
          <c:showCatName val="0"/>
          <c:showSerName val="0"/>
          <c:showPercent val="0"/>
          <c:showBubbleSize val="0"/>
        </c:dLbls>
        <c:marker val="1"/>
        <c:smooth val="0"/>
        <c:axId val="283231232"/>
        <c:axId val="280628032"/>
      </c:lineChart>
      <c:catAx>
        <c:axId val="283119104"/>
        <c:scaling>
          <c:orientation val="minMax"/>
        </c:scaling>
        <c:delete val="0"/>
        <c:axPos val="b"/>
        <c:numFmt formatCode="General" sourceLinked="0"/>
        <c:majorTickMark val="out"/>
        <c:minorTickMark val="none"/>
        <c:tickLblPos val="nextTo"/>
        <c:crossAx val="280627456"/>
        <c:crosses val="autoZero"/>
        <c:auto val="1"/>
        <c:lblAlgn val="ctr"/>
        <c:lblOffset val="100"/>
        <c:noMultiLvlLbl val="0"/>
      </c:catAx>
      <c:valAx>
        <c:axId val="280627456"/>
        <c:scaling>
          <c:orientation val="minMax"/>
          <c:max val="34"/>
          <c:min val="27"/>
        </c:scaling>
        <c:delete val="0"/>
        <c:axPos val="l"/>
        <c:numFmt formatCode="0.0_ " sourceLinked="1"/>
        <c:majorTickMark val="out"/>
        <c:minorTickMark val="none"/>
        <c:tickLblPos val="nextTo"/>
        <c:crossAx val="283119104"/>
        <c:crosses val="autoZero"/>
        <c:crossBetween val="between"/>
        <c:majorUnit val="1"/>
      </c:valAx>
      <c:valAx>
        <c:axId val="280628032"/>
        <c:scaling>
          <c:orientation val="minMax"/>
          <c:max val="20000"/>
          <c:min val="0"/>
        </c:scaling>
        <c:delete val="0"/>
        <c:axPos val="r"/>
        <c:numFmt formatCode="_-* #,##0_-;\-* #,##0_-;_-* &quot;-&quot;??_-;_-@_-" sourceLinked="1"/>
        <c:majorTickMark val="out"/>
        <c:minorTickMark val="none"/>
        <c:tickLblPos val="nextTo"/>
        <c:crossAx val="283231232"/>
        <c:crosses val="max"/>
        <c:crossBetween val="between"/>
        <c:majorUnit val="5000"/>
      </c:valAx>
      <c:catAx>
        <c:axId val="283231232"/>
        <c:scaling>
          <c:orientation val="minMax"/>
        </c:scaling>
        <c:delete val="1"/>
        <c:axPos val="b"/>
        <c:numFmt formatCode="General" sourceLinked="1"/>
        <c:majorTickMark val="out"/>
        <c:minorTickMark val="none"/>
        <c:tickLblPos val="nextTo"/>
        <c:crossAx val="280628032"/>
        <c:crosses val="autoZero"/>
        <c:auto val="1"/>
        <c:lblAlgn val="ctr"/>
        <c:lblOffset val="100"/>
        <c:noMultiLvlLbl val="0"/>
      </c:catAx>
    </c:plotArea>
    <c:legend>
      <c:legendPos val="t"/>
      <c:layout>
        <c:manualLayout>
          <c:xMode val="edge"/>
          <c:yMode val="edge"/>
          <c:x val="0.16344265880699338"/>
          <c:y val="4.1666666666666664E-2"/>
          <c:w val="0.70782214695313894"/>
          <c:h val="8.8730679498396026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734309286958429"/>
          <c:y val="3.7489655776345845E-2"/>
          <c:w val="0.62093123781855786"/>
          <c:h val="0.44819014289880432"/>
        </c:manualLayout>
      </c:layout>
      <c:barChart>
        <c:barDir val="col"/>
        <c:grouping val="clustered"/>
        <c:varyColors val="0"/>
        <c:ser>
          <c:idx val="1"/>
          <c:order val="1"/>
          <c:tx>
            <c:strRef>
              <c:f>'3.2基金運用收益'!$C$2</c:f>
              <c:strCache>
                <c:ptCount val="1"/>
                <c:pt idx="0">
                  <c:v>已實現年化
收益率</c:v>
                </c:pt>
              </c:strCache>
            </c:strRef>
          </c:tx>
          <c:spPr>
            <a:solidFill>
              <a:schemeClr val="accent2"/>
            </a:solidFill>
          </c:spPr>
          <c:invertIfNegative val="0"/>
          <c:dLbls>
            <c:dLbl>
              <c:idx val="9"/>
              <c:layout>
                <c:manualLayout>
                  <c:x val="-6.5217391304347823E-3"/>
                  <c:y val="7.054456133006172E-2"/>
                </c:manualLayout>
              </c:layout>
              <c:showLegendKey val="0"/>
              <c:showVal val="1"/>
              <c:showCatName val="0"/>
              <c:showSerName val="0"/>
              <c:showPercent val="0"/>
              <c:showBubbleSize val="0"/>
            </c:dLbl>
            <c:showLegendKey val="0"/>
            <c:showVal val="0"/>
            <c:showCatName val="0"/>
            <c:showSerName val="0"/>
            <c:showPercent val="0"/>
            <c:showBubbleSize val="0"/>
          </c:dLbls>
          <c:cat>
            <c:strRef>
              <c:f>'3.2基金運用收益'!$A$6:$A$15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'3.2基金運用收益'!$C$6:$C$15</c:f>
              <c:numCache>
                <c:formatCode>0.0_);[Red]\(0.0\)</c:formatCode>
                <c:ptCount val="10"/>
                <c:pt idx="0">
                  <c:v>3.13</c:v>
                </c:pt>
                <c:pt idx="1">
                  <c:v>1.78</c:v>
                </c:pt>
                <c:pt idx="2">
                  <c:v>2.6</c:v>
                </c:pt>
                <c:pt idx="3">
                  <c:v>3.15</c:v>
                </c:pt>
                <c:pt idx="4">
                  <c:v>2.44</c:v>
                </c:pt>
                <c:pt idx="5">
                  <c:v>3.08</c:v>
                </c:pt>
                <c:pt idx="6">
                  <c:v>3.67</c:v>
                </c:pt>
                <c:pt idx="7">
                  <c:v>3.06</c:v>
                </c:pt>
                <c:pt idx="8">
                  <c:v>3.4</c:v>
                </c:pt>
                <c:pt idx="9">
                  <c:v>2.7</c:v>
                </c:pt>
              </c:numCache>
            </c:numRef>
          </c:val>
          <c:extLst xmlns:c16r2="http://schemas.microsoft.com/office/drawing/2015/06/chart">
            <c:ext xmlns:c16="http://schemas.microsoft.com/office/drawing/2014/chart" uri="{C3380CC4-5D6E-409C-BE32-E72D297353CC}">
              <c16:uniqueId val="{00000000-C936-484F-A4AB-6F6D558EC4AB}"/>
            </c:ext>
          </c:extLst>
        </c:ser>
        <c:ser>
          <c:idx val="3"/>
          <c:order val="3"/>
          <c:tx>
            <c:strRef>
              <c:f>'3.2基金運用收益'!$E$2</c:f>
              <c:strCache>
                <c:ptCount val="1"/>
                <c:pt idx="0">
                  <c:v>加計未實現損益
後之年化收益率</c:v>
                </c:pt>
              </c:strCache>
            </c:strRef>
          </c:tx>
          <c:spPr>
            <a:solidFill>
              <a:schemeClr val="accent5">
                <a:lumMod val="60000"/>
                <a:lumOff val="40000"/>
              </a:schemeClr>
            </a:solidFill>
          </c:spPr>
          <c:invertIfNegative val="0"/>
          <c:dLbls>
            <c:dLbl>
              <c:idx val="0"/>
              <c:layout>
                <c:manualLayout>
                  <c:x val="0"/>
                  <c:y val="2.9702973191605003E-2"/>
                </c:manualLayout>
              </c:layout>
              <c:showLegendKey val="0"/>
              <c:showVal val="1"/>
              <c:showCatName val="0"/>
              <c:showSerName val="0"/>
              <c:showPercent val="0"/>
              <c:showBubbleSize val="0"/>
            </c:dLbl>
            <c:dLbl>
              <c:idx val="7"/>
              <c:layout>
                <c:manualLayout>
                  <c:x val="-7.9709224119777351E-17"/>
                  <c:y val="2.22772298937037E-2"/>
                </c:manualLayout>
              </c:layout>
              <c:showLegendKey val="0"/>
              <c:showVal val="1"/>
              <c:showCatName val="0"/>
              <c:showSerName val="0"/>
              <c:showPercent val="0"/>
              <c:showBubbleSize val="0"/>
            </c:dLbl>
            <c:dLbl>
              <c:idx val="9"/>
              <c:layout>
                <c:manualLayout>
                  <c:x val="4.3478260869565218E-3"/>
                  <c:y val="0.10396040617061728"/>
                </c:manualLayout>
              </c:layout>
              <c:showLegendKey val="0"/>
              <c:showVal val="1"/>
              <c:showCatName val="0"/>
              <c:showSerName val="0"/>
              <c:showPercent val="0"/>
              <c:showBubbleSize val="0"/>
            </c:dLbl>
            <c:showLegendKey val="0"/>
            <c:showVal val="0"/>
            <c:showCatName val="0"/>
            <c:showSerName val="0"/>
            <c:showPercent val="0"/>
            <c:showBubbleSize val="0"/>
          </c:dLbls>
          <c:cat>
            <c:strRef>
              <c:f>'3.2基金運用收益'!$A$6:$A$15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'3.2基金運用收益'!$E$6:$E$15</c:f>
              <c:numCache>
                <c:formatCode>0.0_ ;[Red]\-0.0\ </c:formatCode>
                <c:ptCount val="10"/>
                <c:pt idx="0">
                  <c:v>-2.87</c:v>
                </c:pt>
                <c:pt idx="1">
                  <c:v>4.72</c:v>
                </c:pt>
                <c:pt idx="2">
                  <c:v>6.02</c:v>
                </c:pt>
                <c:pt idx="3">
                  <c:v>6.72</c:v>
                </c:pt>
                <c:pt idx="4">
                  <c:v>0.37</c:v>
                </c:pt>
                <c:pt idx="5">
                  <c:v>5.12</c:v>
                </c:pt>
                <c:pt idx="6">
                  <c:v>8.24</c:v>
                </c:pt>
                <c:pt idx="7">
                  <c:v>-3.13</c:v>
                </c:pt>
                <c:pt idx="8" formatCode="0.0_);[Red]\(0.0\)">
                  <c:v>12.76</c:v>
                </c:pt>
                <c:pt idx="9" formatCode="0.0_);[Red]\(0.0\)">
                  <c:v>15.26</c:v>
                </c:pt>
              </c:numCache>
            </c:numRef>
          </c:val>
          <c:extLst xmlns:c16r2="http://schemas.microsoft.com/office/drawing/2015/06/chart">
            <c:ext xmlns:c16="http://schemas.microsoft.com/office/drawing/2014/chart" uri="{C3380CC4-5D6E-409C-BE32-E72D297353CC}">
              <c16:uniqueId val="{00000001-C936-484F-A4AB-6F6D558EC4AB}"/>
            </c:ext>
          </c:extLst>
        </c:ser>
        <c:dLbls>
          <c:showLegendKey val="0"/>
          <c:showVal val="0"/>
          <c:showCatName val="0"/>
          <c:showSerName val="0"/>
          <c:showPercent val="0"/>
          <c:showBubbleSize val="0"/>
        </c:dLbls>
        <c:gapWidth val="150"/>
        <c:axId val="283232768"/>
        <c:axId val="280629760"/>
      </c:barChart>
      <c:lineChart>
        <c:grouping val="standard"/>
        <c:varyColors val="0"/>
        <c:ser>
          <c:idx val="0"/>
          <c:order val="0"/>
          <c:tx>
            <c:strRef>
              <c:f>'3.2基金運用收益'!$B$2</c:f>
              <c:strCache>
                <c:ptCount val="1"/>
                <c:pt idx="0">
                  <c:v>已實現收益數</c:v>
                </c:pt>
              </c:strCache>
            </c:strRef>
          </c:tx>
          <c:spPr>
            <a:ln>
              <a:solidFill>
                <a:schemeClr val="accent2">
                  <a:lumMod val="50000"/>
                </a:schemeClr>
              </a:solidFill>
            </a:ln>
          </c:spPr>
          <c:marker>
            <c:symbol val="none"/>
          </c:marker>
          <c:dLbls>
            <c:dLbl>
              <c:idx val="9"/>
              <c:layout>
                <c:manualLayout>
                  <c:x val="-4.7826086956521741E-2"/>
                  <c:y val="-1.8564358244753085E-2"/>
                </c:manualLayout>
              </c:layout>
              <c:showLegendKey val="0"/>
              <c:showVal val="1"/>
              <c:showCatName val="0"/>
              <c:showSerName val="0"/>
              <c:showPercent val="0"/>
              <c:showBubbleSize val="0"/>
            </c:dLbl>
            <c:showLegendKey val="0"/>
            <c:showVal val="0"/>
            <c:showCatName val="0"/>
            <c:showSerName val="0"/>
            <c:showPercent val="0"/>
            <c:showBubbleSize val="0"/>
          </c:dLbls>
          <c:cat>
            <c:strRef>
              <c:f>'3.2基金運用收益'!$A$6:$A$15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'3.2基金運用收益'!$B$6:$B$15</c:f>
              <c:numCache>
                <c:formatCode>0.0_);[Red]\(0.0\)</c:formatCode>
                <c:ptCount val="10"/>
                <c:pt idx="0">
                  <c:v>56.44</c:v>
                </c:pt>
                <c:pt idx="1">
                  <c:v>34.47</c:v>
                </c:pt>
                <c:pt idx="2">
                  <c:v>53.33</c:v>
                </c:pt>
                <c:pt idx="3">
                  <c:v>69.760000000000005</c:v>
                </c:pt>
                <c:pt idx="4">
                  <c:v>57.6</c:v>
                </c:pt>
                <c:pt idx="5">
                  <c:v>75.849999999999994</c:v>
                </c:pt>
                <c:pt idx="6">
                  <c:v>96.19</c:v>
                </c:pt>
                <c:pt idx="7">
                  <c:v>86.17</c:v>
                </c:pt>
                <c:pt idx="8">
                  <c:v>101.56</c:v>
                </c:pt>
                <c:pt idx="9">
                  <c:v>85.41</c:v>
                </c:pt>
              </c:numCache>
            </c:numRef>
          </c:val>
          <c:smooth val="0"/>
          <c:extLst xmlns:c16r2="http://schemas.microsoft.com/office/drawing/2015/06/chart">
            <c:ext xmlns:c16="http://schemas.microsoft.com/office/drawing/2014/chart" uri="{C3380CC4-5D6E-409C-BE32-E72D297353CC}">
              <c16:uniqueId val="{00000002-C936-484F-A4AB-6F6D558EC4AB}"/>
            </c:ext>
          </c:extLst>
        </c:ser>
        <c:ser>
          <c:idx val="2"/>
          <c:order val="2"/>
          <c:tx>
            <c:strRef>
              <c:f>'3.2基金運用收益'!$D$2</c:f>
              <c:strCache>
                <c:ptCount val="1"/>
                <c:pt idx="0">
                  <c:v>加計未實現損益
後之收益數</c:v>
                </c:pt>
              </c:strCache>
            </c:strRef>
          </c:tx>
          <c:spPr>
            <a:ln>
              <a:solidFill>
                <a:schemeClr val="accent5">
                  <a:lumMod val="75000"/>
                </a:schemeClr>
              </a:solidFill>
              <a:prstDash val="sysDash"/>
            </a:ln>
          </c:spPr>
          <c:marker>
            <c:symbol val="none"/>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3.6956521739130437E-2"/>
                  <c:y val="-2.599010154265431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'3.2基金運用收益'!$A$6:$A$15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'3.2基金運用收益'!$D$6:$D$15</c:f>
              <c:numCache>
                <c:formatCode>0.0_ ;[Red]\-0.0\ </c:formatCode>
                <c:ptCount val="10"/>
                <c:pt idx="0">
                  <c:v>-51.79</c:v>
                </c:pt>
                <c:pt idx="1">
                  <c:v>91.1</c:v>
                </c:pt>
                <c:pt idx="2">
                  <c:v>123.65</c:v>
                </c:pt>
                <c:pt idx="3">
                  <c:v>148.80000000000001</c:v>
                </c:pt>
                <c:pt idx="4">
                  <c:v>8.82</c:v>
                </c:pt>
                <c:pt idx="5">
                  <c:v>126.37</c:v>
                </c:pt>
                <c:pt idx="6">
                  <c:v>216.14</c:v>
                </c:pt>
                <c:pt idx="7">
                  <c:v>-88.08</c:v>
                </c:pt>
                <c:pt idx="8" formatCode="0.0_);[Red]\(0.0\)">
                  <c:v>380.67</c:v>
                </c:pt>
                <c:pt idx="9" formatCode="0.0_);[Red]\(0.0\)">
                  <c:v>483.36</c:v>
                </c:pt>
              </c:numCache>
            </c:numRef>
          </c:val>
          <c:smooth val="0"/>
          <c:extLst xmlns:c16r2="http://schemas.microsoft.com/office/drawing/2015/06/chart">
            <c:ext xmlns:c16="http://schemas.microsoft.com/office/drawing/2014/chart" uri="{C3380CC4-5D6E-409C-BE32-E72D297353CC}">
              <c16:uniqueId val="{00000003-C936-484F-A4AB-6F6D558EC4AB}"/>
            </c:ext>
          </c:extLst>
        </c:ser>
        <c:dLbls>
          <c:showLegendKey val="0"/>
          <c:showVal val="0"/>
          <c:showCatName val="0"/>
          <c:showSerName val="0"/>
          <c:showPercent val="0"/>
          <c:showBubbleSize val="0"/>
        </c:dLbls>
        <c:marker val="1"/>
        <c:smooth val="0"/>
        <c:axId val="283233280"/>
        <c:axId val="280630336"/>
      </c:lineChart>
      <c:catAx>
        <c:axId val="283232768"/>
        <c:scaling>
          <c:orientation val="minMax"/>
        </c:scaling>
        <c:delete val="0"/>
        <c:axPos val="b"/>
        <c:numFmt formatCode="General" sourceLinked="0"/>
        <c:majorTickMark val="out"/>
        <c:minorTickMark val="none"/>
        <c:tickLblPos val="nextTo"/>
        <c:crossAx val="280629760"/>
        <c:crosses val="autoZero"/>
        <c:auto val="1"/>
        <c:lblAlgn val="ctr"/>
        <c:lblOffset val="100"/>
        <c:noMultiLvlLbl val="0"/>
      </c:catAx>
      <c:valAx>
        <c:axId val="280629760"/>
        <c:scaling>
          <c:orientation val="minMax"/>
          <c:max val="20"/>
        </c:scaling>
        <c:delete val="0"/>
        <c:axPos val="l"/>
        <c:majorGridlines/>
        <c:numFmt formatCode="#,##0_ " sourceLinked="0"/>
        <c:majorTickMark val="out"/>
        <c:minorTickMark val="none"/>
        <c:tickLblPos val="nextTo"/>
        <c:crossAx val="283232768"/>
        <c:crosses val="autoZero"/>
        <c:crossBetween val="between"/>
      </c:valAx>
      <c:valAx>
        <c:axId val="280630336"/>
        <c:scaling>
          <c:orientation val="minMax"/>
          <c:max val="600"/>
        </c:scaling>
        <c:delete val="0"/>
        <c:axPos val="r"/>
        <c:numFmt formatCode="#,##0_ " sourceLinked="0"/>
        <c:majorTickMark val="out"/>
        <c:minorTickMark val="none"/>
        <c:tickLblPos val="nextTo"/>
        <c:crossAx val="283233280"/>
        <c:crosses val="max"/>
        <c:crossBetween val="between"/>
        <c:majorUnit val="100"/>
      </c:valAx>
      <c:catAx>
        <c:axId val="283233280"/>
        <c:scaling>
          <c:orientation val="minMax"/>
        </c:scaling>
        <c:delete val="1"/>
        <c:axPos val="b"/>
        <c:numFmt formatCode="General" sourceLinked="1"/>
        <c:majorTickMark val="out"/>
        <c:minorTickMark val="none"/>
        <c:tickLblPos val="nextTo"/>
        <c:crossAx val="280630336"/>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563035147474115"/>
          <c:y val="0.24163135623084708"/>
          <c:w val="0.75277777777777777"/>
          <c:h val="0.7222222222222221"/>
        </c:manualLayout>
      </c:layout>
      <c:pie3DChart>
        <c:varyColors val="1"/>
        <c:ser>
          <c:idx val="0"/>
          <c:order val="0"/>
          <c:explosion val="25"/>
          <c:dPt>
            <c:idx val="0"/>
            <c:bubble3D val="0"/>
            <c:spPr>
              <a:solidFill>
                <a:schemeClr val="tx2">
                  <a:lumMod val="60000"/>
                  <a:lumOff val="40000"/>
                </a:schemeClr>
              </a:solidFill>
            </c:spPr>
          </c:dPt>
          <c:dPt>
            <c:idx val="1"/>
            <c:bubble3D val="0"/>
            <c:spPr>
              <a:solidFill>
                <a:schemeClr val="accent2">
                  <a:lumMod val="60000"/>
                  <a:lumOff val="40000"/>
                </a:schemeClr>
              </a:solidFill>
            </c:spPr>
          </c:dPt>
          <c:dPt>
            <c:idx val="2"/>
            <c:bubble3D val="0"/>
            <c:spPr>
              <a:solidFill>
                <a:schemeClr val="accent3">
                  <a:lumMod val="60000"/>
                  <a:lumOff val="40000"/>
                </a:schemeClr>
              </a:solidFill>
            </c:spPr>
          </c:dPt>
          <c:dPt>
            <c:idx val="4"/>
            <c:bubble3D val="0"/>
            <c:spPr>
              <a:solidFill>
                <a:schemeClr val="accent5">
                  <a:lumMod val="60000"/>
                  <a:lumOff val="40000"/>
                </a:schemeClr>
              </a:solidFill>
            </c:spPr>
          </c:dPt>
          <c:dPt>
            <c:idx val="5"/>
            <c:bubble3D val="0"/>
            <c:spPr>
              <a:solidFill>
                <a:schemeClr val="accent6"/>
              </a:solidFill>
            </c:spPr>
          </c:dPt>
          <c:dPt>
            <c:idx val="6"/>
            <c:bubble3D val="0"/>
            <c:spPr>
              <a:solidFill>
                <a:schemeClr val="accent1">
                  <a:lumMod val="40000"/>
                  <a:lumOff val="60000"/>
                </a:schemeClr>
              </a:solidFill>
            </c:spPr>
          </c:dPt>
          <c:dPt>
            <c:idx val="7"/>
            <c:bubble3D val="0"/>
            <c:spPr>
              <a:solidFill>
                <a:schemeClr val="accent4">
                  <a:lumMod val="40000"/>
                  <a:lumOff val="60000"/>
                </a:schemeClr>
              </a:solidFill>
            </c:spPr>
          </c:dPt>
          <c:dPt>
            <c:idx val="8"/>
            <c:bubble3D val="0"/>
            <c:spPr>
              <a:solidFill>
                <a:schemeClr val="accent3"/>
              </a:solidFill>
            </c:spPr>
          </c:dPt>
          <c:dLbls>
            <c:dLbl>
              <c:idx val="0"/>
              <c:layout>
                <c:manualLayout>
                  <c:x val="-1.6299394454389458E-2"/>
                  <c:y val="-2.8999299231522516E-2"/>
                </c:manualLayout>
              </c:layout>
              <c:tx>
                <c:rich>
                  <a:bodyPr/>
                  <a:lstStyle/>
                  <a:p>
                    <a:r>
                      <a:rPr lang="zh-TW" altLang="en-US" sz="1000" b="0"/>
                      <a:t>新臺幣存款</a:t>
                    </a:r>
                    <a:r>
                      <a:rPr lang="en-US" altLang="zh-TW" sz="1000" b="0"/>
                      <a:t>, </a:t>
                    </a:r>
                  </a:p>
                  <a:p>
                    <a:r>
                      <a:rPr lang="en-US" altLang="zh-TW" sz="1000" b="0"/>
                      <a:t>355.9</a:t>
                    </a:r>
                    <a:r>
                      <a:rPr lang="zh-TW" altLang="zh-TW" sz="1000" b="0" i="0" u="none" strike="noStrike" baseline="0">
                        <a:effectLst/>
                      </a:rPr>
                      <a:t>億元</a:t>
                    </a:r>
                    <a:r>
                      <a:rPr lang="en-US" altLang="zh-TW" sz="1000" b="0"/>
                      <a:t> , 10.9%</a:t>
                    </a:r>
                    <a:endParaRPr lang="en-US" altLang="zh-TW" b="1"/>
                  </a:p>
                </c:rich>
              </c:tx>
              <c:showLegendKey val="0"/>
              <c:showVal val="1"/>
              <c:showCatName val="1"/>
              <c:showSerName val="0"/>
              <c:showPercent val="1"/>
              <c:showBubbleSize val="0"/>
            </c:dLbl>
            <c:dLbl>
              <c:idx val="1"/>
              <c:layout>
                <c:manualLayout>
                  <c:x val="1.1010841001003304E-2"/>
                  <c:y val="-8.042403540036544E-2"/>
                </c:manualLayout>
              </c:layout>
              <c:tx>
                <c:rich>
                  <a:bodyPr/>
                  <a:lstStyle/>
                  <a:p>
                    <a:r>
                      <a:rPr lang="zh-TW" altLang="en-US" sz="1000" b="0"/>
                      <a:t>外幣及雙元</a:t>
                    </a:r>
                    <a:endParaRPr lang="en-US" altLang="zh-TW" sz="1000" b="0"/>
                  </a:p>
                  <a:p>
                    <a:r>
                      <a:rPr lang="zh-TW" altLang="en-US" sz="1000" b="0"/>
                      <a:t>貨幣存款</a:t>
                    </a:r>
                    <a:r>
                      <a:rPr lang="en-US" altLang="zh-TW" sz="1000" b="0"/>
                      <a:t>, </a:t>
                    </a:r>
                  </a:p>
                  <a:p>
                    <a:r>
                      <a:rPr lang="zh-TW" altLang="en-US" sz="1000" b="0"/>
                      <a:t> </a:t>
                    </a:r>
                    <a:r>
                      <a:rPr lang="en-US" altLang="zh-TW" sz="1000" b="0"/>
                      <a:t>271.3</a:t>
                    </a:r>
                    <a:r>
                      <a:rPr lang="zh-TW" altLang="zh-TW" sz="1000" b="0" i="0" u="none" strike="noStrike" baseline="0">
                        <a:effectLst/>
                      </a:rPr>
                      <a:t>億元</a:t>
                    </a:r>
                    <a:r>
                      <a:rPr lang="en-US" altLang="zh-TW" sz="1000" b="0"/>
                      <a:t> , 8.3%</a:t>
                    </a:r>
                    <a:endParaRPr lang="en-US" altLang="zh-TW"/>
                  </a:p>
                </c:rich>
              </c:tx>
              <c:showLegendKey val="0"/>
              <c:showVal val="1"/>
              <c:showCatName val="1"/>
              <c:showSerName val="0"/>
              <c:showPercent val="1"/>
              <c:showBubbleSize val="0"/>
            </c:dLbl>
            <c:dLbl>
              <c:idx val="2"/>
              <c:layout>
                <c:manualLayout>
                  <c:x val="-0.15900641249993444"/>
                  <c:y val="-0.14241188386073256"/>
                </c:manualLayout>
              </c:layout>
              <c:tx>
                <c:rich>
                  <a:bodyPr/>
                  <a:lstStyle/>
                  <a:p>
                    <a:r>
                      <a:rPr lang="zh-TW" altLang="en-US" sz="1000" b="0"/>
                      <a:t>國內股票及</a:t>
                    </a:r>
                    <a:r>
                      <a:rPr lang="en-US" altLang="en-US" sz="1000" b="0"/>
                      <a:t>ETF, 851.1</a:t>
                    </a:r>
                    <a:r>
                      <a:rPr lang="zh-TW" altLang="zh-TW" sz="1000" b="0" i="0" u="none" strike="noStrike" baseline="0">
                        <a:effectLst/>
                      </a:rPr>
                      <a:t>億元</a:t>
                    </a:r>
                    <a:r>
                      <a:rPr lang="en-US" altLang="en-US" sz="1000" b="0"/>
                      <a:t> , 26.1%</a:t>
                    </a:r>
                    <a:endParaRPr lang="en-US" altLang="en-US" b="1"/>
                  </a:p>
                </c:rich>
              </c:tx>
              <c:showLegendKey val="0"/>
              <c:showVal val="1"/>
              <c:showCatName val="1"/>
              <c:showSerName val="0"/>
              <c:showPercent val="1"/>
              <c:showBubbleSize val="0"/>
            </c:dLbl>
            <c:dLbl>
              <c:idx val="3"/>
              <c:layout>
                <c:manualLayout>
                  <c:x val="0.19716361777644173"/>
                  <c:y val="-2.9851722351357309E-4"/>
                </c:manualLayout>
              </c:layout>
              <c:tx>
                <c:rich>
                  <a:bodyPr/>
                  <a:lstStyle/>
                  <a:p>
                    <a:r>
                      <a:rPr lang="zh-TW" altLang="en-US" sz="1000" b="0"/>
                      <a:t>國內受益憑證</a:t>
                    </a:r>
                    <a:r>
                      <a:rPr lang="en-US" altLang="zh-TW" sz="1000" b="0"/>
                      <a:t>, 67.9</a:t>
                    </a:r>
                    <a:r>
                      <a:rPr lang="zh-TW" altLang="zh-TW" sz="1000" b="0" i="0" u="none" strike="noStrike" baseline="0">
                        <a:effectLst/>
                      </a:rPr>
                      <a:t>億元</a:t>
                    </a:r>
                    <a:r>
                      <a:rPr lang="en-US" altLang="zh-TW" sz="1000" b="0"/>
                      <a:t> , </a:t>
                    </a:r>
                  </a:p>
                  <a:p>
                    <a:r>
                      <a:rPr lang="en-US" altLang="zh-TW" sz="1000" b="0"/>
                      <a:t>2.1%</a:t>
                    </a:r>
                    <a:endParaRPr lang="en-US" altLang="zh-TW"/>
                  </a:p>
                </c:rich>
              </c:tx>
              <c:showLegendKey val="0"/>
              <c:showVal val="1"/>
              <c:showCatName val="1"/>
              <c:showSerName val="0"/>
              <c:showPercent val="1"/>
              <c:showBubbleSize val="0"/>
            </c:dLbl>
            <c:dLbl>
              <c:idx val="4"/>
              <c:layout>
                <c:manualLayout>
                  <c:x val="0.19042337548223073"/>
                  <c:y val="-0.2088306976057171"/>
                </c:manualLayout>
              </c:layout>
              <c:tx>
                <c:rich>
                  <a:bodyPr/>
                  <a:lstStyle/>
                  <a:p>
                    <a:r>
                      <a:rPr lang="zh-TW" altLang="en-US" sz="1000" b="0"/>
                      <a:t>國外受益憑證</a:t>
                    </a:r>
                    <a:endParaRPr lang="en-US" altLang="zh-TW" sz="1000" b="0"/>
                  </a:p>
                  <a:p>
                    <a:r>
                      <a:rPr lang="zh-TW" altLang="en-US" sz="1000" b="0"/>
                      <a:t>及</a:t>
                    </a:r>
                    <a:r>
                      <a:rPr lang="en-US" altLang="en-US" sz="1000" b="0"/>
                      <a:t>ETF, </a:t>
                    </a:r>
                  </a:p>
                  <a:p>
                    <a:r>
                      <a:rPr lang="en-US" altLang="en-US" sz="1000" b="0"/>
                      <a:t>840.4</a:t>
                    </a:r>
                    <a:r>
                      <a:rPr lang="zh-TW" altLang="zh-TW" sz="1000" b="0" i="0" u="none" strike="noStrike" baseline="0">
                        <a:effectLst/>
                      </a:rPr>
                      <a:t>億元</a:t>
                    </a:r>
                    <a:r>
                      <a:rPr lang="en-US" altLang="en-US" sz="1000" b="0"/>
                      <a:t> , 25.8%</a:t>
                    </a:r>
                    <a:endParaRPr lang="en-US" altLang="en-US" b="1"/>
                  </a:p>
                </c:rich>
              </c:tx>
              <c:showLegendKey val="0"/>
              <c:showVal val="1"/>
              <c:showCatName val="1"/>
              <c:showSerName val="0"/>
              <c:showPercent val="1"/>
              <c:showBubbleSize val="0"/>
            </c:dLbl>
            <c:dLbl>
              <c:idx val="5"/>
              <c:tx>
                <c:rich>
                  <a:bodyPr/>
                  <a:lstStyle/>
                  <a:p>
                    <a:r>
                      <a:rPr lang="zh-TW" altLang="en-US" sz="1000" b="0"/>
                      <a:t>短期票券</a:t>
                    </a:r>
                    <a:r>
                      <a:rPr lang="en-US" altLang="zh-TW" sz="1000" b="0"/>
                      <a:t>, 245.6</a:t>
                    </a:r>
                    <a:r>
                      <a:rPr lang="zh-TW" altLang="zh-TW" sz="1000" b="0" i="0" u="none" strike="noStrike" baseline="0">
                        <a:effectLst/>
                      </a:rPr>
                      <a:t>億元</a:t>
                    </a:r>
                    <a:r>
                      <a:rPr lang="en-US" altLang="zh-TW" sz="1000" b="0"/>
                      <a:t> , 7.5%</a:t>
                    </a:r>
                    <a:endParaRPr lang="en-US" altLang="zh-TW"/>
                  </a:p>
                </c:rich>
              </c:tx>
              <c:showLegendKey val="0"/>
              <c:showVal val="1"/>
              <c:showCatName val="1"/>
              <c:showSerName val="0"/>
              <c:showPercent val="1"/>
              <c:showBubbleSize val="0"/>
            </c:dLbl>
            <c:dLbl>
              <c:idx val="6"/>
              <c:layout>
                <c:manualLayout>
                  <c:x val="7.0734108519980975E-3"/>
                  <c:y val="-9.1741192614362546E-2"/>
                </c:manualLayout>
              </c:layout>
              <c:tx>
                <c:rich>
                  <a:bodyPr/>
                  <a:lstStyle/>
                  <a:p>
                    <a:r>
                      <a:rPr lang="zh-TW" altLang="en-US" sz="1000" b="0"/>
                      <a:t>國內債券</a:t>
                    </a:r>
                    <a:r>
                      <a:rPr lang="en-US" altLang="zh-TW" sz="1000" b="0"/>
                      <a:t>, </a:t>
                    </a:r>
                  </a:p>
                  <a:p>
                    <a:r>
                      <a:rPr lang="en-US" altLang="zh-TW" sz="1000" b="0"/>
                      <a:t>220.8</a:t>
                    </a:r>
                    <a:r>
                      <a:rPr lang="zh-TW" altLang="en-US" sz="1000" b="0"/>
                      <a:t>億元</a:t>
                    </a:r>
                    <a:r>
                      <a:rPr lang="en-US" altLang="zh-TW" sz="1000" b="0"/>
                      <a:t> , 6.8%</a:t>
                    </a:r>
                    <a:endParaRPr lang="en-US" altLang="zh-TW"/>
                  </a:p>
                </c:rich>
              </c:tx>
              <c:showLegendKey val="0"/>
              <c:showVal val="1"/>
              <c:showCatName val="1"/>
              <c:showSerName val="0"/>
              <c:showPercent val="1"/>
              <c:showBubbleSize val="0"/>
            </c:dLbl>
            <c:dLbl>
              <c:idx val="7"/>
              <c:layout>
                <c:manualLayout>
                  <c:x val="3.3378804872653461E-2"/>
                  <c:y val="-2.4613153813324976E-2"/>
                </c:manualLayout>
              </c:layout>
              <c:tx>
                <c:rich>
                  <a:bodyPr/>
                  <a:lstStyle/>
                  <a:p>
                    <a:r>
                      <a:rPr lang="zh-TW" altLang="en-US" sz="1000" b="0"/>
                      <a:t>國外債券</a:t>
                    </a:r>
                    <a:r>
                      <a:rPr lang="en-US" altLang="zh-TW" sz="1000" b="0"/>
                      <a:t>, </a:t>
                    </a:r>
                  </a:p>
                  <a:p>
                    <a:r>
                      <a:rPr lang="en-US" altLang="zh-TW" sz="1000" b="0"/>
                      <a:t>326.5</a:t>
                    </a:r>
                    <a:r>
                      <a:rPr lang="zh-TW" altLang="zh-TW" sz="1000" b="0" i="0" u="none" strike="noStrike" baseline="0">
                        <a:effectLst/>
                      </a:rPr>
                      <a:t>億元</a:t>
                    </a:r>
                    <a:r>
                      <a:rPr lang="en-US" altLang="zh-TW" sz="1000" b="0"/>
                      <a:t> , 10.0%</a:t>
                    </a:r>
                    <a:endParaRPr lang="en-US" altLang="zh-TW"/>
                  </a:p>
                </c:rich>
              </c:tx>
              <c:showLegendKey val="0"/>
              <c:showVal val="1"/>
              <c:showCatName val="1"/>
              <c:showSerName val="0"/>
              <c:showPercent val="1"/>
              <c:showBubbleSize val="0"/>
            </c:dLbl>
            <c:dLbl>
              <c:idx val="8"/>
              <c:layout>
                <c:manualLayout>
                  <c:x val="3.9464918996811746E-2"/>
                  <c:y val="-2.9824943185886306E-2"/>
                </c:manualLayout>
              </c:layout>
              <c:tx>
                <c:rich>
                  <a:bodyPr/>
                  <a:lstStyle/>
                  <a:p>
                    <a:r>
                      <a:rPr lang="zh-TW" altLang="en-US" sz="1000" b="0"/>
                      <a:t>墊借國庫</a:t>
                    </a:r>
                    <a:endParaRPr lang="en-US" altLang="zh-TW" sz="1000" b="0"/>
                  </a:p>
                  <a:p>
                    <a:r>
                      <a:rPr lang="zh-TW" altLang="en-US" sz="1000" b="0"/>
                      <a:t>未撥補數</a:t>
                    </a:r>
                    <a:r>
                      <a:rPr lang="en-US" altLang="zh-TW" sz="1000" b="0"/>
                      <a:t>,</a:t>
                    </a:r>
                  </a:p>
                  <a:p>
                    <a:r>
                      <a:rPr lang="en-US" altLang="zh-TW" sz="1000" b="0"/>
                      <a:t> 77.9</a:t>
                    </a:r>
                    <a:r>
                      <a:rPr lang="zh-TW" altLang="zh-TW" sz="1000" b="0" i="0" u="none" strike="noStrike" baseline="0">
                        <a:effectLst/>
                      </a:rPr>
                      <a:t>億元</a:t>
                    </a:r>
                    <a:r>
                      <a:rPr lang="en-US" altLang="zh-TW" sz="1000" b="0"/>
                      <a:t> , </a:t>
                    </a:r>
                  </a:p>
                  <a:p>
                    <a:r>
                      <a:rPr lang="en-US" altLang="zh-TW" sz="1000" b="0"/>
                      <a:t>2.4%</a:t>
                    </a:r>
                    <a:endParaRPr lang="en-US" altLang="zh-TW"/>
                  </a:p>
                </c:rich>
              </c:tx>
              <c:showLegendKey val="0"/>
              <c:showVal val="1"/>
              <c:showCatName val="1"/>
              <c:showSerName val="0"/>
              <c:showPercent val="1"/>
              <c:showBubbleSize val="0"/>
            </c:dLbl>
            <c:numFmt formatCode="0.0%" sourceLinked="0"/>
            <c:spPr>
              <a:noFill/>
              <a:ln>
                <a:noFill/>
              </a:ln>
              <a:effectLst/>
            </c:spPr>
            <c:txPr>
              <a:bodyPr/>
              <a:lstStyle/>
              <a:p>
                <a:pPr>
                  <a:lnSpc>
                    <a:spcPts val="1600"/>
                  </a:lnSpc>
                  <a:defRPr sz="1000" b="0">
                    <a:latin typeface="微軟正黑體" panose="020B0604030504040204" pitchFamily="34" charset="-120"/>
                    <a:ea typeface="微軟正黑體" panose="020B0604030504040204" pitchFamily="34" charset="-120"/>
                  </a:defRPr>
                </a:pPr>
                <a:endParaRPr lang="zh-TW"/>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'[公保(109年).xlsx]3.3.基金資產配置'!$B$18:$J$18</c:f>
              <c:strCache>
                <c:ptCount val="9"/>
                <c:pt idx="0">
                  <c:v>新臺幣存款</c:v>
                </c:pt>
                <c:pt idx="1">
                  <c:v>外幣及雙元貨幣存款</c:v>
                </c:pt>
                <c:pt idx="2">
                  <c:v>國內股票及ETF</c:v>
                </c:pt>
                <c:pt idx="3">
                  <c:v>國內受益憑證</c:v>
                </c:pt>
                <c:pt idx="4">
                  <c:v>國外受益憑證及ETF</c:v>
                </c:pt>
                <c:pt idx="5">
                  <c:v>短期票券</c:v>
                </c:pt>
                <c:pt idx="6">
                  <c:v>國內債券</c:v>
                </c:pt>
                <c:pt idx="7">
                  <c:v>國外債券</c:v>
                </c:pt>
                <c:pt idx="8">
                  <c:v>墊借國庫未撥補數</c:v>
                </c:pt>
              </c:strCache>
            </c:strRef>
          </c:cat>
          <c:val>
            <c:numRef>
              <c:f>'[公保(109年).xlsx]3.3.基金資產配置'!$B$19:$J$19</c:f>
              <c:numCache>
                <c:formatCode>#,##0.0_);[Red]\(#,##0.0\)</c:formatCode>
                <c:ptCount val="9"/>
                <c:pt idx="0">
                  <c:v>355.9</c:v>
                </c:pt>
                <c:pt idx="1">
                  <c:v>271.3</c:v>
                </c:pt>
                <c:pt idx="2">
                  <c:v>851.1</c:v>
                </c:pt>
                <c:pt idx="3">
                  <c:v>67.900000000000006</c:v>
                </c:pt>
                <c:pt idx="4">
                  <c:v>840.4</c:v>
                </c:pt>
                <c:pt idx="5">
                  <c:v>245.6</c:v>
                </c:pt>
                <c:pt idx="6">
                  <c:v>220.8</c:v>
                </c:pt>
                <c:pt idx="7">
                  <c:v>326.5</c:v>
                </c:pt>
                <c:pt idx="8">
                  <c:v>77.900000000000006</c:v>
                </c:pt>
              </c:numCache>
            </c:numRef>
          </c:val>
          <c:extLst xmlns:c16r2="http://schemas.microsoft.com/office/drawing/2015/06/chart">
            <c:ext xmlns:c16="http://schemas.microsoft.com/office/drawing/2014/chart" uri="{C3380CC4-5D6E-409C-BE32-E72D297353CC}">
              <c16:uniqueId val="{00000000-BCF8-4D24-A865-E67D152FBA42}"/>
            </c:ext>
          </c:extLst>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739525029251"/>
          <c:y val="6.9919072615923006E-2"/>
          <c:w val="0.79358343259301423"/>
          <c:h val="0.81037438028579756"/>
        </c:manualLayout>
      </c:layout>
      <c:lineChart>
        <c:grouping val="standard"/>
        <c:varyColors val="0"/>
        <c:ser>
          <c:idx val="0"/>
          <c:order val="0"/>
          <c:tx>
            <c:strRef>
              <c:f>'[農保(109年).xlsx]1.1被保險人人數'!$B$1</c:f>
              <c:strCache>
                <c:ptCount val="1"/>
                <c:pt idx="0">
                  <c:v>人數</c:v>
                </c:pt>
              </c:strCache>
            </c:strRef>
          </c:tx>
          <c:dLbls>
            <c:dLbl>
              <c:idx val="0"/>
              <c:layout>
                <c:manualLayout>
                  <c:x val="-6.1068006791856255E-2"/>
                  <c:y val="-7.1957824826007294E-2"/>
                </c:manualLayout>
              </c:layout>
              <c:dLblPos val="r"/>
              <c:showLegendKey val="0"/>
              <c:showVal val="1"/>
              <c:showCatName val="0"/>
              <c:showSerName val="0"/>
              <c:showPercent val="0"/>
              <c:showBubbleSize val="0"/>
            </c:dLbl>
            <c:dLbl>
              <c:idx val="9"/>
              <c:spPr/>
              <c:txPr>
                <a:bodyPr/>
                <a:lstStyle/>
                <a:p>
                  <a:pPr>
                    <a:defRPr sz="900" b="0"/>
                  </a:pPr>
                  <a:endParaRPr lang="zh-TW"/>
                </a:p>
              </c:txPr>
              <c:dLblPos val="t"/>
              <c:showLegendKey val="0"/>
              <c:showVal val="1"/>
              <c:showCatName val="0"/>
              <c:showSerName val="0"/>
              <c:showPercent val="0"/>
              <c:showBubbleSize val="0"/>
            </c:dLbl>
            <c:txPr>
              <a:bodyPr/>
              <a:lstStyle/>
              <a:p>
                <a:pPr>
                  <a:defRPr sz="900"/>
                </a:pPr>
                <a:endParaRPr lang="zh-TW"/>
              </a:p>
            </c:txPr>
            <c:dLblPos val="t"/>
            <c:showLegendKey val="0"/>
            <c:showVal val="1"/>
            <c:showCatName val="0"/>
            <c:showSerName val="0"/>
            <c:showPercent val="0"/>
            <c:showBubbleSize val="0"/>
            <c:showLeaderLines val="0"/>
          </c:dLbls>
          <c:cat>
            <c:strRef>
              <c:f>'[農保(109年).xlsx]1.1被保險人人數'!$A$7:$A$16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'[農保(109年).xlsx]1.1被保險人人數'!$B$7:$B$16</c:f>
              <c:numCache>
                <c:formatCode>#,##0_);[Red]\(#,##0\)</c:formatCode>
                <c:ptCount val="10"/>
                <c:pt idx="0">
                  <c:v>1479148</c:v>
                </c:pt>
                <c:pt idx="1">
                  <c:v>1454728</c:v>
                </c:pt>
                <c:pt idx="2">
                  <c:v>1409634</c:v>
                </c:pt>
                <c:pt idx="3">
                  <c:v>1349903</c:v>
                </c:pt>
                <c:pt idx="4">
                  <c:v>1284649</c:v>
                </c:pt>
                <c:pt idx="5">
                  <c:v>1235745</c:v>
                </c:pt>
                <c:pt idx="6">
                  <c:v>1174749</c:v>
                </c:pt>
                <c:pt idx="7">
                  <c:v>1130275</c:v>
                </c:pt>
                <c:pt idx="8">
                  <c:v>1084030</c:v>
                </c:pt>
                <c:pt idx="9">
                  <c:v>1046201</c:v>
                </c:pt>
              </c:numCache>
            </c:numRef>
          </c:val>
          <c:smooth val="0"/>
        </c:ser>
        <c:dLbls>
          <c:showLegendKey val="0"/>
          <c:showVal val="0"/>
          <c:showCatName val="0"/>
          <c:showSerName val="0"/>
          <c:showPercent val="0"/>
          <c:showBubbleSize val="0"/>
        </c:dLbls>
        <c:marker val="1"/>
        <c:smooth val="0"/>
        <c:axId val="283706368"/>
        <c:axId val="280632640"/>
      </c:lineChart>
      <c:catAx>
        <c:axId val="283706368"/>
        <c:scaling>
          <c:orientation val="minMax"/>
        </c:scaling>
        <c:delete val="0"/>
        <c:axPos val="b"/>
        <c:majorTickMark val="out"/>
        <c:minorTickMark val="none"/>
        <c:tickLblPos val="nextTo"/>
        <c:crossAx val="280632640"/>
        <c:crosses val="autoZero"/>
        <c:auto val="1"/>
        <c:lblAlgn val="ctr"/>
        <c:lblOffset val="100"/>
        <c:noMultiLvlLbl val="0"/>
      </c:catAx>
      <c:valAx>
        <c:axId val="280632640"/>
        <c:scaling>
          <c:orientation val="minMax"/>
          <c:max val="1600000"/>
          <c:min val="1000000"/>
        </c:scaling>
        <c:delete val="0"/>
        <c:axPos val="l"/>
        <c:numFmt formatCode="#,##0_);[Red]\(#,##0\)" sourceLinked="1"/>
        <c:majorTickMark val="out"/>
        <c:minorTickMark val="none"/>
        <c:tickLblPos val="nextTo"/>
        <c:crossAx val="283706368"/>
        <c:crosses val="autoZero"/>
        <c:crossBetween val="between"/>
        <c:majorUnit val="100000"/>
      </c:valAx>
    </c:plotArea>
    <c:plotVisOnly val="1"/>
    <c:dispBlanksAs val="gap"/>
    <c:showDLblsOverMax val="0"/>
  </c:chart>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10788381742738"/>
          <c:y val="4.5756107409650713E-2"/>
          <c:w val="0.88435619302773871"/>
          <c:h val="0.67682437521396777"/>
        </c:manualLayout>
      </c:layout>
      <c:barChart>
        <c:barDir val="col"/>
        <c:grouping val="clustered"/>
        <c:varyColors val="0"/>
        <c:ser>
          <c:idx val="0"/>
          <c:order val="0"/>
          <c:tx>
            <c:strRef>
              <c:f>'[農保(109年).xlsx]1.2被保險人人數(按年齡性別分)'!$A$19</c:f>
              <c:strCache>
                <c:ptCount val="1"/>
                <c:pt idx="0">
                  <c:v>男</c:v>
                </c:pt>
              </c:strCache>
            </c:strRef>
          </c:tx>
          <c:invertIfNegative val="0"/>
          <c:cat>
            <c:strRef>
              <c:f>'[農保(109年).xlsx]1.2被保險人人數(按年齡性別分)'!$B$18:$Q$18</c:f>
              <c:strCache>
                <c:ptCount val="16"/>
                <c:pt idx="0">
                  <c:v>15-19歲</c:v>
                </c:pt>
                <c:pt idx="1">
                  <c:v>20-24歲</c:v>
                </c:pt>
                <c:pt idx="2">
                  <c:v>25-29歲</c:v>
                </c:pt>
                <c:pt idx="3">
                  <c:v>30-34歲</c:v>
                </c:pt>
                <c:pt idx="4">
                  <c:v>35-39歲</c:v>
                </c:pt>
                <c:pt idx="5">
                  <c:v>40-44歲</c:v>
                </c:pt>
                <c:pt idx="6">
                  <c:v>45-49歲</c:v>
                </c:pt>
                <c:pt idx="7">
                  <c:v>50-54歲</c:v>
                </c:pt>
                <c:pt idx="8">
                  <c:v>55-59歲</c:v>
                </c:pt>
                <c:pt idx="9">
                  <c:v>60-64歲</c:v>
                </c:pt>
                <c:pt idx="10">
                  <c:v>65-69歲</c:v>
                </c:pt>
                <c:pt idx="11">
                  <c:v>70-74歲</c:v>
                </c:pt>
                <c:pt idx="12">
                  <c:v>75-79歲</c:v>
                </c:pt>
                <c:pt idx="13">
                  <c:v>80-84歲</c:v>
                </c:pt>
                <c:pt idx="14">
                  <c:v>85-89歲</c:v>
                </c:pt>
                <c:pt idx="15">
                  <c:v>90歲以上</c:v>
                </c:pt>
              </c:strCache>
            </c:strRef>
          </c:cat>
          <c:val>
            <c:numRef>
              <c:f>'[農保(109年).xlsx]1.2被保險人人數(按年齡性別分)'!$B$19:$Q$19</c:f>
              <c:numCache>
                <c:formatCode>#,##0_ </c:formatCode>
                <c:ptCount val="16"/>
                <c:pt idx="0">
                  <c:v>77</c:v>
                </c:pt>
                <c:pt idx="1">
                  <c:v>2453</c:v>
                </c:pt>
                <c:pt idx="2">
                  <c:v>5810</c:v>
                </c:pt>
                <c:pt idx="3">
                  <c:v>7321</c:v>
                </c:pt>
                <c:pt idx="4">
                  <c:v>11386</c:v>
                </c:pt>
                <c:pt idx="5">
                  <c:v>19611</c:v>
                </c:pt>
                <c:pt idx="6">
                  <c:v>29343</c:v>
                </c:pt>
                <c:pt idx="7">
                  <c:v>46092</c:v>
                </c:pt>
                <c:pt idx="8">
                  <c:v>56296</c:v>
                </c:pt>
                <c:pt idx="9">
                  <c:v>55323</c:v>
                </c:pt>
                <c:pt idx="10">
                  <c:v>53116</c:v>
                </c:pt>
                <c:pt idx="11">
                  <c:v>51004</c:v>
                </c:pt>
                <c:pt idx="12">
                  <c:v>60839</c:v>
                </c:pt>
                <c:pt idx="13">
                  <c:v>62080</c:v>
                </c:pt>
                <c:pt idx="14">
                  <c:v>36737</c:v>
                </c:pt>
                <c:pt idx="15">
                  <c:v>15430</c:v>
                </c:pt>
              </c:numCache>
            </c:numRef>
          </c:val>
        </c:ser>
        <c:ser>
          <c:idx val="1"/>
          <c:order val="1"/>
          <c:tx>
            <c:strRef>
              <c:f>'[農保(109年).xlsx]1.2被保險人人數(按年齡性別分)'!$A$20</c:f>
              <c:strCache>
                <c:ptCount val="1"/>
                <c:pt idx="0">
                  <c:v>女</c:v>
                </c:pt>
              </c:strCache>
            </c:strRef>
          </c:tx>
          <c:spPr>
            <a:pattFill prst="pct50">
              <a:fgClr>
                <a:srgbClr val="C00000"/>
              </a:fgClr>
              <a:bgClr>
                <a:schemeClr val="bg1"/>
              </a:bgClr>
            </a:pattFill>
            <a:ln>
              <a:prstDash val="dash"/>
            </a:ln>
          </c:spPr>
          <c:invertIfNegative val="0"/>
          <c:cat>
            <c:strRef>
              <c:f>'[農保(109年).xlsx]1.2被保險人人數(按年齡性別分)'!$B$18:$Q$18</c:f>
              <c:strCache>
                <c:ptCount val="16"/>
                <c:pt idx="0">
                  <c:v>15-19歲</c:v>
                </c:pt>
                <c:pt idx="1">
                  <c:v>20-24歲</c:v>
                </c:pt>
                <c:pt idx="2">
                  <c:v>25-29歲</c:v>
                </c:pt>
                <c:pt idx="3">
                  <c:v>30-34歲</c:v>
                </c:pt>
                <c:pt idx="4">
                  <c:v>35-39歲</c:v>
                </c:pt>
                <c:pt idx="5">
                  <c:v>40-44歲</c:v>
                </c:pt>
                <c:pt idx="6">
                  <c:v>45-49歲</c:v>
                </c:pt>
                <c:pt idx="7">
                  <c:v>50-54歲</c:v>
                </c:pt>
                <c:pt idx="8">
                  <c:v>55-59歲</c:v>
                </c:pt>
                <c:pt idx="9">
                  <c:v>60-64歲</c:v>
                </c:pt>
                <c:pt idx="10">
                  <c:v>65-69歲</c:v>
                </c:pt>
                <c:pt idx="11">
                  <c:v>70-74歲</c:v>
                </c:pt>
                <c:pt idx="12">
                  <c:v>75-79歲</c:v>
                </c:pt>
                <c:pt idx="13">
                  <c:v>80-84歲</c:v>
                </c:pt>
                <c:pt idx="14">
                  <c:v>85-89歲</c:v>
                </c:pt>
                <c:pt idx="15">
                  <c:v>90歲以上</c:v>
                </c:pt>
              </c:strCache>
            </c:strRef>
          </c:cat>
          <c:val>
            <c:numRef>
              <c:f>'[農保(109年).xlsx]1.2被保險人人數(按年齡性別分)'!$B$20:$Q$20</c:f>
              <c:numCache>
                <c:formatCode>#,##0_ </c:formatCode>
                <c:ptCount val="16"/>
                <c:pt idx="0">
                  <c:v>26</c:v>
                </c:pt>
                <c:pt idx="1">
                  <c:v>643</c:v>
                </c:pt>
                <c:pt idx="2">
                  <c:v>2279</c:v>
                </c:pt>
                <c:pt idx="3">
                  <c:v>4096</c:v>
                </c:pt>
                <c:pt idx="4">
                  <c:v>9351</c:v>
                </c:pt>
                <c:pt idx="5">
                  <c:v>17319</c:v>
                </c:pt>
                <c:pt idx="6">
                  <c:v>24610</c:v>
                </c:pt>
                <c:pt idx="7">
                  <c:v>35321</c:v>
                </c:pt>
                <c:pt idx="8">
                  <c:v>46026</c:v>
                </c:pt>
                <c:pt idx="9">
                  <c:v>53366</c:v>
                </c:pt>
                <c:pt idx="10">
                  <c:v>58418</c:v>
                </c:pt>
                <c:pt idx="11">
                  <c:v>57151</c:v>
                </c:pt>
                <c:pt idx="12">
                  <c:v>67503</c:v>
                </c:pt>
                <c:pt idx="13">
                  <c:v>75568</c:v>
                </c:pt>
                <c:pt idx="14">
                  <c:v>52670</c:v>
                </c:pt>
                <c:pt idx="15">
                  <c:v>28936</c:v>
                </c:pt>
              </c:numCache>
            </c:numRef>
          </c:val>
        </c:ser>
        <c:dLbls>
          <c:showLegendKey val="0"/>
          <c:showVal val="0"/>
          <c:showCatName val="0"/>
          <c:showSerName val="0"/>
          <c:showPercent val="0"/>
          <c:showBubbleSize val="0"/>
        </c:dLbls>
        <c:gapWidth val="150"/>
        <c:axId val="283232256"/>
        <c:axId val="282998400"/>
      </c:barChart>
      <c:lineChart>
        <c:grouping val="standard"/>
        <c:varyColors val="0"/>
        <c:ser>
          <c:idx val="2"/>
          <c:order val="2"/>
          <c:tx>
            <c:strRef>
              <c:f>'[農保(109年).xlsx]1.2被保險人人數(按年齡性別分)'!$A$21</c:f>
              <c:strCache>
                <c:ptCount val="1"/>
                <c:pt idx="0">
                  <c:v>合計</c:v>
                </c:pt>
              </c:strCache>
            </c:strRef>
          </c:tx>
          <c:spPr>
            <a:ln w="28575">
              <a:solidFill>
                <a:srgbClr val="00B050"/>
              </a:solidFill>
              <a:prstDash val="solid"/>
            </a:ln>
          </c:spPr>
          <c:marker>
            <c:symbol val="circle"/>
            <c:size val="6"/>
            <c:spPr>
              <a:solidFill>
                <a:schemeClr val="bg1"/>
              </a:solidFill>
              <a:ln w="28575">
                <a:solidFill>
                  <a:srgbClr val="00B050"/>
                </a:solidFill>
                <a:prstDash val="solid"/>
              </a:ln>
            </c:spPr>
          </c:marker>
          <c:dLbls>
            <c:dLbl>
              <c:idx val="13"/>
              <c:layout>
                <c:manualLayout>
                  <c:x val="-5.3941908713692949E-2"/>
                  <c:y val="-5.2174255391989048E-2"/>
                </c:manualLayout>
              </c:layout>
              <c:spPr/>
              <c:txPr>
                <a:bodyPr/>
                <a:lstStyle/>
                <a:p>
                  <a:pPr>
                    <a:defRPr sz="1000" b="0"/>
                  </a:pPr>
                  <a:endParaRPr lang="zh-TW"/>
                </a:p>
              </c:txPr>
              <c:showLegendKey val="0"/>
              <c:showVal val="1"/>
              <c:showCatName val="0"/>
              <c:showSerName val="0"/>
              <c:showPercent val="0"/>
              <c:showBubbleSize val="0"/>
            </c:dLbl>
            <c:txPr>
              <a:bodyPr/>
              <a:lstStyle/>
              <a:p>
                <a:pPr>
                  <a:defRPr sz="1200" b="1"/>
                </a:pPr>
                <a:endParaRPr lang="zh-TW"/>
              </a:p>
            </c:txPr>
            <c:showLegendKey val="0"/>
            <c:showVal val="0"/>
            <c:showCatName val="0"/>
            <c:showSerName val="0"/>
            <c:showPercent val="0"/>
            <c:showBubbleSize val="0"/>
          </c:dLbls>
          <c:cat>
            <c:strRef>
              <c:f>'[農保(109年).xlsx]1.2被保險人人數(按年齡性別分)'!$B$18:$Q$18</c:f>
              <c:strCache>
                <c:ptCount val="16"/>
                <c:pt idx="0">
                  <c:v>15-19歲</c:v>
                </c:pt>
                <c:pt idx="1">
                  <c:v>20-24歲</c:v>
                </c:pt>
                <c:pt idx="2">
                  <c:v>25-29歲</c:v>
                </c:pt>
                <c:pt idx="3">
                  <c:v>30-34歲</c:v>
                </c:pt>
                <c:pt idx="4">
                  <c:v>35-39歲</c:v>
                </c:pt>
                <c:pt idx="5">
                  <c:v>40-44歲</c:v>
                </c:pt>
                <c:pt idx="6">
                  <c:v>45-49歲</c:v>
                </c:pt>
                <c:pt idx="7">
                  <c:v>50-54歲</c:v>
                </c:pt>
                <c:pt idx="8">
                  <c:v>55-59歲</c:v>
                </c:pt>
                <c:pt idx="9">
                  <c:v>60-64歲</c:v>
                </c:pt>
                <c:pt idx="10">
                  <c:v>65-69歲</c:v>
                </c:pt>
                <c:pt idx="11">
                  <c:v>70-74歲</c:v>
                </c:pt>
                <c:pt idx="12">
                  <c:v>75-79歲</c:v>
                </c:pt>
                <c:pt idx="13">
                  <c:v>80-84歲</c:v>
                </c:pt>
                <c:pt idx="14">
                  <c:v>85-89歲</c:v>
                </c:pt>
                <c:pt idx="15">
                  <c:v>90歲以上</c:v>
                </c:pt>
              </c:strCache>
            </c:strRef>
          </c:cat>
          <c:val>
            <c:numRef>
              <c:f>'[農保(109年).xlsx]1.2被保險人人數(按年齡性別分)'!$B$21:$Q$21</c:f>
              <c:numCache>
                <c:formatCode>#,##0_ </c:formatCode>
                <c:ptCount val="16"/>
                <c:pt idx="0">
                  <c:v>103</c:v>
                </c:pt>
                <c:pt idx="1">
                  <c:v>3096</c:v>
                </c:pt>
                <c:pt idx="2">
                  <c:v>8089</c:v>
                </c:pt>
                <c:pt idx="3">
                  <c:v>11417</c:v>
                </c:pt>
                <c:pt idx="4">
                  <c:v>20737</c:v>
                </c:pt>
                <c:pt idx="5">
                  <c:v>36930</c:v>
                </c:pt>
                <c:pt idx="6">
                  <c:v>53953</c:v>
                </c:pt>
                <c:pt idx="7">
                  <c:v>81413</c:v>
                </c:pt>
                <c:pt idx="8">
                  <c:v>102322</c:v>
                </c:pt>
                <c:pt idx="9">
                  <c:v>108689</c:v>
                </c:pt>
                <c:pt idx="10">
                  <c:v>111534</c:v>
                </c:pt>
                <c:pt idx="11">
                  <c:v>108155</c:v>
                </c:pt>
                <c:pt idx="12">
                  <c:v>128342</c:v>
                </c:pt>
                <c:pt idx="13">
                  <c:v>137648</c:v>
                </c:pt>
                <c:pt idx="14">
                  <c:v>89407</c:v>
                </c:pt>
                <c:pt idx="15">
                  <c:v>44366</c:v>
                </c:pt>
              </c:numCache>
            </c:numRef>
          </c:val>
          <c:smooth val="0"/>
        </c:ser>
        <c:dLbls>
          <c:showLegendKey val="0"/>
          <c:showVal val="0"/>
          <c:showCatName val="0"/>
          <c:showSerName val="0"/>
          <c:showPercent val="0"/>
          <c:showBubbleSize val="0"/>
        </c:dLbls>
        <c:marker val="1"/>
        <c:smooth val="0"/>
        <c:axId val="283232256"/>
        <c:axId val="282998400"/>
      </c:lineChart>
      <c:catAx>
        <c:axId val="283232256"/>
        <c:scaling>
          <c:orientation val="minMax"/>
        </c:scaling>
        <c:delete val="0"/>
        <c:axPos val="b"/>
        <c:majorTickMark val="out"/>
        <c:minorTickMark val="none"/>
        <c:tickLblPos val="nextTo"/>
        <c:crossAx val="282998400"/>
        <c:crosses val="autoZero"/>
        <c:auto val="1"/>
        <c:lblAlgn val="ctr"/>
        <c:lblOffset val="100"/>
        <c:noMultiLvlLbl val="0"/>
      </c:catAx>
      <c:valAx>
        <c:axId val="282998400"/>
        <c:scaling>
          <c:orientation val="minMax"/>
        </c:scaling>
        <c:delete val="0"/>
        <c:axPos val="l"/>
        <c:numFmt formatCode="#,##0_ " sourceLinked="1"/>
        <c:majorTickMark val="out"/>
        <c:minorTickMark val="none"/>
        <c:tickLblPos val="nextTo"/>
        <c:txPr>
          <a:bodyPr/>
          <a:lstStyle/>
          <a:p>
            <a:pPr>
              <a:defRPr sz="850"/>
            </a:pPr>
            <a:endParaRPr lang="zh-TW"/>
          </a:p>
        </c:txPr>
        <c:crossAx val="283232256"/>
        <c:crosses val="autoZero"/>
        <c:crossBetween val="between"/>
      </c:valAx>
      <c:dTable>
        <c:showHorzBorder val="1"/>
        <c:showVertBorder val="1"/>
        <c:showOutline val="1"/>
        <c:showKeys val="1"/>
        <c:txPr>
          <a:bodyPr/>
          <a:lstStyle/>
          <a:p>
            <a:pPr rtl="0">
              <a:defRPr sz="750"/>
            </a:pPr>
            <a:endParaRPr lang="zh-TW"/>
          </a:p>
        </c:txPr>
      </c:dTable>
    </c:plotArea>
    <c:plotVisOnly val="1"/>
    <c:dispBlanksAs val="gap"/>
    <c:showDLblsOverMax val="0"/>
  </c:chart>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76480280273336"/>
          <c:y val="0.26185915364978946"/>
          <c:w val="0.41743764958895557"/>
          <c:h val="0.68343560372659873"/>
        </c:manualLayout>
      </c:layout>
      <c:pieChart>
        <c:varyColors val="1"/>
        <c:ser>
          <c:idx val="0"/>
          <c:order val="0"/>
          <c:dPt>
            <c:idx val="0"/>
            <c:bubble3D val="0"/>
            <c:explosion val="11"/>
            <c:spPr>
              <a:solidFill>
                <a:schemeClr val="tx2">
                  <a:lumMod val="40000"/>
                  <a:lumOff val="60000"/>
                </a:schemeClr>
              </a:solidFill>
            </c:spPr>
          </c:dPt>
          <c:dPt>
            <c:idx val="1"/>
            <c:bubble3D val="0"/>
            <c:spPr>
              <a:solidFill>
                <a:schemeClr val="accent2">
                  <a:lumMod val="60000"/>
                  <a:lumOff val="40000"/>
                </a:schemeClr>
              </a:solidFill>
            </c:spPr>
          </c:dPt>
          <c:dPt>
            <c:idx val="2"/>
            <c:bubble3D val="0"/>
            <c:spPr>
              <a:solidFill>
                <a:schemeClr val="accent3">
                  <a:lumMod val="60000"/>
                  <a:lumOff val="40000"/>
                </a:schemeClr>
              </a:solidFill>
            </c:spPr>
          </c:dPt>
          <c:dPt>
            <c:idx val="4"/>
            <c:bubble3D val="0"/>
            <c:spPr>
              <a:solidFill>
                <a:schemeClr val="accent5"/>
              </a:solidFill>
            </c:spPr>
          </c:dPt>
          <c:dLbls>
            <c:dLbl>
              <c:idx val="0"/>
              <c:layout>
                <c:manualLayout>
                  <c:x val="-7.5948697492108641E-2"/>
                  <c:y val="-0.19591338544001605"/>
                </c:manualLayout>
              </c:layout>
              <c:tx>
                <c:rich>
                  <a:bodyPr/>
                  <a:lstStyle/>
                  <a:p>
                    <a:r>
                      <a:rPr lang="zh-TW" altLang="en-US"/>
                      <a:t>自耕農</a:t>
                    </a:r>
                    <a:r>
                      <a:rPr lang="en-US" altLang="zh-TW"/>
                      <a:t>, </a:t>
                    </a:r>
                  </a:p>
                  <a:p>
                    <a:r>
                      <a:rPr lang="en-US" altLang="zh-TW"/>
                      <a:t>92</a:t>
                    </a:r>
                    <a:r>
                      <a:rPr lang="zh-TW" altLang="en-US"/>
                      <a:t>萬</a:t>
                    </a:r>
                    <a:r>
                      <a:rPr lang="en-US" altLang="zh-TW"/>
                      <a:t>2,807</a:t>
                    </a:r>
                    <a:r>
                      <a:rPr lang="zh-TW" altLang="en-US"/>
                      <a:t>人</a:t>
                    </a:r>
                    <a:r>
                      <a:rPr lang="en-US" altLang="zh-TW"/>
                      <a:t> , 88.2%</a:t>
                    </a:r>
                  </a:p>
                </c:rich>
              </c:tx>
              <c:showLegendKey val="0"/>
              <c:showVal val="1"/>
              <c:showCatName val="1"/>
              <c:showSerName val="0"/>
              <c:showPercent val="1"/>
              <c:showBubbleSize val="0"/>
            </c:dLbl>
            <c:dLbl>
              <c:idx val="1"/>
              <c:layout>
                <c:manualLayout>
                  <c:x val="-9.9257983377077863E-2"/>
                  <c:y val="0.10114610673665791"/>
                </c:manualLayout>
              </c:layout>
              <c:tx>
                <c:rich>
                  <a:bodyPr/>
                  <a:lstStyle/>
                  <a:p>
                    <a:r>
                      <a:rPr lang="zh-TW" altLang="en-US"/>
                      <a:t>佃農</a:t>
                    </a:r>
                    <a:r>
                      <a:rPr lang="en-US" altLang="zh-TW"/>
                      <a:t>, </a:t>
                    </a:r>
                  </a:p>
                  <a:p>
                    <a:r>
                      <a:rPr lang="en-US" altLang="zh-TW"/>
                      <a:t>4</a:t>
                    </a:r>
                    <a:r>
                      <a:rPr lang="zh-TW" altLang="en-US"/>
                      <a:t>萬</a:t>
                    </a:r>
                    <a:r>
                      <a:rPr lang="en-US" altLang="zh-TW"/>
                      <a:t>8,006</a:t>
                    </a:r>
                    <a:r>
                      <a:rPr lang="zh-TW" altLang="en-US"/>
                      <a:t>人</a:t>
                    </a:r>
                    <a:r>
                      <a:rPr lang="en-US" altLang="zh-TW"/>
                      <a:t> , 4.6%</a:t>
                    </a:r>
                    <a:endParaRPr lang="zh-TW" altLang="en-US"/>
                  </a:p>
                </c:rich>
              </c:tx>
              <c:showLegendKey val="0"/>
              <c:showVal val="1"/>
              <c:showCatName val="1"/>
              <c:showSerName val="0"/>
              <c:showPercent val="1"/>
              <c:showBubbleSize val="0"/>
            </c:dLbl>
            <c:dLbl>
              <c:idx val="2"/>
              <c:layout>
                <c:manualLayout>
                  <c:x val="2.2185039370078742E-3"/>
                  <c:y val="-1.5010207057451153E-2"/>
                </c:manualLayout>
              </c:layout>
              <c:tx>
                <c:rich>
                  <a:bodyPr/>
                  <a:lstStyle/>
                  <a:p>
                    <a:r>
                      <a:rPr lang="zh-TW" altLang="en-US"/>
                      <a:t>雇農</a:t>
                    </a:r>
                    <a:r>
                      <a:rPr lang="en-US" altLang="zh-TW"/>
                      <a:t>, </a:t>
                    </a:r>
                  </a:p>
                  <a:p>
                    <a:r>
                      <a:rPr lang="en-US" altLang="zh-TW"/>
                      <a:t>3</a:t>
                    </a:r>
                    <a:r>
                      <a:rPr lang="zh-TW" altLang="en-US"/>
                      <a:t>萬</a:t>
                    </a:r>
                    <a:r>
                      <a:rPr lang="en-US" altLang="zh-TW"/>
                      <a:t>2,765</a:t>
                    </a:r>
                    <a:r>
                      <a:rPr lang="zh-TW" altLang="en-US"/>
                      <a:t>人</a:t>
                    </a:r>
                    <a:r>
                      <a:rPr lang="en-US" altLang="zh-TW"/>
                      <a:t> , 3.1%</a:t>
                    </a:r>
                    <a:endParaRPr lang="zh-TW" altLang="en-US"/>
                  </a:p>
                </c:rich>
              </c:tx>
              <c:showLegendKey val="0"/>
              <c:showVal val="1"/>
              <c:showCatName val="1"/>
              <c:showSerName val="0"/>
              <c:showPercent val="1"/>
              <c:showBubbleSize val="0"/>
            </c:dLbl>
            <c:dLbl>
              <c:idx val="3"/>
              <c:layout>
                <c:manualLayout>
                  <c:x val="9.3655693919317357E-2"/>
                  <c:y val="-1.7138478302778457E-2"/>
                </c:manualLayout>
              </c:layout>
              <c:tx>
                <c:rich>
                  <a:bodyPr/>
                  <a:lstStyle/>
                  <a:p>
                    <a:r>
                      <a:rPr lang="zh-TW" altLang="en-US"/>
                      <a:t>其他</a:t>
                    </a:r>
                    <a:r>
                      <a:rPr lang="en-US" altLang="zh-TW"/>
                      <a:t>, </a:t>
                    </a:r>
                  </a:p>
                  <a:p>
                    <a:r>
                      <a:rPr lang="en-US" altLang="zh-TW"/>
                      <a:t>642</a:t>
                    </a:r>
                    <a:r>
                      <a:rPr lang="zh-TW" altLang="en-US"/>
                      <a:t>人</a:t>
                    </a:r>
                    <a:r>
                      <a:rPr lang="en-US" altLang="zh-TW"/>
                      <a:t> , </a:t>
                    </a:r>
                  </a:p>
                  <a:p>
                    <a:r>
                      <a:rPr lang="en-US" altLang="zh-TW"/>
                      <a:t>0.1%</a:t>
                    </a:r>
                    <a:endParaRPr lang="zh-TW" altLang="en-US"/>
                  </a:p>
                </c:rich>
              </c:tx>
              <c:showLegendKey val="0"/>
              <c:showVal val="1"/>
              <c:showCatName val="1"/>
              <c:showSerName val="0"/>
              <c:showPercent val="1"/>
              <c:showBubbleSize val="0"/>
            </c:dLbl>
            <c:dLbl>
              <c:idx val="4"/>
              <c:layout>
                <c:manualLayout>
                  <c:x val="0.26464618960074926"/>
                  <c:y val="4.8738080021396131E-2"/>
                </c:manualLayout>
              </c:layout>
              <c:tx>
                <c:rich>
                  <a:bodyPr/>
                  <a:lstStyle/>
                  <a:p>
                    <a:r>
                      <a:rPr lang="zh-TW" altLang="en-US"/>
                      <a:t>配偶</a:t>
                    </a:r>
                    <a:r>
                      <a:rPr lang="en-US" altLang="zh-TW"/>
                      <a:t>, </a:t>
                    </a:r>
                  </a:p>
                  <a:p>
                    <a:r>
                      <a:rPr lang="en-US" altLang="zh-TW"/>
                      <a:t>4</a:t>
                    </a:r>
                    <a:r>
                      <a:rPr lang="zh-TW" altLang="en-US"/>
                      <a:t>萬</a:t>
                    </a:r>
                    <a:r>
                      <a:rPr lang="en-US" altLang="zh-TW"/>
                      <a:t>1,981</a:t>
                    </a:r>
                    <a:r>
                      <a:rPr lang="zh-TW" altLang="en-US"/>
                      <a:t>人</a:t>
                    </a:r>
                    <a:r>
                      <a:rPr lang="en-US" altLang="zh-TW"/>
                      <a:t> , 4.0%</a:t>
                    </a:r>
                    <a:endParaRPr lang="zh-TW" altLang="en-US"/>
                  </a:p>
                </c:rich>
              </c:tx>
              <c:showLegendKey val="0"/>
              <c:showVal val="1"/>
              <c:showCatName val="1"/>
              <c:showSerName val="0"/>
              <c:showPercent val="1"/>
              <c:showBubbleSize val="0"/>
            </c:dLbl>
            <c:numFmt formatCode="0.0%" sourceLinked="0"/>
            <c:txPr>
              <a:bodyPr/>
              <a:lstStyle/>
              <a:p>
                <a:pPr>
                  <a:lnSpc>
                    <a:spcPts val="1700"/>
                  </a:lnSpc>
                  <a:defRPr sz="1100">
                    <a:latin typeface="微軟正黑體" pitchFamily="34" charset="-120"/>
                    <a:ea typeface="微軟正黑體" pitchFamily="34" charset="-120"/>
                  </a:defRPr>
                </a:pPr>
                <a:endParaRPr lang="zh-TW"/>
              </a:p>
            </c:txPr>
            <c:showLegendKey val="0"/>
            <c:showVal val="1"/>
            <c:showCatName val="1"/>
            <c:showSerName val="0"/>
            <c:showPercent val="1"/>
            <c:showBubbleSize val="0"/>
            <c:showLeaderLines val="1"/>
          </c:dLbls>
          <c:cat>
            <c:strRef>
              <c:f>'[農保(109年).xlsx]1.3被保險人人數(按身分別分)'!$K$31:$O$31</c:f>
              <c:strCache>
                <c:ptCount val="5"/>
                <c:pt idx="0">
                  <c:v>自耕農</c:v>
                </c:pt>
                <c:pt idx="1">
                  <c:v>佃農</c:v>
                </c:pt>
                <c:pt idx="2">
                  <c:v>雇農</c:v>
                </c:pt>
                <c:pt idx="3">
                  <c:v>其他</c:v>
                </c:pt>
                <c:pt idx="4">
                  <c:v>配偶</c:v>
                </c:pt>
              </c:strCache>
            </c:strRef>
          </c:cat>
          <c:val>
            <c:numRef>
              <c:f>'[農保(109年).xlsx]1.3被保險人人數(按身分別分)'!$K$32:$O$32</c:f>
              <c:numCache>
                <c:formatCode>#,##0_);[Red]\(#,##0\)</c:formatCode>
                <c:ptCount val="5"/>
                <c:pt idx="0">
                  <c:v>922807</c:v>
                </c:pt>
                <c:pt idx="1">
                  <c:v>48006</c:v>
                </c:pt>
                <c:pt idx="2">
                  <c:v>32765</c:v>
                </c:pt>
                <c:pt idx="3">
                  <c:v>642</c:v>
                </c:pt>
                <c:pt idx="4">
                  <c:v>41981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微軟正黑體" pitchFamily="34" charset="-120"/>
                <a:ea typeface="微軟正黑體" pitchFamily="34" charset="-120"/>
              </a:defRPr>
            </a:pPr>
            <a:r>
              <a:rPr lang="zh-TW">
                <a:latin typeface="微軟正黑體" pitchFamily="34" charset="-120"/>
                <a:ea typeface="微軟正黑體" pitchFamily="34" charset="-120"/>
              </a:rPr>
              <a:t>老年年金平均領取金額</a:t>
            </a:r>
            <a:r>
              <a:rPr lang="en-US">
                <a:latin typeface="微軟正黑體" pitchFamily="34" charset="-120"/>
                <a:ea typeface="微軟正黑體" pitchFamily="34" charset="-120"/>
              </a:rPr>
              <a:t>(</a:t>
            </a:r>
            <a:r>
              <a:rPr lang="en-US">
                <a:solidFill>
                  <a:sysClr val="windowText" lastClr="000000"/>
                </a:solidFill>
                <a:latin typeface="微軟正黑體" pitchFamily="34" charset="-120"/>
                <a:ea typeface="微軟正黑體" pitchFamily="34" charset="-120"/>
              </a:rPr>
              <a:t>109</a:t>
            </a:r>
            <a:r>
              <a:rPr lang="zh-TW">
                <a:solidFill>
                  <a:sysClr val="windowText" lastClr="000000"/>
                </a:solidFill>
                <a:latin typeface="微軟正黑體" pitchFamily="34" charset="-120"/>
                <a:ea typeface="微軟正黑體" pitchFamily="34" charset="-120"/>
              </a:rPr>
              <a:t>年</a:t>
            </a:r>
            <a:r>
              <a:rPr lang="en-US">
                <a:solidFill>
                  <a:sysClr val="windowText" lastClr="000000"/>
                </a:solidFill>
                <a:latin typeface="微軟正黑體" pitchFamily="34" charset="-120"/>
                <a:ea typeface="微軟正黑體" pitchFamily="34" charset="-120"/>
              </a:rPr>
              <a:t>)</a:t>
            </a:r>
            <a:endParaRPr lang="zh-TW">
              <a:solidFill>
                <a:sysClr val="windowText" lastClr="000000"/>
              </a:solidFill>
              <a:latin typeface="微軟正黑體" pitchFamily="34" charset="-120"/>
              <a:ea typeface="微軟正黑體" pitchFamily="34" charset="-120"/>
            </a:endParaRPr>
          </a:p>
        </c:rich>
      </c:tx>
      <c:overlay val="1"/>
    </c:title>
    <c:autoTitleDeleted val="0"/>
    <c:plotArea>
      <c:layout>
        <c:manualLayout>
          <c:layoutTarget val="inner"/>
          <c:xMode val="edge"/>
          <c:yMode val="edge"/>
          <c:x val="0.26040553397040395"/>
          <c:y val="0.19377425526834618"/>
          <c:w val="0.62781111175440607"/>
          <c:h val="0.76613967898713731"/>
        </c:manualLayout>
      </c:layout>
      <c:barChart>
        <c:barDir val="bar"/>
        <c:grouping val="clustered"/>
        <c:varyColors val="0"/>
        <c:ser>
          <c:idx val="0"/>
          <c:order val="0"/>
          <c:tx>
            <c:strRef>
              <c:f>工作表1!$A$2</c:f>
              <c:strCache>
                <c:ptCount val="1"/>
                <c:pt idx="0">
                  <c:v>年金</c:v>
                </c:pt>
              </c:strCache>
            </c:strRef>
          </c:tx>
          <c:invertIfNegative val="0"/>
          <c:dPt>
            <c:idx val="0"/>
            <c:invertIfNegative val="0"/>
            <c:bubble3D val="0"/>
            <c:spPr>
              <a:solidFill>
                <a:schemeClr val="tx2">
                  <a:lumMod val="40000"/>
                  <a:lumOff val="60000"/>
                </a:schemeClr>
              </a:solidFill>
            </c:spPr>
          </c:dPt>
          <c:dPt>
            <c:idx val="1"/>
            <c:invertIfNegative val="0"/>
            <c:bubble3D val="0"/>
            <c:spPr>
              <a:solidFill>
                <a:schemeClr val="accent6">
                  <a:lumMod val="40000"/>
                  <a:lumOff val="60000"/>
                </a:schemeClr>
              </a:solidFill>
            </c:spPr>
          </c:dPt>
          <c:dPt>
            <c:idx val="2"/>
            <c:invertIfNegative val="0"/>
            <c:bubble3D val="0"/>
            <c:spPr>
              <a:solidFill>
                <a:schemeClr val="accent2">
                  <a:lumMod val="40000"/>
                  <a:lumOff val="60000"/>
                </a:schemeClr>
              </a:solidFill>
            </c:spPr>
          </c:dPt>
          <c:dLbls>
            <c:dLbl>
              <c:idx val="0"/>
              <c:tx>
                <c:rich>
                  <a:bodyPr/>
                  <a:lstStyle/>
                  <a:p>
                    <a:pPr>
                      <a:defRPr>
                        <a:solidFill>
                          <a:sysClr val="windowText" lastClr="000000"/>
                        </a:solidFill>
                        <a:latin typeface="微軟正黑體" pitchFamily="34" charset="-120"/>
                        <a:ea typeface="微軟正黑體" pitchFamily="34" charset="-120"/>
                      </a:defRPr>
                    </a:pPr>
                    <a:r>
                      <a:rPr lang="en-US" altLang="en-US">
                        <a:solidFill>
                          <a:sysClr val="windowText" lastClr="000000"/>
                        </a:solidFill>
                      </a:rPr>
                      <a:t>3,858</a:t>
                    </a:r>
                    <a:r>
                      <a:rPr lang="zh-TW" altLang="en-US">
                        <a:solidFill>
                          <a:sysClr val="windowText" lastClr="000000"/>
                        </a:solidFill>
                      </a:rPr>
                      <a:t>元</a:t>
                    </a:r>
                    <a:r>
                      <a:rPr lang="en-US" altLang="en-US">
                        <a:solidFill>
                          <a:sysClr val="windowText" lastClr="000000"/>
                        </a:solidFill>
                      </a:rPr>
                      <a:t> </a:t>
                    </a:r>
                  </a:p>
                </c:rich>
              </c:tx>
              <c:spPr/>
              <c:showLegendKey val="0"/>
              <c:showVal val="1"/>
              <c:showCatName val="0"/>
              <c:showSerName val="0"/>
              <c:showPercent val="0"/>
              <c:showBubbleSize val="0"/>
            </c:dLbl>
            <c:dLbl>
              <c:idx val="1"/>
              <c:tx>
                <c:rich>
                  <a:bodyPr/>
                  <a:lstStyle/>
                  <a:p>
                    <a:r>
                      <a:rPr lang="en-US" altLang="en-US"/>
                      <a:t>1</a:t>
                    </a:r>
                    <a:r>
                      <a:rPr lang="en-US" altLang="zh-TW"/>
                      <a:t>7</a:t>
                    </a:r>
                    <a:r>
                      <a:rPr lang="en-US" altLang="en-US"/>
                      <a:t>,65</a:t>
                    </a:r>
                    <a:r>
                      <a:rPr lang="en-US" altLang="zh-TW"/>
                      <a:t>1</a:t>
                    </a:r>
                    <a:r>
                      <a:rPr lang="zh-TW" altLang="en-US"/>
                      <a:t>元</a:t>
                    </a:r>
                    <a:r>
                      <a:rPr lang="en-US" altLang="en-US" u="sng"/>
                      <a:t> </a:t>
                    </a:r>
                  </a:p>
                </c:rich>
              </c:tx>
              <c:showLegendKey val="0"/>
              <c:showVal val="1"/>
              <c:showCatName val="0"/>
              <c:showSerName val="0"/>
              <c:showPercent val="0"/>
              <c:showBubbleSize val="0"/>
            </c:dLbl>
            <c:dLbl>
              <c:idx val="2"/>
              <c:tx>
                <c:rich>
                  <a:bodyPr/>
                  <a:lstStyle/>
                  <a:p>
                    <a:r>
                      <a:rPr lang="en-US" altLang="en-US"/>
                      <a:t>18,041</a:t>
                    </a:r>
                    <a:r>
                      <a:rPr lang="zh-TW" altLang="en-US"/>
                      <a:t>元</a:t>
                    </a:r>
                    <a:r>
                      <a:rPr lang="en-US" altLang="en-US"/>
                      <a:t> </a:t>
                    </a:r>
                  </a:p>
                </c:rich>
              </c:tx>
              <c:showLegendKey val="0"/>
              <c:showVal val="1"/>
              <c:showCatName val="0"/>
              <c:showSerName val="0"/>
              <c:showPercent val="0"/>
              <c:showBubbleSize val="0"/>
            </c:dLbl>
            <c:txPr>
              <a:bodyPr/>
              <a:lstStyle/>
              <a:p>
                <a:pPr>
                  <a:defRPr>
                    <a:latin typeface="微軟正黑體" pitchFamily="34" charset="-120"/>
                    <a:ea typeface="微軟正黑體" pitchFamily="34" charset="-120"/>
                  </a:defRPr>
                </a:pPr>
                <a:endParaRPr lang="zh-TW"/>
              </a:p>
            </c:txPr>
            <c:showLegendKey val="0"/>
            <c:showVal val="1"/>
            <c:showCatName val="0"/>
            <c:showSerName val="0"/>
            <c:showPercent val="0"/>
            <c:showBubbleSize val="0"/>
            <c:showLeaderLines val="0"/>
          </c:dLbls>
          <c:cat>
            <c:strRef>
              <c:f>工作表1!$B$1:$D$1</c:f>
              <c:strCache>
                <c:ptCount val="3"/>
                <c:pt idx="0">
                  <c:v>國民年金保險</c:v>
                </c:pt>
                <c:pt idx="1">
                  <c:v>勞工保險</c:v>
                </c:pt>
                <c:pt idx="2">
                  <c:v>公教人員保險</c:v>
                </c:pt>
              </c:strCache>
            </c:strRef>
          </c:cat>
          <c:val>
            <c:numRef>
              <c:f>工作表1!$B$2:$D$2</c:f>
              <c:numCache>
                <c:formatCode>#,##0_ </c:formatCode>
                <c:ptCount val="3"/>
                <c:pt idx="0">
                  <c:v>3858</c:v>
                </c:pt>
                <c:pt idx="1">
                  <c:v>17651</c:v>
                </c:pt>
                <c:pt idx="2">
                  <c:v>18041</c:v>
                </c:pt>
              </c:numCache>
            </c:numRef>
          </c:val>
        </c:ser>
        <c:dLbls>
          <c:showLegendKey val="0"/>
          <c:showVal val="0"/>
          <c:showCatName val="0"/>
          <c:showSerName val="0"/>
          <c:showPercent val="0"/>
          <c:showBubbleSize val="0"/>
        </c:dLbls>
        <c:gapWidth val="46"/>
        <c:axId val="257590272"/>
        <c:axId val="318474496"/>
      </c:barChart>
      <c:catAx>
        <c:axId val="257590272"/>
        <c:scaling>
          <c:orientation val="minMax"/>
        </c:scaling>
        <c:delete val="0"/>
        <c:axPos val="l"/>
        <c:majorTickMark val="out"/>
        <c:minorTickMark val="none"/>
        <c:tickLblPos val="nextTo"/>
        <c:spPr>
          <a:ln w="25400">
            <a:noFill/>
          </a:ln>
        </c:spPr>
        <c:txPr>
          <a:bodyPr/>
          <a:lstStyle/>
          <a:p>
            <a:pPr>
              <a:defRPr>
                <a:latin typeface="微軟正黑體" pitchFamily="34" charset="-120"/>
                <a:ea typeface="微軟正黑體" pitchFamily="34" charset="-120"/>
              </a:defRPr>
            </a:pPr>
            <a:endParaRPr lang="zh-TW"/>
          </a:p>
        </c:txPr>
        <c:crossAx val="318474496"/>
        <c:crosses val="autoZero"/>
        <c:auto val="1"/>
        <c:lblAlgn val="ctr"/>
        <c:lblOffset val="100"/>
        <c:noMultiLvlLbl val="0"/>
      </c:catAx>
      <c:valAx>
        <c:axId val="318474496"/>
        <c:scaling>
          <c:orientation val="minMax"/>
        </c:scaling>
        <c:delete val="1"/>
        <c:axPos val="b"/>
        <c:majorGridlines>
          <c:spPr>
            <a:ln>
              <a:noFill/>
            </a:ln>
          </c:spPr>
        </c:majorGridlines>
        <c:numFmt formatCode="#,##0_ " sourceLinked="1"/>
        <c:majorTickMark val="out"/>
        <c:minorTickMark val="none"/>
        <c:tickLblPos val="none"/>
        <c:crossAx val="257590272"/>
        <c:crosses val="autoZero"/>
        <c:crossBetween val="between"/>
      </c:valAx>
    </c:plotArea>
    <c:plotVisOnly val="1"/>
    <c:dispBlanksAs val="gap"/>
    <c:showDLblsOverMax val="0"/>
  </c:chart>
  <c:txPr>
    <a:bodyPr/>
    <a:lstStyle/>
    <a:p>
      <a:pPr>
        <a:defRPr sz="1050"/>
      </a:pPr>
      <a:endParaRPr lang="zh-TW"/>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plosion val="2"/>
            <c:spPr>
              <a:solidFill>
                <a:schemeClr val="tx2">
                  <a:lumMod val="60000"/>
                  <a:lumOff val="40000"/>
                </a:schemeClr>
              </a:solidFill>
            </c:spPr>
          </c:dPt>
          <c:dPt>
            <c:idx val="1"/>
            <c:bubble3D val="0"/>
            <c:explosion val="4"/>
            <c:spPr>
              <a:solidFill>
                <a:schemeClr val="accent2">
                  <a:lumMod val="60000"/>
                  <a:lumOff val="40000"/>
                </a:schemeClr>
              </a:solidFill>
            </c:spPr>
          </c:dPt>
          <c:dPt>
            <c:idx val="2"/>
            <c:bubble3D val="0"/>
            <c:explosion val="4"/>
            <c:spPr>
              <a:solidFill>
                <a:schemeClr val="accent3"/>
              </a:solidFill>
            </c:spPr>
          </c:dPt>
          <c:dPt>
            <c:idx val="3"/>
            <c:bubble3D val="0"/>
            <c:explosion val="3"/>
            <c:spPr>
              <a:solidFill>
                <a:schemeClr val="accent4">
                  <a:lumMod val="60000"/>
                  <a:lumOff val="40000"/>
                </a:schemeClr>
              </a:solidFill>
            </c:spPr>
          </c:dPt>
          <c:dLbls>
            <c:dLbl>
              <c:idx val="0"/>
              <c:layout>
                <c:manualLayout>
                  <c:x val="8.107590510554849E-2"/>
                  <c:y val="5.6361510321275794E-2"/>
                </c:manualLayout>
              </c:layout>
              <c:tx>
                <c:rich>
                  <a:bodyPr/>
                  <a:lstStyle/>
                  <a:p>
                    <a:r>
                      <a:rPr lang="zh-TW" altLang="en-US" sz="1100"/>
                      <a:t>農會會員</a:t>
                    </a:r>
                    <a:endParaRPr lang="en-US" altLang="zh-TW" sz="1100"/>
                  </a:p>
                  <a:p>
                    <a:r>
                      <a:rPr lang="en-US" altLang="zh-TW" sz="1100"/>
                      <a:t>(</a:t>
                    </a:r>
                    <a:r>
                      <a:rPr lang="zh-TW" altLang="en-US" sz="1100"/>
                      <a:t>男性</a:t>
                    </a:r>
                    <a:r>
                      <a:rPr lang="en-US" altLang="zh-TW" sz="1100"/>
                      <a:t>), </a:t>
                    </a:r>
                  </a:p>
                  <a:p>
                    <a:r>
                      <a:rPr lang="en-US" altLang="zh-TW" sz="1100"/>
                      <a:t>32</a:t>
                    </a:r>
                    <a:r>
                      <a:rPr lang="zh-TW" altLang="en-US" sz="1100"/>
                      <a:t>萬</a:t>
                    </a:r>
                    <a:r>
                      <a:rPr lang="en-US" altLang="zh-TW" sz="1100"/>
                      <a:t>7,862</a:t>
                    </a:r>
                    <a:r>
                      <a:rPr lang="zh-TW" altLang="en-US" sz="1100"/>
                      <a:t>人</a:t>
                    </a:r>
                    <a:r>
                      <a:rPr lang="en-US" altLang="zh-TW" sz="1100"/>
                      <a:t> , </a:t>
                    </a:r>
                  </a:p>
                  <a:p>
                    <a:r>
                      <a:rPr lang="en-US" altLang="zh-TW" sz="1100"/>
                      <a:t>31.3%</a:t>
                    </a:r>
                    <a:endParaRPr lang="en-US" altLang="zh-TW"/>
                  </a:p>
                </c:rich>
              </c:tx>
              <c:showLegendKey val="0"/>
              <c:showVal val="1"/>
              <c:showCatName val="1"/>
              <c:showSerName val="0"/>
              <c:showPercent val="1"/>
              <c:showBubbleSize val="0"/>
            </c:dLbl>
            <c:dLbl>
              <c:idx val="1"/>
              <c:layout>
                <c:manualLayout>
                  <c:x val="0.11858286997544522"/>
                  <c:y val="-6.1588923487162113E-2"/>
                </c:manualLayout>
              </c:layout>
              <c:tx>
                <c:rich>
                  <a:bodyPr/>
                  <a:lstStyle/>
                  <a:p>
                    <a:r>
                      <a:rPr lang="zh-TW" altLang="en-US" sz="1100"/>
                      <a:t>農會會員</a:t>
                    </a:r>
                    <a:endParaRPr lang="en-US" altLang="zh-TW" sz="1100"/>
                  </a:p>
                  <a:p>
                    <a:r>
                      <a:rPr lang="en-US" altLang="zh-TW" sz="1100"/>
                      <a:t>(</a:t>
                    </a:r>
                    <a:r>
                      <a:rPr lang="zh-TW" altLang="en-US" sz="1100"/>
                      <a:t>女性</a:t>
                    </a:r>
                    <a:r>
                      <a:rPr lang="en-US" altLang="zh-TW" sz="1100"/>
                      <a:t>), </a:t>
                    </a:r>
                  </a:p>
                  <a:p>
                    <a:r>
                      <a:rPr lang="en-US" altLang="zh-TW" sz="1100"/>
                      <a:t>19</a:t>
                    </a:r>
                    <a:r>
                      <a:rPr lang="zh-TW" altLang="en-US" sz="1100"/>
                      <a:t>萬</a:t>
                    </a:r>
                    <a:r>
                      <a:rPr lang="en-US" altLang="zh-TW" sz="1100"/>
                      <a:t>1,746</a:t>
                    </a:r>
                    <a:r>
                      <a:rPr lang="zh-TW" altLang="en-US" sz="1100"/>
                      <a:t>人</a:t>
                    </a:r>
                    <a:r>
                      <a:rPr lang="en-US" altLang="zh-TW" sz="1100"/>
                      <a:t> , </a:t>
                    </a:r>
                  </a:p>
                  <a:p>
                    <a:r>
                      <a:rPr lang="en-US" altLang="zh-TW" sz="1100"/>
                      <a:t>18.3%</a:t>
                    </a:r>
                    <a:endParaRPr lang="en-US" altLang="zh-TW"/>
                  </a:p>
                </c:rich>
              </c:tx>
              <c:showLegendKey val="0"/>
              <c:showVal val="1"/>
              <c:showCatName val="1"/>
              <c:showSerName val="0"/>
              <c:showPercent val="1"/>
              <c:showBubbleSize val="0"/>
            </c:dLbl>
            <c:dLbl>
              <c:idx val="2"/>
              <c:layout>
                <c:manualLayout>
                  <c:x val="-9.7747755597343E-2"/>
                  <c:y val="-3.6806146062583152E-2"/>
                </c:manualLayout>
              </c:layout>
              <c:tx>
                <c:rich>
                  <a:bodyPr/>
                  <a:lstStyle/>
                  <a:p>
                    <a:r>
                      <a:rPr lang="zh-TW" altLang="en-US"/>
                      <a:t>非農會會員
</a:t>
                    </a:r>
                    <a:r>
                      <a:rPr lang="en-US" altLang="zh-TW"/>
                      <a:t>(</a:t>
                    </a:r>
                    <a:r>
                      <a:rPr lang="zh-TW" altLang="en-US"/>
                      <a:t>男性</a:t>
                    </a:r>
                    <a:r>
                      <a:rPr lang="en-US" altLang="zh-TW"/>
                      <a:t>), </a:t>
                    </a:r>
                  </a:p>
                  <a:p>
                    <a:r>
                      <a:rPr lang="en-US" altLang="zh-TW"/>
                      <a:t>18</a:t>
                    </a:r>
                    <a:r>
                      <a:rPr lang="zh-TW" altLang="en-US"/>
                      <a:t>萬</a:t>
                    </a:r>
                    <a:r>
                      <a:rPr lang="en-US" altLang="zh-TW"/>
                      <a:t>5,056</a:t>
                    </a:r>
                    <a:r>
                      <a:rPr lang="zh-TW" altLang="en-US"/>
                      <a:t>人</a:t>
                    </a:r>
                    <a:r>
                      <a:rPr lang="en-US" altLang="zh-TW"/>
                      <a:t> , </a:t>
                    </a:r>
                  </a:p>
                  <a:p>
                    <a:r>
                      <a:rPr lang="en-US" altLang="zh-TW"/>
                      <a:t>17.7%</a:t>
                    </a:r>
                    <a:endParaRPr lang="zh-TW" altLang="en-US"/>
                  </a:p>
                </c:rich>
              </c:tx>
              <c:showLegendKey val="0"/>
              <c:showVal val="1"/>
              <c:showCatName val="1"/>
              <c:showSerName val="0"/>
              <c:showPercent val="1"/>
              <c:showBubbleSize val="0"/>
            </c:dLbl>
            <c:dLbl>
              <c:idx val="3"/>
              <c:layout>
                <c:manualLayout>
                  <c:x val="-4.7109969085391924E-2"/>
                  <c:y val="9.4897923774637988E-2"/>
                </c:manualLayout>
              </c:layout>
              <c:tx>
                <c:rich>
                  <a:bodyPr/>
                  <a:lstStyle/>
                  <a:p>
                    <a:r>
                      <a:rPr lang="zh-TW" altLang="en-US"/>
                      <a:t>非農會會員</a:t>
                    </a:r>
                    <a:endParaRPr lang="en-US" altLang="zh-TW"/>
                  </a:p>
                  <a:p>
                    <a:r>
                      <a:rPr lang="en-US" altLang="zh-TW"/>
                      <a:t>(</a:t>
                    </a:r>
                    <a:r>
                      <a:rPr lang="zh-TW" altLang="en-US"/>
                      <a:t>女性</a:t>
                    </a:r>
                    <a:r>
                      <a:rPr lang="en-US" altLang="zh-TW"/>
                      <a:t>), </a:t>
                    </a:r>
                  </a:p>
                  <a:p>
                    <a:r>
                      <a:rPr lang="en-US" altLang="zh-TW"/>
                      <a:t>34</a:t>
                    </a:r>
                    <a:r>
                      <a:rPr lang="zh-TW" altLang="en-US"/>
                      <a:t>萬</a:t>
                    </a:r>
                    <a:r>
                      <a:rPr lang="en-US" altLang="zh-TW"/>
                      <a:t>1,537</a:t>
                    </a:r>
                    <a:r>
                      <a:rPr lang="zh-TW" altLang="en-US"/>
                      <a:t>人</a:t>
                    </a:r>
                    <a:r>
                      <a:rPr lang="en-US" altLang="zh-TW"/>
                      <a:t> , </a:t>
                    </a:r>
                  </a:p>
                  <a:p>
                    <a:r>
                      <a:rPr lang="en-US" altLang="zh-TW"/>
                      <a:t>32.7%</a:t>
                    </a:r>
                    <a:endParaRPr lang="zh-TW" altLang="en-US"/>
                  </a:p>
                </c:rich>
              </c:tx>
              <c:showLegendKey val="0"/>
              <c:showVal val="1"/>
              <c:showCatName val="1"/>
              <c:showSerName val="0"/>
              <c:showPercent val="1"/>
              <c:showBubbleSize val="0"/>
            </c:dLbl>
            <c:numFmt formatCode="0.0%" sourceLinked="0"/>
            <c:txPr>
              <a:bodyPr/>
              <a:lstStyle/>
              <a:p>
                <a:pPr>
                  <a:lnSpc>
                    <a:spcPts val="1700"/>
                  </a:lnSpc>
                  <a:defRPr sz="1100">
                    <a:latin typeface="微軟正黑體" pitchFamily="34" charset="-120"/>
                    <a:ea typeface="微軟正黑體" pitchFamily="34" charset="-120"/>
                  </a:defRPr>
                </a:pPr>
                <a:endParaRPr lang="zh-TW"/>
              </a:p>
            </c:txPr>
            <c:showLegendKey val="0"/>
            <c:showVal val="1"/>
            <c:showCatName val="1"/>
            <c:showSerName val="0"/>
            <c:showPercent val="1"/>
            <c:showBubbleSize val="0"/>
            <c:showLeaderLines val="1"/>
          </c:dLbls>
          <c:cat>
            <c:strRef>
              <c:f>'[農保(109年).xlsx]1.3被保險人人數(按身分別分)'!$C$31:$F$31</c:f>
              <c:strCache>
                <c:ptCount val="4"/>
                <c:pt idx="0">
                  <c:v>農會會員(男性)</c:v>
                </c:pt>
                <c:pt idx="1">
                  <c:v>農會會員(女性)</c:v>
                </c:pt>
                <c:pt idx="2">
                  <c:v>非農會會員
(男性)</c:v>
                </c:pt>
                <c:pt idx="3">
                  <c:v>非農會會員(女性)</c:v>
                </c:pt>
              </c:strCache>
            </c:strRef>
          </c:cat>
          <c:val>
            <c:numRef>
              <c:f>'[農保(109年).xlsx]1.3被保險人人數(按身分別分)'!$C$32:$F$32</c:f>
              <c:numCache>
                <c:formatCode>#,##0_);[Red]\(#,##0\)</c:formatCode>
                <c:ptCount val="4"/>
                <c:pt idx="0">
                  <c:v>327862</c:v>
                </c:pt>
                <c:pt idx="1">
                  <c:v>191746</c:v>
                </c:pt>
                <c:pt idx="2">
                  <c:v>185056</c:v>
                </c:pt>
                <c:pt idx="3">
                  <c:v>341537</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37027415860565"/>
          <c:y val="0.17771488656605874"/>
          <c:w val="0.72688974693310959"/>
          <c:h val="0.73628561620322697"/>
        </c:manualLayout>
      </c:layout>
      <c:barChart>
        <c:barDir val="col"/>
        <c:grouping val="stacked"/>
        <c:varyColors val="0"/>
        <c:ser>
          <c:idx val="0"/>
          <c:order val="0"/>
          <c:tx>
            <c:strRef>
              <c:f>'[農保(109年).xlsx]2.給付件數及金額(按給付項目分)'!$B$19</c:f>
              <c:strCache>
                <c:ptCount val="1"/>
                <c:pt idx="0">
                  <c:v>生育給付件數</c:v>
                </c:pt>
              </c:strCache>
            </c:strRef>
          </c:tx>
          <c:spPr>
            <a:solidFill>
              <a:schemeClr val="accent6">
                <a:lumMod val="75000"/>
              </a:schemeClr>
            </a:solidFill>
            <a:ln>
              <a:solidFill>
                <a:schemeClr val="accent6">
                  <a:lumMod val="75000"/>
                </a:schemeClr>
              </a:solidFill>
            </a:ln>
          </c:spPr>
          <c:invertIfNegative val="0"/>
          <c:cat>
            <c:strRef>
              <c:f>'[農保(109年).xlsx]2.給付件數及金額(按給付項目分)'!$A$23:$A$32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'[農保(109年).xlsx]2.給付件數及金額(按給付項目分)'!$B$23:$B$32</c:f>
              <c:numCache>
                <c:formatCode>#,##0_);[Red]\(#,##0\)</c:formatCode>
                <c:ptCount val="10"/>
                <c:pt idx="0">
                  <c:v>5101</c:v>
                </c:pt>
                <c:pt idx="1">
                  <c:v>5314</c:v>
                </c:pt>
                <c:pt idx="2">
                  <c:v>4347</c:v>
                </c:pt>
                <c:pt idx="3">
                  <c:v>3853</c:v>
                </c:pt>
                <c:pt idx="4">
                  <c:v>3682</c:v>
                </c:pt>
                <c:pt idx="5">
                  <c:v>3046</c:v>
                </c:pt>
                <c:pt idx="6">
                  <c:v>2781</c:v>
                </c:pt>
                <c:pt idx="7">
                  <c:v>2459</c:v>
                </c:pt>
                <c:pt idx="8">
                  <c:v>2246</c:v>
                </c:pt>
                <c:pt idx="9">
                  <c:v>2181</c:v>
                </c:pt>
              </c:numCache>
            </c:numRef>
          </c:val>
        </c:ser>
        <c:ser>
          <c:idx val="2"/>
          <c:order val="2"/>
          <c:tx>
            <c:strRef>
              <c:f>'[農保(109年).xlsx]2.給付件數及金額(按給付項目分)'!$D$19</c:f>
              <c:strCache>
                <c:ptCount val="1"/>
                <c:pt idx="0">
                  <c:v>身心障礙給付件數</c:v>
                </c:pt>
              </c:strCache>
            </c:strRef>
          </c:tx>
          <c:spPr>
            <a:solidFill>
              <a:schemeClr val="accent4">
                <a:lumMod val="60000"/>
                <a:lumOff val="40000"/>
              </a:schemeClr>
            </a:solidFill>
            <a:ln>
              <a:solidFill>
                <a:schemeClr val="accent4">
                  <a:lumMod val="60000"/>
                  <a:lumOff val="40000"/>
                </a:schemeClr>
              </a:solidFill>
            </a:ln>
          </c:spPr>
          <c:invertIfNegative val="0"/>
          <c:cat>
            <c:strRef>
              <c:f>'[農保(109年).xlsx]2.給付件數及金額(按給付項目分)'!$A$23:$A$32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'[農保(109年).xlsx]2.給付件數及金額(按給付項目分)'!$D$23:$D$32</c:f>
              <c:numCache>
                <c:formatCode>#,##0_);[Red]\(#,##0\)</c:formatCode>
                <c:ptCount val="10"/>
                <c:pt idx="0">
                  <c:v>20867</c:v>
                </c:pt>
                <c:pt idx="1">
                  <c:v>20166</c:v>
                </c:pt>
                <c:pt idx="2">
                  <c:v>17654</c:v>
                </c:pt>
                <c:pt idx="3">
                  <c:v>16771</c:v>
                </c:pt>
                <c:pt idx="4">
                  <c:v>14507</c:v>
                </c:pt>
                <c:pt idx="5">
                  <c:v>12773</c:v>
                </c:pt>
                <c:pt idx="6">
                  <c:v>12595</c:v>
                </c:pt>
                <c:pt idx="7">
                  <c:v>12481</c:v>
                </c:pt>
                <c:pt idx="8">
                  <c:v>12806</c:v>
                </c:pt>
                <c:pt idx="9">
                  <c:v>11114</c:v>
                </c:pt>
              </c:numCache>
            </c:numRef>
          </c:val>
        </c:ser>
        <c:ser>
          <c:idx val="4"/>
          <c:order val="4"/>
          <c:tx>
            <c:strRef>
              <c:f>'[農保(109年).xlsx]2.給付件數及金額(按給付項目分)'!$F$19</c:f>
              <c:strCache>
                <c:ptCount val="1"/>
                <c:pt idx="0">
                  <c:v>喪葬津貼件數</c:v>
                </c:pt>
              </c:strCache>
            </c:strRef>
          </c:tx>
          <c:spPr>
            <a:pattFill prst="wdUpDiag">
              <a:fgClr>
                <a:schemeClr val="accent1"/>
              </a:fgClr>
              <a:bgClr>
                <a:schemeClr val="bg1"/>
              </a:bgClr>
            </a:pattFill>
            <a:ln>
              <a:solidFill>
                <a:schemeClr val="bg1">
                  <a:lumMod val="50000"/>
                </a:schemeClr>
              </a:solidFill>
            </a:ln>
          </c:spPr>
          <c:invertIfNegative val="0"/>
          <c:cat>
            <c:strRef>
              <c:f>'[農保(109年).xlsx]2.給付件數及金額(按給付項目分)'!$A$23:$A$32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'[農保(109年).xlsx]2.給付件數及金額(按給付項目分)'!$F$23:$F$32</c:f>
              <c:numCache>
                <c:formatCode>#,##0_);[Red]\(#,##0\)</c:formatCode>
                <c:ptCount val="10"/>
                <c:pt idx="0">
                  <c:v>30891</c:v>
                </c:pt>
                <c:pt idx="1">
                  <c:v>30754</c:v>
                </c:pt>
                <c:pt idx="2">
                  <c:v>30456</c:v>
                </c:pt>
                <c:pt idx="3">
                  <c:v>31755</c:v>
                </c:pt>
                <c:pt idx="4">
                  <c:v>30869</c:v>
                </c:pt>
                <c:pt idx="5">
                  <c:v>31375</c:v>
                </c:pt>
                <c:pt idx="6">
                  <c:v>31010</c:v>
                </c:pt>
                <c:pt idx="7">
                  <c:v>30578</c:v>
                </c:pt>
                <c:pt idx="8">
                  <c:v>29949</c:v>
                </c:pt>
                <c:pt idx="9">
                  <c:v>29014</c:v>
                </c:pt>
              </c:numCache>
            </c:numRef>
          </c:val>
        </c:ser>
        <c:dLbls>
          <c:showLegendKey val="0"/>
          <c:showVal val="0"/>
          <c:showCatName val="0"/>
          <c:showSerName val="0"/>
          <c:showPercent val="0"/>
          <c:showBubbleSize val="0"/>
        </c:dLbls>
        <c:gapWidth val="150"/>
        <c:overlap val="100"/>
        <c:axId val="283888128"/>
        <c:axId val="283292160"/>
      </c:barChart>
      <c:lineChart>
        <c:grouping val="standard"/>
        <c:varyColors val="0"/>
        <c:ser>
          <c:idx val="1"/>
          <c:order val="1"/>
          <c:tx>
            <c:strRef>
              <c:f>'[農保(109年).xlsx]2.給付件數及金額(按給付項目分)'!$C$19</c:f>
              <c:strCache>
                <c:ptCount val="1"/>
                <c:pt idx="0">
                  <c:v>生育給付金額     </c:v>
                </c:pt>
              </c:strCache>
            </c:strRef>
          </c:tx>
          <c:spPr>
            <a:ln>
              <a:solidFill>
                <a:schemeClr val="accent2">
                  <a:lumMod val="50000"/>
                </a:schemeClr>
              </a:solidFill>
              <a:prstDash val="lgDash"/>
            </a:ln>
          </c:spPr>
          <c:marker>
            <c:symbol val="none"/>
          </c:marker>
          <c:cat>
            <c:strRef>
              <c:f>'[農保(109年).xlsx]2.給付件數及金額(按給付項目分)'!$A$23:$A$32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'[農保(109年).xlsx]2.給付件數及金額(按給付項目分)'!$C$23:$C$32</c:f>
              <c:numCache>
                <c:formatCode>#,##0.0_);[Red]\(#,##0.0\)</c:formatCode>
                <c:ptCount val="10"/>
                <c:pt idx="0">
                  <c:v>1.05</c:v>
                </c:pt>
                <c:pt idx="1">
                  <c:v>1.0900000000000001</c:v>
                </c:pt>
                <c:pt idx="2">
                  <c:v>0.9</c:v>
                </c:pt>
                <c:pt idx="3">
                  <c:v>0.78764400000000001</c:v>
                </c:pt>
                <c:pt idx="4">
                  <c:v>0.76</c:v>
                </c:pt>
                <c:pt idx="5">
                  <c:v>0.62</c:v>
                </c:pt>
                <c:pt idx="6">
                  <c:v>0.62</c:v>
                </c:pt>
                <c:pt idx="7">
                  <c:v>0.5</c:v>
                </c:pt>
                <c:pt idx="8">
                  <c:v>0.5</c:v>
                </c:pt>
                <c:pt idx="9">
                  <c:v>0.4</c:v>
                </c:pt>
              </c:numCache>
            </c:numRef>
          </c:val>
          <c:smooth val="0"/>
        </c:ser>
        <c:ser>
          <c:idx val="3"/>
          <c:order val="3"/>
          <c:tx>
            <c:strRef>
              <c:f>'[農保(109年).xlsx]2.給付件數及金額(按給付項目分)'!$E$19</c:f>
              <c:strCache>
                <c:ptCount val="1"/>
                <c:pt idx="0">
                  <c:v>身心障礙給付金額     </c:v>
                </c:pt>
              </c:strCache>
            </c:strRef>
          </c:tx>
          <c:marker>
            <c:symbol val="none"/>
          </c:marker>
          <c:cat>
            <c:strRef>
              <c:f>'[農保(109年).xlsx]2.給付件數及金額(按給付項目分)'!$A$23:$A$32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'[農保(109年).xlsx]2.給付件數及金額(按給付項目分)'!$E$23:$E$32</c:f>
              <c:numCache>
                <c:formatCode>#,##0.0_);[Red]\(#,##0.0\)</c:formatCode>
                <c:ptCount val="10"/>
                <c:pt idx="0">
                  <c:v>36.630000000000003</c:v>
                </c:pt>
                <c:pt idx="1">
                  <c:v>38.948</c:v>
                </c:pt>
                <c:pt idx="2">
                  <c:v>34.32</c:v>
                </c:pt>
                <c:pt idx="3">
                  <c:v>32.913972000000001</c:v>
                </c:pt>
                <c:pt idx="4">
                  <c:v>28.69</c:v>
                </c:pt>
                <c:pt idx="5">
                  <c:v>26.34</c:v>
                </c:pt>
                <c:pt idx="6">
                  <c:v>26.41</c:v>
                </c:pt>
                <c:pt idx="7">
                  <c:v>26.4</c:v>
                </c:pt>
                <c:pt idx="8">
                  <c:v>27.7</c:v>
                </c:pt>
                <c:pt idx="9">
                  <c:v>23.8</c:v>
                </c:pt>
              </c:numCache>
            </c:numRef>
          </c:val>
          <c:smooth val="0"/>
        </c:ser>
        <c:ser>
          <c:idx val="5"/>
          <c:order val="5"/>
          <c:tx>
            <c:strRef>
              <c:f>'[農保(109年).xlsx]2.給付件數及金額(按給付項目分)'!$G$19</c:f>
              <c:strCache>
                <c:ptCount val="1"/>
                <c:pt idx="0">
                  <c:v>喪葬津貼金額     </c:v>
                </c:pt>
              </c:strCache>
            </c:strRef>
          </c:tx>
          <c:spPr>
            <a:ln>
              <a:solidFill>
                <a:schemeClr val="accent1">
                  <a:lumMod val="75000"/>
                </a:schemeClr>
              </a:solidFill>
              <a:prstDash val="sysDash"/>
            </a:ln>
          </c:spPr>
          <c:marker>
            <c:symbol val="none"/>
          </c:marker>
          <c:cat>
            <c:strRef>
              <c:f>'[農保(109年).xlsx]2.給付件數及金額(按給付項目分)'!$A$23:$A$32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'[農保(109年).xlsx]2.給付件數及金額(按給付項目分)'!$G$23:$G$32</c:f>
              <c:numCache>
                <c:formatCode>#,##0.0_);[Red]\(#,##0.0\)</c:formatCode>
                <c:ptCount val="10"/>
                <c:pt idx="0">
                  <c:v>47.26</c:v>
                </c:pt>
                <c:pt idx="1">
                  <c:v>47.05</c:v>
                </c:pt>
                <c:pt idx="2">
                  <c:v>46.6</c:v>
                </c:pt>
                <c:pt idx="3">
                  <c:v>48.585149999999999</c:v>
                </c:pt>
                <c:pt idx="4">
                  <c:v>47.23</c:v>
                </c:pt>
                <c:pt idx="5">
                  <c:v>48</c:v>
                </c:pt>
                <c:pt idx="6">
                  <c:v>47.45</c:v>
                </c:pt>
                <c:pt idx="7">
                  <c:v>46.8</c:v>
                </c:pt>
                <c:pt idx="8">
                  <c:v>45.8</c:v>
                </c:pt>
                <c:pt idx="9">
                  <c:v>44.4</c:v>
                </c:pt>
              </c:numCache>
            </c:numRef>
          </c:val>
          <c:smooth val="0"/>
        </c:ser>
        <c:dLbls>
          <c:showLegendKey val="0"/>
          <c:showVal val="0"/>
          <c:showCatName val="0"/>
          <c:showSerName val="0"/>
          <c:showPercent val="0"/>
          <c:showBubbleSize val="0"/>
        </c:dLbls>
        <c:marker val="1"/>
        <c:smooth val="0"/>
        <c:axId val="283888640"/>
        <c:axId val="283291584"/>
      </c:lineChart>
      <c:catAx>
        <c:axId val="283888128"/>
        <c:scaling>
          <c:orientation val="minMax"/>
        </c:scaling>
        <c:delete val="0"/>
        <c:axPos val="b"/>
        <c:numFmt formatCode="General" sourceLinked="1"/>
        <c:majorTickMark val="out"/>
        <c:minorTickMark val="none"/>
        <c:tickLblPos val="nextTo"/>
        <c:txPr>
          <a:bodyPr/>
          <a:lstStyle/>
          <a:p>
            <a:pPr>
              <a:defRPr sz="1100"/>
            </a:pPr>
            <a:endParaRPr lang="zh-TW"/>
          </a:p>
        </c:txPr>
        <c:crossAx val="283292160"/>
        <c:crosses val="autoZero"/>
        <c:auto val="1"/>
        <c:lblAlgn val="ctr"/>
        <c:lblOffset val="100"/>
        <c:noMultiLvlLbl val="0"/>
      </c:catAx>
      <c:valAx>
        <c:axId val="283292160"/>
        <c:scaling>
          <c:orientation val="minMax"/>
        </c:scaling>
        <c:delete val="0"/>
        <c:axPos val="l"/>
        <c:majorGridlines/>
        <c:numFmt formatCode="#,##0_);[Red]\(#,##0\)" sourceLinked="1"/>
        <c:majorTickMark val="out"/>
        <c:minorTickMark val="none"/>
        <c:tickLblPos val="nextTo"/>
        <c:txPr>
          <a:bodyPr/>
          <a:lstStyle/>
          <a:p>
            <a:pPr>
              <a:defRPr sz="1100"/>
            </a:pPr>
            <a:endParaRPr lang="zh-TW"/>
          </a:p>
        </c:txPr>
        <c:crossAx val="283888128"/>
        <c:crosses val="autoZero"/>
        <c:crossBetween val="between"/>
      </c:valAx>
      <c:valAx>
        <c:axId val="283291584"/>
        <c:scaling>
          <c:orientation val="minMax"/>
          <c:max val="60"/>
        </c:scaling>
        <c:delete val="0"/>
        <c:axPos val="r"/>
        <c:numFmt formatCode="#,##0.0_);[Red]\(#,##0.0\)" sourceLinked="1"/>
        <c:majorTickMark val="out"/>
        <c:minorTickMark val="none"/>
        <c:tickLblPos val="nextTo"/>
        <c:txPr>
          <a:bodyPr/>
          <a:lstStyle/>
          <a:p>
            <a:pPr>
              <a:defRPr sz="1100"/>
            </a:pPr>
            <a:endParaRPr lang="zh-TW"/>
          </a:p>
        </c:txPr>
        <c:crossAx val="283888640"/>
        <c:crosses val="max"/>
        <c:crossBetween val="between"/>
      </c:valAx>
      <c:catAx>
        <c:axId val="283888640"/>
        <c:scaling>
          <c:orientation val="minMax"/>
        </c:scaling>
        <c:delete val="1"/>
        <c:axPos val="b"/>
        <c:numFmt formatCode="General" sourceLinked="1"/>
        <c:majorTickMark val="out"/>
        <c:minorTickMark val="none"/>
        <c:tickLblPos val="nextTo"/>
        <c:crossAx val="283291584"/>
        <c:crosses val="autoZero"/>
        <c:auto val="1"/>
        <c:lblAlgn val="ctr"/>
        <c:lblOffset val="100"/>
        <c:noMultiLvlLbl val="0"/>
      </c:catAx>
    </c:plotArea>
    <c:legend>
      <c:legendPos val="t"/>
      <c:layout>
        <c:manualLayout>
          <c:xMode val="edge"/>
          <c:yMode val="edge"/>
          <c:x val="0.13351000728433174"/>
          <c:y val="2.4266185476815399E-2"/>
          <c:w val="0.8274966179888309"/>
          <c:h val="8.8556592629834757E-2"/>
        </c:manualLayout>
      </c:layout>
      <c:overlay val="0"/>
      <c:txPr>
        <a:bodyPr/>
        <a:lstStyle/>
        <a:p>
          <a:pPr>
            <a:defRPr>
              <a:latin typeface="微軟正黑體" panose="020B0604030504040204" pitchFamily="34" charset="-120"/>
              <a:ea typeface="微軟正黑體" panose="020B0604030504040204" pitchFamily="34" charset="-120"/>
            </a:defRPr>
          </a:pPr>
          <a:endParaRPr lang="zh-TW"/>
        </a:p>
      </c:txPr>
    </c:legend>
    <c:plotVisOnly val="1"/>
    <c:dispBlanksAs val="gap"/>
    <c:showDLblsOverMax val="0"/>
  </c:chart>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99030147356069"/>
          <c:y val="5.5550037573104193E-2"/>
          <c:w val="0.77367624594404116"/>
          <c:h val="0.82474335936223742"/>
        </c:manualLayout>
      </c:layout>
      <c:lineChart>
        <c:grouping val="standard"/>
        <c:varyColors val="0"/>
        <c:ser>
          <c:idx val="0"/>
          <c:order val="0"/>
          <c:dLbls>
            <c:dLbl>
              <c:idx val="0"/>
              <c:layout>
                <c:manualLayout>
                  <c:x val="-1.3630168105406633E-2"/>
                  <c:y val="-4.00980173758075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DA8-4B88-9CDD-3AB389E9333C}"/>
                </c:ext>
              </c:extLst>
            </c:dLbl>
            <c:dLbl>
              <c:idx val="1"/>
              <c:layout>
                <c:manualLayout>
                  <c:x val="-1.3630168105406675E-2"/>
                  <c:y val="-3.56426821118289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A8-4B88-9CDD-3AB389E9333C}"/>
                </c:ext>
              </c:extLst>
            </c:dLbl>
            <c:dLbl>
              <c:idx val="2"/>
              <c:layout>
                <c:manualLayout>
                  <c:x val="-1.3630168105406675E-2"/>
                  <c:y val="-3.11873468478503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DA8-4B88-9CDD-3AB389E9333C}"/>
                </c:ext>
              </c:extLst>
            </c:dLbl>
            <c:dLbl>
              <c:idx val="3"/>
              <c:layout>
                <c:manualLayout>
                  <c:x val="-1.1358473421172195E-2"/>
                  <c:y val="-1.78213410559144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DA8-4B88-9CDD-3AB389E9333C}"/>
                </c:ext>
              </c:extLst>
            </c:dLbl>
            <c:dLbl>
              <c:idx val="4"/>
              <c:layout>
                <c:manualLayout>
                  <c:x val="-9.0867787369377558E-3"/>
                  <c:y val="-1.5593673423925232E-2"/>
                </c:manualLayout>
              </c:layout>
              <c:spPr>
                <a:noFill/>
                <a:ln>
                  <a:noFill/>
                </a:ln>
                <a:effectLst/>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dLbl>
            <c:dLbl>
              <c:idx val="6"/>
              <c:layout>
                <c:manualLayout>
                  <c:x val="-1.1358473421172195E-2"/>
                  <c:y val="-8.91067052795722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DA8-4B88-9CDD-3AB389E9333C}"/>
                </c:ext>
              </c:extLst>
            </c:dLbl>
            <c:dLbl>
              <c:idx val="7"/>
              <c:layout>
                <c:manualLayout>
                  <c:x val="-6.8150840527033997E-3"/>
                  <c:y val="-8.91067052795722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DA8-4B88-9CDD-3AB389E9333C}"/>
                </c:ext>
              </c:extLst>
            </c:dLbl>
            <c:dLbl>
              <c:idx val="8"/>
              <c:layout>
                <c:manualLayout>
                  <c:x val="-1.1358473421172278E-2"/>
                  <c:y val="-1.33660057919358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DA8-4B88-9CDD-3AB389E9333C}"/>
                </c:ext>
              </c:extLst>
            </c:dLbl>
            <c:dLbl>
              <c:idx val="9"/>
              <c:layout>
                <c:manualLayout>
                  <c:x val="-1.3630168105406799E-2"/>
                  <c:y val="-1.33660057919358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DA8-4B88-9CDD-3AB389E9333C}"/>
                </c:ext>
              </c:extLst>
            </c:dLbl>
            <c:dLbl>
              <c:idx val="10"/>
              <c:layout>
                <c:manualLayout>
                  <c:x val="-6.815084052703483E-3"/>
                  <c:y val="-1.33660057919359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DA8-4B88-9CDD-3AB389E9333C}"/>
                </c:ext>
              </c:extLst>
            </c:dLbl>
            <c:dLbl>
              <c:idx val="11"/>
              <c:layout>
                <c:manualLayout>
                  <c:x val="-4.5433893684690444E-3"/>
                  <c:y val="-4.455335263978614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DA8-4B88-9CDD-3AB389E9333C}"/>
                </c:ext>
              </c:extLst>
            </c:dLbl>
            <c:dLbl>
              <c:idx val="12"/>
              <c:layout>
                <c:manualLayout>
                  <c:x val="0"/>
                  <c:y val="3.1187346847850302E-2"/>
                </c:manualLayout>
              </c:layout>
              <c:spPr>
                <a:noFill/>
                <a:ln>
                  <a:noFill/>
                </a:ln>
                <a:effectLst/>
              </c:spPr>
              <c:txPr>
                <a:bodyPr wrap="square" lIns="38100" tIns="19050" rIns="38100" bIns="19050" anchor="ctr">
                  <a:spAutoFit/>
                </a:bodyPr>
                <a:lstStyle/>
                <a:p>
                  <a:pPr>
                    <a:defRPr b="1"/>
                  </a:pPr>
                  <a:endParaRPr lang="zh-TW"/>
                </a:p>
              </c:txPr>
              <c:dLblPos val="r"/>
              <c:showLegendKey val="0"/>
              <c:showVal val="1"/>
              <c:showCatName val="0"/>
              <c:showSerName val="0"/>
              <c:showPercent val="0"/>
              <c:showBubbleSize val="0"/>
            </c:dLbl>
            <c:spPr>
              <a:noFill/>
              <a:ln>
                <a:noFill/>
              </a:ln>
              <a:effectLst/>
            </c:sp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'0.被保險人人數'!$A$2:$A$14</c:f>
              <c:strCache>
                <c:ptCount val="13"/>
                <c:pt idx="0">
                  <c:v>97年</c:v>
                </c:pt>
                <c:pt idx="1">
                  <c:v>98年</c:v>
                </c:pt>
                <c:pt idx="2">
                  <c:v>99年</c:v>
                </c:pt>
                <c:pt idx="3">
                  <c:v>100年</c:v>
                </c:pt>
                <c:pt idx="4">
                  <c:v>101年</c:v>
                </c:pt>
                <c:pt idx="5">
                  <c:v>102年</c:v>
                </c:pt>
                <c:pt idx="6">
                  <c:v>103年</c:v>
                </c:pt>
                <c:pt idx="7">
                  <c:v>104年</c:v>
                </c:pt>
                <c:pt idx="8">
                  <c:v>105年</c:v>
                </c:pt>
                <c:pt idx="9">
                  <c:v>106年</c:v>
                </c:pt>
                <c:pt idx="10">
                  <c:v>107年</c:v>
                </c:pt>
                <c:pt idx="11">
                  <c:v>108年</c:v>
                </c:pt>
                <c:pt idx="12">
                  <c:v>109年</c:v>
                </c:pt>
              </c:strCache>
            </c:strRef>
          </c:cat>
          <c:val>
            <c:numRef>
              <c:f>'0.被保險人人數'!$B$2:$B$14</c:f>
              <c:numCache>
                <c:formatCode>#,##0_ </c:formatCode>
                <c:ptCount val="13"/>
                <c:pt idx="0">
                  <c:v>4220905</c:v>
                </c:pt>
                <c:pt idx="1">
                  <c:v>4014678</c:v>
                </c:pt>
                <c:pt idx="2">
                  <c:v>3872241</c:v>
                </c:pt>
                <c:pt idx="3">
                  <c:v>3783731</c:v>
                </c:pt>
                <c:pt idx="4">
                  <c:v>3725626</c:v>
                </c:pt>
                <c:pt idx="5">
                  <c:v>3677601</c:v>
                </c:pt>
                <c:pt idx="6">
                  <c:v>3584020</c:v>
                </c:pt>
                <c:pt idx="7">
                  <c:v>3509970</c:v>
                </c:pt>
                <c:pt idx="8">
                  <c:v>3425214</c:v>
                </c:pt>
                <c:pt idx="9">
                  <c:v>3349164</c:v>
                </c:pt>
                <c:pt idx="10">
                  <c:v>3286664</c:v>
                </c:pt>
                <c:pt idx="11">
                  <c:v>3230918</c:v>
                </c:pt>
                <c:pt idx="12">
                  <c:v>3105983</c:v>
                </c:pt>
              </c:numCache>
            </c:numRef>
          </c:val>
          <c:smooth val="0"/>
          <c:extLst xmlns:c16r2="http://schemas.microsoft.com/office/drawing/2015/06/chart">
            <c:ext xmlns:c16="http://schemas.microsoft.com/office/drawing/2014/chart" uri="{C3380CC4-5D6E-409C-BE32-E72D297353CC}">
              <c16:uniqueId val="{0000000A-ADA8-4B88-9CDD-3AB389E9333C}"/>
            </c:ext>
          </c:extLst>
        </c:ser>
        <c:dLbls>
          <c:showLegendKey val="0"/>
          <c:showVal val="0"/>
          <c:showCatName val="0"/>
          <c:showSerName val="0"/>
          <c:showPercent val="0"/>
          <c:showBubbleSize val="0"/>
        </c:dLbls>
        <c:marker val="1"/>
        <c:smooth val="0"/>
        <c:axId val="141946880"/>
        <c:axId val="283293312"/>
      </c:lineChart>
      <c:catAx>
        <c:axId val="141946880"/>
        <c:scaling>
          <c:orientation val="minMax"/>
        </c:scaling>
        <c:delete val="0"/>
        <c:axPos val="b"/>
        <c:numFmt formatCode="General" sourceLinked="0"/>
        <c:majorTickMark val="out"/>
        <c:minorTickMark val="none"/>
        <c:tickLblPos val="nextTo"/>
        <c:crossAx val="283293312"/>
        <c:crosses val="autoZero"/>
        <c:auto val="1"/>
        <c:lblAlgn val="ctr"/>
        <c:lblOffset val="100"/>
        <c:noMultiLvlLbl val="0"/>
      </c:catAx>
      <c:valAx>
        <c:axId val="283293312"/>
        <c:scaling>
          <c:orientation val="minMax"/>
          <c:max val="4400000"/>
          <c:min val="3000000"/>
        </c:scaling>
        <c:delete val="0"/>
        <c:axPos val="l"/>
        <c:numFmt formatCode="#,##0_ " sourceLinked="0"/>
        <c:majorTickMark val="out"/>
        <c:minorTickMark val="none"/>
        <c:tickLblPos val="nextTo"/>
        <c:crossAx val="141946880"/>
        <c:crosses val="autoZero"/>
        <c:crossBetween val="between"/>
        <c:majorUnit val="200000"/>
      </c:valAx>
    </c:plotArea>
    <c:plotVisOnly val="1"/>
    <c:dispBlanksAs val="gap"/>
    <c:showDLblsOverMax val="0"/>
  </c:chart>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31874145006841"/>
          <c:y val="4.139641940730563E-2"/>
          <c:w val="0.81760145918832661"/>
          <c:h val="0.63572597552357768"/>
        </c:manualLayout>
      </c:layout>
      <c:barChart>
        <c:barDir val="col"/>
        <c:grouping val="clustered"/>
        <c:varyColors val="0"/>
        <c:ser>
          <c:idx val="0"/>
          <c:order val="0"/>
          <c:tx>
            <c:strRef>
              <c:f>'1.1被保險人人數(按性別及年齡分)'!$A$22</c:f>
              <c:strCache>
                <c:ptCount val="1"/>
                <c:pt idx="0">
                  <c:v>男</c:v>
                </c:pt>
              </c:strCache>
            </c:strRef>
          </c:tx>
          <c:invertIfNegative val="0"/>
          <c:cat>
            <c:strRef>
              <c:f>'1.1被保險人人數(按性別及年齡分)'!$B$20:$I$20</c:f>
              <c:strCache>
                <c:ptCount val="8"/>
                <c:pt idx="0">
                  <c:v>25-29歲</c:v>
                </c:pt>
                <c:pt idx="1">
                  <c:v>30-34歲</c:v>
                </c:pt>
                <c:pt idx="2">
                  <c:v>35-39歲</c:v>
                </c:pt>
                <c:pt idx="3">
                  <c:v>40-44歲</c:v>
                </c:pt>
                <c:pt idx="4">
                  <c:v>45-49歲</c:v>
                </c:pt>
                <c:pt idx="5">
                  <c:v>50-54歲</c:v>
                </c:pt>
                <c:pt idx="6">
                  <c:v>55-59歲</c:v>
                </c:pt>
                <c:pt idx="7">
                  <c:v>60-64歲</c:v>
                </c:pt>
              </c:strCache>
            </c:strRef>
          </c:cat>
          <c:val>
            <c:numRef>
              <c:f>'1.1被保險人人數(按性別及年齡分)'!$B$22:$I$22</c:f>
              <c:numCache>
                <c:formatCode>#,##0_ </c:formatCode>
                <c:ptCount val="8"/>
                <c:pt idx="0" formatCode="#,##0_);[Red]\(#,##0\)">
                  <c:v>211689</c:v>
                </c:pt>
                <c:pt idx="1">
                  <c:v>167935</c:v>
                </c:pt>
                <c:pt idx="2">
                  <c:v>180819</c:v>
                </c:pt>
                <c:pt idx="3">
                  <c:v>200866</c:v>
                </c:pt>
                <c:pt idx="4">
                  <c:v>183732</c:v>
                </c:pt>
                <c:pt idx="5">
                  <c:v>197953</c:v>
                </c:pt>
                <c:pt idx="6">
                  <c:v>189961</c:v>
                </c:pt>
                <c:pt idx="7">
                  <c:v>178111</c:v>
                </c:pt>
              </c:numCache>
            </c:numRef>
          </c:val>
          <c:extLst xmlns:c16r2="http://schemas.microsoft.com/office/drawing/2015/06/chart">
            <c:ext xmlns:c16="http://schemas.microsoft.com/office/drawing/2014/chart" uri="{C3380CC4-5D6E-409C-BE32-E72D297353CC}">
              <c16:uniqueId val="{00000001-DBAE-4682-8E28-A6EF6D53CEA8}"/>
            </c:ext>
          </c:extLst>
        </c:ser>
        <c:ser>
          <c:idx val="1"/>
          <c:order val="1"/>
          <c:tx>
            <c:strRef>
              <c:f>'1.1被保險人人數(按性別及年齡分)'!$A$23</c:f>
              <c:strCache>
                <c:ptCount val="1"/>
                <c:pt idx="0">
                  <c:v>女</c:v>
                </c:pt>
              </c:strCache>
            </c:strRef>
          </c:tx>
          <c:spPr>
            <a:pattFill prst="pct50">
              <a:fgClr>
                <a:srgbClr val="C00000"/>
              </a:fgClr>
              <a:bgClr>
                <a:schemeClr val="bg1"/>
              </a:bgClr>
            </a:pattFill>
            <a:ln>
              <a:noFill/>
              <a:prstDash val="lgDash"/>
            </a:ln>
          </c:spPr>
          <c:invertIfNegative val="0"/>
          <c:cat>
            <c:strRef>
              <c:f>'1.1被保險人人數(按性別及年齡分)'!$B$20:$I$20</c:f>
              <c:strCache>
                <c:ptCount val="8"/>
                <c:pt idx="0">
                  <c:v>25-29歲</c:v>
                </c:pt>
                <c:pt idx="1">
                  <c:v>30-34歲</c:v>
                </c:pt>
                <c:pt idx="2">
                  <c:v>35-39歲</c:v>
                </c:pt>
                <c:pt idx="3">
                  <c:v>40-44歲</c:v>
                </c:pt>
                <c:pt idx="4">
                  <c:v>45-49歲</c:v>
                </c:pt>
                <c:pt idx="5">
                  <c:v>50-54歲</c:v>
                </c:pt>
                <c:pt idx="6">
                  <c:v>55-59歲</c:v>
                </c:pt>
                <c:pt idx="7">
                  <c:v>60-64歲</c:v>
                </c:pt>
              </c:strCache>
            </c:strRef>
          </c:cat>
          <c:val>
            <c:numRef>
              <c:f>'1.1被保險人人數(按性別及年齡分)'!$B$23:$I$23</c:f>
              <c:numCache>
                <c:formatCode>#,##0_ </c:formatCode>
                <c:ptCount val="8"/>
                <c:pt idx="0" formatCode="#,##0_);[Red]\(#,##0\)">
                  <c:v>189491</c:v>
                </c:pt>
                <c:pt idx="1">
                  <c:v>174981</c:v>
                </c:pt>
                <c:pt idx="2">
                  <c:v>208062</c:v>
                </c:pt>
                <c:pt idx="3">
                  <c:v>215336</c:v>
                </c:pt>
                <c:pt idx="4">
                  <c:v>191921</c:v>
                </c:pt>
                <c:pt idx="5">
                  <c:v>197183</c:v>
                </c:pt>
                <c:pt idx="6">
                  <c:v>198716</c:v>
                </c:pt>
                <c:pt idx="7">
                  <c:v>219227</c:v>
                </c:pt>
              </c:numCache>
            </c:numRef>
          </c:val>
          <c:extLst xmlns:c16r2="http://schemas.microsoft.com/office/drawing/2015/06/chart">
            <c:ext xmlns:c16="http://schemas.microsoft.com/office/drawing/2014/chart" uri="{C3380CC4-5D6E-409C-BE32-E72D297353CC}">
              <c16:uniqueId val="{00000004-DBAE-4682-8E28-A6EF6D53CEA8}"/>
            </c:ext>
          </c:extLst>
        </c:ser>
        <c:dLbls>
          <c:showLegendKey val="0"/>
          <c:showVal val="0"/>
          <c:showCatName val="0"/>
          <c:showSerName val="0"/>
          <c:showPercent val="0"/>
          <c:showBubbleSize val="0"/>
        </c:dLbls>
        <c:gapWidth val="150"/>
        <c:axId val="141947392"/>
        <c:axId val="283295040"/>
      </c:barChart>
      <c:lineChart>
        <c:grouping val="standard"/>
        <c:varyColors val="0"/>
        <c:ser>
          <c:idx val="2"/>
          <c:order val="2"/>
          <c:tx>
            <c:strRef>
              <c:f>'1.1被保險人人數(按性別及年齡分)'!$A$21</c:f>
              <c:strCache>
                <c:ptCount val="1"/>
                <c:pt idx="0">
                  <c:v>合計</c:v>
                </c:pt>
              </c:strCache>
            </c:strRef>
          </c:tx>
          <c:spPr>
            <a:ln>
              <a:solidFill>
                <a:srgbClr val="00B050"/>
              </a:solidFill>
              <a:prstDash val="solid"/>
            </a:ln>
          </c:spPr>
          <c:marker>
            <c:symbol val="circle"/>
            <c:size val="7"/>
            <c:spPr>
              <a:solidFill>
                <a:schemeClr val="bg1"/>
              </a:solidFill>
              <a:ln>
                <a:solidFill>
                  <a:srgbClr val="00B050"/>
                </a:solidFill>
                <a:prstDash val="solid"/>
              </a:ln>
            </c:spPr>
          </c:marker>
          <c:dLbls>
            <c:dLbl>
              <c:idx val="1"/>
              <c:layout>
                <c:manualLayout>
                  <c:x val="-5.7325542939036488E-2"/>
                  <c:y val="4.83622774236095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04-42C6-81B3-F7B00689D52C}"/>
                </c:ext>
              </c:extLst>
            </c:dLbl>
            <c:dLbl>
              <c:idx val="3"/>
              <c:layout>
                <c:manualLayout>
                  <c:x val="-4.8506228640723181E-2"/>
                  <c:y val="-5.27588480984831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AE-4682-8E28-A6EF6D53CEA8}"/>
                </c:ext>
              </c:extLst>
            </c:dLbl>
            <c:spPr>
              <a:noFill/>
              <a:ln>
                <a:noFill/>
              </a:ln>
              <a:effectLst/>
            </c:spPr>
            <c:txPr>
              <a:bodyPr wrap="square" lIns="38100" tIns="19050" rIns="38100" bIns="19050" anchor="ctr">
                <a:spAutoFit/>
              </a:bodyPr>
              <a:lstStyle/>
              <a:p>
                <a:pPr>
                  <a:defRPr sz="1100"/>
                </a:pPr>
                <a:endParaRPr lang="zh-TW"/>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'1.1被保險人人數(按性別及年齡分)'!$B$20:$I$20</c:f>
              <c:strCache>
                <c:ptCount val="8"/>
                <c:pt idx="0">
                  <c:v>25-29歲</c:v>
                </c:pt>
                <c:pt idx="1">
                  <c:v>30-34歲</c:v>
                </c:pt>
                <c:pt idx="2">
                  <c:v>35-39歲</c:v>
                </c:pt>
                <c:pt idx="3">
                  <c:v>40-44歲</c:v>
                </c:pt>
                <c:pt idx="4">
                  <c:v>45-49歲</c:v>
                </c:pt>
                <c:pt idx="5">
                  <c:v>50-54歲</c:v>
                </c:pt>
                <c:pt idx="6">
                  <c:v>55-59歲</c:v>
                </c:pt>
                <c:pt idx="7">
                  <c:v>60-64歲</c:v>
                </c:pt>
              </c:strCache>
            </c:strRef>
          </c:cat>
          <c:val>
            <c:numRef>
              <c:f>'1.1被保險人人數(按性別及年齡分)'!$B$21:$I$21</c:f>
              <c:numCache>
                <c:formatCode>#,##0_ </c:formatCode>
                <c:ptCount val="8"/>
                <c:pt idx="0">
                  <c:v>401180</c:v>
                </c:pt>
                <c:pt idx="1">
                  <c:v>342916</c:v>
                </c:pt>
                <c:pt idx="2">
                  <c:v>388881</c:v>
                </c:pt>
                <c:pt idx="3">
                  <c:v>416202</c:v>
                </c:pt>
                <c:pt idx="4">
                  <c:v>375653</c:v>
                </c:pt>
                <c:pt idx="5">
                  <c:v>395136</c:v>
                </c:pt>
                <c:pt idx="6">
                  <c:v>388677</c:v>
                </c:pt>
                <c:pt idx="7">
                  <c:v>397338</c:v>
                </c:pt>
              </c:numCache>
            </c:numRef>
          </c:val>
          <c:smooth val="0"/>
          <c:extLst xmlns:c16r2="http://schemas.microsoft.com/office/drawing/2015/06/chart">
            <c:ext xmlns:c16="http://schemas.microsoft.com/office/drawing/2014/chart" uri="{C3380CC4-5D6E-409C-BE32-E72D297353CC}">
              <c16:uniqueId val="{00000007-DBAE-4682-8E28-A6EF6D53CEA8}"/>
            </c:ext>
          </c:extLst>
        </c:ser>
        <c:dLbls>
          <c:showLegendKey val="0"/>
          <c:showVal val="0"/>
          <c:showCatName val="0"/>
          <c:showSerName val="0"/>
          <c:showPercent val="0"/>
          <c:showBubbleSize val="0"/>
        </c:dLbls>
        <c:marker val="1"/>
        <c:smooth val="0"/>
        <c:axId val="141947392"/>
        <c:axId val="283295040"/>
      </c:lineChart>
      <c:catAx>
        <c:axId val="141947392"/>
        <c:scaling>
          <c:orientation val="minMax"/>
        </c:scaling>
        <c:delete val="0"/>
        <c:axPos val="b"/>
        <c:numFmt formatCode="General" sourceLinked="0"/>
        <c:majorTickMark val="out"/>
        <c:minorTickMark val="none"/>
        <c:tickLblPos val="nextTo"/>
        <c:crossAx val="283295040"/>
        <c:crosses val="autoZero"/>
        <c:auto val="1"/>
        <c:lblAlgn val="ctr"/>
        <c:lblOffset val="100"/>
        <c:noMultiLvlLbl val="0"/>
      </c:catAx>
      <c:valAx>
        <c:axId val="283295040"/>
        <c:scaling>
          <c:orientation val="minMax"/>
          <c:min val="150000"/>
        </c:scaling>
        <c:delete val="0"/>
        <c:axPos val="l"/>
        <c:numFmt formatCode="#,##0_);[Red]\(#,##0\)" sourceLinked="1"/>
        <c:majorTickMark val="out"/>
        <c:minorTickMark val="none"/>
        <c:tickLblPos val="nextTo"/>
        <c:crossAx val="141947392"/>
        <c:crosses val="autoZero"/>
        <c:crossBetween val="between"/>
      </c:valAx>
      <c:dTable>
        <c:showHorzBorder val="1"/>
        <c:showVertBorder val="1"/>
        <c:showOutline val="1"/>
        <c:showKeys val="1"/>
        <c:txPr>
          <a:bodyPr/>
          <a:lstStyle/>
          <a:p>
            <a:pPr rtl="0">
              <a:defRPr sz="1100"/>
            </a:pPr>
            <a:endParaRPr lang="zh-TW"/>
          </a:p>
        </c:txPr>
      </c:dTable>
    </c:plotArea>
    <c:plotVisOnly val="1"/>
    <c:dispBlanksAs val="zero"/>
    <c:showDLblsOverMax val="0"/>
  </c:chart>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0081343432614397E-2"/>
          <c:y val="0.1140370514237377"/>
          <c:w val="0.87936298214081932"/>
          <c:h val="0.79692555681833621"/>
        </c:manualLayout>
      </c:layout>
      <c:barChart>
        <c:barDir val="bar"/>
        <c:grouping val="percentStacked"/>
        <c:varyColors val="0"/>
        <c:ser>
          <c:idx val="0"/>
          <c:order val="0"/>
          <c:tx>
            <c:strRef>
              <c:f>'1.1被保險人人數(按性別及年齡分)'!$B$29</c:f>
              <c:strCache>
                <c:ptCount val="1"/>
                <c:pt idx="0">
                  <c:v>25-29歲</c:v>
                </c:pt>
              </c:strCache>
            </c:strRef>
          </c:tx>
          <c:spPr>
            <a:solidFill>
              <a:schemeClr val="tx2">
                <a:lumMod val="40000"/>
                <a:lumOff val="60000"/>
              </a:schemeClr>
            </a:solidFill>
            <a:ln>
              <a:noFill/>
            </a:ln>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'1.1被保險人人數(按性別及年齡分)'!$A$30:$A$39</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'1.1被保險人人數(按性別及年齡分)'!$B$30:$B$39</c:f>
              <c:numCache>
                <c:formatCode>#,##0.0_ </c:formatCode>
                <c:ptCount val="10"/>
                <c:pt idx="0">
                  <c:v>12.446841490581651</c:v>
                </c:pt>
                <c:pt idx="1">
                  <c:v>12.097403228343371</c:v>
                </c:pt>
                <c:pt idx="2">
                  <c:v>12.297228546544336</c:v>
                </c:pt>
                <c:pt idx="3">
                  <c:v>11.942232465220618</c:v>
                </c:pt>
                <c:pt idx="4">
                  <c:v>11.991014168212264</c:v>
                </c:pt>
                <c:pt idx="5">
                  <c:v>12.437091521872794</c:v>
                </c:pt>
                <c:pt idx="6">
                  <c:v>12.764021110939924</c:v>
                </c:pt>
                <c:pt idx="7">
                  <c:v>13.085548142432572</c:v>
                </c:pt>
                <c:pt idx="8">
                  <c:v>13.066410227681422</c:v>
                </c:pt>
                <c:pt idx="9">
                  <c:v>12.916361744413926</c:v>
                </c:pt>
              </c:numCache>
            </c:numRef>
          </c:val>
          <c:extLst xmlns:c16r2="http://schemas.microsoft.com/office/drawing/2015/06/chart">
            <c:ext xmlns:c16="http://schemas.microsoft.com/office/drawing/2014/chart" uri="{C3380CC4-5D6E-409C-BE32-E72D297353CC}">
              <c16:uniqueId val="{00000000-FEAF-4C44-93FF-01CDED5220BA}"/>
            </c:ext>
          </c:extLst>
        </c:ser>
        <c:ser>
          <c:idx val="1"/>
          <c:order val="1"/>
          <c:tx>
            <c:strRef>
              <c:f>'1.1被保險人人數(按性別及年齡分)'!$C$29</c:f>
              <c:strCache>
                <c:ptCount val="1"/>
                <c:pt idx="0">
                  <c:v>30-34歲</c:v>
                </c:pt>
              </c:strCache>
            </c:strRef>
          </c:tx>
          <c:spPr>
            <a:pattFill prst="ltUpDiag">
              <a:fgClr>
                <a:schemeClr val="accent6">
                  <a:lumMod val="50000"/>
                </a:schemeClr>
              </a:fgClr>
              <a:bgClr>
                <a:schemeClr val="bg1"/>
              </a:bgClr>
            </a:patt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'1.1被保險人人數(按性別及年齡分)'!$A$30:$A$39</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'1.1被保險人人數(按性別及年齡分)'!$C$30:$C$39</c:f>
              <c:numCache>
                <c:formatCode>#,##0.0_ </c:formatCode>
                <c:ptCount val="10"/>
                <c:pt idx="0">
                  <c:v>12.532418398665232</c:v>
                </c:pt>
                <c:pt idx="1">
                  <c:v>12.721217857079589</c:v>
                </c:pt>
                <c:pt idx="2">
                  <c:v>12.718970872587864</c:v>
                </c:pt>
                <c:pt idx="3">
                  <c:v>12.533495906830877</c:v>
                </c:pt>
                <c:pt idx="4">
                  <c:v>12.136143613763082</c:v>
                </c:pt>
                <c:pt idx="5">
                  <c:v>11.672526154570196</c:v>
                </c:pt>
                <c:pt idx="6">
                  <c:v>11.230593664568232</c:v>
                </c:pt>
                <c:pt idx="7">
                  <c:v>11.171631782257025</c:v>
                </c:pt>
                <c:pt idx="8">
                  <c:v>10.986939315699129</c:v>
                </c:pt>
                <c:pt idx="9">
                  <c:v>11.040498289913371</c:v>
                </c:pt>
              </c:numCache>
            </c:numRef>
          </c:val>
          <c:extLst xmlns:c16r2="http://schemas.microsoft.com/office/drawing/2015/06/chart">
            <c:ext xmlns:c16="http://schemas.microsoft.com/office/drawing/2014/chart" uri="{C3380CC4-5D6E-409C-BE32-E72D297353CC}">
              <c16:uniqueId val="{00000001-FEAF-4C44-93FF-01CDED5220BA}"/>
            </c:ext>
          </c:extLst>
        </c:ser>
        <c:ser>
          <c:idx val="2"/>
          <c:order val="2"/>
          <c:tx>
            <c:strRef>
              <c:f>'1.1被保險人人數(按性別及年齡分)'!$D$29</c:f>
              <c:strCache>
                <c:ptCount val="1"/>
                <c:pt idx="0">
                  <c:v>35-39歲</c:v>
                </c:pt>
              </c:strCache>
            </c:strRef>
          </c:tx>
          <c:spPr>
            <a:solidFill>
              <a:schemeClr val="accent4">
                <a:lumMod val="60000"/>
                <a:lumOff val="40000"/>
              </a:schemeClr>
            </a:solid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'1.1被保險人人數(按性別及年齡分)'!$A$30:$A$39</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'1.1被保險人人數(按性別及年齡分)'!$D$30:$D$39</c:f>
              <c:numCache>
                <c:formatCode>#,##0.0_ </c:formatCode>
                <c:ptCount val="10"/>
                <c:pt idx="0">
                  <c:v>11.60669191335219</c:v>
                </c:pt>
                <c:pt idx="1">
                  <c:v>11.75657459981222</c:v>
                </c:pt>
                <c:pt idx="2">
                  <c:v>12.060878817468236</c:v>
                </c:pt>
                <c:pt idx="3">
                  <c:v>12.498256148124174</c:v>
                </c:pt>
                <c:pt idx="4">
                  <c:v>12.842873300911403</c:v>
                </c:pt>
                <c:pt idx="5">
                  <c:v>12.97708697909094</c:v>
                </c:pt>
                <c:pt idx="6">
                  <c:v>13.192396669736089</c:v>
                </c:pt>
                <c:pt idx="7">
                  <c:v>13.148438659990799</c:v>
                </c:pt>
                <c:pt idx="8">
                  <c:v>12.967150512640679</c:v>
                </c:pt>
                <c:pt idx="9">
                  <c:v>12.520384045888211</c:v>
                </c:pt>
              </c:numCache>
            </c:numRef>
          </c:val>
          <c:extLst xmlns:c16r2="http://schemas.microsoft.com/office/drawing/2015/06/chart">
            <c:ext xmlns:c16="http://schemas.microsoft.com/office/drawing/2014/chart" uri="{C3380CC4-5D6E-409C-BE32-E72D297353CC}">
              <c16:uniqueId val="{00000002-FEAF-4C44-93FF-01CDED5220BA}"/>
            </c:ext>
          </c:extLst>
        </c:ser>
        <c:ser>
          <c:idx val="3"/>
          <c:order val="3"/>
          <c:tx>
            <c:strRef>
              <c:f>'1.1被保險人人數(按性別及年齡分)'!$E$29</c:f>
              <c:strCache>
                <c:ptCount val="1"/>
                <c:pt idx="0">
                  <c:v>40-44歲</c:v>
                </c:pt>
              </c:strCache>
            </c:strRef>
          </c:tx>
          <c:spPr>
            <a:pattFill prst="pct40">
              <a:fgClr>
                <a:schemeClr val="accent5">
                  <a:lumMod val="75000"/>
                </a:schemeClr>
              </a:fgClr>
              <a:bgClr>
                <a:schemeClr val="bg1"/>
              </a:bgClr>
            </a:pattFill>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EAF-4C44-93FF-01CDED5220BA}"/>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EAF-4C44-93FF-01CDED5220BA}"/>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EAF-4C44-93FF-01CDED5220BA}"/>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EAF-4C44-93FF-01CDED5220BA}"/>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EAF-4C44-93FF-01CDED5220BA}"/>
                </c:ext>
              </c:extLst>
            </c:dLbl>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EAF-4C44-93FF-01CDED5220BA}"/>
                </c:ext>
              </c:extLst>
            </c:dLbl>
            <c:dLbl>
              <c:idx val="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EAF-4C44-93FF-01CDED5220BA}"/>
                </c:ext>
              </c:extLst>
            </c:dLbl>
            <c:dLbl>
              <c:idx val="7"/>
              <c:layout>
                <c:manualLayout>
                  <c:x val="-2.1542438604049978E-3"/>
                  <c:y val="-3.7457856224950058E-3"/>
                </c:manualLayout>
              </c:layout>
              <c:spPr/>
              <c:txPr>
                <a:bodyPr/>
                <a:lstStyle/>
                <a:p>
                  <a:pPr>
                    <a:defRPr b="0"/>
                  </a:pPr>
                  <a:endParaRPr lang="zh-TW"/>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EAF-4C44-93FF-01CDED5220BA}"/>
                </c:ext>
              </c:extLst>
            </c:dLbl>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EAF-4C44-93FF-01CDED5220BA}"/>
                </c:ext>
              </c:extLst>
            </c:dLbl>
            <c:dLbl>
              <c:idx val="9"/>
              <c:spPr>
                <a:noFill/>
                <a:ln>
                  <a:noFill/>
                </a:ln>
                <a:effectLst/>
              </c:spPr>
              <c:txPr>
                <a:bodyPr wrap="square" lIns="38100" tIns="19050" rIns="38100" bIns="19050" anchor="ctr">
                  <a:spAutoFit/>
                </a:bodyPr>
                <a:lstStyle/>
                <a:p>
                  <a:pPr>
                    <a:defRPr sz="1100" b="1"/>
                  </a:pPr>
                  <a:endParaRPr lang="zh-TW"/>
                </a:p>
              </c:txPr>
              <c:dLblPos val="ctr"/>
              <c:showLegendKey val="0"/>
              <c:showVal val="1"/>
              <c:showCatName val="0"/>
              <c:showSerName val="0"/>
              <c:showPercent val="0"/>
              <c:showBubbleSize val="0"/>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'1.1被保險人人數(按性別及年齡分)'!$A$30:$A$39</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'1.1被保險人人數(按性別及年齡分)'!$E$30:$E$39</c:f>
              <c:numCache>
                <c:formatCode>#,##0.0_ </c:formatCode>
                <c:ptCount val="10"/>
                <c:pt idx="0">
                  <c:v>11.810062607516231</c:v>
                </c:pt>
                <c:pt idx="1">
                  <c:v>11.797480477106397</c:v>
                </c:pt>
                <c:pt idx="2">
                  <c:v>11.685199128453576</c:v>
                </c:pt>
                <c:pt idx="3">
                  <c:v>11.643908237119213</c:v>
                </c:pt>
                <c:pt idx="4">
                  <c:v>11.574315449989601</c:v>
                </c:pt>
                <c:pt idx="5">
                  <c:v>11.991484327694561</c:v>
                </c:pt>
                <c:pt idx="6">
                  <c:v>12.227648451971895</c:v>
                </c:pt>
                <c:pt idx="7">
                  <c:v>12.603417933807654</c:v>
                </c:pt>
                <c:pt idx="8">
                  <c:v>13.028990522198336</c:v>
                </c:pt>
                <c:pt idx="9">
                  <c:v>13.400008950467532</c:v>
                </c:pt>
              </c:numCache>
            </c:numRef>
          </c:val>
          <c:extLst xmlns:c16r2="http://schemas.microsoft.com/office/drawing/2015/06/chart">
            <c:ext xmlns:c16="http://schemas.microsoft.com/office/drawing/2014/chart" uri="{C3380CC4-5D6E-409C-BE32-E72D297353CC}">
              <c16:uniqueId val="{0000000D-FEAF-4C44-93FF-01CDED5220BA}"/>
            </c:ext>
          </c:extLst>
        </c:ser>
        <c:ser>
          <c:idx val="4"/>
          <c:order val="4"/>
          <c:tx>
            <c:strRef>
              <c:f>'1.1被保險人人數(按性別及年齡分)'!$F$29</c:f>
              <c:strCache>
                <c:ptCount val="1"/>
                <c:pt idx="0">
                  <c:v>45-49歲</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'1.1被保險人人數(按性別及年齡分)'!$A$30:$A$39</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'1.1被保險人人數(按性別及年齡分)'!$F$30:$F$39</c:f>
              <c:numCache>
                <c:formatCode>#,##0.0_ </c:formatCode>
                <c:ptCount val="10"/>
                <c:pt idx="0">
                  <c:v>11.608145505058367</c:v>
                </c:pt>
                <c:pt idx="1">
                  <c:v>11.58068469567262</c:v>
                </c:pt>
                <c:pt idx="2">
                  <c:v>11.637586567982769</c:v>
                </c:pt>
                <c:pt idx="3">
                  <c:v>11.836317877690416</c:v>
                </c:pt>
                <c:pt idx="4">
                  <c:v>12.042496089710168</c:v>
                </c:pt>
                <c:pt idx="5">
                  <c:v>12.111768782914002</c:v>
                </c:pt>
                <c:pt idx="6">
                  <c:v>12.25213217387981</c:v>
                </c:pt>
                <c:pt idx="7">
                  <c:v>12.205689416380865</c:v>
                </c:pt>
                <c:pt idx="8">
                  <c:v>12.135034067716976</c:v>
                </c:pt>
                <c:pt idx="9">
                  <c:v>12.094496331757128</c:v>
                </c:pt>
              </c:numCache>
            </c:numRef>
          </c:val>
          <c:extLst xmlns:c16r2="http://schemas.microsoft.com/office/drawing/2015/06/chart">
            <c:ext xmlns:c16="http://schemas.microsoft.com/office/drawing/2014/chart" uri="{C3380CC4-5D6E-409C-BE32-E72D297353CC}">
              <c16:uniqueId val="{0000000E-FEAF-4C44-93FF-01CDED5220BA}"/>
            </c:ext>
          </c:extLst>
        </c:ser>
        <c:ser>
          <c:idx val="5"/>
          <c:order val="5"/>
          <c:tx>
            <c:strRef>
              <c:f>'1.1被保險人人數(按性別及年齡分)'!$G$29</c:f>
              <c:strCache>
                <c:ptCount val="1"/>
                <c:pt idx="0">
                  <c:v>50-54歲</c:v>
                </c:pt>
              </c:strCache>
            </c:strRef>
          </c:tx>
          <c:spPr>
            <a:pattFill prst="openDmnd">
              <a:fgClr>
                <a:schemeClr val="accent6">
                  <a:lumMod val="50000"/>
                </a:schemeClr>
              </a:fgClr>
              <a:bgClr>
                <a:schemeClr val="bg1"/>
              </a:bgClr>
            </a:pattFill>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'1.1被保險人人數(按性別及年齡分)'!$A$30:$A$39</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'1.1被保險人人數(按性別及年齡分)'!$G$30:$G$39</c:f>
              <c:numCache>
                <c:formatCode>#,##0.0_ </c:formatCode>
                <c:ptCount val="10"/>
                <c:pt idx="0">
                  <c:v>11.507054809128874</c:v>
                </c:pt>
                <c:pt idx="1">
                  <c:v>11.367056167205188</c:v>
                </c:pt>
                <c:pt idx="2">
                  <c:v>11.149279108853841</c:v>
                </c:pt>
                <c:pt idx="3">
                  <c:v>11.439472994012311</c:v>
                </c:pt>
                <c:pt idx="4">
                  <c:v>11.690641230551828</c:v>
                </c:pt>
                <c:pt idx="5">
                  <c:v>11.998607970188139</c:v>
                </c:pt>
                <c:pt idx="6">
                  <c:v>12.110365452393493</c:v>
                </c:pt>
                <c:pt idx="7">
                  <c:v>12.2537016257214</c:v>
                </c:pt>
                <c:pt idx="8">
                  <c:v>12.424456454790867</c:v>
                </c:pt>
                <c:pt idx="9">
                  <c:v>12.721769565383969</c:v>
                </c:pt>
              </c:numCache>
            </c:numRef>
          </c:val>
          <c:extLst xmlns:c16r2="http://schemas.microsoft.com/office/drawing/2015/06/chart">
            <c:ext xmlns:c16="http://schemas.microsoft.com/office/drawing/2014/chart" uri="{C3380CC4-5D6E-409C-BE32-E72D297353CC}">
              <c16:uniqueId val="{0000000F-FEAF-4C44-93FF-01CDED5220BA}"/>
            </c:ext>
          </c:extLst>
        </c:ser>
        <c:ser>
          <c:idx val="6"/>
          <c:order val="6"/>
          <c:tx>
            <c:strRef>
              <c:f>'1.1被保險人人數(按性別及年齡分)'!$H$29</c:f>
              <c:strCache>
                <c:ptCount val="1"/>
                <c:pt idx="0">
                  <c:v>55-59歲</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'1.1被保險人人數(按性別及年齡分)'!$A$30:$A$39</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'1.1被保險人人數(按性別及年齡分)'!$H$30:$H$39</c:f>
              <c:numCache>
                <c:formatCode>#,##0.0_ </c:formatCode>
                <c:ptCount val="10"/>
                <c:pt idx="0">
                  <c:v>13.827647895688145</c:v>
                </c:pt>
                <c:pt idx="1">
                  <c:v>13.282036361137697</c:v>
                </c:pt>
                <c:pt idx="2">
                  <c:v>12.762830986830817</c:v>
                </c:pt>
                <c:pt idx="3">
                  <c:v>12.457017538964626</c:v>
                </c:pt>
                <c:pt idx="4">
                  <c:v>12.182155403037633</c:v>
                </c:pt>
                <c:pt idx="5">
                  <c:v>11.83467660706747</c:v>
                </c:pt>
                <c:pt idx="6">
                  <c:v>11.847493882055343</c:v>
                </c:pt>
                <c:pt idx="7">
                  <c:v>11.725476045010989</c:v>
                </c:pt>
                <c:pt idx="8">
                  <c:v>12.13593164543328</c:v>
                </c:pt>
                <c:pt idx="9">
                  <c:v>12.513816076907053</c:v>
                </c:pt>
              </c:numCache>
            </c:numRef>
          </c:val>
          <c:extLst xmlns:c16r2="http://schemas.microsoft.com/office/drawing/2015/06/chart">
            <c:ext xmlns:c16="http://schemas.microsoft.com/office/drawing/2014/chart" uri="{C3380CC4-5D6E-409C-BE32-E72D297353CC}">
              <c16:uniqueId val="{00000010-FEAF-4C44-93FF-01CDED5220BA}"/>
            </c:ext>
          </c:extLst>
        </c:ser>
        <c:ser>
          <c:idx val="7"/>
          <c:order val="7"/>
          <c:tx>
            <c:strRef>
              <c:f>'1.1被保險人人數(按性別及年齡分)'!$I$29</c:f>
              <c:strCache>
                <c:ptCount val="1"/>
                <c:pt idx="0">
                  <c:v>60-64歲</c:v>
                </c:pt>
              </c:strCache>
            </c:strRef>
          </c:tx>
          <c:spPr>
            <a:pattFill prst="ltDnDiag">
              <a:fgClr>
                <a:srgbClr val="7030A0"/>
              </a:fgClr>
              <a:bgClr>
                <a:schemeClr val="bg1"/>
              </a:bgClr>
            </a:pattFill>
          </c:spPr>
          <c:invertIfNegative val="0"/>
          <c:dLbls>
            <c:dLbl>
              <c:idx val="9"/>
              <c:layout>
                <c:manualLayout>
                  <c:x val="0"/>
                  <c:y val="-4.0874718986306973E-3"/>
                </c:manualLayout>
              </c:layout>
              <c:spPr>
                <a:noFill/>
                <a:ln>
                  <a:noFill/>
                </a:ln>
                <a:effectLst/>
              </c:spPr>
              <c:txPr>
                <a:bodyPr wrap="square" lIns="38100" tIns="19050" rIns="38100" bIns="19050" anchor="ctr">
                  <a:spAutoFit/>
                </a:bodyPr>
                <a:lstStyle/>
                <a:p>
                  <a:pPr>
                    <a:defRPr sz="1000" b="0"/>
                  </a:pPr>
                  <a:endParaRPr lang="zh-TW"/>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EAF-4C44-93FF-01CDED5220BA}"/>
                </c:ext>
              </c:extLst>
            </c:dLbl>
            <c:spPr>
              <a:noFill/>
              <a:ln>
                <a:noFill/>
              </a:ln>
              <a:effectLst/>
            </c:spPr>
            <c:txPr>
              <a:bodyPr wrap="square" lIns="38100" tIns="19050" rIns="38100" bIns="19050" anchor="ctr">
                <a:spAutoFit/>
              </a:bodyPr>
              <a:lstStyle/>
              <a:p>
                <a:pPr>
                  <a:defRPr sz="1100" b="1"/>
                </a:pPr>
                <a:endParaRPr lang="zh-TW"/>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'1.1被保險人人數(按性別及年齡分)'!$A$30:$A$39</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'1.1被保險人人數(按性別及年齡分)'!$I$30:$I$39</c:f>
              <c:numCache>
                <c:formatCode>#,##0.0_ </c:formatCode>
                <c:ptCount val="10"/>
                <c:pt idx="0">
                  <c:v>14.661137380009309</c:v>
                </c:pt>
                <c:pt idx="1">
                  <c:v>15.397546613642914</c:v>
                </c:pt>
                <c:pt idx="2">
                  <c:v>15.688025971278559</c:v>
                </c:pt>
                <c:pt idx="3">
                  <c:v>15.649298832037767</c:v>
                </c:pt>
                <c:pt idx="4">
                  <c:v>15.540360743824023</c:v>
                </c:pt>
                <c:pt idx="5">
                  <c:v>14.976757656601894</c:v>
                </c:pt>
                <c:pt idx="6">
                  <c:v>14.375348594455215</c:v>
                </c:pt>
                <c:pt idx="7">
                  <c:v>13.806096394398699</c:v>
                </c:pt>
                <c:pt idx="8">
                  <c:v>13.255087253839312</c:v>
                </c:pt>
                <c:pt idx="9">
                  <c:v>12.79266499526881</c:v>
                </c:pt>
              </c:numCache>
            </c:numRef>
          </c:val>
          <c:extLst xmlns:c16r2="http://schemas.microsoft.com/office/drawing/2015/06/chart">
            <c:ext xmlns:c16="http://schemas.microsoft.com/office/drawing/2014/chart" uri="{C3380CC4-5D6E-409C-BE32-E72D297353CC}">
              <c16:uniqueId val="{00000012-FEAF-4C44-93FF-01CDED5220BA}"/>
            </c:ext>
          </c:extLst>
        </c:ser>
        <c:dLbls>
          <c:dLblPos val="ctr"/>
          <c:showLegendKey val="0"/>
          <c:showVal val="1"/>
          <c:showCatName val="0"/>
          <c:showSerName val="0"/>
          <c:showPercent val="0"/>
          <c:showBubbleSize val="0"/>
        </c:dLbls>
        <c:gapWidth val="150"/>
        <c:overlap val="100"/>
        <c:axId val="141950464"/>
        <c:axId val="283370624"/>
      </c:barChart>
      <c:catAx>
        <c:axId val="141950464"/>
        <c:scaling>
          <c:orientation val="minMax"/>
        </c:scaling>
        <c:delete val="0"/>
        <c:axPos val="l"/>
        <c:numFmt formatCode="General" sourceLinked="0"/>
        <c:majorTickMark val="out"/>
        <c:minorTickMark val="none"/>
        <c:tickLblPos val="nextTo"/>
        <c:crossAx val="283370624"/>
        <c:crosses val="autoZero"/>
        <c:auto val="1"/>
        <c:lblAlgn val="ctr"/>
        <c:lblOffset val="100"/>
        <c:noMultiLvlLbl val="0"/>
      </c:catAx>
      <c:valAx>
        <c:axId val="283370624"/>
        <c:scaling>
          <c:orientation val="minMax"/>
        </c:scaling>
        <c:delete val="0"/>
        <c:axPos val="b"/>
        <c:numFmt formatCode="0%" sourceLinked="1"/>
        <c:majorTickMark val="out"/>
        <c:minorTickMark val="none"/>
        <c:tickLblPos val="nextTo"/>
        <c:crossAx val="141950464"/>
        <c:crosses val="autoZero"/>
        <c:crossBetween val="between"/>
      </c:valAx>
    </c:plotArea>
    <c:legend>
      <c:legendPos val="t"/>
      <c:layout>
        <c:manualLayout>
          <c:xMode val="edge"/>
          <c:yMode val="edge"/>
          <c:x val="8.3981052362942565E-2"/>
          <c:y val="2.3944131767887841E-2"/>
          <c:w val="0.86530789042175593"/>
          <c:h val="6.7734716973452402E-2"/>
        </c:manualLayout>
      </c:layout>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119924643949387"/>
          <c:y val="0.23855878986650958"/>
          <c:w val="0.40794168441606066"/>
          <c:h val="0.69440436360865265"/>
        </c:manualLayout>
      </c:layout>
      <c:pieChart>
        <c:varyColors val="1"/>
        <c:ser>
          <c:idx val="0"/>
          <c:order val="0"/>
          <c:dPt>
            <c:idx val="0"/>
            <c:bubble3D val="0"/>
            <c:explosion val="12"/>
            <c:spPr>
              <a:solidFill>
                <a:schemeClr val="tx2">
                  <a:lumMod val="40000"/>
                  <a:lumOff val="60000"/>
                </a:schemeClr>
              </a:solidFill>
            </c:spPr>
          </c:dPt>
          <c:dPt>
            <c:idx val="2"/>
            <c:bubble3D val="0"/>
            <c:spPr>
              <a:solidFill>
                <a:schemeClr val="accent3">
                  <a:lumMod val="60000"/>
                  <a:lumOff val="40000"/>
                </a:schemeClr>
              </a:solidFill>
            </c:spPr>
          </c:dPt>
          <c:dPt>
            <c:idx val="4"/>
            <c:bubble3D val="0"/>
            <c:spPr>
              <a:solidFill>
                <a:schemeClr val="accent5">
                  <a:lumMod val="60000"/>
                  <a:lumOff val="40000"/>
                </a:schemeClr>
              </a:solidFill>
            </c:spPr>
          </c:dPt>
          <c:dLbls>
            <c:dLbl>
              <c:idx val="0"/>
              <c:layout>
                <c:manualLayout>
                  <c:x val="0.13516189808828663"/>
                  <c:y val="-7.1946418402686702E-2"/>
                </c:manualLayout>
              </c:layout>
              <c:tx>
                <c:rich>
                  <a:bodyPr/>
                  <a:lstStyle/>
                  <a:p>
                    <a:r>
                      <a:rPr lang="zh-TW" altLang="en-US" sz="1100">
                        <a:latin typeface="微軟正黑體" pitchFamily="34" charset="-120"/>
                        <a:ea typeface="微軟正黑體" pitchFamily="34" charset="-120"/>
                      </a:rPr>
                      <a:t>一般身分</a:t>
                    </a:r>
                    <a:r>
                      <a:rPr lang="en-US" altLang="zh-TW" sz="1100">
                        <a:latin typeface="微軟正黑體" pitchFamily="34" charset="-120"/>
                        <a:ea typeface="微軟正黑體" pitchFamily="34" charset="-120"/>
                      </a:rPr>
                      <a:t>, </a:t>
                    </a:r>
                  </a:p>
                  <a:p>
                    <a:r>
                      <a:rPr lang="en-US" altLang="zh-TW" sz="1100">
                        <a:latin typeface="微軟正黑體" pitchFamily="34" charset="-120"/>
                        <a:ea typeface="微軟正黑體" pitchFamily="34" charset="-120"/>
                      </a:rPr>
                      <a:t>261</a:t>
                    </a:r>
                    <a:r>
                      <a:rPr lang="zh-TW" altLang="en-US" sz="1100">
                        <a:latin typeface="微軟正黑體" pitchFamily="34" charset="-120"/>
                        <a:ea typeface="微軟正黑體" pitchFamily="34" charset="-120"/>
                      </a:rPr>
                      <a:t>萬</a:t>
                    </a:r>
                    <a:r>
                      <a:rPr lang="en-US" altLang="zh-TW" sz="1100">
                        <a:latin typeface="微軟正黑體" pitchFamily="34" charset="-120"/>
                        <a:ea typeface="微軟正黑體" pitchFamily="34" charset="-120"/>
                      </a:rPr>
                      <a:t>7,480</a:t>
                    </a:r>
                    <a:r>
                      <a:rPr lang="zh-TW" altLang="en-US" sz="1100">
                        <a:latin typeface="微軟正黑體" pitchFamily="34" charset="-120"/>
                        <a:ea typeface="微軟正黑體" pitchFamily="34" charset="-120"/>
                      </a:rPr>
                      <a:t>人</a:t>
                    </a:r>
                    <a:r>
                      <a:rPr lang="en-US" altLang="zh-TW" sz="1100">
                        <a:latin typeface="微軟正黑體" pitchFamily="34" charset="-120"/>
                        <a:ea typeface="微軟正黑體" pitchFamily="34" charset="-120"/>
                      </a:rPr>
                      <a:t> , 84.3%</a:t>
                    </a:r>
                    <a:endParaRPr lang="en-US" altLang="zh-TW"/>
                  </a:p>
                </c:rich>
              </c:tx>
              <c:showLegendKey val="0"/>
              <c:showVal val="1"/>
              <c:showCatName val="1"/>
              <c:showSerName val="0"/>
              <c:showPercent val="1"/>
              <c:showBubbleSize val="0"/>
            </c:dLbl>
            <c:dLbl>
              <c:idx val="1"/>
              <c:layout>
                <c:manualLayout>
                  <c:x val="-0.13369871063286909"/>
                  <c:y val="0.31489094440408116"/>
                </c:manualLayout>
              </c:layout>
              <c:tx>
                <c:rich>
                  <a:bodyPr/>
                  <a:lstStyle/>
                  <a:p>
                    <a:r>
                      <a:rPr lang="zh-TW" altLang="en-US" sz="1100">
                        <a:latin typeface="微軟正黑體" pitchFamily="34" charset="-120"/>
                        <a:ea typeface="微軟正黑體" pitchFamily="34" charset="-120"/>
                      </a:rPr>
                      <a:t>身心障礙者</a:t>
                    </a:r>
                    <a:r>
                      <a:rPr lang="en-US" altLang="zh-TW" sz="1100">
                        <a:latin typeface="微軟正黑體" pitchFamily="34" charset="-120"/>
                        <a:ea typeface="微軟正黑體" pitchFamily="34" charset="-120"/>
                      </a:rPr>
                      <a:t>, </a:t>
                    </a:r>
                  </a:p>
                  <a:p>
                    <a:r>
                      <a:rPr lang="en-US" altLang="zh-TW" sz="1100">
                        <a:latin typeface="微軟正黑體" pitchFamily="34" charset="-120"/>
                        <a:ea typeface="微軟正黑體" pitchFamily="34" charset="-120"/>
                      </a:rPr>
                      <a:t>21</a:t>
                    </a:r>
                    <a:r>
                      <a:rPr lang="zh-TW" altLang="en-US" sz="1100">
                        <a:latin typeface="微軟正黑體" pitchFamily="34" charset="-120"/>
                        <a:ea typeface="微軟正黑體" pitchFamily="34" charset="-120"/>
                      </a:rPr>
                      <a:t>萬</a:t>
                    </a:r>
                    <a:r>
                      <a:rPr lang="en-US" altLang="zh-TW" sz="1100">
                        <a:latin typeface="微軟正黑體" pitchFamily="34" charset="-120"/>
                        <a:ea typeface="微軟正黑體" pitchFamily="34" charset="-120"/>
                      </a:rPr>
                      <a:t>5,952</a:t>
                    </a:r>
                    <a:r>
                      <a:rPr lang="zh-TW" altLang="en-US" sz="1100">
                        <a:latin typeface="微軟正黑體" pitchFamily="34" charset="-120"/>
                        <a:ea typeface="微軟正黑體" pitchFamily="34" charset="-120"/>
                      </a:rPr>
                      <a:t>人</a:t>
                    </a:r>
                    <a:r>
                      <a:rPr lang="en-US" altLang="zh-TW" sz="1100">
                        <a:latin typeface="微軟正黑體" pitchFamily="34" charset="-120"/>
                        <a:ea typeface="微軟正黑體" pitchFamily="34" charset="-120"/>
                      </a:rPr>
                      <a:t> , 7.0%</a:t>
                    </a:r>
                    <a:endParaRPr lang="en-US" altLang="zh-TW"/>
                  </a:p>
                </c:rich>
              </c:tx>
              <c:showLegendKey val="0"/>
              <c:showVal val="1"/>
              <c:showCatName val="1"/>
              <c:showSerName val="0"/>
              <c:showPercent val="1"/>
              <c:showBubbleSize val="0"/>
            </c:dLbl>
            <c:dLbl>
              <c:idx val="2"/>
              <c:layout>
                <c:manualLayout>
                  <c:x val="-0.12925828327729852"/>
                  <c:y val="6.4320835434943088E-2"/>
                </c:manualLayout>
              </c:layout>
              <c:tx>
                <c:rich>
                  <a:bodyPr/>
                  <a:lstStyle/>
                  <a:p>
                    <a:r>
                      <a:rPr lang="zh-TW" altLang="en-US" sz="1100">
                        <a:latin typeface="微軟正黑體" pitchFamily="34" charset="-120"/>
                        <a:ea typeface="微軟正黑體" pitchFamily="34" charset="-120"/>
                      </a:rPr>
                      <a:t>所得未達</a:t>
                    </a:r>
                    <a:endParaRPr lang="en-US" altLang="zh-TW" sz="1100">
                      <a:latin typeface="微軟正黑體" pitchFamily="34" charset="-120"/>
                      <a:ea typeface="微軟正黑體" pitchFamily="34" charset="-120"/>
                    </a:endParaRPr>
                  </a:p>
                  <a:p>
                    <a:r>
                      <a:rPr lang="zh-TW" altLang="en-US" sz="1100">
                        <a:latin typeface="微軟正黑體" pitchFamily="34" charset="-120"/>
                        <a:ea typeface="微軟正黑體" pitchFamily="34" charset="-120"/>
                      </a:rPr>
                      <a:t>一定標準者</a:t>
                    </a:r>
                    <a:r>
                      <a:rPr lang="en-US" altLang="zh-TW" sz="1100">
                        <a:latin typeface="微軟正黑體" pitchFamily="34" charset="-120"/>
                        <a:ea typeface="微軟正黑體" pitchFamily="34" charset="-120"/>
                      </a:rPr>
                      <a:t>, </a:t>
                    </a:r>
                  </a:p>
                  <a:p>
                    <a:r>
                      <a:rPr lang="en-US" altLang="zh-TW" sz="1100">
                        <a:latin typeface="微軟正黑體" pitchFamily="34" charset="-120"/>
                        <a:ea typeface="微軟正黑體" pitchFamily="34" charset="-120"/>
                      </a:rPr>
                      <a:t>14</a:t>
                    </a:r>
                    <a:r>
                      <a:rPr lang="zh-TW" altLang="en-US" sz="1100">
                        <a:latin typeface="微軟正黑體" pitchFamily="34" charset="-120"/>
                        <a:ea typeface="微軟正黑體" pitchFamily="34" charset="-120"/>
                      </a:rPr>
                      <a:t>萬</a:t>
                    </a:r>
                    <a:r>
                      <a:rPr lang="en-US" altLang="zh-TW" sz="1100">
                        <a:latin typeface="微軟正黑體" pitchFamily="34" charset="-120"/>
                        <a:ea typeface="微軟正黑體" pitchFamily="34" charset="-120"/>
                      </a:rPr>
                      <a:t>6,974</a:t>
                    </a:r>
                    <a:r>
                      <a:rPr lang="zh-TW" altLang="en-US" sz="1100">
                        <a:latin typeface="微軟正黑體" pitchFamily="34" charset="-120"/>
                        <a:ea typeface="微軟正黑體" pitchFamily="34" charset="-120"/>
                      </a:rPr>
                      <a:t>人</a:t>
                    </a:r>
                    <a:r>
                      <a:rPr lang="en-US" altLang="zh-TW" sz="1100">
                        <a:latin typeface="微軟正黑體" pitchFamily="34" charset="-120"/>
                        <a:ea typeface="微軟正黑體" pitchFamily="34" charset="-120"/>
                      </a:rPr>
                      <a:t> , 4.7%</a:t>
                    </a:r>
                    <a:endParaRPr lang="en-US" altLang="zh-TW"/>
                  </a:p>
                </c:rich>
              </c:tx>
              <c:showLegendKey val="0"/>
              <c:showVal val="1"/>
              <c:showCatName val="1"/>
              <c:showSerName val="0"/>
              <c:showPercent val="1"/>
              <c:showBubbleSize val="0"/>
            </c:dLbl>
            <c:dLbl>
              <c:idx val="3"/>
              <c:layout>
                <c:manualLayout>
                  <c:x val="3.3945052362489088E-3"/>
                  <c:y val="-6.6880281073026992E-3"/>
                </c:manualLayout>
              </c:layout>
              <c:tx>
                <c:rich>
                  <a:bodyPr/>
                  <a:lstStyle/>
                  <a:p>
                    <a:r>
                      <a:rPr lang="zh-TW" altLang="en-US" sz="1100">
                        <a:latin typeface="微軟正黑體" pitchFamily="34" charset="-120"/>
                        <a:ea typeface="微軟正黑體" pitchFamily="34" charset="-120"/>
                      </a:rPr>
                      <a:t>中低收入戶</a:t>
                    </a:r>
                    <a:r>
                      <a:rPr lang="en-US" altLang="zh-TW" sz="1100">
                        <a:latin typeface="微軟正黑體" pitchFamily="34" charset="-120"/>
                        <a:ea typeface="微軟正黑體" pitchFamily="34" charset="-120"/>
                      </a:rPr>
                      <a:t>,</a:t>
                    </a:r>
                  </a:p>
                  <a:p>
                    <a:r>
                      <a:rPr lang="en-US" altLang="zh-TW" sz="1100">
                        <a:latin typeface="微軟正黑體" pitchFamily="34" charset="-120"/>
                        <a:ea typeface="微軟正黑體" pitchFamily="34" charset="-120"/>
                      </a:rPr>
                      <a:t> 5</a:t>
                    </a:r>
                    <a:r>
                      <a:rPr lang="zh-TW" altLang="en-US" sz="1100">
                        <a:latin typeface="微軟正黑體" pitchFamily="34" charset="-120"/>
                        <a:ea typeface="微軟正黑體" pitchFamily="34" charset="-120"/>
                      </a:rPr>
                      <a:t>萬</a:t>
                    </a:r>
                    <a:r>
                      <a:rPr lang="en-US" altLang="zh-TW" sz="1100">
                        <a:latin typeface="微軟正黑體" pitchFamily="34" charset="-120"/>
                        <a:ea typeface="微軟正黑體" pitchFamily="34" charset="-120"/>
                      </a:rPr>
                      <a:t>8,223</a:t>
                    </a:r>
                    <a:r>
                      <a:rPr lang="zh-TW" altLang="en-US" sz="1100">
                        <a:latin typeface="微軟正黑體" pitchFamily="34" charset="-120"/>
                        <a:ea typeface="微軟正黑體" pitchFamily="34" charset="-120"/>
                      </a:rPr>
                      <a:t>人</a:t>
                    </a:r>
                    <a:r>
                      <a:rPr lang="en-US" altLang="zh-TW" sz="1100">
                        <a:latin typeface="微軟正黑體" pitchFamily="34" charset="-120"/>
                        <a:ea typeface="微軟正黑體" pitchFamily="34" charset="-120"/>
                      </a:rPr>
                      <a:t> , </a:t>
                    </a:r>
                  </a:p>
                  <a:p>
                    <a:r>
                      <a:rPr lang="en-US" altLang="zh-TW" sz="1100">
                        <a:latin typeface="微軟正黑體" pitchFamily="34" charset="-120"/>
                        <a:ea typeface="微軟正黑體" pitchFamily="34" charset="-120"/>
                      </a:rPr>
                      <a:t>1.9%</a:t>
                    </a:r>
                    <a:endParaRPr lang="en-US" altLang="zh-TW"/>
                  </a:p>
                </c:rich>
              </c:tx>
              <c:showLegendKey val="0"/>
              <c:showVal val="1"/>
              <c:showCatName val="1"/>
              <c:showSerName val="0"/>
              <c:showPercent val="1"/>
              <c:showBubbleSize val="0"/>
            </c:dLbl>
            <c:dLbl>
              <c:idx val="4"/>
              <c:layout>
                <c:manualLayout>
                  <c:x val="0.31293796695568898"/>
                  <c:y val="8.1471436522201943E-2"/>
                </c:manualLayout>
              </c:layout>
              <c:tx>
                <c:rich>
                  <a:bodyPr/>
                  <a:lstStyle/>
                  <a:p>
                    <a:r>
                      <a:rPr lang="zh-TW" altLang="en-US" sz="1100">
                        <a:latin typeface="微軟正黑體" pitchFamily="34" charset="-120"/>
                        <a:ea typeface="微軟正黑體" pitchFamily="34" charset="-120"/>
                      </a:rPr>
                      <a:t>低收入戶</a:t>
                    </a:r>
                    <a:r>
                      <a:rPr lang="en-US" altLang="zh-TW" sz="1100">
                        <a:latin typeface="微軟正黑體" pitchFamily="34" charset="-120"/>
                        <a:ea typeface="微軟正黑體" pitchFamily="34" charset="-120"/>
                      </a:rPr>
                      <a:t>,</a:t>
                    </a:r>
                  </a:p>
                  <a:p>
                    <a:r>
                      <a:rPr lang="en-US" altLang="zh-TW" sz="1100">
                        <a:latin typeface="微軟正黑體" pitchFamily="34" charset="-120"/>
                        <a:ea typeface="微軟正黑體" pitchFamily="34" charset="-120"/>
                      </a:rPr>
                      <a:t> 6</a:t>
                    </a:r>
                    <a:r>
                      <a:rPr lang="zh-TW" altLang="en-US" sz="1100">
                        <a:latin typeface="微軟正黑體" pitchFamily="34" charset="-120"/>
                        <a:ea typeface="微軟正黑體" pitchFamily="34" charset="-120"/>
                      </a:rPr>
                      <a:t>萬</a:t>
                    </a:r>
                    <a:r>
                      <a:rPr lang="en-US" altLang="zh-TW" sz="1100">
                        <a:latin typeface="微軟正黑體" pitchFamily="34" charset="-120"/>
                        <a:ea typeface="微軟正黑體" pitchFamily="34" charset="-120"/>
                      </a:rPr>
                      <a:t>7,354</a:t>
                    </a:r>
                    <a:r>
                      <a:rPr lang="zh-TW" altLang="en-US" sz="1100">
                        <a:latin typeface="微軟正黑體" pitchFamily="34" charset="-120"/>
                        <a:ea typeface="微軟正黑體" pitchFamily="34" charset="-120"/>
                      </a:rPr>
                      <a:t>人</a:t>
                    </a:r>
                    <a:r>
                      <a:rPr lang="en-US" altLang="zh-TW" sz="1100">
                        <a:latin typeface="微軟正黑體" pitchFamily="34" charset="-120"/>
                        <a:ea typeface="微軟正黑體" pitchFamily="34" charset="-120"/>
                      </a:rPr>
                      <a:t> , </a:t>
                    </a:r>
                  </a:p>
                  <a:p>
                    <a:r>
                      <a:rPr lang="en-US" altLang="zh-TW" sz="1100">
                        <a:latin typeface="微軟正黑體" pitchFamily="34" charset="-120"/>
                        <a:ea typeface="微軟正黑體" pitchFamily="34" charset="-120"/>
                      </a:rPr>
                      <a:t>2.2%</a:t>
                    </a:r>
                    <a:endParaRPr lang="en-US" altLang="zh-TW"/>
                  </a:p>
                </c:rich>
              </c:tx>
              <c:showLegendKey val="0"/>
              <c:showVal val="1"/>
              <c:showCatName val="1"/>
              <c:showSerName val="0"/>
              <c:showPercent val="1"/>
              <c:showBubbleSize val="0"/>
            </c:dLbl>
            <c:numFmt formatCode="0.0%" sourceLinked="0"/>
            <c:txPr>
              <a:bodyPr/>
              <a:lstStyle/>
              <a:p>
                <a:pPr>
                  <a:defRPr sz="1100">
                    <a:latin typeface="微軟正黑體" pitchFamily="34" charset="-120"/>
                    <a:ea typeface="微軟正黑體" pitchFamily="34" charset="-120"/>
                  </a:defRPr>
                </a:pPr>
                <a:endParaRPr lang="zh-TW"/>
              </a:p>
            </c:txPr>
            <c:showLegendKey val="0"/>
            <c:showVal val="1"/>
            <c:showCatName val="1"/>
            <c:showSerName val="0"/>
            <c:showPercent val="1"/>
            <c:showBubbleSize val="0"/>
            <c:showLeaderLines val="1"/>
          </c:dLbls>
          <c:cat>
            <c:strRef>
              <c:f>'[國保(109年).xlsx]1.3被保險人人數(按身分別分)'!$B$2:$F$2</c:f>
              <c:strCache>
                <c:ptCount val="5"/>
                <c:pt idx="0">
                  <c:v>一般身分</c:v>
                </c:pt>
                <c:pt idx="1">
                  <c:v>身心障礙者</c:v>
                </c:pt>
                <c:pt idx="2">
                  <c:v>所得未達一定標準者</c:v>
                </c:pt>
                <c:pt idx="3">
                  <c:v>中低收入戶</c:v>
                </c:pt>
                <c:pt idx="4">
                  <c:v>低收入戶</c:v>
                </c:pt>
              </c:strCache>
            </c:strRef>
          </c:cat>
          <c:val>
            <c:numRef>
              <c:f>'[國保(109年).xlsx]1.3被保險人人數(按身分別分)'!$B$15:$F$15</c:f>
              <c:numCache>
                <c:formatCode>#,##0_ </c:formatCode>
                <c:ptCount val="5"/>
                <c:pt idx="0">
                  <c:v>2617480</c:v>
                </c:pt>
                <c:pt idx="1">
                  <c:v>215952</c:v>
                </c:pt>
                <c:pt idx="2">
                  <c:v>146974</c:v>
                </c:pt>
                <c:pt idx="3">
                  <c:v>58223</c:v>
                </c:pt>
                <c:pt idx="4">
                  <c:v>67354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'[國保(109年).xlsx]1.4應計保險費'!$B$16</c:f>
              <c:strCache>
                <c:ptCount val="1"/>
                <c:pt idx="0">
                  <c:v>被保險人</c:v>
                </c:pt>
              </c:strCache>
            </c:strRef>
          </c:tx>
          <c:spPr>
            <a:solidFill>
              <a:schemeClr val="tx2">
                <a:lumMod val="60000"/>
                <a:lumOff val="40000"/>
              </a:schemeClr>
            </a:solidFill>
            <a:effectLst/>
          </c:spPr>
          <c:invertIfNegative val="0"/>
          <c:cat>
            <c:strRef>
              <c:f>'[國保(109年).xlsx]1.4應計保險費'!$A$18:$A$26</c:f>
              <c:strCache>
                <c:ptCount val="9"/>
                <c:pt idx="0">
                  <c:v>101年</c:v>
                </c:pt>
                <c:pt idx="1">
                  <c:v>102年</c:v>
                </c:pt>
                <c:pt idx="2">
                  <c:v>103年</c:v>
                </c:pt>
                <c:pt idx="3">
                  <c:v>104年</c:v>
                </c:pt>
                <c:pt idx="4">
                  <c:v>105年</c:v>
                </c:pt>
                <c:pt idx="5">
                  <c:v>106年</c:v>
                </c:pt>
                <c:pt idx="6">
                  <c:v>107年</c:v>
                </c:pt>
                <c:pt idx="7">
                  <c:v>108年</c:v>
                </c:pt>
                <c:pt idx="8">
                  <c:v>109年</c:v>
                </c:pt>
              </c:strCache>
            </c:strRef>
          </c:cat>
          <c:val>
            <c:numRef>
              <c:f>'[國保(109年).xlsx]1.4應計保險費'!$B$18:$B$26</c:f>
              <c:numCache>
                <c:formatCode>0.0_ </c:formatCode>
                <c:ptCount val="9"/>
                <c:pt idx="0">
                  <c:v>293.06394509</c:v>
                </c:pt>
                <c:pt idx="1">
                  <c:v>309.34961869</c:v>
                </c:pt>
                <c:pt idx="2">
                  <c:v>302.98518504999998</c:v>
                </c:pt>
                <c:pt idx="3">
                  <c:v>333.79699699000003</c:v>
                </c:pt>
                <c:pt idx="4">
                  <c:v>325.78230558000001</c:v>
                </c:pt>
                <c:pt idx="5">
                  <c:v>336.83158422000002</c:v>
                </c:pt>
                <c:pt idx="6">
                  <c:v>329.23925322999997</c:v>
                </c:pt>
                <c:pt idx="7">
                  <c:v>342.79106753000002</c:v>
                </c:pt>
                <c:pt idx="8">
                  <c:v>332.37070046000002</c:v>
                </c:pt>
              </c:numCache>
            </c:numRef>
          </c:val>
          <c:extLst xmlns:c16r2="http://schemas.microsoft.com/office/drawing/2015/06/chart">
            <c:ext xmlns:c16="http://schemas.microsoft.com/office/drawing/2014/chart" uri="{C3380CC4-5D6E-409C-BE32-E72D297353CC}">
              <c16:uniqueId val="{00000000-F4A1-4310-9977-0E9A5B60C18A}"/>
            </c:ext>
          </c:extLst>
        </c:ser>
        <c:ser>
          <c:idx val="1"/>
          <c:order val="1"/>
          <c:tx>
            <c:strRef>
              <c:f>'[國保(109年).xlsx]1.4應計保險費'!$C$16</c:f>
              <c:strCache>
                <c:ptCount val="1"/>
                <c:pt idx="0">
                  <c:v>政府補助</c:v>
                </c:pt>
              </c:strCache>
            </c:strRef>
          </c:tx>
          <c:spPr>
            <a:solidFill>
              <a:schemeClr val="accent6">
                <a:lumMod val="60000"/>
                <a:lumOff val="40000"/>
              </a:schemeClr>
            </a:solidFill>
            <a:effectLst/>
          </c:spPr>
          <c:invertIfNegative val="0"/>
          <c:cat>
            <c:strRef>
              <c:f>'[國保(109年).xlsx]1.4應計保險費'!$A$18:$A$26</c:f>
              <c:strCache>
                <c:ptCount val="9"/>
                <c:pt idx="0">
                  <c:v>101年</c:v>
                </c:pt>
                <c:pt idx="1">
                  <c:v>102年</c:v>
                </c:pt>
                <c:pt idx="2">
                  <c:v>103年</c:v>
                </c:pt>
                <c:pt idx="3">
                  <c:v>104年</c:v>
                </c:pt>
                <c:pt idx="4">
                  <c:v>105年</c:v>
                </c:pt>
                <c:pt idx="5">
                  <c:v>106年</c:v>
                </c:pt>
                <c:pt idx="6">
                  <c:v>107年</c:v>
                </c:pt>
                <c:pt idx="7">
                  <c:v>108年</c:v>
                </c:pt>
                <c:pt idx="8">
                  <c:v>109年</c:v>
                </c:pt>
              </c:strCache>
            </c:strRef>
          </c:cat>
          <c:val>
            <c:numRef>
              <c:f>'[國保(109年).xlsx]1.4應計保險費'!$C$18:$C$26</c:f>
              <c:numCache>
                <c:formatCode>0.0_ </c:formatCode>
                <c:ptCount val="9"/>
                <c:pt idx="0">
                  <c:v>169.77260663000001</c:v>
                </c:pt>
                <c:pt idx="1">
                  <c:v>165.08155796</c:v>
                </c:pt>
                <c:pt idx="2">
                  <c:v>168.69802528</c:v>
                </c:pt>
                <c:pt idx="3">
                  <c:v>176.64559492999999</c:v>
                </c:pt>
                <c:pt idx="4">
                  <c:v>182.36252024000001</c:v>
                </c:pt>
                <c:pt idx="5">
                  <c:v>184.43081090999999</c:v>
                </c:pt>
                <c:pt idx="6">
                  <c:v>189.71769284000001</c:v>
                </c:pt>
                <c:pt idx="7">
                  <c:v>195.71333835999999</c:v>
                </c:pt>
                <c:pt idx="8">
                  <c:v>183.86321311</c:v>
                </c:pt>
              </c:numCache>
            </c:numRef>
          </c:val>
          <c:extLst xmlns:c16r2="http://schemas.microsoft.com/office/drawing/2015/06/chart">
            <c:ext xmlns:c16="http://schemas.microsoft.com/office/drawing/2014/chart" uri="{C3380CC4-5D6E-409C-BE32-E72D297353CC}">
              <c16:uniqueId val="{00000001-F4A1-4310-9977-0E9A5B60C18A}"/>
            </c:ext>
          </c:extLst>
        </c:ser>
        <c:dLbls>
          <c:showLegendKey val="0"/>
          <c:showVal val="0"/>
          <c:showCatName val="0"/>
          <c:showSerName val="0"/>
          <c:showPercent val="0"/>
          <c:showBubbleSize val="0"/>
        </c:dLbls>
        <c:gapWidth val="150"/>
        <c:overlap val="100"/>
        <c:axId val="142131200"/>
        <c:axId val="283372352"/>
      </c:barChart>
      <c:catAx>
        <c:axId val="142131200"/>
        <c:scaling>
          <c:orientation val="minMax"/>
        </c:scaling>
        <c:delete val="0"/>
        <c:axPos val="b"/>
        <c:numFmt formatCode="General" sourceLinked="0"/>
        <c:majorTickMark val="out"/>
        <c:minorTickMark val="none"/>
        <c:tickLblPos val="nextTo"/>
        <c:crossAx val="283372352"/>
        <c:crosses val="autoZero"/>
        <c:auto val="1"/>
        <c:lblAlgn val="ctr"/>
        <c:lblOffset val="100"/>
        <c:noMultiLvlLbl val="0"/>
      </c:catAx>
      <c:valAx>
        <c:axId val="283372352"/>
        <c:scaling>
          <c:orientation val="minMax"/>
        </c:scaling>
        <c:delete val="0"/>
        <c:axPos val="l"/>
        <c:numFmt formatCode="0.0_ " sourceLinked="1"/>
        <c:majorTickMark val="out"/>
        <c:minorTickMark val="none"/>
        <c:tickLblPos val="nextTo"/>
        <c:txPr>
          <a:bodyPr/>
          <a:lstStyle/>
          <a:p>
            <a:pPr>
              <a:defRPr sz="1100"/>
            </a:pPr>
            <a:endParaRPr lang="zh-TW"/>
          </a:p>
        </c:txPr>
        <c:crossAx val="142131200"/>
        <c:crosses val="autoZero"/>
        <c:crossBetween val="between"/>
      </c:valAx>
      <c:dTable>
        <c:showHorzBorder val="1"/>
        <c:showVertBorder val="1"/>
        <c:showOutline val="1"/>
        <c:showKeys val="1"/>
        <c:txPr>
          <a:bodyPr/>
          <a:lstStyle/>
          <a:p>
            <a:pPr rtl="0">
              <a:defRPr sz="1100"/>
            </a:pPr>
            <a:endParaRPr lang="zh-TW"/>
          </a:p>
        </c:txPr>
      </c:dTable>
      <c:spPr>
        <a:effectLst/>
      </c:spPr>
    </c:plotArea>
    <c:plotVisOnly val="1"/>
    <c:dispBlanksAs val="gap"/>
    <c:showDLblsOverMax val="0"/>
  </c:chart>
  <c:externalData r:id="rId1">
    <c:autoUpdate val="0"/>
  </c:externalData>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51864898466639"/>
          <c:y val="4.9508859569391162E-2"/>
          <c:w val="0.80309538610305287"/>
          <c:h val="0.57298691237560129"/>
        </c:manualLayout>
      </c:layout>
      <c:barChart>
        <c:barDir val="col"/>
        <c:grouping val="clustered"/>
        <c:varyColors val="0"/>
        <c:ser>
          <c:idx val="5"/>
          <c:order val="0"/>
          <c:tx>
            <c:strRef>
              <c:f>'[國保(109年).xlsx]2.給付金額(按給付項目分)'!$G$18</c:f>
              <c:strCache>
                <c:ptCount val="1"/>
                <c:pt idx="0">
                  <c:v>總    計</c:v>
                </c:pt>
              </c:strCache>
            </c:strRef>
          </c:tx>
          <c:spPr>
            <a:noFill/>
          </c:spPr>
          <c:invertIfNegative val="0"/>
          <c:cat>
            <c:strRef>
              <c:f>'[國保(109年).xlsx]2.給付金額(按給付項目分)'!$A$21:$A$30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'[國保(109年).xlsx]2.給付金額(按給付項目分)'!$G$21:$G$30</c:f>
              <c:numCache>
                <c:formatCode>#,##0_);[Red]\(#,##0\)</c:formatCode>
                <c:ptCount val="10"/>
                <c:pt idx="0">
                  <c:v>326898</c:v>
                </c:pt>
                <c:pt idx="1">
                  <c:v>445953</c:v>
                </c:pt>
                <c:pt idx="2">
                  <c:v>554262</c:v>
                </c:pt>
                <c:pt idx="3">
                  <c:v>669542</c:v>
                </c:pt>
                <c:pt idx="4">
                  <c:v>780971</c:v>
                </c:pt>
                <c:pt idx="5">
                  <c:v>908604</c:v>
                </c:pt>
                <c:pt idx="6">
                  <c:v>1023031</c:v>
                </c:pt>
                <c:pt idx="7">
                  <c:v>1134897</c:v>
                </c:pt>
                <c:pt idx="8">
                  <c:v>1235674</c:v>
                </c:pt>
                <c:pt idx="9">
                  <c:v>1325708</c:v>
                </c:pt>
              </c:numCache>
            </c:numRef>
          </c:val>
          <c:extLst xmlns:c16r2="http://schemas.microsoft.com/office/drawing/2015/06/chart">
            <c:ext xmlns:c16="http://schemas.microsoft.com/office/drawing/2014/chart" uri="{C3380CC4-5D6E-409C-BE32-E72D297353CC}">
              <c16:uniqueId val="{00000005-A781-4D8E-A7BE-61AC6FE2A14D}"/>
            </c:ext>
          </c:extLst>
        </c:ser>
        <c:ser>
          <c:idx val="0"/>
          <c:order val="1"/>
          <c:tx>
            <c:strRef>
              <c:f>'[國保(109年).xlsx]2.給付金額(按給付項目分)'!$B$18</c:f>
              <c:strCache>
                <c:ptCount val="1"/>
                <c:pt idx="0">
                  <c:v>老年年金給付</c:v>
                </c:pt>
              </c:strCache>
            </c:strRef>
          </c:tx>
          <c:spPr>
            <a:solidFill>
              <a:schemeClr val="accent6"/>
            </a:solidFill>
            <a:effectLst/>
          </c:spPr>
          <c:invertIfNegative val="0"/>
          <c:cat>
            <c:strRef>
              <c:f>'[國保(109年).xlsx]2.給付金額(按給付項目分)'!$A$21:$A$30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'[國保(109年).xlsx]2.給付金額(按給付項目分)'!$B$21:$B$30</c:f>
              <c:numCache>
                <c:formatCode>#,##0_ </c:formatCode>
                <c:ptCount val="10"/>
                <c:pt idx="0">
                  <c:v>271698</c:v>
                </c:pt>
                <c:pt idx="1">
                  <c:v>365483</c:v>
                </c:pt>
                <c:pt idx="2">
                  <c:v>466600</c:v>
                </c:pt>
                <c:pt idx="3">
                  <c:v>571334</c:v>
                </c:pt>
                <c:pt idx="4">
                  <c:v>675649</c:v>
                </c:pt>
                <c:pt idx="5">
                  <c:v>791022</c:v>
                </c:pt>
                <c:pt idx="6">
                  <c:v>901854</c:v>
                </c:pt>
                <c:pt idx="7">
                  <c:v>1007715</c:v>
                </c:pt>
                <c:pt idx="8">
                  <c:v>1102473</c:v>
                </c:pt>
                <c:pt idx="9">
                  <c:v>1189171</c:v>
                </c:pt>
              </c:numCache>
            </c:numRef>
          </c:val>
          <c:extLst xmlns:c16r2="http://schemas.microsoft.com/office/drawing/2015/06/chart">
            <c:ext xmlns:c16="http://schemas.microsoft.com/office/drawing/2014/chart" uri="{C3380CC4-5D6E-409C-BE32-E72D297353CC}">
              <c16:uniqueId val="{00000000-A781-4D8E-A7BE-61AC6FE2A14D}"/>
            </c:ext>
          </c:extLst>
        </c:ser>
        <c:ser>
          <c:idx val="4"/>
          <c:order val="2"/>
          <c:tx>
            <c:strRef>
              <c:f>'[國保(109年).xlsx]2.給付金額(按給付項目分)'!$F$18</c:f>
              <c:strCache>
                <c:ptCount val="1"/>
                <c:pt idx="0">
                  <c:v>遺屬年金給付</c:v>
                </c:pt>
              </c:strCache>
            </c:strRef>
          </c:tx>
          <c:spPr>
            <a:solidFill>
              <a:schemeClr val="tx2">
                <a:lumMod val="60000"/>
                <a:lumOff val="40000"/>
              </a:schemeClr>
            </a:solidFill>
          </c:spPr>
          <c:invertIfNegative val="0"/>
          <c:cat>
            <c:strRef>
              <c:f>'[國保(109年).xlsx]2.給付金額(按給付項目分)'!$A$21:$A$30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'[國保(109年).xlsx]2.給付金額(按給付項目分)'!$F$21:$F$30</c:f>
              <c:numCache>
                <c:formatCode>#,##0_ </c:formatCode>
                <c:ptCount val="10"/>
                <c:pt idx="0">
                  <c:v>27519</c:v>
                </c:pt>
                <c:pt idx="1">
                  <c:v>37649</c:v>
                </c:pt>
                <c:pt idx="2">
                  <c:v>46793</c:v>
                </c:pt>
                <c:pt idx="3">
                  <c:v>55936</c:v>
                </c:pt>
                <c:pt idx="4">
                  <c:v>64848</c:v>
                </c:pt>
                <c:pt idx="5">
                  <c:v>72838</c:v>
                </c:pt>
                <c:pt idx="6">
                  <c:v>79943</c:v>
                </c:pt>
                <c:pt idx="7">
                  <c:v>86730</c:v>
                </c:pt>
                <c:pt idx="8">
                  <c:v>94161</c:v>
                </c:pt>
                <c:pt idx="9">
                  <c:v>101111</c:v>
                </c:pt>
              </c:numCache>
            </c:numRef>
          </c:val>
          <c:extLst xmlns:c16r2="http://schemas.microsoft.com/office/drawing/2015/06/chart">
            <c:ext xmlns:c16="http://schemas.microsoft.com/office/drawing/2014/chart" uri="{C3380CC4-5D6E-409C-BE32-E72D297353CC}">
              <c16:uniqueId val="{00000004-A781-4D8E-A7BE-61AC6FE2A14D}"/>
            </c:ext>
          </c:extLst>
        </c:ser>
        <c:ser>
          <c:idx val="1"/>
          <c:order val="3"/>
          <c:tx>
            <c:strRef>
              <c:f>'[國保(109年).xlsx]2.給付金額(按給付項目分)'!$C$18</c:f>
              <c:strCache>
                <c:ptCount val="1"/>
                <c:pt idx="0">
                  <c:v>生育給付</c:v>
                </c:pt>
              </c:strCache>
            </c:strRef>
          </c:tx>
          <c:spPr>
            <a:solidFill>
              <a:schemeClr val="accent6">
                <a:lumMod val="40000"/>
                <a:lumOff val="60000"/>
              </a:schemeClr>
            </a:solidFill>
          </c:spPr>
          <c:invertIfNegative val="0"/>
          <c:cat>
            <c:strRef>
              <c:f>'[國保(109年).xlsx]2.給付金額(按給付項目分)'!$A$21:$A$30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'[國保(109年).xlsx]2.給付金額(按給付項目分)'!$C$21:$C$30</c:f>
              <c:numCache>
                <c:formatCode>#,##0_ </c:formatCode>
                <c:ptCount val="10"/>
                <c:pt idx="0">
                  <c:v>5170</c:v>
                </c:pt>
                <c:pt idx="1">
                  <c:v>19720</c:v>
                </c:pt>
                <c:pt idx="2">
                  <c:v>17606</c:v>
                </c:pt>
                <c:pt idx="3">
                  <c:v>18676</c:v>
                </c:pt>
                <c:pt idx="4">
                  <c:v>17194</c:v>
                </c:pt>
                <c:pt idx="5">
                  <c:v>21668</c:v>
                </c:pt>
                <c:pt idx="6">
                  <c:v>19901</c:v>
                </c:pt>
                <c:pt idx="7">
                  <c:v>20231</c:v>
                </c:pt>
                <c:pt idx="8">
                  <c:v>19109</c:v>
                </c:pt>
                <c:pt idx="9">
                  <c:v>16784</c:v>
                </c:pt>
              </c:numCache>
            </c:numRef>
          </c:val>
          <c:extLst xmlns:c16r2="http://schemas.microsoft.com/office/drawing/2015/06/chart">
            <c:ext xmlns:c16="http://schemas.microsoft.com/office/drawing/2014/chart" uri="{C3380CC4-5D6E-409C-BE32-E72D297353CC}">
              <c16:uniqueId val="{00000001-A781-4D8E-A7BE-61AC6FE2A14D}"/>
            </c:ext>
          </c:extLst>
        </c:ser>
        <c:ser>
          <c:idx val="3"/>
          <c:order val="4"/>
          <c:tx>
            <c:strRef>
              <c:f>'[國保(109年).xlsx]2.給付金額(按給付項目分)'!$E$18</c:f>
              <c:strCache>
                <c:ptCount val="1"/>
                <c:pt idx="0">
                  <c:v>喪葬給付</c:v>
                </c:pt>
              </c:strCache>
            </c:strRef>
          </c:tx>
          <c:invertIfNegative val="0"/>
          <c:cat>
            <c:strRef>
              <c:f>'[國保(109年).xlsx]2.給付金額(按給付項目分)'!$A$21:$A$30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'[國保(109年).xlsx]2.給付金額(按給付項目分)'!$E$21:$E$30</c:f>
              <c:numCache>
                <c:formatCode>#,##0_ </c:formatCode>
                <c:ptCount val="10"/>
                <c:pt idx="0">
                  <c:v>19270</c:v>
                </c:pt>
                <c:pt idx="1">
                  <c:v>18859</c:v>
                </c:pt>
                <c:pt idx="2">
                  <c:v>18328</c:v>
                </c:pt>
                <c:pt idx="3">
                  <c:v>18132</c:v>
                </c:pt>
                <c:pt idx="4">
                  <c:v>17372</c:v>
                </c:pt>
                <c:pt idx="5">
                  <c:v>16693</c:v>
                </c:pt>
                <c:pt idx="6">
                  <c:v>14581</c:v>
                </c:pt>
                <c:pt idx="7">
                  <c:v>12979</c:v>
                </c:pt>
                <c:pt idx="8">
                  <c:v>12279</c:v>
                </c:pt>
                <c:pt idx="9">
                  <c:v>10727</c:v>
                </c:pt>
              </c:numCache>
            </c:numRef>
          </c:val>
          <c:extLst xmlns:c16r2="http://schemas.microsoft.com/office/drawing/2015/06/chart">
            <c:ext xmlns:c16="http://schemas.microsoft.com/office/drawing/2014/chart" uri="{C3380CC4-5D6E-409C-BE32-E72D297353CC}">
              <c16:uniqueId val="{00000003-A781-4D8E-A7BE-61AC6FE2A14D}"/>
            </c:ext>
          </c:extLst>
        </c:ser>
        <c:ser>
          <c:idx val="2"/>
          <c:order val="5"/>
          <c:tx>
            <c:strRef>
              <c:f>'[國保(109年).xlsx]2.給付金額(按給付項目分)'!$D$18</c:f>
              <c:strCache>
                <c:ptCount val="1"/>
                <c:pt idx="0">
                  <c:v>身心障礙年金給付</c:v>
                </c:pt>
              </c:strCache>
            </c:strRef>
          </c:tx>
          <c:invertIfNegative val="0"/>
          <c:cat>
            <c:strRef>
              <c:f>'[國保(109年).xlsx]2.給付金額(按給付項目分)'!$A$21:$A$30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'[國保(109年).xlsx]2.給付金額(按給付項目分)'!$D$21:$D$30</c:f>
              <c:numCache>
                <c:formatCode>#,##0_ </c:formatCode>
                <c:ptCount val="10"/>
                <c:pt idx="0">
                  <c:v>3241</c:v>
                </c:pt>
                <c:pt idx="1">
                  <c:v>4242</c:v>
                </c:pt>
                <c:pt idx="2">
                  <c:v>4935</c:v>
                </c:pt>
                <c:pt idx="3">
                  <c:v>5464</c:v>
                </c:pt>
                <c:pt idx="4">
                  <c:v>5908</c:v>
                </c:pt>
                <c:pt idx="5">
                  <c:v>6383</c:v>
                </c:pt>
                <c:pt idx="6">
                  <c:v>6752</c:v>
                </c:pt>
                <c:pt idx="7">
                  <c:v>7242</c:v>
                </c:pt>
                <c:pt idx="8">
                  <c:v>7652</c:v>
                </c:pt>
                <c:pt idx="9">
                  <c:v>7915</c:v>
                </c:pt>
              </c:numCache>
            </c:numRef>
          </c:val>
          <c:extLst xmlns:c16r2="http://schemas.microsoft.com/office/drawing/2015/06/chart">
            <c:ext xmlns:c16="http://schemas.microsoft.com/office/drawing/2014/chart" uri="{C3380CC4-5D6E-409C-BE32-E72D297353CC}">
              <c16:uniqueId val="{00000002-A781-4D8E-A7BE-61AC6FE2A14D}"/>
            </c:ext>
          </c:extLst>
        </c:ser>
        <c:dLbls>
          <c:showLegendKey val="0"/>
          <c:showVal val="0"/>
          <c:showCatName val="0"/>
          <c:showSerName val="0"/>
          <c:showPercent val="0"/>
          <c:showBubbleSize val="0"/>
        </c:dLbls>
        <c:gapWidth val="150"/>
        <c:axId val="142132736"/>
        <c:axId val="283374080"/>
      </c:barChart>
      <c:catAx>
        <c:axId val="142132736"/>
        <c:scaling>
          <c:orientation val="minMax"/>
        </c:scaling>
        <c:delete val="1"/>
        <c:axPos val="b"/>
        <c:numFmt formatCode="General" sourceLinked="0"/>
        <c:majorTickMark val="out"/>
        <c:minorTickMark val="none"/>
        <c:tickLblPos val="nextTo"/>
        <c:crossAx val="283374080"/>
        <c:crosses val="autoZero"/>
        <c:auto val="1"/>
        <c:lblAlgn val="ctr"/>
        <c:lblOffset val="100"/>
        <c:noMultiLvlLbl val="0"/>
      </c:catAx>
      <c:valAx>
        <c:axId val="283374080"/>
        <c:scaling>
          <c:orientation val="minMax"/>
          <c:max val="1200000"/>
        </c:scaling>
        <c:delete val="0"/>
        <c:axPos val="l"/>
        <c:numFmt formatCode="#,##0_);[Red]\(#,##0\)" sourceLinked="1"/>
        <c:majorTickMark val="out"/>
        <c:minorTickMark val="none"/>
        <c:tickLblPos val="nextTo"/>
        <c:crossAx val="142132736"/>
        <c:crosses val="autoZero"/>
        <c:crossBetween val="between"/>
      </c:valAx>
      <c:dTable>
        <c:showHorzBorder val="1"/>
        <c:showVertBorder val="1"/>
        <c:showOutline val="1"/>
        <c:showKeys val="1"/>
        <c:txPr>
          <a:bodyPr/>
          <a:lstStyle/>
          <a:p>
            <a:pPr rtl="0">
              <a:defRPr sz="820"/>
            </a:pPr>
            <a:endParaRPr lang="zh-TW"/>
          </a:p>
        </c:txPr>
      </c:dTable>
    </c:plotArea>
    <c:plotVisOnly val="1"/>
    <c:dispBlanksAs val="gap"/>
    <c:showDLblsOverMax val="0"/>
  </c:chart>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51983685576566"/>
          <c:y val="5.1400554097404488E-2"/>
          <c:w val="0.72617303633517472"/>
          <c:h val="0.48389879736001001"/>
        </c:manualLayout>
      </c:layout>
      <c:lineChart>
        <c:grouping val="standard"/>
        <c:varyColors val="0"/>
        <c:ser>
          <c:idx val="5"/>
          <c:order val="0"/>
          <c:tx>
            <c:strRef>
              <c:f>'[國保(109年).xlsx]2.給付金額(按給付項目分)'!$O$3</c:f>
              <c:strCache>
                <c:ptCount val="1"/>
                <c:pt idx="0">
                  <c:v>總計</c:v>
                </c:pt>
              </c:strCache>
            </c:strRef>
          </c:tx>
          <c:spPr>
            <a:ln>
              <a:prstDash val="sysDash"/>
            </a:ln>
          </c:spPr>
          <c:marker>
            <c:symbol val="none"/>
          </c:marker>
          <c:dLbls>
            <c:dLbl>
              <c:idx val="9"/>
              <c:layout>
                <c:manualLayout>
                  <c:x val="-3.084425976672845E-5"/>
                  <c:y val="-2.71952212869942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8AB-49A1-9938-A8E950F629C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'[國保(109年).xlsx]2.給付金額(按給付項目分)'!$I$6:$I$15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'[國保(109年).xlsx]2.給付金額(按給付項目分)'!$O$6:$O$15</c:f>
              <c:numCache>
                <c:formatCode>#,##0.0_);[Red]\(#,##0.0\)</c:formatCode>
                <c:ptCount val="10"/>
                <c:pt idx="0">
                  <c:v>112.07140431000001</c:v>
                </c:pt>
                <c:pt idx="1">
                  <c:v>170.84580041999999</c:v>
                </c:pt>
                <c:pt idx="2">
                  <c:v>222.55032704999999</c:v>
                </c:pt>
                <c:pt idx="3">
                  <c:v>270.12737634000001</c:v>
                </c:pt>
                <c:pt idx="4">
                  <c:v>322.67215304000001</c:v>
                </c:pt>
                <c:pt idx="5">
                  <c:v>391.77989298</c:v>
                </c:pt>
                <c:pt idx="6">
                  <c:v>448.91625690000001</c:v>
                </c:pt>
                <c:pt idx="7">
                  <c:v>502.62919514999999</c:v>
                </c:pt>
                <c:pt idx="8">
                  <c:v>549.99182838000002</c:v>
                </c:pt>
                <c:pt idx="9">
                  <c:v>602.85781063000002</c:v>
                </c:pt>
              </c:numCache>
            </c:numRef>
          </c:val>
          <c:smooth val="0"/>
          <c:extLst xmlns:c16r2="http://schemas.microsoft.com/office/drawing/2015/06/chart">
            <c:ext xmlns:c16="http://schemas.microsoft.com/office/drawing/2014/chart" uri="{C3380CC4-5D6E-409C-BE32-E72D297353CC}">
              <c16:uniqueId val="{00000007-58AB-49A1-9938-A8E950F629CA}"/>
            </c:ext>
          </c:extLst>
        </c:ser>
        <c:ser>
          <c:idx val="0"/>
          <c:order val="1"/>
          <c:tx>
            <c:strRef>
              <c:f>'[國保(109年).xlsx]2.給付金額(按給付項目分)'!$J$3</c:f>
              <c:strCache>
                <c:ptCount val="1"/>
                <c:pt idx="0">
                  <c:v>老年年金給付</c:v>
                </c:pt>
              </c:strCache>
            </c:strRef>
          </c:tx>
          <c:spPr>
            <a:ln>
              <a:solidFill>
                <a:schemeClr val="accent5">
                  <a:lumMod val="75000"/>
                </a:schemeClr>
              </a:solidFill>
            </a:ln>
          </c:spPr>
          <c:marker>
            <c:symbol val="none"/>
          </c:marker>
          <c:dLbls>
            <c:dLbl>
              <c:idx val="9"/>
              <c:layout>
                <c:manualLayout>
                  <c:x val="0"/>
                  <c:y val="2.95566502463054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8AB-49A1-9938-A8E950F629C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'[國保(109年).xlsx]2.給付金額(按給付項目分)'!$I$6:$I$15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'[國保(109年).xlsx]2.給付金額(按給付項目分)'!$J$6:$J$15</c:f>
              <c:numCache>
                <c:formatCode>#,##0.0_);[Red]\(#,##0.0\)</c:formatCode>
                <c:ptCount val="10"/>
                <c:pt idx="0">
                  <c:v>84.097747470000002</c:v>
                </c:pt>
                <c:pt idx="1">
                  <c:v>133.9193439</c:v>
                </c:pt>
                <c:pt idx="2">
                  <c:v>181.71100916</c:v>
                </c:pt>
                <c:pt idx="3">
                  <c:v>224.92557747999999</c:v>
                </c:pt>
                <c:pt idx="4">
                  <c:v>273.42429367</c:v>
                </c:pt>
                <c:pt idx="5">
                  <c:v>333.94963878999999</c:v>
                </c:pt>
                <c:pt idx="6">
                  <c:v>389.08076523</c:v>
                </c:pt>
                <c:pt idx="7">
                  <c:v>440.44717209999999</c:v>
                </c:pt>
                <c:pt idx="8">
                  <c:v>484.63280205000001</c:v>
                </c:pt>
                <c:pt idx="9">
                  <c:v>533.55671802999996</c:v>
                </c:pt>
              </c:numCache>
            </c:numRef>
          </c:val>
          <c:smooth val="0"/>
          <c:extLst xmlns:c16r2="http://schemas.microsoft.com/office/drawing/2015/06/chart">
            <c:ext xmlns:c16="http://schemas.microsoft.com/office/drawing/2014/chart" uri="{C3380CC4-5D6E-409C-BE32-E72D297353CC}">
              <c16:uniqueId val="{00000001-58AB-49A1-9938-A8E950F629CA}"/>
            </c:ext>
          </c:extLst>
        </c:ser>
        <c:ser>
          <c:idx val="4"/>
          <c:order val="2"/>
          <c:tx>
            <c:strRef>
              <c:f>'[國保(109年).xlsx]2.給付金額(按給付項目分)'!$N$3</c:f>
              <c:strCache>
                <c:ptCount val="1"/>
                <c:pt idx="0">
                  <c:v>遺屬年金給付</c:v>
                </c:pt>
              </c:strCache>
            </c:strRef>
          </c:tx>
          <c:spPr>
            <a:ln>
              <a:prstDash val="sysDot"/>
            </a:ln>
          </c:spPr>
          <c:marker>
            <c:symbol val="none"/>
          </c:marker>
          <c:cat>
            <c:strRef>
              <c:f>'[國保(109年).xlsx]2.給付金額(按給付項目分)'!$I$6:$I$15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'[國保(109年).xlsx]2.給付金額(按給付項目分)'!$N$6:$N$15</c:f>
              <c:numCache>
                <c:formatCode>#,##0.0_);[Red]\(#,##0.0\)</c:formatCode>
                <c:ptCount val="10"/>
                <c:pt idx="0">
                  <c:v>9.2860274999999994</c:v>
                </c:pt>
                <c:pt idx="1">
                  <c:v>15.33496875</c:v>
                </c:pt>
                <c:pt idx="2">
                  <c:v>19.731368830000001</c:v>
                </c:pt>
                <c:pt idx="3">
                  <c:v>23.829732079999999</c:v>
                </c:pt>
                <c:pt idx="4">
                  <c:v>27.762016750000001</c:v>
                </c:pt>
                <c:pt idx="5">
                  <c:v>32.79651484</c:v>
                </c:pt>
                <c:pt idx="6">
                  <c:v>36.478328580000003</c:v>
                </c:pt>
                <c:pt idx="7">
                  <c:v>39.868086679999998</c:v>
                </c:pt>
                <c:pt idx="8">
                  <c:v>43.877591440000003</c:v>
                </c:pt>
                <c:pt idx="9">
                  <c:v>49.78076171</c:v>
                </c:pt>
              </c:numCache>
            </c:numRef>
          </c:val>
          <c:smooth val="0"/>
          <c:extLst xmlns:c16r2="http://schemas.microsoft.com/office/drawing/2015/06/chart">
            <c:ext xmlns:c16="http://schemas.microsoft.com/office/drawing/2014/chart" uri="{C3380CC4-5D6E-409C-BE32-E72D297353CC}">
              <c16:uniqueId val="{00000005-58AB-49A1-9938-A8E950F629CA}"/>
            </c:ext>
          </c:extLst>
        </c:ser>
        <c:ser>
          <c:idx val="3"/>
          <c:order val="3"/>
          <c:tx>
            <c:strRef>
              <c:f>'[國保(109年).xlsx]2.給付金額(按給付項目分)'!$M$3</c:f>
              <c:strCache>
                <c:ptCount val="1"/>
                <c:pt idx="0">
                  <c:v>喪葬給付</c:v>
                </c:pt>
              </c:strCache>
            </c:strRef>
          </c:tx>
          <c:spPr>
            <a:ln>
              <a:prstDash val="dashDot"/>
            </a:ln>
          </c:spPr>
          <c:marker>
            <c:symbol val="none"/>
          </c:marker>
          <c:cat>
            <c:strRef>
              <c:f>'[國保(109年).xlsx]2.給付金額(按給付項目分)'!$I$6:$I$15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'[國保(109年).xlsx]2.給付金額(按給付項目分)'!$M$6:$M$15</c:f>
              <c:numCache>
                <c:formatCode>#,##0.0_);[Red]\(#,##0.0\)</c:formatCode>
                <c:ptCount val="10"/>
                <c:pt idx="0">
                  <c:v>16.650144000000001</c:v>
                </c:pt>
                <c:pt idx="1">
                  <c:v>16.294176</c:v>
                </c:pt>
                <c:pt idx="2">
                  <c:v>15.836256000000001</c:v>
                </c:pt>
                <c:pt idx="3">
                  <c:v>15.667776</c:v>
                </c:pt>
                <c:pt idx="4">
                  <c:v>15.7495353</c:v>
                </c:pt>
                <c:pt idx="5">
                  <c:v>15.2480493</c:v>
                </c:pt>
                <c:pt idx="6">
                  <c:v>13.3225803</c:v>
                </c:pt>
                <c:pt idx="7">
                  <c:v>11.859144000000001</c:v>
                </c:pt>
                <c:pt idx="8">
                  <c:v>11.2223802</c:v>
                </c:pt>
                <c:pt idx="9">
                  <c:v>9.7915386000000009</c:v>
                </c:pt>
              </c:numCache>
            </c:numRef>
          </c:val>
          <c:smooth val="0"/>
          <c:extLst xmlns:c16r2="http://schemas.microsoft.com/office/drawing/2015/06/chart">
            <c:ext xmlns:c16="http://schemas.microsoft.com/office/drawing/2014/chart" uri="{C3380CC4-5D6E-409C-BE32-E72D297353CC}">
              <c16:uniqueId val="{00000004-58AB-49A1-9938-A8E950F629CA}"/>
            </c:ext>
          </c:extLst>
        </c:ser>
        <c:ser>
          <c:idx val="1"/>
          <c:order val="4"/>
          <c:tx>
            <c:strRef>
              <c:f>'[國保(109年).xlsx]2.給付金額(按給付項目分)'!$K$3</c:f>
              <c:strCache>
                <c:ptCount val="1"/>
                <c:pt idx="0">
                  <c:v>生育給付</c:v>
                </c:pt>
              </c:strCache>
            </c:strRef>
          </c:tx>
          <c:marker>
            <c:symbol val="none"/>
          </c:marker>
          <c:cat>
            <c:strRef>
              <c:f>'[國保(109年).xlsx]2.給付金額(按給付項目分)'!$I$6:$I$15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'[國保(109年).xlsx]2.給付金額(按給付項目分)'!$K$6:$K$15</c:f>
              <c:numCache>
                <c:formatCode>#,##0.0_);[Red]\(#,##0.0\)</c:formatCode>
                <c:ptCount val="10"/>
                <c:pt idx="0">
                  <c:v>0.92378879999999997</c:v>
                </c:pt>
                <c:pt idx="1">
                  <c:v>3.5069759999999999</c:v>
                </c:pt>
                <c:pt idx="2">
                  <c:v>3.1192128000000001</c:v>
                </c:pt>
                <c:pt idx="3">
                  <c:v>3.3013439999999998</c:v>
                </c:pt>
                <c:pt idx="4">
                  <c:v>3.16191486</c:v>
                </c:pt>
                <c:pt idx="5">
                  <c:v>6.91497984</c:v>
                </c:pt>
                <c:pt idx="6">
                  <c:v>7.0127434199999996</c:v>
                </c:pt>
                <c:pt idx="7">
                  <c:v>7.2730154999999996</c:v>
                </c:pt>
                <c:pt idx="8">
                  <c:v>6.9308975999999998</c:v>
                </c:pt>
                <c:pt idx="9">
                  <c:v>6.1770618600000002</c:v>
                </c:pt>
              </c:numCache>
            </c:numRef>
          </c:val>
          <c:smooth val="0"/>
          <c:extLst xmlns:c16r2="http://schemas.microsoft.com/office/drawing/2015/06/chart">
            <c:ext xmlns:c16="http://schemas.microsoft.com/office/drawing/2014/chart" uri="{C3380CC4-5D6E-409C-BE32-E72D297353CC}">
              <c16:uniqueId val="{00000002-58AB-49A1-9938-A8E950F629CA}"/>
            </c:ext>
          </c:extLst>
        </c:ser>
        <c:ser>
          <c:idx val="2"/>
          <c:order val="5"/>
          <c:tx>
            <c:strRef>
              <c:f>'[國保(109年).xlsx]2.給付金額(按給付項目分)'!$L$3</c:f>
              <c:strCache>
                <c:ptCount val="1"/>
                <c:pt idx="0">
                  <c:v>身心障礙年金給付</c:v>
                </c:pt>
              </c:strCache>
            </c:strRef>
          </c:tx>
          <c:spPr>
            <a:ln>
              <a:prstDash val="lgDash"/>
            </a:ln>
          </c:spPr>
          <c:marker>
            <c:symbol val="none"/>
          </c:marker>
          <c:cat>
            <c:strRef>
              <c:f>'[國保(109年).xlsx]2.給付金額(按給付項目分)'!$I$6:$I$15</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'[國保(109年).xlsx]2.給付金額(按給付項目分)'!$L$6:$L$15</c:f>
              <c:numCache>
                <c:formatCode>#,##0.0_);[Red]\(#,##0.0\)</c:formatCode>
                <c:ptCount val="10"/>
                <c:pt idx="0">
                  <c:v>1.1136965400000001</c:v>
                </c:pt>
                <c:pt idx="1">
                  <c:v>1.79033577</c:v>
                </c:pt>
                <c:pt idx="2">
                  <c:v>2.1524802599999999</c:v>
                </c:pt>
                <c:pt idx="3">
                  <c:v>2.4029467800000002</c:v>
                </c:pt>
                <c:pt idx="4">
                  <c:v>2.5743924599999999</c:v>
                </c:pt>
                <c:pt idx="5">
                  <c:v>2.8707102099999999</c:v>
                </c:pt>
                <c:pt idx="6">
                  <c:v>3.0218393699999999</c:v>
                </c:pt>
                <c:pt idx="7">
                  <c:v>3.1817768700000002</c:v>
                </c:pt>
                <c:pt idx="8">
                  <c:v>3.3281570899999999</c:v>
                </c:pt>
                <c:pt idx="9">
                  <c:v>3.5517304300000001</c:v>
                </c:pt>
              </c:numCache>
            </c:numRef>
          </c:val>
          <c:smooth val="0"/>
          <c:extLst xmlns:c16r2="http://schemas.microsoft.com/office/drawing/2015/06/chart">
            <c:ext xmlns:c16="http://schemas.microsoft.com/office/drawing/2014/chart" uri="{C3380CC4-5D6E-409C-BE32-E72D297353CC}">
              <c16:uniqueId val="{00000003-58AB-49A1-9938-A8E950F629CA}"/>
            </c:ext>
          </c:extLst>
        </c:ser>
        <c:dLbls>
          <c:showLegendKey val="0"/>
          <c:showVal val="0"/>
          <c:showCatName val="0"/>
          <c:showSerName val="0"/>
          <c:showPercent val="0"/>
          <c:showBubbleSize val="0"/>
        </c:dLbls>
        <c:marker val="1"/>
        <c:smooth val="0"/>
        <c:axId val="292082176"/>
        <c:axId val="283376960"/>
      </c:lineChart>
      <c:catAx>
        <c:axId val="292082176"/>
        <c:scaling>
          <c:orientation val="minMax"/>
        </c:scaling>
        <c:delete val="0"/>
        <c:axPos val="b"/>
        <c:numFmt formatCode="General" sourceLinked="0"/>
        <c:majorTickMark val="out"/>
        <c:minorTickMark val="none"/>
        <c:tickLblPos val="nextTo"/>
        <c:crossAx val="283376960"/>
        <c:crosses val="autoZero"/>
        <c:auto val="1"/>
        <c:lblAlgn val="ctr"/>
        <c:lblOffset val="100"/>
        <c:noMultiLvlLbl val="0"/>
      </c:catAx>
      <c:valAx>
        <c:axId val="283376960"/>
        <c:scaling>
          <c:orientation val="minMax"/>
        </c:scaling>
        <c:delete val="0"/>
        <c:axPos val="l"/>
        <c:numFmt formatCode="#,##0.0_);[Red]\(#,##0.0\)" sourceLinked="1"/>
        <c:majorTickMark val="out"/>
        <c:minorTickMark val="none"/>
        <c:tickLblPos val="nextTo"/>
        <c:crossAx val="292082176"/>
        <c:crosses val="autoZero"/>
        <c:crossBetween val="between"/>
      </c:valAx>
      <c:dTable>
        <c:showHorzBorder val="1"/>
        <c:showVertBorder val="1"/>
        <c:showOutline val="1"/>
        <c:showKeys val="1"/>
        <c:txPr>
          <a:bodyPr/>
          <a:lstStyle/>
          <a:p>
            <a:pPr rtl="0">
              <a:defRPr sz="900"/>
            </a:pPr>
            <a:endParaRPr lang="zh-TW"/>
          </a:p>
        </c:txPr>
      </c:dTable>
    </c:plotArea>
    <c:plotVisOnly val="1"/>
    <c:dispBlanksAs val="gap"/>
    <c:showDLblsOverMax val="0"/>
  </c:chart>
  <c:externalData r:id="rId1">
    <c:autoUpdate val="0"/>
  </c:externalData>
  <c:userShapes r:id="rId2"/>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10354140515046"/>
          <c:y val="0.16289552347623215"/>
          <c:w val="0.70448856936361215"/>
          <c:h val="0.71739792942548852"/>
        </c:manualLayout>
      </c:layout>
      <c:barChart>
        <c:barDir val="col"/>
        <c:grouping val="clustered"/>
        <c:varyColors val="0"/>
        <c:ser>
          <c:idx val="1"/>
          <c:order val="1"/>
          <c:tx>
            <c:strRef>
              <c:f>'3.2基金運用收益'!$C$19</c:f>
              <c:strCache>
                <c:ptCount val="1"/>
                <c:pt idx="0">
                  <c:v>收益率</c:v>
                </c:pt>
              </c:strCache>
            </c:strRef>
          </c:tx>
          <c:spPr>
            <a:solidFill>
              <a:schemeClr val="accent2">
                <a:lumMod val="60000"/>
                <a:lumOff val="40000"/>
              </a:schemeClr>
            </a:solidFill>
          </c:spPr>
          <c:invertIfNegative val="0"/>
          <c:dLbls>
            <c:dLbl>
              <c:idx val="8"/>
              <c:layout>
                <c:manualLayout>
                  <c:x val="1.3466502076085655E-2"/>
                  <c:y val="6.90697172458450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8DF-4011-8E19-89A882402963}"/>
                </c:ext>
              </c:extLst>
            </c:dLbl>
            <c:dLbl>
              <c:idx val="9"/>
              <c:layout>
                <c:manualLayout>
                  <c:x val="1.122208506340478E-3"/>
                  <c:y val="7.5545173192655898E-2"/>
                </c:manualLayout>
              </c:layout>
              <c:spPr>
                <a:noFill/>
                <a:ln>
                  <a:noFill/>
                </a:ln>
                <a:effectLst/>
              </c:spPr>
              <c:txPr>
                <a:bodyPr wrap="square" lIns="38100" tIns="19050" rIns="38100" bIns="19050" anchor="ctr">
                  <a:noAutofit/>
                </a:bodyPr>
                <a:lstStyle/>
                <a:p>
                  <a:pPr>
                    <a:defRPr b="1"/>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3114216967969342E-2"/>
                      <c:h val="7.8588557608800944E-2"/>
                    </c:manualLayout>
                  </c15:layout>
                </c:ext>
                <c:ext xmlns:c16="http://schemas.microsoft.com/office/drawing/2014/chart" uri="{C3380CC4-5D6E-409C-BE32-E72D297353CC}">
                  <c16:uniqueId val="{00000005-E8DF-4011-8E19-89A882402963}"/>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'3.2基金運用收益'!$A$23:$A$32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'3.2基金運用收益'!$C$23:$C$32</c:f>
              <c:numCache>
                <c:formatCode>0.0_ </c:formatCode>
                <c:ptCount val="10"/>
                <c:pt idx="0">
                  <c:v>-3.66</c:v>
                </c:pt>
                <c:pt idx="1">
                  <c:v>5.0599999999999996</c:v>
                </c:pt>
                <c:pt idx="2">
                  <c:v>4.0599999999999996</c:v>
                </c:pt>
                <c:pt idx="3">
                  <c:v>6.05</c:v>
                </c:pt>
                <c:pt idx="4">
                  <c:v>-0.45</c:v>
                </c:pt>
                <c:pt idx="5">
                  <c:v>4.26</c:v>
                </c:pt>
                <c:pt idx="6">
                  <c:v>8</c:v>
                </c:pt>
                <c:pt idx="7">
                  <c:v>-2.2999999999999998</c:v>
                </c:pt>
                <c:pt idx="8">
                  <c:v>12</c:v>
                </c:pt>
                <c:pt idx="9">
                  <c:v>8.8000000000000007</c:v>
                </c:pt>
              </c:numCache>
            </c:numRef>
          </c:val>
          <c:extLst xmlns:c16r2="http://schemas.microsoft.com/office/drawing/2015/06/chart">
            <c:ext xmlns:c16="http://schemas.microsoft.com/office/drawing/2014/chart" uri="{C3380CC4-5D6E-409C-BE32-E72D297353CC}">
              <c16:uniqueId val="{00000000-E8DF-4011-8E19-89A882402963}"/>
            </c:ext>
          </c:extLst>
        </c:ser>
        <c:dLbls>
          <c:showLegendKey val="0"/>
          <c:showVal val="0"/>
          <c:showCatName val="0"/>
          <c:showSerName val="0"/>
          <c:showPercent val="0"/>
          <c:showBubbleSize val="0"/>
        </c:dLbls>
        <c:gapWidth val="150"/>
        <c:axId val="292081664"/>
        <c:axId val="285435008"/>
      </c:barChart>
      <c:lineChart>
        <c:grouping val="standard"/>
        <c:varyColors val="0"/>
        <c:ser>
          <c:idx val="0"/>
          <c:order val="0"/>
          <c:tx>
            <c:strRef>
              <c:f>'3.2基金運用收益'!$B$19</c:f>
              <c:strCache>
                <c:ptCount val="1"/>
                <c:pt idx="0">
                  <c:v>收益數</c:v>
                </c:pt>
              </c:strCache>
            </c:strRef>
          </c:tx>
          <c:marker>
            <c:symbol val="none"/>
          </c:marker>
          <c:dLbls>
            <c:dLbl>
              <c:idx val="8"/>
              <c:layout>
                <c:manualLayout>
                  <c:x val="-4.039950622825729E-2"/>
                  <c:y val="-3.4534858622922514E-2"/>
                </c:manualLayout>
              </c:layout>
              <c:spPr>
                <a:noFill/>
                <a:ln>
                  <a:noFill/>
                </a:ln>
                <a:effectLst/>
              </c:spPr>
              <c:txPr>
                <a:bodyPr wrap="square" lIns="38100" tIns="19050" rIns="38100" bIns="19050" anchor="ctr">
                  <a:spAutoFit/>
                </a:bodyPr>
                <a:lstStyle/>
                <a:p>
                  <a:pPr>
                    <a:defRPr b="0"/>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DF-4011-8E19-89A882402963}"/>
                </c:ext>
              </c:extLst>
            </c:dLbl>
            <c:dLbl>
              <c:idx val="9"/>
              <c:layout>
                <c:manualLayout>
                  <c:x val="-3.8155089215576254E-2"/>
                  <c:y val="-4.7485430606518456E-2"/>
                </c:manualLayout>
              </c:layout>
              <c:spPr>
                <a:noFill/>
                <a:ln>
                  <a:noFill/>
                </a:ln>
                <a:effectLst/>
              </c:spPr>
              <c:txPr>
                <a:bodyPr wrap="square" lIns="38100" tIns="19050" rIns="38100" bIns="19050" anchor="ctr">
                  <a:spAutoFit/>
                </a:bodyPr>
                <a:lstStyle/>
                <a:p>
                  <a:pPr>
                    <a:defRPr b="0"/>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8DF-4011-8E19-89A882402963}"/>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'3.2基金運用收益'!$A$23:$A$32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'3.2基金運用收益'!$B$23:$B$32</c:f>
              <c:numCache>
                <c:formatCode>#,##0.0</c:formatCode>
                <c:ptCount val="10"/>
                <c:pt idx="0">
                  <c:v>-36.093932860000002</c:v>
                </c:pt>
                <c:pt idx="1">
                  <c:v>59.554676960000002</c:v>
                </c:pt>
                <c:pt idx="2">
                  <c:v>61.139883439999998</c:v>
                </c:pt>
                <c:pt idx="3">
                  <c:v>106.47136994</c:v>
                </c:pt>
                <c:pt idx="4">
                  <c:v>-9.5797656199999999</c:v>
                </c:pt>
                <c:pt idx="5">
                  <c:v>99.465762609999999</c:v>
                </c:pt>
                <c:pt idx="6">
                  <c:v>212.21005452</c:v>
                </c:pt>
                <c:pt idx="7">
                  <c:v>-68.502559660000003</c:v>
                </c:pt>
                <c:pt idx="8">
                  <c:v>389.57829466999999</c:v>
                </c:pt>
                <c:pt idx="9">
                  <c:v>319.38438155</c:v>
                </c:pt>
              </c:numCache>
            </c:numRef>
          </c:val>
          <c:smooth val="0"/>
          <c:extLst xmlns:c16r2="http://schemas.microsoft.com/office/drawing/2015/06/chart">
            <c:ext xmlns:c16="http://schemas.microsoft.com/office/drawing/2014/chart" uri="{C3380CC4-5D6E-409C-BE32-E72D297353CC}">
              <c16:uniqueId val="{00000001-E8DF-4011-8E19-89A882402963}"/>
            </c:ext>
          </c:extLst>
        </c:ser>
        <c:dLbls>
          <c:showLegendKey val="0"/>
          <c:showVal val="0"/>
          <c:showCatName val="0"/>
          <c:showSerName val="0"/>
          <c:showPercent val="0"/>
          <c:showBubbleSize val="0"/>
        </c:dLbls>
        <c:marker val="1"/>
        <c:smooth val="0"/>
        <c:axId val="292084736"/>
        <c:axId val="285435584"/>
      </c:lineChart>
      <c:catAx>
        <c:axId val="292081664"/>
        <c:scaling>
          <c:orientation val="minMax"/>
        </c:scaling>
        <c:delete val="0"/>
        <c:axPos val="b"/>
        <c:numFmt formatCode="General" sourceLinked="0"/>
        <c:majorTickMark val="out"/>
        <c:minorTickMark val="none"/>
        <c:tickLblPos val="low"/>
        <c:txPr>
          <a:bodyPr/>
          <a:lstStyle/>
          <a:p>
            <a:pPr>
              <a:defRPr b="0"/>
            </a:pPr>
            <a:endParaRPr lang="zh-TW"/>
          </a:p>
        </c:txPr>
        <c:crossAx val="285435008"/>
        <c:crosses val="autoZero"/>
        <c:auto val="1"/>
        <c:lblAlgn val="ctr"/>
        <c:lblOffset val="100"/>
        <c:noMultiLvlLbl val="0"/>
      </c:catAx>
      <c:valAx>
        <c:axId val="285435008"/>
        <c:scaling>
          <c:orientation val="minMax"/>
        </c:scaling>
        <c:delete val="0"/>
        <c:axPos val="l"/>
        <c:numFmt formatCode="0.0_ " sourceLinked="1"/>
        <c:majorTickMark val="out"/>
        <c:minorTickMark val="none"/>
        <c:tickLblPos val="nextTo"/>
        <c:txPr>
          <a:bodyPr/>
          <a:lstStyle/>
          <a:p>
            <a:pPr>
              <a:defRPr b="0"/>
            </a:pPr>
            <a:endParaRPr lang="zh-TW"/>
          </a:p>
        </c:txPr>
        <c:crossAx val="292081664"/>
        <c:crosses val="autoZero"/>
        <c:crossBetween val="between"/>
      </c:valAx>
      <c:valAx>
        <c:axId val="285435584"/>
        <c:scaling>
          <c:orientation val="minMax"/>
          <c:max val="400"/>
          <c:min val="-160"/>
        </c:scaling>
        <c:delete val="0"/>
        <c:axPos val="r"/>
        <c:numFmt formatCode="#,##0.0" sourceLinked="1"/>
        <c:majorTickMark val="out"/>
        <c:minorTickMark val="none"/>
        <c:tickLblPos val="nextTo"/>
        <c:txPr>
          <a:bodyPr/>
          <a:lstStyle/>
          <a:p>
            <a:pPr>
              <a:defRPr b="0"/>
            </a:pPr>
            <a:endParaRPr lang="zh-TW"/>
          </a:p>
        </c:txPr>
        <c:crossAx val="292084736"/>
        <c:crosses val="max"/>
        <c:crossBetween val="between"/>
        <c:majorUnit val="80"/>
      </c:valAx>
      <c:catAx>
        <c:axId val="292084736"/>
        <c:scaling>
          <c:orientation val="minMax"/>
        </c:scaling>
        <c:delete val="1"/>
        <c:axPos val="b"/>
        <c:numFmt formatCode="General" sourceLinked="1"/>
        <c:majorTickMark val="out"/>
        <c:minorTickMark val="none"/>
        <c:tickLblPos val="nextTo"/>
        <c:crossAx val="285435584"/>
        <c:crosses val="autoZero"/>
        <c:auto val="1"/>
        <c:lblAlgn val="ctr"/>
        <c:lblOffset val="100"/>
        <c:noMultiLvlLbl val="0"/>
      </c:catAx>
    </c:plotArea>
    <c:legend>
      <c:legendPos val="t"/>
      <c:layout>
        <c:manualLayout>
          <c:xMode val="edge"/>
          <c:yMode val="edge"/>
          <c:x val="0.23397796687970057"/>
          <c:y val="3.9191965886629807E-2"/>
          <c:w val="0.49238974612478376"/>
          <c:h val="6.7247725495822877E-2"/>
        </c:manualLayout>
      </c:layout>
      <c:overlay val="0"/>
      <c:txPr>
        <a:bodyPr/>
        <a:lstStyle/>
        <a:p>
          <a:pPr>
            <a:defRPr b="0">
              <a:latin typeface="微軟正黑體" pitchFamily="34" charset="-120"/>
              <a:ea typeface="微軟正黑體" pitchFamily="34" charset="-120"/>
            </a:defRPr>
          </a:pPr>
          <a:endParaRPr lang="zh-TW"/>
        </a:p>
      </c:txPr>
    </c:legend>
    <c:plotVisOnly val="1"/>
    <c:dispBlanksAs val="gap"/>
    <c:showDLblsOverMax val="0"/>
  </c:chart>
  <c:txPr>
    <a:bodyPr/>
    <a:lstStyle/>
    <a:p>
      <a:pPr>
        <a:defRPr b="1"/>
      </a:pPr>
      <a:endParaRPr lang="zh-TW"/>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微軟正黑體" pitchFamily="34" charset="-120"/>
                <a:ea typeface="微軟正黑體" pitchFamily="34" charset="-120"/>
              </a:defRPr>
            </a:pPr>
            <a:r>
              <a:rPr lang="zh-TW">
                <a:latin typeface="微軟正黑體" pitchFamily="34" charset="-120"/>
                <a:ea typeface="微軟正黑體" pitchFamily="34" charset="-120"/>
              </a:rPr>
              <a:t>老年一次</a:t>
            </a:r>
            <a:r>
              <a:rPr lang="zh-TW" altLang="en-US">
                <a:solidFill>
                  <a:sysClr val="windowText" lastClr="000000"/>
                </a:solidFill>
                <a:latin typeface="微軟正黑體" pitchFamily="34" charset="-120"/>
                <a:ea typeface="微軟正黑體" pitchFamily="34" charset="-120"/>
              </a:rPr>
              <a:t>給付</a:t>
            </a:r>
            <a:r>
              <a:rPr lang="zh-TW">
                <a:latin typeface="微軟正黑體" pitchFamily="34" charset="-120"/>
                <a:ea typeface="微軟正黑體" pitchFamily="34" charset="-120"/>
              </a:rPr>
              <a:t>平均領取金額</a:t>
            </a:r>
            <a:r>
              <a:rPr lang="en-US">
                <a:latin typeface="微軟正黑體" pitchFamily="34" charset="-120"/>
                <a:ea typeface="微軟正黑體" pitchFamily="34" charset="-120"/>
              </a:rPr>
              <a:t>(109</a:t>
            </a:r>
            <a:r>
              <a:rPr lang="zh-TW">
                <a:latin typeface="微軟正黑體" pitchFamily="34" charset="-120"/>
                <a:ea typeface="微軟正黑體" pitchFamily="34" charset="-120"/>
              </a:rPr>
              <a:t>年</a:t>
            </a:r>
            <a:r>
              <a:rPr lang="en-US">
                <a:latin typeface="微軟正黑體" pitchFamily="34" charset="-120"/>
                <a:ea typeface="微軟正黑體" pitchFamily="34" charset="-120"/>
              </a:rPr>
              <a:t>)</a:t>
            </a:r>
            <a:endParaRPr lang="zh-TW">
              <a:latin typeface="微軟正黑體" pitchFamily="34" charset="-120"/>
              <a:ea typeface="微軟正黑體" pitchFamily="34" charset="-120"/>
            </a:endParaRPr>
          </a:p>
        </c:rich>
      </c:tx>
      <c:overlay val="0"/>
    </c:title>
    <c:autoTitleDeleted val="0"/>
    <c:plotArea>
      <c:layout>
        <c:manualLayout>
          <c:layoutTarget val="inner"/>
          <c:xMode val="edge"/>
          <c:yMode val="edge"/>
          <c:x val="0.23395414114902305"/>
          <c:y val="0.29231573093977353"/>
          <c:w val="0.75214001895596383"/>
          <c:h val="0.6358300259288171"/>
        </c:manualLayout>
      </c:layout>
      <c:barChart>
        <c:barDir val="bar"/>
        <c:grouping val="clustered"/>
        <c:varyColors val="0"/>
        <c:ser>
          <c:idx val="0"/>
          <c:order val="0"/>
          <c:tx>
            <c:strRef>
              <c:f>工作表1!$A$2</c:f>
              <c:strCache>
                <c:ptCount val="1"/>
                <c:pt idx="0">
                  <c:v>一次金</c:v>
                </c:pt>
              </c:strCache>
            </c:strRef>
          </c:tx>
          <c:spPr>
            <a:solidFill>
              <a:schemeClr val="accent6">
                <a:lumMod val="75000"/>
              </a:schemeClr>
            </a:solidFill>
          </c:spPr>
          <c:invertIfNegative val="0"/>
          <c:dPt>
            <c:idx val="0"/>
            <c:invertIfNegative val="0"/>
            <c:bubble3D val="0"/>
            <c:spPr>
              <a:solidFill>
                <a:schemeClr val="accent6">
                  <a:lumMod val="60000"/>
                  <a:lumOff val="40000"/>
                </a:schemeClr>
              </a:solidFill>
            </c:spPr>
          </c:dPt>
          <c:dPt>
            <c:idx val="1"/>
            <c:invertIfNegative val="0"/>
            <c:bubble3D val="0"/>
            <c:spPr>
              <a:solidFill>
                <a:schemeClr val="accent2">
                  <a:lumMod val="60000"/>
                  <a:lumOff val="40000"/>
                </a:schemeClr>
              </a:solidFill>
              <a:ln w="63500">
                <a:noFill/>
              </a:ln>
            </c:spPr>
          </c:dPt>
          <c:cat>
            <c:strRef>
              <c:f>工作表1!$B$1:$C$1</c:f>
              <c:strCache>
                <c:ptCount val="2"/>
                <c:pt idx="0">
                  <c:v>勞工保險</c:v>
                </c:pt>
                <c:pt idx="1">
                  <c:v>公教人員保險</c:v>
                </c:pt>
              </c:strCache>
            </c:strRef>
          </c:cat>
          <c:val>
            <c:numRef>
              <c:f>工作表1!$B$2:$C$2</c:f>
              <c:numCache>
                <c:formatCode>#,##0_ </c:formatCode>
                <c:ptCount val="2"/>
                <c:pt idx="0">
                  <c:v>1403673</c:v>
                </c:pt>
                <c:pt idx="1">
                  <c:v>1518007</c:v>
                </c:pt>
              </c:numCache>
            </c:numRef>
          </c:val>
        </c:ser>
        <c:dLbls>
          <c:showLegendKey val="0"/>
          <c:showVal val="0"/>
          <c:showCatName val="0"/>
          <c:showSerName val="0"/>
          <c:showPercent val="0"/>
          <c:showBubbleSize val="0"/>
        </c:dLbls>
        <c:gapWidth val="38"/>
        <c:overlap val="-19"/>
        <c:axId val="257591808"/>
        <c:axId val="318476224"/>
      </c:barChart>
      <c:catAx>
        <c:axId val="257591808"/>
        <c:scaling>
          <c:orientation val="minMax"/>
        </c:scaling>
        <c:delete val="0"/>
        <c:axPos val="l"/>
        <c:majorTickMark val="out"/>
        <c:minorTickMark val="none"/>
        <c:tickLblPos val="nextTo"/>
        <c:spPr>
          <a:ln>
            <a:noFill/>
          </a:ln>
        </c:spPr>
        <c:txPr>
          <a:bodyPr/>
          <a:lstStyle/>
          <a:p>
            <a:pPr>
              <a:defRPr>
                <a:latin typeface="微軟正黑體" pitchFamily="34" charset="-120"/>
                <a:ea typeface="微軟正黑體" pitchFamily="34" charset="-120"/>
              </a:defRPr>
            </a:pPr>
            <a:endParaRPr lang="zh-TW"/>
          </a:p>
        </c:txPr>
        <c:crossAx val="318476224"/>
        <c:crosses val="autoZero"/>
        <c:auto val="1"/>
        <c:lblAlgn val="ctr"/>
        <c:lblOffset val="100"/>
        <c:noMultiLvlLbl val="0"/>
      </c:catAx>
      <c:valAx>
        <c:axId val="318476224"/>
        <c:scaling>
          <c:orientation val="minMax"/>
          <c:min val="0"/>
        </c:scaling>
        <c:delete val="1"/>
        <c:axPos val="b"/>
        <c:majorGridlines>
          <c:spPr>
            <a:ln>
              <a:noFill/>
            </a:ln>
          </c:spPr>
        </c:majorGridlines>
        <c:numFmt formatCode="#,##0_ " sourceLinked="1"/>
        <c:majorTickMark val="out"/>
        <c:minorTickMark val="none"/>
        <c:tickLblPos val="none"/>
        <c:crossAx val="257591808"/>
        <c:crosses val="autoZero"/>
        <c:crossBetween val="between"/>
      </c:valAx>
    </c:plotArea>
    <c:plotVisOnly val="1"/>
    <c:dispBlanksAs val="gap"/>
    <c:showDLblsOverMax val="0"/>
  </c:chart>
  <c:spPr>
    <a:ln w="6350">
      <a:solidFill>
        <a:schemeClr val="bg1">
          <a:lumMod val="50000"/>
        </a:schemeClr>
      </a:solidFill>
    </a:ln>
  </c:spPr>
  <c:txPr>
    <a:bodyPr/>
    <a:lstStyle/>
    <a:p>
      <a:pPr>
        <a:defRPr sz="1000"/>
      </a:pPr>
      <a:endParaRPr lang="zh-TW"/>
    </a:p>
  </c:txPr>
  <c:externalData r:id="rId1">
    <c:autoUpdate val="0"/>
  </c:externalData>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998085001874168"/>
          <c:y val="0.27233458281898143"/>
          <c:w val="0.72063037249283668"/>
          <c:h val="0.7000374953130859"/>
        </c:manualLayout>
      </c:layout>
      <c:pie3DChart>
        <c:varyColors val="1"/>
        <c:ser>
          <c:idx val="0"/>
          <c:order val="0"/>
          <c:explosion val="25"/>
          <c:dPt>
            <c:idx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4871-4949-9429-17FA6BE5FA02}"/>
              </c:ext>
            </c:extLst>
          </c:dPt>
          <c:dPt>
            <c:idx val="1"/>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3-4871-4949-9429-17FA6BE5FA02}"/>
              </c:ext>
            </c:extLst>
          </c:dPt>
          <c:dPt>
            <c:idx val="2"/>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5-4871-4949-9429-17FA6BE5FA02}"/>
              </c:ext>
            </c:extLst>
          </c:dPt>
          <c:dPt>
            <c:idx val="3"/>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7-4871-4949-9429-17FA6BE5FA02}"/>
              </c:ext>
            </c:extLst>
          </c:dPt>
          <c:dPt>
            <c:idx val="4"/>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9-4871-4949-9429-17FA6BE5FA02}"/>
              </c:ext>
            </c:extLst>
          </c:dPt>
          <c:dPt>
            <c:idx val="5"/>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B-4871-4949-9429-17FA6BE5FA02}"/>
              </c:ext>
            </c:extLst>
          </c:dPt>
          <c:dPt>
            <c:idx val="6"/>
            <c:bubble3D val="0"/>
            <c:spPr>
              <a:solidFill>
                <a:schemeClr val="accent6"/>
              </a:solidFill>
            </c:spPr>
            <c:extLst xmlns:c16r2="http://schemas.microsoft.com/office/drawing/2015/06/chart">
              <c:ext xmlns:c16="http://schemas.microsoft.com/office/drawing/2014/chart" uri="{C3380CC4-5D6E-409C-BE32-E72D297353CC}">
                <c16:uniqueId val="{0000000D-4871-4949-9429-17FA6BE5FA02}"/>
              </c:ext>
            </c:extLst>
          </c:dPt>
          <c:dPt>
            <c:idx val="7"/>
            <c:bubble3D val="0"/>
            <c:spPr>
              <a:solidFill>
                <a:schemeClr val="accent6"/>
              </a:solidFill>
            </c:spPr>
            <c:extLst xmlns:c16r2="http://schemas.microsoft.com/office/drawing/2015/06/chart">
              <c:ext xmlns:c16="http://schemas.microsoft.com/office/drawing/2014/chart" uri="{C3380CC4-5D6E-409C-BE32-E72D297353CC}">
                <c16:uniqueId val="{0000000F-4871-4949-9429-17FA6BE5FA02}"/>
              </c:ext>
            </c:extLst>
          </c:dPt>
          <c:dLbls>
            <c:dLbl>
              <c:idx val="0"/>
              <c:layout>
                <c:manualLayout>
                  <c:x val="-7.3805058167542445E-2"/>
                  <c:y val="-1.6160215075833616E-2"/>
                </c:manualLayout>
              </c:layout>
              <c:tx>
                <c:rich>
                  <a:bodyPr/>
                  <a:lstStyle/>
                  <a:p>
                    <a:r>
                      <a:rPr lang="zh-TW" altLang="en-US" sz="1000" b="0"/>
                      <a:t>轉存金融機構</a:t>
                    </a:r>
                    <a:r>
                      <a:rPr lang="en-US" altLang="zh-TW" sz="1000" b="0"/>
                      <a:t>, 421.0</a:t>
                    </a:r>
                    <a:r>
                      <a:rPr lang="zh-TW" altLang="en-US" sz="1000" b="0"/>
                      <a:t>億元</a:t>
                    </a:r>
                    <a:r>
                      <a:rPr lang="en-US" altLang="zh-TW" sz="1000" b="0"/>
                      <a:t>, </a:t>
                    </a:r>
                  </a:p>
                  <a:p>
                    <a:r>
                      <a:rPr lang="en-US" altLang="zh-TW" sz="1000" b="0"/>
                      <a:t>10.1%</a:t>
                    </a:r>
                    <a:endParaRPr lang="zh-TW" altLang="en-US" b="1"/>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71-4949-9429-17FA6BE5FA02}"/>
                </c:ext>
              </c:extLst>
            </c:dLbl>
            <c:dLbl>
              <c:idx val="1"/>
              <c:layout>
                <c:manualLayout>
                  <c:x val="-6.8041313350855944E-3"/>
                  <c:y val="-0.15459629534013167"/>
                </c:manualLayout>
              </c:layout>
              <c:tx>
                <c:rich>
                  <a:bodyPr/>
                  <a:lstStyle/>
                  <a:p>
                    <a:r>
                      <a:rPr lang="zh-TW" altLang="en-US" sz="1000" b="0"/>
                      <a:t>政策性貸款</a:t>
                    </a:r>
                    <a:r>
                      <a:rPr lang="en-US" altLang="zh-TW" sz="1000" b="0"/>
                      <a:t>, </a:t>
                    </a:r>
                  </a:p>
                  <a:p>
                    <a:r>
                      <a:rPr lang="en-US" altLang="zh-TW" sz="1000" b="0"/>
                      <a:t>265.5</a:t>
                    </a:r>
                    <a:r>
                      <a:rPr lang="zh-TW" altLang="en-US" sz="1000" b="0"/>
                      <a:t>億元</a:t>
                    </a:r>
                    <a:r>
                      <a:rPr lang="en-US" altLang="zh-TW" sz="1000" b="0"/>
                      <a:t>, </a:t>
                    </a:r>
                  </a:p>
                  <a:p>
                    <a:r>
                      <a:rPr lang="en-US" altLang="zh-TW" sz="1000" b="0"/>
                      <a:t>6.4%</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71-4949-9429-17FA6BE5FA02}"/>
                </c:ext>
              </c:extLst>
            </c:dLbl>
            <c:dLbl>
              <c:idx val="2"/>
              <c:layout>
                <c:manualLayout>
                  <c:x val="7.9695499877070725E-2"/>
                  <c:y val="-7.2340350448872881E-2"/>
                </c:manualLayout>
              </c:layout>
              <c:tx>
                <c:rich>
                  <a:bodyPr/>
                  <a:lstStyle/>
                  <a:p>
                    <a:r>
                      <a:rPr lang="zh-TW" altLang="en-US" sz="1000" b="0"/>
                      <a:t>短期票券</a:t>
                    </a:r>
                    <a:r>
                      <a:rPr lang="en-US" altLang="zh-TW" sz="1000" b="0"/>
                      <a:t>, </a:t>
                    </a:r>
                  </a:p>
                  <a:p>
                    <a:r>
                      <a:rPr lang="en-US" altLang="zh-TW" sz="1000" b="0"/>
                      <a:t>76.7</a:t>
                    </a:r>
                    <a:r>
                      <a:rPr lang="zh-TW" altLang="en-US" sz="1000" b="0"/>
                      <a:t>億元</a:t>
                    </a:r>
                    <a:r>
                      <a:rPr lang="en-US" altLang="zh-TW" sz="1000" b="0"/>
                      <a:t>, </a:t>
                    </a:r>
                  </a:p>
                  <a:p>
                    <a:r>
                      <a:rPr lang="en-US" altLang="zh-TW" sz="1000" b="0"/>
                      <a:t>1.8%</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71-4949-9429-17FA6BE5FA02}"/>
                </c:ext>
              </c:extLst>
            </c:dLbl>
            <c:dLbl>
              <c:idx val="3"/>
              <c:layout>
                <c:manualLayout>
                  <c:x val="2.6706233013985899E-2"/>
                  <c:y val="0.11226844725028232"/>
                </c:manualLayout>
              </c:layout>
              <c:tx>
                <c:rich>
                  <a:bodyPr/>
                  <a:lstStyle/>
                  <a:p>
                    <a:r>
                      <a:rPr lang="zh-TW" altLang="en-US" sz="1000" b="0"/>
                      <a:t>公債、公司債</a:t>
                    </a:r>
                    <a:endParaRPr lang="en-US" altLang="zh-TW" sz="1000" b="0"/>
                  </a:p>
                  <a:p>
                    <a:r>
                      <a:rPr lang="zh-TW" altLang="en-US" sz="1000" b="0"/>
                      <a:t>及金融債券</a:t>
                    </a:r>
                    <a:r>
                      <a:rPr lang="en-US" altLang="zh-TW" sz="1000" b="0"/>
                      <a:t>, </a:t>
                    </a:r>
                  </a:p>
                  <a:p>
                    <a:r>
                      <a:rPr lang="en-US" altLang="zh-TW" sz="1000" b="0"/>
                      <a:t>366.6</a:t>
                    </a:r>
                    <a:r>
                      <a:rPr lang="zh-TW" altLang="en-US" sz="1000" b="0"/>
                      <a:t>億元</a:t>
                    </a:r>
                    <a:r>
                      <a:rPr lang="en-US" altLang="zh-TW" sz="1000" b="0"/>
                      <a:t>, </a:t>
                    </a:r>
                  </a:p>
                  <a:p>
                    <a:r>
                      <a:rPr lang="en-US" altLang="zh-TW" sz="1000" b="0"/>
                      <a:t>8.8%</a:t>
                    </a:r>
                    <a:endParaRPr lang="zh-TW" altLang="en-US"/>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71-4949-9429-17FA6BE5FA02}"/>
                </c:ext>
              </c:extLst>
            </c:dLbl>
            <c:dLbl>
              <c:idx val="4"/>
              <c:layout>
                <c:manualLayout>
                  <c:x val="-0.15210987126509212"/>
                  <c:y val="-0.16834235544191048"/>
                </c:manualLayout>
              </c:layout>
              <c:tx>
                <c:rich>
                  <a:bodyPr/>
                  <a:lstStyle/>
                  <a:p>
                    <a:r>
                      <a:rPr lang="zh-TW" altLang="en-US" sz="1000" b="0"/>
                      <a:t>股票及受益</a:t>
                    </a:r>
                    <a:endParaRPr lang="en-US" altLang="zh-TW" sz="1000" b="0"/>
                  </a:p>
                  <a:p>
                    <a:r>
                      <a:rPr lang="zh-TW" altLang="en-US" sz="1000" b="0"/>
                      <a:t>憑證投資</a:t>
                    </a:r>
                    <a:r>
                      <a:rPr lang="en-US" altLang="zh-TW" sz="1000" b="0"/>
                      <a:t>, </a:t>
                    </a:r>
                  </a:p>
                  <a:p>
                    <a:r>
                      <a:rPr lang="en-US" altLang="zh-TW" sz="1000" b="0"/>
                      <a:t>780.5</a:t>
                    </a:r>
                    <a:r>
                      <a:rPr lang="zh-TW" altLang="en-US" sz="1000" b="0"/>
                      <a:t>億元</a:t>
                    </a:r>
                    <a:r>
                      <a:rPr lang="en-US" altLang="zh-TW" sz="1000" b="0"/>
                      <a:t>, </a:t>
                    </a:r>
                  </a:p>
                  <a:p>
                    <a:r>
                      <a:rPr lang="en-US" altLang="zh-TW" sz="1000" b="0"/>
                      <a:t>18.7%</a:t>
                    </a:r>
                    <a:endParaRPr lang="zh-TW" altLang="en-US" b="1"/>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871-4949-9429-17FA6BE5FA02}"/>
                </c:ext>
              </c:extLst>
            </c:dLbl>
            <c:dLbl>
              <c:idx val="5"/>
              <c:layout>
                <c:manualLayout>
                  <c:x val="0.1427045107773845"/>
                  <c:y val="-0.18040292149955331"/>
                </c:manualLayout>
              </c:layout>
              <c:tx>
                <c:rich>
                  <a:bodyPr/>
                  <a:lstStyle/>
                  <a:p>
                    <a:r>
                      <a:rPr lang="zh-TW" altLang="en-US" sz="1000" b="0"/>
                      <a:t>國外投資</a:t>
                    </a:r>
                    <a:r>
                      <a:rPr lang="en-US" altLang="zh-TW" sz="1000" b="0"/>
                      <a:t>, </a:t>
                    </a:r>
                  </a:p>
                  <a:p>
                    <a:r>
                      <a:rPr lang="en-US" altLang="zh-TW" sz="1000" b="0"/>
                      <a:t>1,015.1</a:t>
                    </a:r>
                    <a:r>
                      <a:rPr lang="zh-TW" altLang="en-US" sz="1000" b="0"/>
                      <a:t>億元</a:t>
                    </a:r>
                    <a:r>
                      <a:rPr lang="en-US" altLang="zh-TW" sz="1000" b="0"/>
                      <a:t>, 24.3%</a:t>
                    </a:r>
                    <a:endParaRPr lang="zh-TW" altLang="en-US" b="1"/>
                  </a:p>
                </c:rich>
              </c:tx>
              <c:dLblPos val="bestFit"/>
              <c:showLegendKey val="0"/>
              <c:showVal val="1"/>
              <c:showCatName val="1"/>
              <c:showSerName val="0"/>
              <c:showPercent val="1"/>
              <c:showBubbleSize val="0"/>
            </c:dLbl>
            <c:dLbl>
              <c:idx val="6"/>
              <c:layout>
                <c:manualLayout>
                  <c:x val="-1.8212809774341091E-2"/>
                  <c:y val="-4.4184200335613787E-2"/>
                </c:manualLayout>
              </c:layout>
              <c:tx>
                <c:rich>
                  <a:bodyPr/>
                  <a:lstStyle/>
                  <a:p>
                    <a:r>
                      <a:rPr lang="zh-TW" altLang="en-US" sz="1000" b="0" baseline="0"/>
                      <a:t>國內委託經營</a:t>
                    </a:r>
                    <a:r>
                      <a:rPr lang="en-US" altLang="zh-TW" sz="1000" b="0" baseline="0"/>
                      <a:t>, 301.7</a:t>
                    </a:r>
                    <a:r>
                      <a:rPr lang="zh-TW" altLang="en-US" sz="1000" b="0" baseline="0"/>
                      <a:t>億元</a:t>
                    </a:r>
                    <a:r>
                      <a:rPr lang="en-US" altLang="zh-TW" sz="1000" b="0" baseline="0"/>
                      <a:t>,</a:t>
                    </a:r>
                  </a:p>
                  <a:p>
                    <a:r>
                      <a:rPr lang="en-US" altLang="zh-TW" sz="1000" b="0" baseline="0"/>
                      <a:t> 7.2%</a:t>
                    </a:r>
                    <a:endParaRPr lang="en-US" altLang="zh-TW" baseline="0"/>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871-4949-9429-17FA6BE5FA02}"/>
                </c:ext>
              </c:extLst>
            </c:dLbl>
            <c:dLbl>
              <c:idx val="7"/>
              <c:layout>
                <c:manualLayout>
                  <c:x val="-3.4353433161606182E-2"/>
                  <c:y val="1.0908093455531211E-2"/>
                </c:manualLayout>
              </c:layout>
              <c:tx>
                <c:rich>
                  <a:bodyPr/>
                  <a:lstStyle/>
                  <a:p>
                    <a:r>
                      <a:rPr lang="zh-TW" altLang="en-US" sz="1000" b="0" baseline="0"/>
                      <a:t>國外委託經營</a:t>
                    </a:r>
                    <a:r>
                      <a:rPr lang="en-US" altLang="zh-TW" sz="1000" b="0" baseline="0"/>
                      <a:t>,</a:t>
                    </a:r>
                    <a:r>
                      <a:rPr lang="zh-TW" altLang="en-US" sz="1000" b="0" baseline="0"/>
                      <a:t> </a:t>
                    </a:r>
                    <a:r>
                      <a:rPr lang="en-US" altLang="zh-TW" sz="1000" b="0" baseline="0"/>
                      <a:t>950.5</a:t>
                    </a:r>
                    <a:r>
                      <a:rPr lang="zh-TW" altLang="en-US" sz="1000" b="0" baseline="0"/>
                      <a:t>億元</a:t>
                    </a:r>
                    <a:r>
                      <a:rPr lang="en-US" altLang="zh-TW" sz="1000" b="0" baseline="0"/>
                      <a:t>,</a:t>
                    </a:r>
                  </a:p>
                  <a:p>
                    <a:r>
                      <a:rPr lang="en-US" altLang="zh-TW" sz="1000" b="0" baseline="0"/>
                      <a:t>22.8%</a:t>
                    </a:r>
                    <a:endParaRPr lang="en-US" altLang="zh-TW" baseline="0"/>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871-4949-9429-17FA6BE5FA02}"/>
                </c:ext>
              </c:extLst>
            </c:dLbl>
            <c:numFmt formatCode="0.0%" sourceLinked="0"/>
            <c:spPr>
              <a:noFill/>
              <a:ln>
                <a:noFill/>
              </a:ln>
              <a:effectLst/>
            </c:spPr>
            <c:txPr>
              <a:bodyPr/>
              <a:lstStyle/>
              <a:p>
                <a:pPr>
                  <a:lnSpc>
                    <a:spcPts val="1500"/>
                  </a:lnSpc>
                  <a:defRPr sz="1000" b="0">
                    <a:latin typeface="微軟正黑體" panose="020B0604030504040204" pitchFamily="34" charset="-120"/>
                    <a:ea typeface="微軟正黑體" panose="020B0604030504040204" pitchFamily="34" charset="-120"/>
                  </a:defRPr>
                </a:pPr>
                <a:endParaRPr lang="zh-TW"/>
              </a:p>
            </c:txPr>
            <c:dLblPos val="bestFit"/>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'3.3基金資產配置'!$B$19:$I$19</c:f>
              <c:strCache>
                <c:ptCount val="8"/>
                <c:pt idx="0">
                  <c:v>轉存金融機構</c:v>
                </c:pt>
                <c:pt idx="1">
                  <c:v>政策性貸款</c:v>
                </c:pt>
                <c:pt idx="2">
                  <c:v>短期票券</c:v>
                </c:pt>
                <c:pt idx="3">
                  <c:v>公債、公司債及金融債券</c:v>
                </c:pt>
                <c:pt idx="4">
                  <c:v>股票及受益憑證投資</c:v>
                </c:pt>
                <c:pt idx="5">
                  <c:v>國外投資</c:v>
                </c:pt>
                <c:pt idx="6">
                  <c:v>國內委託經營</c:v>
                </c:pt>
                <c:pt idx="7">
                  <c:v>國外委託經營</c:v>
                </c:pt>
              </c:strCache>
            </c:strRef>
          </c:cat>
          <c:val>
            <c:numRef>
              <c:f>'3.3基金資產配置'!$B$20:$I$20</c:f>
              <c:numCache>
                <c:formatCode>#,##0.0</c:formatCode>
                <c:ptCount val="8"/>
                <c:pt idx="0">
                  <c:v>421.04865991999998</c:v>
                </c:pt>
                <c:pt idx="1">
                  <c:v>265.51397976999999</c:v>
                </c:pt>
                <c:pt idx="2">
                  <c:v>76.712132249999996</c:v>
                </c:pt>
                <c:pt idx="3">
                  <c:v>366.63666118999998</c:v>
                </c:pt>
                <c:pt idx="4">
                  <c:v>780.53660070000001</c:v>
                </c:pt>
                <c:pt idx="5">
                  <c:v>1015.06678697</c:v>
                </c:pt>
                <c:pt idx="6">
                  <c:v>301.65166790000001</c:v>
                </c:pt>
                <c:pt idx="7">
                  <c:v>950.46014069</c:v>
                </c:pt>
              </c:numCache>
            </c:numRef>
          </c:val>
          <c:extLst xmlns:c16r2="http://schemas.microsoft.com/office/drawing/2015/06/chart">
            <c:ext xmlns:c16="http://schemas.microsoft.com/office/drawing/2014/chart" uri="{C3380CC4-5D6E-409C-BE32-E72D297353CC}">
              <c16:uniqueId val="{00000010-4871-4949-9429-17FA6BE5FA02}"/>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userShapes r:id="rId2"/>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75610887851827"/>
          <c:y val="5.1400554097404488E-2"/>
          <c:w val="0.83239269528607962"/>
          <c:h val="0.75947799854550668"/>
        </c:manualLayout>
      </c:layout>
      <c:lineChart>
        <c:grouping val="standard"/>
        <c:varyColors val="0"/>
        <c:ser>
          <c:idx val="0"/>
          <c:order val="0"/>
          <c:tx>
            <c:v>全體平均</c:v>
          </c:tx>
          <c:spPr>
            <a:ln>
              <a:solidFill>
                <a:schemeClr val="accent3">
                  <a:shade val="95000"/>
                  <a:satMod val="105000"/>
                </a:schemeClr>
              </a:solidFill>
            </a:ln>
          </c:spPr>
          <c:marker>
            <c:symbol val="none"/>
          </c:marker>
          <c:dLbls>
            <c:dLbl>
              <c:idx val="0"/>
              <c:dLblPos val="ctr"/>
              <c:showLegendKey val="0"/>
              <c:showVal val="1"/>
              <c:showCatName val="0"/>
              <c:showSerName val="0"/>
              <c:showPercent val="0"/>
              <c:showBubbleSize val="0"/>
            </c:dLbl>
            <c:dLbl>
              <c:idx val="33"/>
              <c:layout>
                <c:manualLayout>
                  <c:x val="-6.3911376224968044E-4"/>
                  <c:y val="-2.2766323409068721E-2"/>
                </c:manualLayout>
              </c:layout>
              <c:dLblPos val="r"/>
              <c:showLegendKey val="0"/>
              <c:showVal val="1"/>
              <c:showCatName val="0"/>
              <c:showSerName val="0"/>
              <c:showPercent val="0"/>
              <c:showBubbleSize val="0"/>
            </c:dLbl>
            <c:numFmt formatCode="#,##0.0_);[Red]\(#,##0.0\)" sourceLinked="0"/>
            <c:dLblPos val="ctr"/>
            <c:showLegendKey val="0"/>
            <c:showVal val="0"/>
            <c:showCatName val="0"/>
            <c:showSerName val="0"/>
            <c:showPercent val="0"/>
            <c:showBubbleSize val="0"/>
          </c:dLbls>
          <c:cat>
            <c:strRef>
              <c:f>'2.給付概況(按性別分)'!$A$4:$A$37</c:f>
              <c:strCache>
                <c:ptCount val="34"/>
                <c:pt idx="0">
                  <c:v>76年</c:v>
                </c:pt>
                <c:pt idx="1">
                  <c:v>77年</c:v>
                </c:pt>
                <c:pt idx="2">
                  <c:v>78年</c:v>
                </c:pt>
                <c:pt idx="3">
                  <c:v>79年</c:v>
                </c:pt>
                <c:pt idx="4">
                  <c:v>80年</c:v>
                </c:pt>
                <c:pt idx="5">
                  <c:v>81年</c:v>
                </c:pt>
                <c:pt idx="6">
                  <c:v>82年</c:v>
                </c:pt>
                <c:pt idx="7">
                  <c:v>83年</c:v>
                </c:pt>
                <c:pt idx="8">
                  <c:v>84年</c:v>
                </c:pt>
                <c:pt idx="9">
                  <c:v>85年</c:v>
                </c:pt>
                <c:pt idx="10">
                  <c:v>86年</c:v>
                </c:pt>
                <c:pt idx="11">
                  <c:v>87年</c:v>
                </c:pt>
                <c:pt idx="12">
                  <c:v>88年</c:v>
                </c:pt>
                <c:pt idx="13">
                  <c:v>89年</c:v>
                </c:pt>
                <c:pt idx="14">
                  <c:v>90年</c:v>
                </c:pt>
                <c:pt idx="15">
                  <c:v>91年</c:v>
                </c:pt>
                <c:pt idx="16">
                  <c:v>92年</c:v>
                </c:pt>
                <c:pt idx="17">
                  <c:v>93年</c:v>
                </c:pt>
                <c:pt idx="18">
                  <c:v>94年</c:v>
                </c:pt>
                <c:pt idx="19">
                  <c:v>95年</c:v>
                </c:pt>
                <c:pt idx="20">
                  <c:v>96年</c:v>
                </c:pt>
                <c:pt idx="21">
                  <c:v>97年</c:v>
                </c:pt>
                <c:pt idx="22">
                  <c:v>98年</c:v>
                </c:pt>
                <c:pt idx="23">
                  <c:v>99年</c:v>
                </c:pt>
                <c:pt idx="24">
                  <c:v>100年</c:v>
                </c:pt>
                <c:pt idx="25">
                  <c:v>101年</c:v>
                </c:pt>
                <c:pt idx="26">
                  <c:v>102年</c:v>
                </c:pt>
                <c:pt idx="27">
                  <c:v>103年</c:v>
                </c:pt>
                <c:pt idx="28">
                  <c:v>104年</c:v>
                </c:pt>
                <c:pt idx="29">
                  <c:v>105年</c:v>
                </c:pt>
                <c:pt idx="30">
                  <c:v>106年</c:v>
                </c:pt>
                <c:pt idx="31">
                  <c:v>107年</c:v>
                </c:pt>
                <c:pt idx="32">
                  <c:v>108年</c:v>
                </c:pt>
                <c:pt idx="33">
                  <c:v>109年</c:v>
                </c:pt>
              </c:strCache>
            </c:strRef>
          </c:cat>
          <c:val>
            <c:numRef>
              <c:f>'2.給付概況(按性別分)'!$D$4:$D$37</c:f>
              <c:numCache>
                <c:formatCode>#,##0_ </c:formatCode>
                <c:ptCount val="34"/>
                <c:pt idx="0">
                  <c:v>422916</c:v>
                </c:pt>
                <c:pt idx="1">
                  <c:v>471107</c:v>
                </c:pt>
                <c:pt idx="2">
                  <c:v>535192</c:v>
                </c:pt>
                <c:pt idx="3">
                  <c:v>667130</c:v>
                </c:pt>
                <c:pt idx="4">
                  <c:v>845175</c:v>
                </c:pt>
                <c:pt idx="5">
                  <c:v>805246</c:v>
                </c:pt>
                <c:pt idx="6">
                  <c:v>912748</c:v>
                </c:pt>
                <c:pt idx="7">
                  <c:v>1077443</c:v>
                </c:pt>
                <c:pt idx="8">
                  <c:v>1077816</c:v>
                </c:pt>
                <c:pt idx="9">
                  <c:v>1225906</c:v>
                </c:pt>
                <c:pt idx="10">
                  <c:v>1316035</c:v>
                </c:pt>
                <c:pt idx="11">
                  <c:v>1332764</c:v>
                </c:pt>
                <c:pt idx="12">
                  <c:v>1334020</c:v>
                </c:pt>
                <c:pt idx="13">
                  <c:v>1257976</c:v>
                </c:pt>
                <c:pt idx="14">
                  <c:v>1407673</c:v>
                </c:pt>
                <c:pt idx="15">
                  <c:v>1489778</c:v>
                </c:pt>
                <c:pt idx="16">
                  <c:v>1311301</c:v>
                </c:pt>
                <c:pt idx="17">
                  <c:v>1427321</c:v>
                </c:pt>
                <c:pt idx="18">
                  <c:v>1418307</c:v>
                </c:pt>
                <c:pt idx="19">
                  <c:v>1363042</c:v>
                </c:pt>
                <c:pt idx="20">
                  <c:v>1446929</c:v>
                </c:pt>
                <c:pt idx="21">
                  <c:v>1536709</c:v>
                </c:pt>
                <c:pt idx="22">
                  <c:v>1663368</c:v>
                </c:pt>
                <c:pt idx="23">
                  <c:v>1642202</c:v>
                </c:pt>
                <c:pt idx="24">
                  <c:v>1703296</c:v>
                </c:pt>
                <c:pt idx="25">
                  <c:v>1778313</c:v>
                </c:pt>
                <c:pt idx="26">
                  <c:v>1775605</c:v>
                </c:pt>
                <c:pt idx="27">
                  <c:v>1757769</c:v>
                </c:pt>
                <c:pt idx="28">
                  <c:v>1928952</c:v>
                </c:pt>
                <c:pt idx="29">
                  <c:v>1940901</c:v>
                </c:pt>
                <c:pt idx="30">
                  <c:v>1982998</c:v>
                </c:pt>
                <c:pt idx="31" formatCode="_(* #,##0_);_(* \(#,##0\);_(* &quot;-&quot;_);_(@_)">
                  <c:v>1941136</c:v>
                </c:pt>
                <c:pt idx="32" formatCode="_(* #,##0_);_(* \(#,##0\);_(* &quot;-&quot;_);_(@_)">
                  <c:v>2098852</c:v>
                </c:pt>
                <c:pt idx="33" formatCode="_(* #,##0_);_(* \(#,##0\);_(* &quot;-&quot;_);_(@_)">
                  <c:v>2122117</c:v>
                </c:pt>
              </c:numCache>
            </c:numRef>
          </c:val>
          <c:smooth val="0"/>
        </c:ser>
        <c:ser>
          <c:idx val="1"/>
          <c:order val="1"/>
          <c:tx>
            <c:v>男性</c:v>
          </c:tx>
          <c:spPr>
            <a:ln>
              <a:solidFill>
                <a:schemeClr val="tx2">
                  <a:lumMod val="60000"/>
                  <a:lumOff val="40000"/>
                </a:schemeClr>
              </a:solidFill>
              <a:prstDash val="lgDash"/>
            </a:ln>
          </c:spPr>
          <c:marker>
            <c:symbol val="none"/>
          </c:marker>
          <c:dLbls>
            <c:dLbl>
              <c:idx val="0"/>
              <c:dLblPos val="t"/>
              <c:showLegendKey val="0"/>
              <c:showVal val="1"/>
              <c:showCatName val="0"/>
              <c:showSerName val="0"/>
              <c:showPercent val="0"/>
              <c:showBubbleSize val="0"/>
            </c:dLbl>
            <c:dLbl>
              <c:idx val="29"/>
              <c:delete val="1"/>
            </c:dLbl>
            <c:dLbl>
              <c:idx val="32"/>
              <c:dLblPos val="t"/>
              <c:showLegendKey val="0"/>
              <c:showVal val="1"/>
              <c:showCatName val="0"/>
              <c:showSerName val="0"/>
              <c:showPercent val="0"/>
              <c:showBubbleSize val="0"/>
            </c:dLbl>
            <c:numFmt formatCode="#,##0.0_);[Red]\(#,##0.0\)" sourceLinked="0"/>
            <c:dLblPos val="t"/>
            <c:showLegendKey val="0"/>
            <c:showVal val="0"/>
            <c:showCatName val="0"/>
            <c:showSerName val="0"/>
            <c:showPercent val="0"/>
            <c:showBubbleSize val="0"/>
          </c:dLbls>
          <c:cat>
            <c:strRef>
              <c:f>'2.給付概況(按性別分)'!$A$4:$A$37</c:f>
              <c:strCache>
                <c:ptCount val="34"/>
                <c:pt idx="0">
                  <c:v>76年</c:v>
                </c:pt>
                <c:pt idx="1">
                  <c:v>77年</c:v>
                </c:pt>
                <c:pt idx="2">
                  <c:v>78年</c:v>
                </c:pt>
                <c:pt idx="3">
                  <c:v>79年</c:v>
                </c:pt>
                <c:pt idx="4">
                  <c:v>80年</c:v>
                </c:pt>
                <c:pt idx="5">
                  <c:v>81年</c:v>
                </c:pt>
                <c:pt idx="6">
                  <c:v>82年</c:v>
                </c:pt>
                <c:pt idx="7">
                  <c:v>83年</c:v>
                </c:pt>
                <c:pt idx="8">
                  <c:v>84年</c:v>
                </c:pt>
                <c:pt idx="9">
                  <c:v>85年</c:v>
                </c:pt>
                <c:pt idx="10">
                  <c:v>86年</c:v>
                </c:pt>
                <c:pt idx="11">
                  <c:v>87年</c:v>
                </c:pt>
                <c:pt idx="12">
                  <c:v>88年</c:v>
                </c:pt>
                <c:pt idx="13">
                  <c:v>89年</c:v>
                </c:pt>
                <c:pt idx="14">
                  <c:v>90年</c:v>
                </c:pt>
                <c:pt idx="15">
                  <c:v>91年</c:v>
                </c:pt>
                <c:pt idx="16">
                  <c:v>92年</c:v>
                </c:pt>
                <c:pt idx="17">
                  <c:v>93年</c:v>
                </c:pt>
                <c:pt idx="18">
                  <c:v>94年</c:v>
                </c:pt>
                <c:pt idx="19">
                  <c:v>95年</c:v>
                </c:pt>
                <c:pt idx="20">
                  <c:v>96年</c:v>
                </c:pt>
                <c:pt idx="21">
                  <c:v>97年</c:v>
                </c:pt>
                <c:pt idx="22">
                  <c:v>98年</c:v>
                </c:pt>
                <c:pt idx="23">
                  <c:v>99年</c:v>
                </c:pt>
                <c:pt idx="24">
                  <c:v>100年</c:v>
                </c:pt>
                <c:pt idx="25">
                  <c:v>101年</c:v>
                </c:pt>
                <c:pt idx="26">
                  <c:v>102年</c:v>
                </c:pt>
                <c:pt idx="27">
                  <c:v>103年</c:v>
                </c:pt>
                <c:pt idx="28">
                  <c:v>104年</c:v>
                </c:pt>
                <c:pt idx="29">
                  <c:v>105年</c:v>
                </c:pt>
                <c:pt idx="30">
                  <c:v>106年</c:v>
                </c:pt>
                <c:pt idx="31">
                  <c:v>107年</c:v>
                </c:pt>
                <c:pt idx="32">
                  <c:v>108年</c:v>
                </c:pt>
                <c:pt idx="33">
                  <c:v>109年</c:v>
                </c:pt>
              </c:strCache>
            </c:strRef>
          </c:cat>
          <c:val>
            <c:numRef>
              <c:f>'2.給付概況(按性別分)'!$G$4:$G$37</c:f>
              <c:numCache>
                <c:formatCode>#,##0_ </c:formatCode>
                <c:ptCount val="34"/>
                <c:pt idx="0">
                  <c:v>436666</c:v>
                </c:pt>
                <c:pt idx="1">
                  <c:v>530925</c:v>
                </c:pt>
                <c:pt idx="2">
                  <c:v>612947</c:v>
                </c:pt>
                <c:pt idx="3">
                  <c:v>772304</c:v>
                </c:pt>
                <c:pt idx="4">
                  <c:v>938817</c:v>
                </c:pt>
                <c:pt idx="5">
                  <c:v>914148</c:v>
                </c:pt>
                <c:pt idx="6">
                  <c:v>1041619</c:v>
                </c:pt>
                <c:pt idx="7">
                  <c:v>1195751</c:v>
                </c:pt>
                <c:pt idx="8">
                  <c:v>1195417</c:v>
                </c:pt>
                <c:pt idx="9">
                  <c:v>1437977</c:v>
                </c:pt>
                <c:pt idx="10">
                  <c:v>1495618</c:v>
                </c:pt>
                <c:pt idx="11">
                  <c:v>1521964</c:v>
                </c:pt>
                <c:pt idx="12">
                  <c:v>1599227</c:v>
                </c:pt>
                <c:pt idx="13">
                  <c:v>1531244</c:v>
                </c:pt>
                <c:pt idx="14">
                  <c:v>1685419</c:v>
                </c:pt>
                <c:pt idx="15">
                  <c:v>1709295</c:v>
                </c:pt>
                <c:pt idx="16">
                  <c:v>1508016</c:v>
                </c:pt>
                <c:pt idx="17">
                  <c:v>1648148</c:v>
                </c:pt>
                <c:pt idx="18">
                  <c:v>1673063</c:v>
                </c:pt>
                <c:pt idx="19">
                  <c:v>1558675</c:v>
                </c:pt>
                <c:pt idx="20">
                  <c:v>1643241</c:v>
                </c:pt>
                <c:pt idx="21">
                  <c:v>1780289</c:v>
                </c:pt>
                <c:pt idx="22">
                  <c:v>1878800</c:v>
                </c:pt>
                <c:pt idx="23">
                  <c:v>1970123</c:v>
                </c:pt>
                <c:pt idx="24">
                  <c:v>1973055</c:v>
                </c:pt>
                <c:pt idx="25">
                  <c:v>2078664</c:v>
                </c:pt>
                <c:pt idx="26">
                  <c:v>2172762</c:v>
                </c:pt>
                <c:pt idx="27">
                  <c:v>1989719</c:v>
                </c:pt>
                <c:pt idx="28">
                  <c:v>2241385</c:v>
                </c:pt>
                <c:pt idx="29">
                  <c:v>2271769</c:v>
                </c:pt>
                <c:pt idx="30" formatCode="#,##0_);[Red]\(#,##0\)">
                  <c:v>2280177</c:v>
                </c:pt>
                <c:pt idx="31" formatCode="_(* #,##0_);_(* \(#,##0\);_(* &quot;-&quot;_);_(@_)">
                  <c:v>2221811</c:v>
                </c:pt>
                <c:pt idx="32" formatCode="_(* #,##0_);_(* \(#,##0\);_(* &quot;-&quot;_);_(@_)">
                  <c:v>2418353</c:v>
                </c:pt>
                <c:pt idx="33" formatCode="_(* #,##0_);_(* \(#,##0\);_(* &quot;-&quot;_);_(@_)">
                  <c:v>2481146</c:v>
                </c:pt>
              </c:numCache>
            </c:numRef>
          </c:val>
          <c:smooth val="0"/>
        </c:ser>
        <c:ser>
          <c:idx val="2"/>
          <c:order val="2"/>
          <c:tx>
            <c:v>女性</c:v>
          </c:tx>
          <c:spPr>
            <a:ln>
              <a:solidFill>
                <a:schemeClr val="accent2"/>
              </a:solidFill>
              <a:prstDash val="sysDot"/>
            </a:ln>
          </c:spPr>
          <c:marker>
            <c:symbol val="none"/>
          </c:marker>
          <c:dLbls>
            <c:dLbl>
              <c:idx val="0"/>
              <c:dLblPos val="b"/>
              <c:showLegendKey val="0"/>
              <c:showVal val="1"/>
              <c:showCatName val="0"/>
              <c:showSerName val="0"/>
              <c:showPercent val="0"/>
              <c:showBubbleSize val="0"/>
            </c:dLbl>
            <c:dLbl>
              <c:idx val="33"/>
              <c:dLblPos val="b"/>
              <c:showLegendKey val="0"/>
              <c:showVal val="1"/>
              <c:showCatName val="0"/>
              <c:showSerName val="0"/>
              <c:showPercent val="0"/>
              <c:showBubbleSize val="0"/>
            </c:dLbl>
            <c:numFmt formatCode="#,##0.0_);[Red]\(#,##0.0\)" sourceLinked="0"/>
            <c:dLblPos val="b"/>
            <c:showLegendKey val="0"/>
            <c:showVal val="0"/>
            <c:showCatName val="0"/>
            <c:showSerName val="0"/>
            <c:showPercent val="0"/>
            <c:showBubbleSize val="0"/>
          </c:dLbls>
          <c:cat>
            <c:strRef>
              <c:f>'2.給付概況(按性別分)'!$A$4:$A$37</c:f>
              <c:strCache>
                <c:ptCount val="34"/>
                <c:pt idx="0">
                  <c:v>76年</c:v>
                </c:pt>
                <c:pt idx="1">
                  <c:v>77年</c:v>
                </c:pt>
                <c:pt idx="2">
                  <c:v>78年</c:v>
                </c:pt>
                <c:pt idx="3">
                  <c:v>79年</c:v>
                </c:pt>
                <c:pt idx="4">
                  <c:v>80年</c:v>
                </c:pt>
                <c:pt idx="5">
                  <c:v>81年</c:v>
                </c:pt>
                <c:pt idx="6">
                  <c:v>82年</c:v>
                </c:pt>
                <c:pt idx="7">
                  <c:v>83年</c:v>
                </c:pt>
                <c:pt idx="8">
                  <c:v>84年</c:v>
                </c:pt>
                <c:pt idx="9">
                  <c:v>85年</c:v>
                </c:pt>
                <c:pt idx="10">
                  <c:v>86年</c:v>
                </c:pt>
                <c:pt idx="11">
                  <c:v>87年</c:v>
                </c:pt>
                <c:pt idx="12">
                  <c:v>88年</c:v>
                </c:pt>
                <c:pt idx="13">
                  <c:v>89年</c:v>
                </c:pt>
                <c:pt idx="14">
                  <c:v>90年</c:v>
                </c:pt>
                <c:pt idx="15">
                  <c:v>91年</c:v>
                </c:pt>
                <c:pt idx="16">
                  <c:v>92年</c:v>
                </c:pt>
                <c:pt idx="17">
                  <c:v>93年</c:v>
                </c:pt>
                <c:pt idx="18">
                  <c:v>94年</c:v>
                </c:pt>
                <c:pt idx="19">
                  <c:v>95年</c:v>
                </c:pt>
                <c:pt idx="20">
                  <c:v>96年</c:v>
                </c:pt>
                <c:pt idx="21">
                  <c:v>97年</c:v>
                </c:pt>
                <c:pt idx="22">
                  <c:v>98年</c:v>
                </c:pt>
                <c:pt idx="23">
                  <c:v>99年</c:v>
                </c:pt>
                <c:pt idx="24">
                  <c:v>100年</c:v>
                </c:pt>
                <c:pt idx="25">
                  <c:v>101年</c:v>
                </c:pt>
                <c:pt idx="26">
                  <c:v>102年</c:v>
                </c:pt>
                <c:pt idx="27">
                  <c:v>103年</c:v>
                </c:pt>
                <c:pt idx="28">
                  <c:v>104年</c:v>
                </c:pt>
                <c:pt idx="29">
                  <c:v>105年</c:v>
                </c:pt>
                <c:pt idx="30">
                  <c:v>106年</c:v>
                </c:pt>
                <c:pt idx="31">
                  <c:v>107年</c:v>
                </c:pt>
                <c:pt idx="32">
                  <c:v>108年</c:v>
                </c:pt>
                <c:pt idx="33">
                  <c:v>109年</c:v>
                </c:pt>
              </c:strCache>
            </c:strRef>
          </c:cat>
          <c:val>
            <c:numRef>
              <c:f>'2.給付概況(按性別分)'!$J$4:$J$37</c:f>
              <c:numCache>
                <c:formatCode>#,##0_ </c:formatCode>
                <c:ptCount val="34"/>
                <c:pt idx="0">
                  <c:v>319296</c:v>
                </c:pt>
                <c:pt idx="1">
                  <c:v>216994</c:v>
                </c:pt>
                <c:pt idx="2">
                  <c:v>242044</c:v>
                </c:pt>
                <c:pt idx="3">
                  <c:v>307673</c:v>
                </c:pt>
                <c:pt idx="4">
                  <c:v>457135</c:v>
                </c:pt>
                <c:pt idx="5">
                  <c:v>452326</c:v>
                </c:pt>
                <c:pt idx="6">
                  <c:v>512727</c:v>
                </c:pt>
                <c:pt idx="7">
                  <c:v>682607</c:v>
                </c:pt>
                <c:pt idx="8">
                  <c:v>632728</c:v>
                </c:pt>
                <c:pt idx="9">
                  <c:v>729111</c:v>
                </c:pt>
                <c:pt idx="10">
                  <c:v>900389</c:v>
                </c:pt>
                <c:pt idx="11">
                  <c:v>857665</c:v>
                </c:pt>
                <c:pt idx="12">
                  <c:v>793450</c:v>
                </c:pt>
                <c:pt idx="13">
                  <c:v>766660</c:v>
                </c:pt>
                <c:pt idx="14">
                  <c:v>910721</c:v>
                </c:pt>
                <c:pt idx="15">
                  <c:v>1062490</c:v>
                </c:pt>
                <c:pt idx="16">
                  <c:v>982297</c:v>
                </c:pt>
                <c:pt idx="17">
                  <c:v>1038804</c:v>
                </c:pt>
                <c:pt idx="18">
                  <c:v>1027209</c:v>
                </c:pt>
                <c:pt idx="19">
                  <c:v>1017838</c:v>
                </c:pt>
                <c:pt idx="20">
                  <c:v>1098262</c:v>
                </c:pt>
                <c:pt idx="21">
                  <c:v>1188627</c:v>
                </c:pt>
                <c:pt idx="22">
                  <c:v>1302018</c:v>
                </c:pt>
                <c:pt idx="23">
                  <c:v>1106039</c:v>
                </c:pt>
                <c:pt idx="24">
                  <c:v>1320312</c:v>
                </c:pt>
                <c:pt idx="25">
                  <c:v>1355801</c:v>
                </c:pt>
                <c:pt idx="26">
                  <c:v>1196266</c:v>
                </c:pt>
                <c:pt idx="27">
                  <c:v>1383492</c:v>
                </c:pt>
                <c:pt idx="28">
                  <c:v>1485981</c:v>
                </c:pt>
                <c:pt idx="29">
                  <c:v>1472805</c:v>
                </c:pt>
                <c:pt idx="30" formatCode="#,##0_);[Red]\(#,##0\)">
                  <c:v>1562252</c:v>
                </c:pt>
                <c:pt idx="31" formatCode="_(* #,##0_);_(* \(#,##0\);_(* &quot;-&quot;_);_(@_)">
                  <c:v>1533761</c:v>
                </c:pt>
                <c:pt idx="32" formatCode="_(* #,##0_);_(* \(#,##0\);_(* &quot;-&quot;_);_(@_)">
                  <c:v>1635875</c:v>
                </c:pt>
                <c:pt idx="33" formatCode="_(* #,##0_);_(* \(#,##0\);_(* &quot;-&quot;_);_(@_)">
                  <c:v>1629091</c:v>
                </c:pt>
              </c:numCache>
            </c:numRef>
          </c:val>
          <c:smooth val="0"/>
        </c:ser>
        <c:dLbls>
          <c:showLegendKey val="0"/>
          <c:showVal val="0"/>
          <c:showCatName val="0"/>
          <c:showSerName val="0"/>
          <c:showPercent val="0"/>
          <c:showBubbleSize val="0"/>
        </c:dLbls>
        <c:marker val="1"/>
        <c:smooth val="0"/>
        <c:axId val="292217344"/>
        <c:axId val="285440768"/>
      </c:lineChart>
      <c:catAx>
        <c:axId val="292217344"/>
        <c:scaling>
          <c:orientation val="minMax"/>
        </c:scaling>
        <c:delete val="0"/>
        <c:axPos val="b"/>
        <c:majorTickMark val="out"/>
        <c:minorTickMark val="none"/>
        <c:tickLblPos val="nextTo"/>
        <c:txPr>
          <a:bodyPr/>
          <a:lstStyle/>
          <a:p>
            <a:pPr>
              <a:defRPr sz="800"/>
            </a:pPr>
            <a:endParaRPr lang="zh-TW"/>
          </a:p>
        </c:txPr>
        <c:crossAx val="285440768"/>
        <c:crosses val="autoZero"/>
        <c:auto val="1"/>
        <c:lblAlgn val="ctr"/>
        <c:lblOffset val="100"/>
        <c:noMultiLvlLbl val="0"/>
      </c:catAx>
      <c:valAx>
        <c:axId val="285440768"/>
        <c:scaling>
          <c:orientation val="minMax"/>
          <c:max val="2500000"/>
        </c:scaling>
        <c:delete val="0"/>
        <c:axPos val="l"/>
        <c:majorGridlines/>
        <c:title>
          <c:tx>
            <c:rich>
              <a:bodyPr rot="0" vert="wordArtVertRtl"/>
              <a:lstStyle/>
              <a:p>
                <a:pPr>
                  <a:defRPr>
                    <a:latin typeface="+mn-ea"/>
                    <a:ea typeface="+mn-ea"/>
                  </a:defRPr>
                </a:pPr>
                <a:r>
                  <a:rPr lang="zh-TW" altLang="en-US">
                    <a:latin typeface="+mn-ea"/>
                    <a:ea typeface="+mn-ea"/>
                  </a:rPr>
                  <a:t>勞退舊制平均給付金額</a:t>
                </a:r>
                <a:r>
                  <a:rPr lang="en-US" altLang="zh-TW">
                    <a:latin typeface="+mn-ea"/>
                    <a:ea typeface="+mn-ea"/>
                  </a:rPr>
                  <a:t>(</a:t>
                </a:r>
                <a:r>
                  <a:rPr lang="zh-TW" altLang="en-US">
                    <a:latin typeface="+mn-ea"/>
                    <a:ea typeface="+mn-ea"/>
                  </a:rPr>
                  <a:t>萬元</a:t>
                </a:r>
                <a:r>
                  <a:rPr lang="en-US" altLang="zh-TW">
                    <a:latin typeface="+mn-ea"/>
                    <a:ea typeface="+mn-ea"/>
                  </a:rPr>
                  <a:t>)</a:t>
                </a:r>
                <a:endParaRPr lang="zh-TW" altLang="en-US">
                  <a:latin typeface="+mn-ea"/>
                  <a:ea typeface="+mn-ea"/>
                </a:endParaRPr>
              </a:p>
            </c:rich>
          </c:tx>
          <c:layout>
            <c:manualLayout>
              <c:xMode val="edge"/>
              <c:yMode val="edge"/>
              <c:x val="1.5704584040747028E-2"/>
              <c:y val="2.3360178609372801E-2"/>
            </c:manualLayout>
          </c:layout>
          <c:overlay val="0"/>
        </c:title>
        <c:numFmt formatCode="#,##0_ " sourceLinked="1"/>
        <c:majorTickMark val="out"/>
        <c:minorTickMark val="none"/>
        <c:tickLblPos val="nextTo"/>
        <c:crossAx val="292217344"/>
        <c:crosses val="autoZero"/>
        <c:crossBetween val="between"/>
        <c:dispUnits>
          <c:builtInUnit val="tenThousands"/>
        </c:dispUnits>
      </c:valAx>
    </c:plotArea>
    <c:legend>
      <c:legendPos val="b"/>
      <c:layout>
        <c:manualLayout>
          <c:xMode val="edge"/>
          <c:yMode val="edge"/>
          <c:x val="0.23972222222222223"/>
          <c:y val="0.91628280839895015"/>
          <c:w val="0.51500000000000001"/>
          <c:h val="8.3717191601049873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18285214348205"/>
          <c:y val="2.8252405949256341E-2"/>
          <c:w val="0.73975306597346346"/>
          <c:h val="0.7713787989838925"/>
        </c:manualLayout>
      </c:layout>
      <c:barChart>
        <c:barDir val="col"/>
        <c:grouping val="clustered"/>
        <c:varyColors val="0"/>
        <c:ser>
          <c:idx val="2"/>
          <c:order val="1"/>
          <c:tx>
            <c:v>實際收益率</c:v>
          </c:tx>
          <c:spPr>
            <a:solidFill>
              <a:schemeClr val="accent2">
                <a:lumMod val="60000"/>
                <a:lumOff val="40000"/>
              </a:schemeClr>
            </a:solidFill>
          </c:spPr>
          <c:invertIfNegative val="0"/>
          <c:dLbls>
            <c:dLbl>
              <c:idx val="7"/>
              <c:layout>
                <c:manualLayout>
                  <c:x val="0"/>
                  <c:y val="0.157407407407407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9C-48D4-B1B6-133F5D235A49}"/>
                </c:ext>
              </c:extLst>
            </c:dLbl>
            <c:dLbl>
              <c:idx val="8"/>
              <c:layout>
                <c:manualLayout>
                  <c:x val="2.7775590551181104E-3"/>
                  <c:y val="0.1759259259259259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9C-48D4-B1B6-133F5D235A49}"/>
                </c:ext>
              </c:extLst>
            </c:dLbl>
            <c:dLbl>
              <c:idx val="17"/>
              <c:layout>
                <c:manualLayout>
                  <c:x val="-5.5555555555554534E-3"/>
                  <c:y val="4.1667395742198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9C-48D4-B1B6-133F5D235A49}"/>
                </c:ext>
              </c:extLst>
            </c:dLbl>
            <c:dLbl>
              <c:idx val="18"/>
              <c:layout>
                <c:manualLayout>
                  <c:x val="-5.5555555555554534E-3"/>
                  <c:y val="0.134258894721493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9C-48D4-B1B6-133F5D235A49}"/>
                </c:ext>
              </c:extLst>
            </c:dLbl>
            <c:dLbl>
              <c:idx val="19"/>
              <c:layout>
                <c:manualLayout>
                  <c:x val="2.7775590551182123E-3"/>
                  <c:y val="0.1203700058326042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29C-48D4-B1B6-133F5D235A4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'3.2基金運用收益'!$F$3:$F$20</c:f>
              <c:strCache>
                <c:ptCount val="18"/>
                <c:pt idx="0">
                  <c:v> 90年</c:v>
                </c:pt>
                <c:pt idx="1">
                  <c:v> 91年</c:v>
                </c:pt>
                <c:pt idx="2">
                  <c:v> 92年</c:v>
                </c:pt>
                <c:pt idx="3">
                  <c:v> 93年</c:v>
                </c:pt>
                <c:pt idx="4">
                  <c:v> 94年</c:v>
                </c:pt>
                <c:pt idx="5">
                  <c:v> 95年</c:v>
                </c:pt>
                <c:pt idx="6">
                  <c:v> 96年</c:v>
                </c:pt>
                <c:pt idx="7">
                  <c:v> 97年</c:v>
                </c:pt>
                <c:pt idx="8">
                  <c:v> 98年</c:v>
                </c:pt>
                <c:pt idx="9">
                  <c:v> 99年</c:v>
                </c:pt>
                <c:pt idx="10">
                  <c:v>100年</c:v>
                </c:pt>
                <c:pt idx="11">
                  <c:v>101年</c:v>
                </c:pt>
                <c:pt idx="12">
                  <c:v>102年</c:v>
                </c:pt>
                <c:pt idx="13">
                  <c:v>103年</c:v>
                </c:pt>
                <c:pt idx="14">
                  <c:v>104年</c:v>
                </c:pt>
                <c:pt idx="15">
                  <c:v>105年</c:v>
                </c:pt>
                <c:pt idx="16">
                  <c:v>106年</c:v>
                </c:pt>
                <c:pt idx="17">
                  <c:v>107年</c:v>
                </c:pt>
              </c:strCache>
            </c:strRef>
          </c:cat>
          <c:val>
            <c:numRef>
              <c:f>'3.2基金運用收益'!$I$3:$I$22</c:f>
              <c:numCache>
                <c:formatCode>#,##0.0_ ;[Red]\-#,##0.0\ </c:formatCode>
                <c:ptCount val="20"/>
                <c:pt idx="0">
                  <c:v>3.1295000000000002</c:v>
                </c:pt>
                <c:pt idx="1">
                  <c:v>0.89639999999999997</c:v>
                </c:pt>
                <c:pt idx="2">
                  <c:v>5.4054000000000002</c:v>
                </c:pt>
                <c:pt idx="3">
                  <c:v>2.2130999999999998</c:v>
                </c:pt>
                <c:pt idx="4">
                  <c:v>2.9981</c:v>
                </c:pt>
                <c:pt idx="5">
                  <c:v>5.0808</c:v>
                </c:pt>
                <c:pt idx="6">
                  <c:v>5.0406000000000004</c:v>
                </c:pt>
                <c:pt idx="7">
                  <c:v>-9.3734000000000002</c:v>
                </c:pt>
                <c:pt idx="8">
                  <c:v>13.401199999999999</c:v>
                </c:pt>
                <c:pt idx="9">
                  <c:v>2.1135000000000002</c:v>
                </c:pt>
                <c:pt idx="10">
                  <c:v>-3.5329000000000002</c:v>
                </c:pt>
                <c:pt idx="11">
                  <c:v>4.4992000000000001</c:v>
                </c:pt>
                <c:pt idx="12">
                  <c:v>6.5812999999999997</c:v>
                </c:pt>
                <c:pt idx="13">
                  <c:v>7.1929999999999996</c:v>
                </c:pt>
                <c:pt idx="14">
                  <c:v>-0.57999999999999996</c:v>
                </c:pt>
                <c:pt idx="15">
                  <c:v>4.17</c:v>
                </c:pt>
                <c:pt idx="16">
                  <c:v>7.7</c:v>
                </c:pt>
                <c:pt idx="17">
                  <c:v>-2.1</c:v>
                </c:pt>
                <c:pt idx="18" formatCode="#,##0.0_);[Red]\(#,##0.0\)">
                  <c:v>13.5</c:v>
                </c:pt>
                <c:pt idx="19" formatCode="#,##0.0_);[Red]\(#,##0.0\)">
                  <c:v>8.5</c:v>
                </c:pt>
              </c:numCache>
            </c:numRef>
          </c:val>
          <c:extLst xmlns:c16r2="http://schemas.microsoft.com/office/drawing/2015/06/chart">
            <c:ext xmlns:c16="http://schemas.microsoft.com/office/drawing/2014/chart" uri="{C3380CC4-5D6E-409C-BE32-E72D297353CC}">
              <c16:uniqueId val="{00000005-E29C-48D4-B1B6-133F5D235A49}"/>
            </c:ext>
          </c:extLst>
        </c:ser>
        <c:dLbls>
          <c:showLegendKey val="0"/>
          <c:showVal val="1"/>
          <c:showCatName val="0"/>
          <c:showSerName val="0"/>
          <c:showPercent val="0"/>
          <c:showBubbleSize val="0"/>
        </c:dLbls>
        <c:gapWidth val="150"/>
        <c:axId val="296866816"/>
        <c:axId val="285440192"/>
      </c:barChart>
      <c:lineChart>
        <c:grouping val="standard"/>
        <c:varyColors val="0"/>
        <c:ser>
          <c:idx val="1"/>
          <c:order val="0"/>
          <c:tx>
            <c:v>實際收益數</c:v>
          </c:tx>
          <c:spPr>
            <a:ln>
              <a:solidFill>
                <a:schemeClr val="accent1"/>
              </a:solidFill>
            </a:ln>
          </c:spPr>
          <c:marker>
            <c:symbol val="none"/>
          </c:marker>
          <c:dLbls>
            <c:dLbl>
              <c:idx val="7"/>
              <c:layout>
                <c:manualLayout>
                  <c:x val="-6.1111111111111165E-2"/>
                  <c:y val="4.16666666666665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29C-48D4-B1B6-133F5D235A49}"/>
                </c:ext>
              </c:extLst>
            </c:dLbl>
            <c:dLbl>
              <c:idx val="8"/>
              <c:layout>
                <c:manualLayout>
                  <c:x val="-5.2777777777777826E-2"/>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9C-48D4-B1B6-133F5D235A49}"/>
                </c:ext>
              </c:extLst>
            </c:dLbl>
            <c:dLbl>
              <c:idx val="17"/>
              <c:layout>
                <c:manualLayout>
                  <c:x val="-4.7802041596835043E-2"/>
                  <c:y val="4.49694379988396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29C-48D4-B1B6-133F5D235A49}"/>
                </c:ext>
              </c:extLst>
            </c:dLbl>
            <c:dLbl>
              <c:idx val="18"/>
              <c:layout>
                <c:manualLayout>
                  <c:x val="-6.3156495170651264E-2"/>
                  <c:y val="-2.14981449555822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29C-48D4-B1B6-133F5D235A49}"/>
                </c:ext>
              </c:extLst>
            </c:dLbl>
            <c:dLbl>
              <c:idx val="19"/>
              <c:layout>
                <c:manualLayout>
                  <c:x val="-3.81562202243333E-2"/>
                  <c:y val="1.38889596099948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29C-48D4-B1B6-133F5D235A4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'3.2基金運用收益'!$F$3:$F$22</c:f>
              <c:strCache>
                <c:ptCount val="20"/>
                <c:pt idx="0">
                  <c:v> 90年</c:v>
                </c:pt>
                <c:pt idx="1">
                  <c:v> 91年</c:v>
                </c:pt>
                <c:pt idx="2">
                  <c:v> 92年</c:v>
                </c:pt>
                <c:pt idx="3">
                  <c:v> 93年</c:v>
                </c:pt>
                <c:pt idx="4">
                  <c:v> 94年</c:v>
                </c:pt>
                <c:pt idx="5">
                  <c:v> 95年</c:v>
                </c:pt>
                <c:pt idx="6">
                  <c:v> 96年</c:v>
                </c:pt>
                <c:pt idx="7">
                  <c:v> 97年</c:v>
                </c:pt>
                <c:pt idx="8">
                  <c:v> 98年</c:v>
                </c:pt>
                <c:pt idx="9">
                  <c:v> 99年</c:v>
                </c:pt>
                <c:pt idx="10">
                  <c:v>100年</c:v>
                </c:pt>
                <c:pt idx="11">
                  <c:v>101年</c:v>
                </c:pt>
                <c:pt idx="12">
                  <c:v>102年</c:v>
                </c:pt>
                <c:pt idx="13">
                  <c:v>103年</c:v>
                </c:pt>
                <c:pt idx="14">
                  <c:v>104年</c:v>
                </c:pt>
                <c:pt idx="15">
                  <c:v>105年</c:v>
                </c:pt>
                <c:pt idx="16">
                  <c:v>106年</c:v>
                </c:pt>
                <c:pt idx="17">
                  <c:v>107年</c:v>
                </c:pt>
                <c:pt idx="18">
                  <c:v>108年</c:v>
                </c:pt>
                <c:pt idx="19">
                  <c:v>109年</c:v>
                </c:pt>
              </c:strCache>
            </c:strRef>
          </c:cat>
          <c:val>
            <c:numRef>
              <c:f>'3.2基金運用收益'!$H$3:$H$22</c:f>
              <c:numCache>
                <c:formatCode>#,##0.0_ ;[Red]\-#,##0.0\ </c:formatCode>
                <c:ptCount val="20"/>
                <c:pt idx="0">
                  <c:v>74.44</c:v>
                </c:pt>
                <c:pt idx="1">
                  <c:v>23.49</c:v>
                </c:pt>
                <c:pt idx="2">
                  <c:v>160.59</c:v>
                </c:pt>
                <c:pt idx="3">
                  <c:v>74.34</c:v>
                </c:pt>
                <c:pt idx="4">
                  <c:v>111.78</c:v>
                </c:pt>
                <c:pt idx="5">
                  <c:v>202.31</c:v>
                </c:pt>
                <c:pt idx="6">
                  <c:v>214.49</c:v>
                </c:pt>
                <c:pt idx="7">
                  <c:v>-428.27</c:v>
                </c:pt>
                <c:pt idx="8">
                  <c:v>637.61</c:v>
                </c:pt>
                <c:pt idx="9">
                  <c:v>108.26</c:v>
                </c:pt>
                <c:pt idx="10">
                  <c:v>-190.98</c:v>
                </c:pt>
                <c:pt idx="11">
                  <c:v>252.71</c:v>
                </c:pt>
                <c:pt idx="12">
                  <c:v>377.09</c:v>
                </c:pt>
                <c:pt idx="13">
                  <c:v>417.7</c:v>
                </c:pt>
                <c:pt idx="14">
                  <c:v>-34.700000000000003</c:v>
                </c:pt>
                <c:pt idx="15">
                  <c:v>295</c:v>
                </c:pt>
                <c:pt idx="16">
                  <c:v>601.70000000000005</c:v>
                </c:pt>
                <c:pt idx="17">
                  <c:v>-176.2</c:v>
                </c:pt>
                <c:pt idx="18" formatCode="#,##0.0_);[Red]\(#,##0.0\)">
                  <c:v>1143.8</c:v>
                </c:pt>
                <c:pt idx="19" formatCode="#,##0.0_);[Red]\(#,##0.0\)">
                  <c:v>722.1</c:v>
                </c:pt>
              </c:numCache>
            </c:numRef>
          </c:val>
          <c:smooth val="0"/>
          <c:extLst xmlns:c16r2="http://schemas.microsoft.com/office/drawing/2015/06/chart">
            <c:ext xmlns:c16="http://schemas.microsoft.com/office/drawing/2014/chart" uri="{C3380CC4-5D6E-409C-BE32-E72D297353CC}">
              <c16:uniqueId val="{0000000B-E29C-48D4-B1B6-133F5D235A49}"/>
            </c:ext>
          </c:extLst>
        </c:ser>
        <c:dLbls>
          <c:showLegendKey val="0"/>
          <c:showVal val="1"/>
          <c:showCatName val="0"/>
          <c:showSerName val="0"/>
          <c:showPercent val="0"/>
          <c:showBubbleSize val="0"/>
        </c:dLbls>
        <c:marker val="1"/>
        <c:smooth val="0"/>
        <c:axId val="292218880"/>
        <c:axId val="292241984"/>
      </c:lineChart>
      <c:catAx>
        <c:axId val="292218880"/>
        <c:scaling>
          <c:orientation val="minMax"/>
        </c:scaling>
        <c:delete val="0"/>
        <c:axPos val="b"/>
        <c:numFmt formatCode="General" sourceLinked="0"/>
        <c:majorTickMark val="out"/>
        <c:minorTickMark val="out"/>
        <c:tickLblPos val="low"/>
        <c:crossAx val="292241984"/>
        <c:crossesAt val="-600"/>
        <c:auto val="1"/>
        <c:lblAlgn val="ctr"/>
        <c:lblOffset val="100"/>
        <c:tickMarkSkip val="2"/>
        <c:noMultiLvlLbl val="0"/>
      </c:catAx>
      <c:valAx>
        <c:axId val="292241984"/>
        <c:scaling>
          <c:orientation val="minMax"/>
          <c:max val="1200"/>
        </c:scaling>
        <c:delete val="0"/>
        <c:axPos val="l"/>
        <c:majorGridlines/>
        <c:title>
          <c:tx>
            <c:rich>
              <a:bodyPr rot="0" vert="wordArtVertRtl"/>
              <a:lstStyle/>
              <a:p>
                <a:pPr>
                  <a:defRPr>
                    <a:latin typeface="+mn-ea"/>
                    <a:ea typeface="+mn-ea"/>
                  </a:defRPr>
                </a:pPr>
                <a:r>
                  <a:rPr lang="zh-TW" altLang="en-US">
                    <a:latin typeface="+mn-ea"/>
                    <a:ea typeface="+mn-ea"/>
                  </a:rPr>
                  <a:t>實際收益數</a:t>
                </a:r>
                <a:r>
                  <a:rPr lang="en-US" altLang="zh-TW">
                    <a:latin typeface="+mn-ea"/>
                    <a:ea typeface="+mn-ea"/>
                  </a:rPr>
                  <a:t>(</a:t>
                </a:r>
                <a:r>
                  <a:rPr lang="zh-TW" altLang="en-US">
                    <a:latin typeface="+mn-ea"/>
                    <a:ea typeface="+mn-ea"/>
                  </a:rPr>
                  <a:t>億元</a:t>
                </a:r>
                <a:r>
                  <a:rPr lang="en-US" altLang="zh-TW">
                    <a:latin typeface="+mn-ea"/>
                    <a:ea typeface="+mn-ea"/>
                  </a:rPr>
                  <a:t>)</a:t>
                </a:r>
                <a:endParaRPr lang="en-US" altLang="en-US">
                  <a:latin typeface="+mn-ea"/>
                  <a:ea typeface="+mn-ea"/>
                </a:endParaRPr>
              </a:p>
            </c:rich>
          </c:tx>
          <c:overlay val="0"/>
        </c:title>
        <c:numFmt formatCode="#,##0_ " sourceLinked="0"/>
        <c:majorTickMark val="out"/>
        <c:minorTickMark val="none"/>
        <c:tickLblPos val="nextTo"/>
        <c:txPr>
          <a:bodyPr/>
          <a:lstStyle/>
          <a:p>
            <a:pPr>
              <a:defRPr>
                <a:solidFill>
                  <a:schemeClr val="tx1"/>
                </a:solidFill>
              </a:defRPr>
            </a:pPr>
            <a:endParaRPr lang="zh-TW"/>
          </a:p>
        </c:txPr>
        <c:crossAx val="292218880"/>
        <c:crossesAt val="1"/>
        <c:crossBetween val="between"/>
      </c:valAx>
      <c:valAx>
        <c:axId val="285440192"/>
        <c:scaling>
          <c:orientation val="minMax"/>
          <c:max val="24"/>
          <c:min val="-12"/>
        </c:scaling>
        <c:delete val="0"/>
        <c:axPos val="r"/>
        <c:title>
          <c:tx>
            <c:rich>
              <a:bodyPr rot="0" vert="wordArtVertRtl"/>
              <a:lstStyle/>
              <a:p>
                <a:pPr>
                  <a:defRPr>
                    <a:latin typeface="+mn-ea"/>
                    <a:ea typeface="+mn-ea"/>
                  </a:defRPr>
                </a:pPr>
                <a:r>
                  <a:rPr lang="zh-TW" altLang="en-US">
                    <a:latin typeface="+mn-ea"/>
                    <a:ea typeface="+mn-ea"/>
                  </a:rPr>
                  <a:t>實際收益率</a:t>
                </a:r>
                <a:r>
                  <a:rPr lang="en-US" altLang="zh-TW">
                    <a:latin typeface="+mn-ea"/>
                    <a:ea typeface="+mn-ea"/>
                  </a:rPr>
                  <a:t>(%)</a:t>
                </a:r>
                <a:endParaRPr lang="zh-TW" altLang="en-US">
                  <a:latin typeface="+mn-ea"/>
                  <a:ea typeface="+mn-ea"/>
                </a:endParaRPr>
              </a:p>
            </c:rich>
          </c:tx>
          <c:layout>
            <c:manualLayout>
              <c:xMode val="edge"/>
              <c:yMode val="edge"/>
              <c:x val="0.94473190099010251"/>
              <c:y val="0.24015044058241056"/>
            </c:manualLayout>
          </c:layout>
          <c:overlay val="0"/>
        </c:title>
        <c:numFmt formatCode="#,##0_ " sourceLinked="0"/>
        <c:majorTickMark val="out"/>
        <c:minorTickMark val="none"/>
        <c:tickLblPos val="nextTo"/>
        <c:crossAx val="296866816"/>
        <c:crosses val="max"/>
        <c:crossBetween val="between"/>
        <c:majorUnit val="4"/>
      </c:valAx>
      <c:catAx>
        <c:axId val="296866816"/>
        <c:scaling>
          <c:orientation val="minMax"/>
        </c:scaling>
        <c:delete val="1"/>
        <c:axPos val="b"/>
        <c:numFmt formatCode="General" sourceLinked="1"/>
        <c:majorTickMark val="out"/>
        <c:minorTickMark val="none"/>
        <c:tickLblPos val="nextTo"/>
        <c:crossAx val="285440192"/>
        <c:crossesAt val="0"/>
        <c:auto val="1"/>
        <c:lblAlgn val="ctr"/>
        <c:lblOffset val="100"/>
        <c:noMultiLvlLbl val="0"/>
      </c:catAx>
    </c:plotArea>
    <c:legend>
      <c:legendPos val="b"/>
      <c:layout>
        <c:manualLayout>
          <c:xMode val="edge"/>
          <c:yMode val="edge"/>
          <c:x val="0.25333333333333335"/>
          <c:y val="0.91628280839895015"/>
          <c:w val="0.49333333333333335"/>
          <c:h val="8.3717191601049873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4690327889129332E-2"/>
          <c:y val="0.11961030950083991"/>
          <c:w val="0.84052474161150159"/>
          <c:h val="0.77243617275113341"/>
        </c:manualLayout>
      </c:layout>
      <c:pie3DChart>
        <c:varyColors val="1"/>
        <c:ser>
          <c:idx val="0"/>
          <c:order val="0"/>
          <c:explosion val="9"/>
          <c:dPt>
            <c:idx val="0"/>
            <c:bubble3D val="0"/>
            <c:explosion val="5"/>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DB35-4899-B2D7-93B4CBEDBCB4}"/>
              </c:ext>
            </c:extLst>
          </c:dPt>
          <c:dPt>
            <c:idx val="1"/>
            <c:bubble3D val="0"/>
            <c:spPr>
              <a:solidFill>
                <a:schemeClr val="accent6">
                  <a:lumMod val="40000"/>
                  <a:lumOff val="60000"/>
                </a:schemeClr>
              </a:solidFill>
            </c:spPr>
          </c:dPt>
          <c:dPt>
            <c:idx val="2"/>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3-DB35-4899-B2D7-93B4CBEDBCB4}"/>
              </c:ext>
            </c:extLst>
          </c:dPt>
          <c:dPt>
            <c:idx val="3"/>
            <c:bubble3D val="0"/>
            <c:spPr>
              <a:solidFill>
                <a:schemeClr val="accent6">
                  <a:lumMod val="40000"/>
                  <a:lumOff val="60000"/>
                </a:schemeClr>
              </a:solidFill>
            </c:spPr>
          </c:dPt>
          <c:dPt>
            <c:idx val="4"/>
            <c:bubble3D val="0"/>
            <c:explosion val="6"/>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5-DB35-4899-B2D7-93B4CBEDBCB4}"/>
              </c:ext>
            </c:extLst>
          </c:dPt>
          <c:dPt>
            <c:idx val="5"/>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7-DB35-4899-B2D7-93B4CBEDBCB4}"/>
              </c:ext>
            </c:extLst>
          </c:dPt>
          <c:dPt>
            <c:idx val="6"/>
            <c:bubble3D val="0"/>
            <c:spPr>
              <a:solidFill>
                <a:schemeClr val="accent6"/>
              </a:solidFill>
            </c:spPr>
            <c:extLst xmlns:c16r2="http://schemas.microsoft.com/office/drawing/2015/06/chart">
              <c:ext xmlns:c16="http://schemas.microsoft.com/office/drawing/2014/chart" uri="{C3380CC4-5D6E-409C-BE32-E72D297353CC}">
                <c16:uniqueId val="{00000009-DB35-4899-B2D7-93B4CBEDBCB4}"/>
              </c:ext>
            </c:extLst>
          </c:dPt>
          <c:dPt>
            <c:idx val="7"/>
            <c:bubble3D val="0"/>
            <c:spPr>
              <a:solidFill>
                <a:schemeClr val="accent6"/>
              </a:solidFill>
            </c:spPr>
            <c:extLst xmlns:c16r2="http://schemas.microsoft.com/office/drawing/2015/06/chart">
              <c:ext xmlns:c16="http://schemas.microsoft.com/office/drawing/2014/chart" uri="{C3380CC4-5D6E-409C-BE32-E72D297353CC}">
                <c16:uniqueId val="{0000000B-DB35-4899-B2D7-93B4CBEDBCB4}"/>
              </c:ext>
            </c:extLst>
          </c:dPt>
          <c:dLbls>
            <c:dLbl>
              <c:idx val="0"/>
              <c:layout>
                <c:manualLayout>
                  <c:x val="-0.12810075949114488"/>
                  <c:y val="1.5762247032457804E-2"/>
                </c:manualLayout>
              </c:layout>
              <c:tx>
                <c:rich>
                  <a:bodyPr/>
                  <a:lstStyle/>
                  <a:p>
                    <a:r>
                      <a:rPr lang="zh-TW" altLang="en-US"/>
                      <a:t>轉存金融機構</a:t>
                    </a:r>
                    <a:r>
                      <a:rPr lang="en-US" altLang="zh-TW"/>
                      <a:t>, </a:t>
                    </a:r>
                  </a:p>
                  <a:p>
                    <a:r>
                      <a:rPr lang="en-US" altLang="zh-TW"/>
                      <a:t>1,098.6</a:t>
                    </a:r>
                    <a:r>
                      <a:rPr lang="zh-TW" altLang="en-US"/>
                      <a:t>億元 </a:t>
                    </a:r>
                    <a:r>
                      <a:rPr lang="en-US" altLang="zh-TW"/>
                      <a:t>, 12.2%</a:t>
                    </a:r>
                  </a:p>
                </c:rich>
              </c:tx>
              <c:showLegendKey val="0"/>
              <c:showVal val="1"/>
              <c:showCatName val="1"/>
              <c:showSerName val="0"/>
              <c:showPercent val="1"/>
              <c:showBubbleSize val="0"/>
            </c:dLbl>
            <c:dLbl>
              <c:idx val="1"/>
              <c:layout>
                <c:manualLayout>
                  <c:x val="-0.10411383888445742"/>
                  <c:y val="-9.6423029119489606E-2"/>
                </c:manualLayout>
              </c:layout>
              <c:tx>
                <c:rich>
                  <a:bodyPr/>
                  <a:lstStyle/>
                  <a:p>
                    <a:r>
                      <a:rPr lang="zh-TW" altLang="en-US"/>
                      <a:t>短期票券</a:t>
                    </a:r>
                    <a:r>
                      <a:rPr lang="en-US" altLang="zh-TW"/>
                      <a:t>, </a:t>
                    </a:r>
                  </a:p>
                  <a:p>
                    <a:r>
                      <a:rPr lang="en-US" altLang="zh-TW"/>
                      <a:t>271.4</a:t>
                    </a:r>
                    <a:r>
                      <a:rPr lang="zh-TW" altLang="en-US"/>
                      <a:t>億元 </a:t>
                    </a:r>
                    <a:r>
                      <a:rPr lang="en-US" altLang="zh-TW"/>
                      <a:t>, 3.0%</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C-DB35-4899-B2D7-93B4CBEDBCB4}"/>
                </c:ext>
              </c:extLst>
            </c:dLbl>
            <c:dLbl>
              <c:idx val="2"/>
              <c:layout>
                <c:manualLayout>
                  <c:x val="4.695261783187956E-2"/>
                  <c:y val="-6.3392777482706095E-2"/>
                </c:manualLayout>
              </c:layout>
              <c:tx>
                <c:rich>
                  <a:bodyPr/>
                  <a:lstStyle/>
                  <a:p>
                    <a:r>
                      <a:rPr lang="zh-TW" altLang="en-US"/>
                      <a:t>公債、金融債券、公司債及證券化   商品</a:t>
                    </a:r>
                    <a:r>
                      <a:rPr lang="en-US" altLang="zh-TW"/>
                      <a:t>, 535.0</a:t>
                    </a:r>
                    <a:r>
                      <a:rPr lang="zh-TW" altLang="en-US"/>
                      <a:t>億元 </a:t>
                    </a:r>
                    <a:r>
                      <a:rPr lang="en-US" altLang="zh-TW"/>
                      <a:t>, 6.0%</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DB35-4899-B2D7-93B4CBEDBCB4}"/>
                </c:ext>
              </c:extLst>
            </c:dLbl>
            <c:dLbl>
              <c:idx val="3"/>
              <c:tx>
                <c:rich>
                  <a:bodyPr/>
                  <a:lstStyle/>
                  <a:p>
                    <a:r>
                      <a:rPr lang="zh-TW" altLang="en-US"/>
                      <a:t>貨幣基金</a:t>
                    </a:r>
                    <a:r>
                      <a:rPr lang="en-US" altLang="zh-TW"/>
                      <a:t>, </a:t>
                    </a:r>
                  </a:p>
                  <a:p>
                    <a:r>
                      <a:rPr lang="en-US" altLang="zh-TW"/>
                      <a:t>81.6</a:t>
                    </a:r>
                    <a:r>
                      <a:rPr lang="zh-TW" altLang="en-US"/>
                      <a:t>億元 </a:t>
                    </a:r>
                    <a:r>
                      <a:rPr lang="en-US" altLang="zh-TW"/>
                      <a:t>, 0.9%</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DB35-4899-B2D7-93B4CBEDBCB4}"/>
                </c:ext>
              </c:extLst>
            </c:dLbl>
            <c:dLbl>
              <c:idx val="4"/>
              <c:layout>
                <c:manualLayout>
                  <c:x val="0"/>
                  <c:y val="0.21080654182808931"/>
                </c:manualLayout>
              </c:layout>
              <c:tx>
                <c:rich>
                  <a:bodyPr/>
                  <a:lstStyle/>
                  <a:p>
                    <a:r>
                      <a:rPr lang="zh-TW" altLang="en-US"/>
                      <a:t>股票及受益憑證投資</a:t>
                    </a:r>
                    <a:r>
                      <a:rPr lang="en-US" altLang="zh-TW"/>
                      <a:t>(</a:t>
                    </a:r>
                    <a:r>
                      <a:rPr lang="zh-TW" altLang="en-US"/>
                      <a:t>含期貨</a:t>
                    </a:r>
                    <a:r>
                      <a:rPr lang="en-US" altLang="zh-TW"/>
                      <a:t>), </a:t>
                    </a:r>
                  </a:p>
                  <a:p>
                    <a:r>
                      <a:rPr lang="en-US" altLang="zh-TW"/>
                      <a:t>1,011.3</a:t>
                    </a:r>
                    <a:r>
                      <a:rPr lang="zh-TW" altLang="en-US"/>
                      <a:t>億元 </a:t>
                    </a:r>
                    <a:r>
                      <a:rPr lang="en-US" altLang="zh-TW"/>
                      <a:t>, 11.3%</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DB35-4899-B2D7-93B4CBEDBCB4}"/>
                </c:ext>
              </c:extLst>
            </c:dLbl>
            <c:dLbl>
              <c:idx val="5"/>
              <c:layout>
                <c:manualLayout>
                  <c:x val="-0.1526753361923831"/>
                  <c:y val="-0.29452054573909875"/>
                </c:manualLayout>
              </c:layout>
              <c:tx>
                <c:rich>
                  <a:bodyPr/>
                  <a:lstStyle/>
                  <a:p>
                    <a:r>
                      <a:rPr lang="zh-TW" altLang="en-US"/>
                      <a:t>國外投資</a:t>
                    </a:r>
                    <a:r>
                      <a:rPr lang="en-US" altLang="zh-TW"/>
                      <a:t>, </a:t>
                    </a:r>
                  </a:p>
                  <a:p>
                    <a:r>
                      <a:rPr lang="en-US" altLang="zh-TW"/>
                      <a:t>1,248.6</a:t>
                    </a:r>
                    <a:r>
                      <a:rPr lang="zh-TW" altLang="en-US"/>
                      <a:t>億元 </a:t>
                    </a:r>
                    <a:r>
                      <a:rPr lang="en-US" altLang="zh-TW"/>
                      <a:t>, 13.9%</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DB35-4899-B2D7-93B4CBEDBCB4}"/>
                </c:ext>
              </c:extLst>
            </c:dLbl>
            <c:dLbl>
              <c:idx val="6"/>
              <c:layout>
                <c:manualLayout>
                  <c:x val="-0.14092426565491195"/>
                  <c:y val="-2.4359531745648359E-3"/>
                </c:manualLayout>
              </c:layout>
              <c:tx>
                <c:rich>
                  <a:bodyPr/>
                  <a:lstStyle/>
                  <a:p>
                    <a:r>
                      <a:rPr lang="zh-TW" altLang="en-US"/>
                      <a:t>國內委託經營</a:t>
                    </a:r>
                    <a:r>
                      <a:rPr lang="en-US" altLang="zh-TW"/>
                      <a:t>, </a:t>
                    </a:r>
                  </a:p>
                  <a:p>
                    <a:r>
                      <a:rPr lang="en-US" altLang="zh-TW"/>
                      <a:t>1,169.6</a:t>
                    </a:r>
                    <a:r>
                      <a:rPr lang="zh-TW" altLang="en-US"/>
                      <a:t>億元 </a:t>
                    </a:r>
                    <a:r>
                      <a:rPr lang="en-US" altLang="zh-TW"/>
                      <a:t>, 13.0%</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DB35-4899-B2D7-93B4CBEDBCB4}"/>
                </c:ext>
              </c:extLst>
            </c:dLbl>
            <c:dLbl>
              <c:idx val="7"/>
              <c:layout>
                <c:manualLayout>
                  <c:x val="-5.6196736574120184E-3"/>
                  <c:y val="4.36638739734731E-2"/>
                </c:manualLayout>
              </c:layout>
              <c:tx>
                <c:rich>
                  <a:bodyPr/>
                  <a:lstStyle/>
                  <a:p>
                    <a:r>
                      <a:rPr lang="zh-TW" altLang="en-US"/>
                      <a:t>國外委託經營</a:t>
                    </a:r>
                    <a:r>
                      <a:rPr lang="en-US" altLang="zh-TW"/>
                      <a:t>, </a:t>
                    </a:r>
                  </a:p>
                  <a:p>
                    <a:r>
                      <a:rPr lang="en-US" altLang="zh-TW"/>
                      <a:t>3,559.5</a:t>
                    </a:r>
                    <a:r>
                      <a:rPr lang="zh-TW" altLang="en-US"/>
                      <a:t>億元 </a:t>
                    </a:r>
                    <a:r>
                      <a:rPr lang="en-US" altLang="zh-TW"/>
                      <a:t>, 39.7%</a:t>
                    </a:r>
                  </a:p>
                </c:rich>
              </c:tx>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DB35-4899-B2D7-93B4CBEDBCB4}"/>
                </c:ext>
              </c:extLst>
            </c:dLbl>
            <c:numFmt formatCode="0.0%" sourceLinked="0"/>
            <c:spPr>
              <a:noFill/>
              <a:ln>
                <a:noFill/>
              </a:ln>
              <a:effectLst/>
            </c:spPr>
            <c:txPr>
              <a:bodyPr/>
              <a:lstStyle/>
              <a:p>
                <a:pPr>
                  <a:lnSpc>
                    <a:spcPts val="1500"/>
                  </a:lnSpc>
                  <a:defRPr/>
                </a:pPr>
                <a:endParaRPr lang="zh-TW"/>
              </a:p>
            </c:txPr>
            <c:showLegendKey val="0"/>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'3.3基金資產配置'!$B$3:$I$3</c:f>
              <c:strCache>
                <c:ptCount val="8"/>
                <c:pt idx="0">
                  <c:v>轉存金融機構</c:v>
                </c:pt>
                <c:pt idx="1">
                  <c:v>短期票券</c:v>
                </c:pt>
                <c:pt idx="2">
                  <c:v>公債、金融債券、公司債及證券化商品</c:v>
                </c:pt>
                <c:pt idx="3">
                  <c:v>貨幣基金</c:v>
                </c:pt>
                <c:pt idx="4">
                  <c:v>股票及受益憑證投資(含期貨)</c:v>
                </c:pt>
                <c:pt idx="5">
                  <c:v>國外投資</c:v>
                </c:pt>
                <c:pt idx="6">
                  <c:v>國內委託經營</c:v>
                </c:pt>
                <c:pt idx="7">
                  <c:v>國外委託經營</c:v>
                </c:pt>
              </c:strCache>
            </c:strRef>
          </c:cat>
          <c:val>
            <c:numRef>
              <c:f>'3.3基金資產配置'!$B$12:$I$12</c:f>
              <c:numCache>
                <c:formatCode>#,##0_);[Red]\(#,##0\)</c:formatCode>
                <c:ptCount val="8"/>
                <c:pt idx="0">
                  <c:v>109857036129</c:v>
                </c:pt>
                <c:pt idx="1">
                  <c:v>27135031981</c:v>
                </c:pt>
                <c:pt idx="2">
                  <c:v>53495925827</c:v>
                </c:pt>
                <c:pt idx="3">
                  <c:v>8160364997</c:v>
                </c:pt>
                <c:pt idx="4">
                  <c:v>101129807536</c:v>
                </c:pt>
                <c:pt idx="5">
                  <c:v>124861367866</c:v>
                </c:pt>
                <c:pt idx="6">
                  <c:v>116957977170</c:v>
                </c:pt>
                <c:pt idx="7">
                  <c:v>355953234335</c:v>
                </c:pt>
              </c:numCache>
            </c:numRef>
          </c:val>
          <c:extLst xmlns:c16r2="http://schemas.microsoft.com/office/drawing/2015/06/chart">
            <c:ext xmlns:c16="http://schemas.microsoft.com/office/drawing/2014/chart" uri="{C3380CC4-5D6E-409C-BE32-E72D297353CC}">
              <c16:uniqueId val="{0000000E-DB35-4899-B2D7-93B4CBEDBCB4}"/>
            </c:ext>
          </c:extLst>
        </c:ser>
        <c:ser>
          <c:idx val="1"/>
          <c:order val="1"/>
          <c:explosion val="25"/>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'3.3基金資產配置'!$B$3:$I$3</c:f>
              <c:strCache>
                <c:ptCount val="8"/>
                <c:pt idx="0">
                  <c:v>轉存金融機構</c:v>
                </c:pt>
                <c:pt idx="1">
                  <c:v>短期票券</c:v>
                </c:pt>
                <c:pt idx="2">
                  <c:v>公債、金融債券、公司債及證券化商品</c:v>
                </c:pt>
                <c:pt idx="3">
                  <c:v>貨幣基金</c:v>
                </c:pt>
                <c:pt idx="4">
                  <c:v>股票及受益憑證投資(含期貨)</c:v>
                </c:pt>
                <c:pt idx="5">
                  <c:v>國外投資</c:v>
                </c:pt>
                <c:pt idx="6">
                  <c:v>國內委託經營</c:v>
                </c:pt>
                <c:pt idx="7">
                  <c:v>國外委託經營</c:v>
                </c:pt>
              </c:strCache>
            </c:strRef>
          </c:cat>
          <c:val>
            <c:numRef>
              <c:f>'3.3基金資產配置'!$B$13:$I$13</c:f>
              <c:numCache>
                <c:formatCode>0.0%</c:formatCode>
                <c:ptCount val="8"/>
                <c:pt idx="0">
                  <c:v>0.12239646241513016</c:v>
                </c:pt>
                <c:pt idx="1">
                  <c:v>3.0232309545433697E-2</c:v>
                </c:pt>
                <c:pt idx="2">
                  <c:v>5.9602118403761804E-2</c:v>
                </c:pt>
                <c:pt idx="3">
                  <c:v>9.091814624201314E-3</c:v>
                </c:pt>
                <c:pt idx="4">
                  <c:v>0.11267308060809636</c:v>
                </c:pt>
                <c:pt idx="5">
                  <c:v>0.13911343558519981</c:v>
                </c:pt>
                <c:pt idx="6">
                  <c:v>0.13030792711381575</c:v>
                </c:pt>
                <c:pt idx="7">
                  <c:v>0.39658285170436108</c:v>
                </c:pt>
              </c:numCache>
            </c:numRef>
          </c:val>
          <c:extLst xmlns:c16r2="http://schemas.microsoft.com/office/drawing/2015/06/chart">
            <c:ext xmlns:c16="http://schemas.microsoft.com/office/drawing/2014/chart" uri="{C3380CC4-5D6E-409C-BE32-E72D297353CC}">
              <c16:uniqueId val="{0000000F-DB35-4899-B2D7-93B4CBEDBCB4}"/>
            </c:ext>
          </c:extLst>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19458400345213"/>
          <c:y val="5.1303378406896243E-2"/>
          <c:w val="0.78268379610443428"/>
          <c:h val="0.68480469545776512"/>
        </c:manualLayout>
      </c:layout>
      <c:lineChart>
        <c:grouping val="standard"/>
        <c:varyColors val="0"/>
        <c:ser>
          <c:idx val="0"/>
          <c:order val="0"/>
          <c:tx>
            <c:v>單位數(年底數)</c:v>
          </c:tx>
          <c:spPr>
            <a:ln>
              <a:prstDash val="sysDot"/>
            </a:ln>
          </c:spPr>
          <c:marker>
            <c:symbol val="none"/>
          </c:marker>
          <c:dLbls>
            <c:dLbl>
              <c:idx val="0"/>
              <c:layout>
                <c:manualLayout>
                  <c:x val="-4.0277917182896202E-2"/>
                  <c:y val="4.20616243074141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E3-44DB-A5AC-54E99945054B}"/>
                </c:ext>
              </c:extLst>
            </c:dLbl>
            <c:numFmt formatCode="#\.0," sourceLinked="0"/>
            <c:spPr>
              <a:noFill/>
              <a:ln>
                <a:noFill/>
              </a:ln>
              <a:effectLst/>
            </c:spPr>
            <c:txPr>
              <a:bodyPr/>
              <a:lstStyle/>
              <a:p>
                <a:pPr>
                  <a:defRPr sz="900"/>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'1.1提繳概況'!$A$3:$A$18</c:f>
              <c:strCache>
                <c:ptCount val="16"/>
                <c:pt idx="0">
                  <c:v>   94年 </c:v>
                </c:pt>
                <c:pt idx="1">
                  <c:v>   95年</c:v>
                </c:pt>
                <c:pt idx="2">
                  <c:v>   96年</c:v>
                </c:pt>
                <c:pt idx="3">
                  <c:v>   97年 </c:v>
                </c:pt>
                <c:pt idx="4">
                  <c:v>   98年</c:v>
                </c:pt>
                <c:pt idx="5">
                  <c:v>   99年</c:v>
                </c:pt>
                <c:pt idx="6">
                  <c:v> 100年 </c:v>
                </c:pt>
                <c:pt idx="7">
                  <c:v> 101年</c:v>
                </c:pt>
                <c:pt idx="8">
                  <c:v> 102年</c:v>
                </c:pt>
                <c:pt idx="9">
                  <c:v> 103年</c:v>
                </c:pt>
                <c:pt idx="10">
                  <c:v>104年</c:v>
                </c:pt>
                <c:pt idx="11">
                  <c:v>105年</c:v>
                </c:pt>
                <c:pt idx="12">
                  <c:v>106年</c:v>
                </c:pt>
                <c:pt idx="13">
                  <c:v>107年</c:v>
                </c:pt>
                <c:pt idx="14">
                  <c:v>108年</c:v>
                </c:pt>
                <c:pt idx="15">
                  <c:v>109年</c:v>
                </c:pt>
              </c:strCache>
            </c:strRef>
          </c:cat>
          <c:val>
            <c:numRef>
              <c:f>'1.1提繳概況'!$C$3:$C$18</c:f>
              <c:numCache>
                <c:formatCode>#,##0_);[Red]\(#,##0\)</c:formatCode>
                <c:ptCount val="16"/>
                <c:pt idx="0">
                  <c:v>325190</c:v>
                </c:pt>
                <c:pt idx="1">
                  <c:v>360359</c:v>
                </c:pt>
                <c:pt idx="2">
                  <c:v>375061</c:v>
                </c:pt>
                <c:pt idx="3">
                  <c:v>385631</c:v>
                </c:pt>
                <c:pt idx="4">
                  <c:v>399116</c:v>
                </c:pt>
                <c:pt idx="5">
                  <c:v>418333</c:v>
                </c:pt>
                <c:pt idx="6">
                  <c:v>434385</c:v>
                </c:pt>
                <c:pt idx="7">
                  <c:v>443008</c:v>
                </c:pt>
                <c:pt idx="8">
                  <c:v>453955</c:v>
                </c:pt>
                <c:pt idx="9">
                  <c:v>468789</c:v>
                </c:pt>
                <c:pt idx="10">
                  <c:v>481649</c:v>
                </c:pt>
                <c:pt idx="11">
                  <c:v>492842</c:v>
                </c:pt>
                <c:pt idx="12">
                  <c:v>503940</c:v>
                </c:pt>
                <c:pt idx="13">
                  <c:v>515155</c:v>
                </c:pt>
                <c:pt idx="14">
                  <c:v>525348</c:v>
                </c:pt>
                <c:pt idx="15">
                  <c:v>536582</c:v>
                </c:pt>
              </c:numCache>
            </c:numRef>
          </c:val>
          <c:smooth val="0"/>
          <c:extLst xmlns:c16r2="http://schemas.microsoft.com/office/drawing/2015/06/chart">
            <c:ext xmlns:c16="http://schemas.microsoft.com/office/drawing/2014/chart" uri="{C3380CC4-5D6E-409C-BE32-E72D297353CC}">
              <c16:uniqueId val="{00000001-07E3-44DB-A5AC-54E99945054B}"/>
            </c:ext>
          </c:extLst>
        </c:ser>
        <c:dLbls>
          <c:showLegendKey val="0"/>
          <c:showVal val="0"/>
          <c:showCatName val="0"/>
          <c:showSerName val="0"/>
          <c:showPercent val="0"/>
          <c:showBubbleSize val="0"/>
        </c:dLbls>
        <c:marker val="1"/>
        <c:smooth val="0"/>
        <c:axId val="296868864"/>
        <c:axId val="292246592"/>
      </c:lineChart>
      <c:lineChart>
        <c:grouping val="standard"/>
        <c:varyColors val="0"/>
        <c:ser>
          <c:idx val="1"/>
          <c:order val="1"/>
          <c:tx>
            <c:v>人數(年底數)</c:v>
          </c:tx>
          <c:marker>
            <c:symbol val="none"/>
          </c:marker>
          <c:dLbls>
            <c:dLbl>
              <c:idx val="14"/>
              <c:layout>
                <c:manualLayout>
                  <c:x val="-4.405561288927462E-2"/>
                  <c:y val="-5.8829222572001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E3-44DB-A5AC-54E99945054B}"/>
                </c:ext>
              </c:extLst>
            </c:dLbl>
            <c:numFmt formatCode="#\.0," sourceLinked="0"/>
            <c:spPr>
              <a:noFill/>
              <a:ln>
                <a:noFill/>
              </a:ln>
              <a:effectLst/>
            </c:spPr>
            <c:txPr>
              <a:bodyPr/>
              <a:lstStyle/>
              <a:p>
                <a:pPr>
                  <a:defRPr sz="900"/>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'1.1提繳概況'!$A$3:$A$14</c:f>
              <c:strCache>
                <c:ptCount val="12"/>
                <c:pt idx="0">
                  <c:v>   94年 </c:v>
                </c:pt>
                <c:pt idx="1">
                  <c:v>   95年</c:v>
                </c:pt>
                <c:pt idx="2">
                  <c:v>   96年</c:v>
                </c:pt>
                <c:pt idx="3">
                  <c:v>   97年 </c:v>
                </c:pt>
                <c:pt idx="4">
                  <c:v>   98年</c:v>
                </c:pt>
                <c:pt idx="5">
                  <c:v>   99年</c:v>
                </c:pt>
                <c:pt idx="6">
                  <c:v> 100年 </c:v>
                </c:pt>
                <c:pt idx="7">
                  <c:v> 101年</c:v>
                </c:pt>
                <c:pt idx="8">
                  <c:v> 102年</c:v>
                </c:pt>
                <c:pt idx="9">
                  <c:v> 103年</c:v>
                </c:pt>
                <c:pt idx="10">
                  <c:v>104年</c:v>
                </c:pt>
                <c:pt idx="11">
                  <c:v>105年</c:v>
                </c:pt>
              </c:strCache>
            </c:strRef>
          </c:cat>
          <c:val>
            <c:numRef>
              <c:f>'1.1提繳概況'!$B$3:$B$18</c:f>
              <c:numCache>
                <c:formatCode>#,##0_);[Red]\(#,##0\)</c:formatCode>
                <c:ptCount val="16"/>
                <c:pt idx="0">
                  <c:v>3923796</c:v>
                </c:pt>
                <c:pt idx="1">
                  <c:v>4291152</c:v>
                </c:pt>
                <c:pt idx="2">
                  <c:v>4506601</c:v>
                </c:pt>
                <c:pt idx="3">
                  <c:v>4573412</c:v>
                </c:pt>
                <c:pt idx="4">
                  <c:v>4737178</c:v>
                </c:pt>
                <c:pt idx="5">
                  <c:v>5196134</c:v>
                </c:pt>
                <c:pt idx="6">
                  <c:v>5482848</c:v>
                </c:pt>
                <c:pt idx="7">
                  <c:v>5641538</c:v>
                </c:pt>
                <c:pt idx="8">
                  <c:v>5798851</c:v>
                </c:pt>
                <c:pt idx="9">
                  <c:v>6020787</c:v>
                </c:pt>
                <c:pt idx="10">
                  <c:v>6221337</c:v>
                </c:pt>
                <c:pt idx="11">
                  <c:v>6395674</c:v>
                </c:pt>
                <c:pt idx="12">
                  <c:v>6586389</c:v>
                </c:pt>
                <c:pt idx="13">
                  <c:v>6777903</c:v>
                </c:pt>
                <c:pt idx="14">
                  <c:v>6966983</c:v>
                </c:pt>
                <c:pt idx="15">
                  <c:v>7084436</c:v>
                </c:pt>
              </c:numCache>
            </c:numRef>
          </c:val>
          <c:smooth val="0"/>
          <c:extLst xmlns:c16r2="http://schemas.microsoft.com/office/drawing/2015/06/chart">
            <c:ext xmlns:c16="http://schemas.microsoft.com/office/drawing/2014/chart" uri="{C3380CC4-5D6E-409C-BE32-E72D297353CC}">
              <c16:uniqueId val="{00000003-07E3-44DB-A5AC-54E99945054B}"/>
            </c:ext>
          </c:extLst>
        </c:ser>
        <c:dLbls>
          <c:showLegendKey val="0"/>
          <c:showVal val="0"/>
          <c:showCatName val="0"/>
          <c:showSerName val="0"/>
          <c:showPercent val="0"/>
          <c:showBubbleSize val="0"/>
        </c:dLbls>
        <c:marker val="1"/>
        <c:smooth val="0"/>
        <c:axId val="297877504"/>
        <c:axId val="292247168"/>
      </c:lineChart>
      <c:catAx>
        <c:axId val="296868864"/>
        <c:scaling>
          <c:orientation val="minMax"/>
        </c:scaling>
        <c:delete val="0"/>
        <c:axPos val="b"/>
        <c:numFmt formatCode="General" sourceLinked="0"/>
        <c:majorTickMark val="out"/>
        <c:minorTickMark val="none"/>
        <c:tickLblPos val="nextTo"/>
        <c:txPr>
          <a:bodyPr/>
          <a:lstStyle/>
          <a:p>
            <a:pPr>
              <a:defRPr sz="900"/>
            </a:pPr>
            <a:endParaRPr lang="zh-TW"/>
          </a:p>
        </c:txPr>
        <c:crossAx val="292246592"/>
        <c:crosses val="autoZero"/>
        <c:auto val="1"/>
        <c:lblAlgn val="ctr"/>
        <c:lblOffset val="100"/>
        <c:noMultiLvlLbl val="0"/>
      </c:catAx>
      <c:valAx>
        <c:axId val="292246592"/>
        <c:scaling>
          <c:orientation val="minMax"/>
          <c:max val="600000"/>
          <c:min val="300000"/>
        </c:scaling>
        <c:delete val="0"/>
        <c:axPos val="l"/>
        <c:majorGridlines>
          <c:spPr>
            <a:ln>
              <a:noFill/>
            </a:ln>
          </c:spPr>
        </c:majorGridlines>
        <c:title>
          <c:tx>
            <c:rich>
              <a:bodyPr rot="0" vert="wordArtVertRtl"/>
              <a:lstStyle/>
              <a:p>
                <a:pPr>
                  <a:defRPr sz="900"/>
                </a:pPr>
                <a:r>
                  <a:rPr lang="zh-TW" altLang="en-US" sz="900">
                    <a:latin typeface="+mn-ea"/>
                    <a:ea typeface="+mn-ea"/>
                  </a:rPr>
                  <a:t>提繳單位數</a:t>
                </a:r>
                <a:r>
                  <a:rPr lang="en-US" altLang="zh-TW" sz="900">
                    <a:latin typeface="+mn-ea"/>
                    <a:ea typeface="+mn-ea"/>
                  </a:rPr>
                  <a:t>(</a:t>
                </a:r>
                <a:r>
                  <a:rPr lang="zh-TW" altLang="en-US" sz="900">
                    <a:latin typeface="+mn-ea"/>
                    <a:ea typeface="+mn-ea"/>
                  </a:rPr>
                  <a:t>萬個</a:t>
                </a:r>
                <a:r>
                  <a:rPr lang="en-US" altLang="zh-TW" sz="900">
                    <a:latin typeface="+mn-ea"/>
                    <a:ea typeface="+mn-ea"/>
                  </a:rPr>
                  <a:t>)</a:t>
                </a:r>
                <a:endParaRPr lang="zh-TW" altLang="en-US" sz="900">
                  <a:latin typeface="+mn-ea"/>
                  <a:ea typeface="+mn-ea"/>
                </a:endParaRPr>
              </a:p>
            </c:rich>
          </c:tx>
          <c:layout>
            <c:manualLayout>
              <c:xMode val="edge"/>
              <c:yMode val="edge"/>
              <c:x val="2.460850198553795E-3"/>
              <c:y val="5.6009759874486781E-2"/>
            </c:manualLayout>
          </c:layout>
          <c:overlay val="0"/>
        </c:title>
        <c:numFmt formatCode="#\.0," sourceLinked="0"/>
        <c:majorTickMark val="out"/>
        <c:minorTickMark val="none"/>
        <c:tickLblPos val="nextTo"/>
        <c:crossAx val="296868864"/>
        <c:crosses val="autoZero"/>
        <c:crossBetween val="between"/>
      </c:valAx>
      <c:valAx>
        <c:axId val="292247168"/>
        <c:scaling>
          <c:orientation val="minMax"/>
          <c:max val="7500000"/>
          <c:min val="3000000"/>
        </c:scaling>
        <c:delete val="0"/>
        <c:axPos val="r"/>
        <c:title>
          <c:tx>
            <c:rich>
              <a:bodyPr rot="0" vert="wordArtVertRtl"/>
              <a:lstStyle/>
              <a:p>
                <a:pPr>
                  <a:defRPr sz="900"/>
                </a:pPr>
                <a:r>
                  <a:rPr lang="zh-TW" altLang="en-US" sz="900">
                    <a:latin typeface="+mn-ea"/>
                    <a:ea typeface="+mn-ea"/>
                  </a:rPr>
                  <a:t>提繳人數</a:t>
                </a:r>
                <a:r>
                  <a:rPr lang="en-US" altLang="zh-TW" sz="900">
                    <a:latin typeface="+mn-ea"/>
                    <a:ea typeface="+mn-ea"/>
                  </a:rPr>
                  <a:t>(</a:t>
                </a:r>
                <a:r>
                  <a:rPr lang="zh-TW" altLang="en-US" sz="900">
                    <a:latin typeface="+mn-ea"/>
                    <a:ea typeface="+mn-ea"/>
                  </a:rPr>
                  <a:t>萬人</a:t>
                </a:r>
                <a:r>
                  <a:rPr lang="en-US" altLang="zh-TW" sz="900">
                    <a:latin typeface="+mn-ea"/>
                    <a:ea typeface="+mn-ea"/>
                  </a:rPr>
                  <a:t>)</a:t>
                </a:r>
                <a:endParaRPr lang="zh-TW" altLang="en-US" sz="900">
                  <a:latin typeface="+mn-ea"/>
                  <a:ea typeface="+mn-ea"/>
                </a:endParaRPr>
              </a:p>
            </c:rich>
          </c:tx>
          <c:layout>
            <c:manualLayout>
              <c:xMode val="edge"/>
              <c:yMode val="edge"/>
              <c:x val="0.96108155722600563"/>
              <c:y val="5.6852433201037979E-2"/>
            </c:manualLayout>
          </c:layout>
          <c:overlay val="0"/>
        </c:title>
        <c:numFmt formatCode="#\.0," sourceLinked="0"/>
        <c:majorTickMark val="out"/>
        <c:minorTickMark val="none"/>
        <c:tickLblPos val="nextTo"/>
        <c:crossAx val="297877504"/>
        <c:crosses val="max"/>
        <c:crossBetween val="between"/>
      </c:valAx>
      <c:catAx>
        <c:axId val="297877504"/>
        <c:scaling>
          <c:orientation val="minMax"/>
        </c:scaling>
        <c:delete val="1"/>
        <c:axPos val="b"/>
        <c:numFmt formatCode="General" sourceLinked="1"/>
        <c:majorTickMark val="out"/>
        <c:minorTickMark val="none"/>
        <c:tickLblPos val="nextTo"/>
        <c:crossAx val="292247168"/>
        <c:crosses val="autoZero"/>
        <c:auto val="1"/>
        <c:lblAlgn val="ctr"/>
        <c:lblOffset val="100"/>
        <c:noMultiLvlLbl val="0"/>
      </c:catAx>
    </c:plotArea>
    <c:legend>
      <c:legendPos val="b"/>
      <c:layout>
        <c:manualLayout>
          <c:xMode val="edge"/>
          <c:yMode val="edge"/>
          <c:x val="0.25294538509085851"/>
          <c:y val="0.89706715908913426"/>
          <c:w val="0.49410922981828292"/>
          <c:h val="8.4560001056044706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7102165625694"/>
          <c:y val="0.11415030801400608"/>
          <c:w val="0.83373428279019512"/>
          <c:h val="0.71535298734211139"/>
        </c:manualLayout>
      </c:layout>
      <c:lineChart>
        <c:grouping val="standard"/>
        <c:varyColors val="0"/>
        <c:ser>
          <c:idx val="0"/>
          <c:order val="0"/>
          <c:marker>
            <c:symbol val="none"/>
          </c:marker>
          <c:dLbls>
            <c:dLbl>
              <c:idx val="0"/>
              <c:layout>
                <c:manualLayout>
                  <c:x val="-4.7875109131240774E-2"/>
                  <c:y val="-6.9379846327986425E-2"/>
                </c:manualLayout>
              </c:layout>
              <c:dLblPos val="r"/>
              <c:showLegendKey val="0"/>
              <c:showVal val="1"/>
              <c:showCatName val="0"/>
              <c:showSerName val="0"/>
              <c:showPercent val="0"/>
              <c:showBubbleSize val="0"/>
            </c:dLbl>
            <c:dLbl>
              <c:idx val="1"/>
              <c:layout>
                <c:manualLayout>
                  <c:x val="-4.4735410690999587E-2"/>
                  <c:y val="-2.9070976831360562E-2"/>
                </c:manualLayout>
              </c:layout>
              <c:dLblPos val="r"/>
              <c:showLegendKey val="0"/>
              <c:showVal val="1"/>
              <c:showCatName val="0"/>
              <c:showSerName val="0"/>
              <c:showPercent val="0"/>
              <c:showBubbleSize val="0"/>
            </c:dLbl>
            <c:dLbl>
              <c:idx val="2"/>
              <c:layout>
                <c:manualLayout>
                  <c:x val="-4.6680248237179936E-2"/>
                  <c:y val="-4.69814203827899E-2"/>
                </c:manualLayout>
              </c:layout>
              <c:dLblPos val="r"/>
              <c:showLegendKey val="0"/>
              <c:showVal val="1"/>
              <c:showCatName val="0"/>
              <c:showSerName val="0"/>
              <c:showPercent val="0"/>
              <c:showBubbleSize val="0"/>
            </c:dLbl>
            <c:dLbl>
              <c:idx val="3"/>
              <c:layout>
                <c:manualLayout>
                  <c:x val="-4.8948893604082271E-2"/>
                  <c:y val="-5.5936642158504607E-2"/>
                </c:manualLayout>
              </c:layout>
              <c:dLblPos val="r"/>
              <c:showLegendKey val="0"/>
              <c:showVal val="1"/>
              <c:showCatName val="0"/>
              <c:showSerName val="0"/>
              <c:showPercent val="0"/>
              <c:showBubbleSize val="0"/>
            </c:dLbl>
            <c:dLbl>
              <c:idx val="4"/>
              <c:layout>
                <c:manualLayout>
                  <c:x val="-4.2936251418354408E-2"/>
                  <c:y val="-8.2804422892367405E-2"/>
                </c:manualLayout>
              </c:layout>
              <c:dLblPos val="r"/>
              <c:showLegendKey val="0"/>
              <c:showVal val="1"/>
              <c:showCatName val="0"/>
              <c:showSerName val="0"/>
              <c:showPercent val="0"/>
              <c:showBubbleSize val="0"/>
            </c:dLbl>
            <c:dLbl>
              <c:idx val="5"/>
              <c:layout>
                <c:manualLayout>
                  <c:x val="-4.0521927777916938E-2"/>
                  <c:y val="-6.9369474822076588E-2"/>
                </c:manualLayout>
              </c:layout>
              <c:dLblPos val="r"/>
              <c:showLegendKey val="0"/>
              <c:showVal val="1"/>
              <c:showCatName val="0"/>
              <c:showSerName val="0"/>
              <c:showPercent val="0"/>
              <c:showBubbleSize val="0"/>
            </c:dLbl>
            <c:dLbl>
              <c:idx val="6"/>
              <c:layout>
                <c:manualLayout>
                  <c:x val="-4.6842152147540908E-2"/>
                  <c:y val="-6.0414605614148485E-2"/>
                </c:manualLayout>
              </c:layout>
              <c:dLblPos val="r"/>
              <c:showLegendKey val="0"/>
              <c:showVal val="1"/>
              <c:showCatName val="0"/>
              <c:showSerName val="0"/>
              <c:showPercent val="0"/>
              <c:showBubbleSize val="0"/>
            </c:dLbl>
            <c:dLbl>
              <c:idx val="7"/>
              <c:layout>
                <c:manualLayout>
                  <c:x val="-4.8948893604082236E-2"/>
                  <c:y val="-6.4891863934219265E-2"/>
                </c:manualLayout>
              </c:layout>
              <c:dLblPos val="r"/>
              <c:showLegendKey val="0"/>
              <c:showVal val="1"/>
              <c:showCatName val="0"/>
              <c:showSerName val="0"/>
              <c:showPercent val="0"/>
              <c:showBubbleSize val="0"/>
            </c:dLbl>
            <c:dLbl>
              <c:idx val="8"/>
              <c:layout>
                <c:manualLayout>
                  <c:x val="-4.4735410690999511E-2"/>
                  <c:y val="-6.9369474822076671E-2"/>
                </c:manualLayout>
              </c:layout>
              <c:dLblPos val="r"/>
              <c:showLegendKey val="0"/>
              <c:showVal val="1"/>
              <c:showCatName val="0"/>
              <c:showSerName val="0"/>
              <c:showPercent val="0"/>
              <c:showBubbleSize val="0"/>
            </c:dLbl>
            <c:dLbl>
              <c:idx val="9"/>
              <c:layout>
                <c:manualLayout>
                  <c:x val="-4.6944669172749059E-2"/>
                  <c:y val="-7.3847438277720459E-2"/>
                </c:manualLayout>
              </c:layout>
              <c:dLblPos val="r"/>
              <c:showLegendKey val="0"/>
              <c:showVal val="1"/>
              <c:showCatName val="0"/>
              <c:showSerName val="0"/>
              <c:showPercent val="0"/>
              <c:showBubbleSize val="0"/>
            </c:dLbl>
            <c:dLbl>
              <c:idx val="10"/>
              <c:layout>
                <c:manualLayout>
                  <c:x val="-4.8948893604082236E-2"/>
                  <c:y val="-8.2802307485648735E-2"/>
                </c:manualLayout>
              </c:layout>
              <c:dLblPos val="r"/>
              <c:showLegendKey val="0"/>
              <c:showVal val="1"/>
              <c:showCatName val="0"/>
              <c:showSerName val="0"/>
              <c:showPercent val="0"/>
              <c:showBubbleSize val="0"/>
            </c:dLbl>
            <c:dLbl>
              <c:idx val="11"/>
              <c:layout>
                <c:manualLayout>
                  <c:x val="-3.8620054486637703E-2"/>
                  <c:y val="-7.3847085709934021E-2"/>
                </c:manualLayout>
              </c:layout>
              <c:dLblPos val="r"/>
              <c:showLegendKey val="0"/>
              <c:showVal val="1"/>
              <c:showCatName val="0"/>
              <c:showSerName val="0"/>
              <c:showPercent val="0"/>
              <c:showBubbleSize val="0"/>
            </c:dLbl>
            <c:dLbl>
              <c:idx val="12"/>
              <c:layout>
                <c:manualLayout>
                  <c:x val="-4.0360023867555966E-2"/>
                  <c:y val="-7.8325754301150685E-2"/>
                </c:manualLayout>
              </c:layout>
              <c:dLblPos val="r"/>
              <c:showLegendKey val="0"/>
              <c:showVal val="1"/>
              <c:showCatName val="0"/>
              <c:showSerName val="0"/>
              <c:showPercent val="0"/>
              <c:showBubbleSize val="0"/>
            </c:dLbl>
            <c:dLbl>
              <c:idx val="13"/>
              <c:layout>
                <c:manualLayout>
                  <c:x val="-3.8253282411014639E-2"/>
                  <c:y val="-6.9369474822076671E-2"/>
                </c:manualLayout>
              </c:layout>
              <c:dLblPos val="r"/>
              <c:showLegendKey val="0"/>
              <c:showVal val="1"/>
              <c:showCatName val="0"/>
              <c:showSerName val="0"/>
              <c:showPercent val="0"/>
              <c:showBubbleSize val="0"/>
            </c:dLbl>
            <c:dLbl>
              <c:idx val="14"/>
              <c:layout>
                <c:manualLayout>
                  <c:x val="-4.6680414122334001E-2"/>
                  <c:y val="-6.4891863934219307E-2"/>
                </c:manualLayout>
              </c:layout>
              <c:dLblPos val="r"/>
              <c:showLegendKey val="0"/>
              <c:showVal val="1"/>
              <c:showCatName val="0"/>
              <c:showSerName val="0"/>
              <c:showPercent val="0"/>
              <c:showBubbleSize val="0"/>
            </c:dLbl>
            <c:dLbl>
              <c:idx val="15"/>
              <c:layout>
                <c:manualLayout>
                  <c:x val="-1.5196573078133555E-2"/>
                  <c:y val="-6.0414605614148402E-2"/>
                </c:manualLayout>
              </c:layout>
              <c:dLblPos val="r"/>
              <c:showLegendKey val="0"/>
              <c:showVal val="1"/>
              <c:showCatName val="0"/>
              <c:showSerName val="0"/>
              <c:showPercent val="0"/>
              <c:showBubbleSize val="0"/>
            </c:dLbl>
            <c:numFmt formatCode="#,##0.0_);[Red]\(#,##0.0\)" sourceLinked="0"/>
            <c:spPr>
              <a:noFill/>
              <a:ln>
                <a:noFill/>
              </a:ln>
              <a:effectLst/>
            </c:spPr>
            <c:txPr>
              <a:bodyPr/>
              <a:lstStyle/>
              <a:p>
                <a:pPr>
                  <a:defRPr sz="900"/>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'1.1提繳概況'!$G$3:$G$18</c:f>
              <c:strCache>
                <c:ptCount val="16"/>
                <c:pt idx="0">
                  <c:v>   94年 </c:v>
                </c:pt>
                <c:pt idx="1">
                  <c:v>   95年</c:v>
                </c:pt>
                <c:pt idx="2">
                  <c:v>   96年</c:v>
                </c:pt>
                <c:pt idx="3">
                  <c:v>   97年 </c:v>
                </c:pt>
                <c:pt idx="4">
                  <c:v>   98年</c:v>
                </c:pt>
                <c:pt idx="5">
                  <c:v>   99年</c:v>
                </c:pt>
                <c:pt idx="6">
                  <c:v> 100年 </c:v>
                </c:pt>
                <c:pt idx="7">
                  <c:v> 101年</c:v>
                </c:pt>
                <c:pt idx="8">
                  <c:v> 102年</c:v>
                </c:pt>
                <c:pt idx="9">
                  <c:v> 103年</c:v>
                </c:pt>
                <c:pt idx="10">
                  <c:v>104年</c:v>
                </c:pt>
                <c:pt idx="11">
                  <c:v>105年</c:v>
                </c:pt>
                <c:pt idx="12">
                  <c:v>106年</c:v>
                </c:pt>
                <c:pt idx="13">
                  <c:v>107年</c:v>
                </c:pt>
                <c:pt idx="14">
                  <c:v>108年</c:v>
                </c:pt>
                <c:pt idx="15">
                  <c:v>109年</c:v>
                </c:pt>
              </c:strCache>
            </c:strRef>
          </c:cat>
          <c:val>
            <c:numRef>
              <c:f>'1.1提繳概況'!$J$3:$J$18</c:f>
              <c:numCache>
                <c:formatCode>#,##0.0_);[Red]\(#,##0.0\)</c:formatCode>
                <c:ptCount val="16"/>
                <c:pt idx="0">
                  <c:v>467.1</c:v>
                </c:pt>
                <c:pt idx="1">
                  <c:v>1005.71</c:v>
                </c:pt>
                <c:pt idx="2">
                  <c:v>1074.5</c:v>
                </c:pt>
                <c:pt idx="3">
                  <c:v>1146.8</c:v>
                </c:pt>
                <c:pt idx="4">
                  <c:v>1150</c:v>
                </c:pt>
                <c:pt idx="5">
                  <c:v>1276</c:v>
                </c:pt>
                <c:pt idx="6">
                  <c:v>1403.6</c:v>
                </c:pt>
                <c:pt idx="7">
                  <c:v>1496.5</c:v>
                </c:pt>
                <c:pt idx="8">
                  <c:v>1565.6</c:v>
                </c:pt>
                <c:pt idx="9">
                  <c:v>1654.9</c:v>
                </c:pt>
                <c:pt idx="10">
                  <c:v>1763.3</c:v>
                </c:pt>
                <c:pt idx="11">
                  <c:v>1849.8</c:v>
                </c:pt>
                <c:pt idx="12">
                  <c:v>1950.5</c:v>
                </c:pt>
                <c:pt idx="13">
                  <c:v>2071.5</c:v>
                </c:pt>
                <c:pt idx="14">
                  <c:v>2208.8000000000002</c:v>
                </c:pt>
                <c:pt idx="15">
                  <c:v>2334.1999999999998</c:v>
                </c:pt>
              </c:numCache>
            </c:numRef>
          </c:val>
          <c:smooth val="0"/>
          <c:extLst xmlns:c16r2="http://schemas.microsoft.com/office/drawing/2015/06/chart">
            <c:ext xmlns:c16="http://schemas.microsoft.com/office/drawing/2014/chart" uri="{C3380CC4-5D6E-409C-BE32-E72D297353CC}">
              <c16:uniqueId val="{00000005-829F-4199-93BC-6496C6593451}"/>
            </c:ext>
          </c:extLst>
        </c:ser>
        <c:dLbls>
          <c:showLegendKey val="0"/>
          <c:showVal val="0"/>
          <c:showCatName val="0"/>
          <c:showSerName val="0"/>
          <c:showPercent val="0"/>
          <c:showBubbleSize val="0"/>
        </c:dLbls>
        <c:marker val="1"/>
        <c:smooth val="0"/>
        <c:axId val="296868352"/>
        <c:axId val="285439616"/>
      </c:lineChart>
      <c:catAx>
        <c:axId val="296868352"/>
        <c:scaling>
          <c:orientation val="minMax"/>
        </c:scaling>
        <c:delete val="0"/>
        <c:axPos val="b"/>
        <c:numFmt formatCode="General" sourceLinked="0"/>
        <c:majorTickMark val="out"/>
        <c:minorTickMark val="none"/>
        <c:tickLblPos val="nextTo"/>
        <c:txPr>
          <a:bodyPr/>
          <a:lstStyle/>
          <a:p>
            <a:pPr>
              <a:defRPr sz="1000"/>
            </a:pPr>
            <a:endParaRPr lang="zh-TW"/>
          </a:p>
        </c:txPr>
        <c:crossAx val="285439616"/>
        <c:crosses val="autoZero"/>
        <c:auto val="1"/>
        <c:lblAlgn val="ctr"/>
        <c:lblOffset val="100"/>
        <c:noMultiLvlLbl val="0"/>
      </c:catAx>
      <c:valAx>
        <c:axId val="285439616"/>
        <c:scaling>
          <c:orientation val="minMax"/>
          <c:max val="2400"/>
          <c:min val="400"/>
        </c:scaling>
        <c:delete val="0"/>
        <c:axPos val="l"/>
        <c:majorGridlines>
          <c:spPr>
            <a:ln>
              <a:noFill/>
            </a:ln>
          </c:spPr>
        </c:majorGridlines>
        <c:title>
          <c:tx>
            <c:rich>
              <a:bodyPr rot="0" vert="wordArtVertRtl"/>
              <a:lstStyle/>
              <a:p>
                <a:pPr>
                  <a:defRPr sz="1000">
                    <a:latin typeface="+mn-ea"/>
                    <a:ea typeface="+mn-ea"/>
                  </a:defRPr>
                </a:pPr>
                <a:r>
                  <a:rPr lang="zh-TW" altLang="en-US" sz="1000">
                    <a:latin typeface="+mn-ea"/>
                    <a:ea typeface="+mn-ea"/>
                  </a:rPr>
                  <a:t>提繳總金額</a:t>
                </a:r>
                <a:r>
                  <a:rPr lang="en-US" altLang="zh-TW" sz="1000">
                    <a:latin typeface="+mn-ea"/>
                    <a:ea typeface="+mn-ea"/>
                  </a:rPr>
                  <a:t>(</a:t>
                </a:r>
                <a:r>
                  <a:rPr lang="zh-TW" altLang="en-US" sz="1000">
                    <a:latin typeface="+mn-ea"/>
                    <a:ea typeface="+mn-ea"/>
                  </a:rPr>
                  <a:t>億元</a:t>
                </a:r>
                <a:r>
                  <a:rPr lang="en-US" altLang="zh-TW" sz="1000">
                    <a:latin typeface="+mn-ea"/>
                    <a:ea typeface="+mn-ea"/>
                  </a:rPr>
                  <a:t>)</a:t>
                </a:r>
                <a:endParaRPr lang="zh-TW" altLang="en-US" sz="1000">
                  <a:latin typeface="+mn-ea"/>
                  <a:ea typeface="+mn-ea"/>
                </a:endParaRPr>
              </a:p>
            </c:rich>
          </c:tx>
          <c:layout>
            <c:manualLayout>
              <c:xMode val="edge"/>
              <c:yMode val="edge"/>
              <c:x val="1.1511364027094866E-2"/>
              <c:y val="5.8490925311452058E-2"/>
            </c:manualLayout>
          </c:layout>
          <c:overlay val="0"/>
        </c:title>
        <c:numFmt formatCode="#,##0_);[Red]\(#,##0\)" sourceLinked="0"/>
        <c:majorTickMark val="out"/>
        <c:minorTickMark val="none"/>
        <c:tickLblPos val="nextTo"/>
        <c:crossAx val="296868352"/>
        <c:crosses val="autoZero"/>
        <c:crossBetween val="between"/>
        <c:majorUnit val="400"/>
      </c:valAx>
    </c:plotArea>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77505914703434"/>
          <c:y val="5.1400554097404488E-2"/>
          <c:w val="0.82366941617366785"/>
          <c:h val="0.74919291338582672"/>
        </c:manualLayout>
      </c:layout>
      <c:lineChart>
        <c:grouping val="standard"/>
        <c:varyColors val="0"/>
        <c:ser>
          <c:idx val="0"/>
          <c:order val="0"/>
          <c:marker>
            <c:symbol val="none"/>
          </c:marker>
          <c:dLbls>
            <c:dLbl>
              <c:idx val="0"/>
              <c:layout>
                <c:manualLayout>
                  <c:x val="-6.5315163185734673E-2"/>
                  <c:y val="-7.454870224555264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12-47C2-AB92-0DC787B2A311}"/>
                </c:ext>
              </c:extLst>
            </c:dLbl>
            <c:dLbl>
              <c:idx val="3"/>
              <c:layout>
                <c:manualLayout>
                  <c:x val="-7.0618328958880136E-2"/>
                  <c:y val="-4.67712890055409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12-47C2-AB92-0DC787B2A311}"/>
                </c:ext>
              </c:extLst>
            </c:dLbl>
            <c:dLbl>
              <c:idx val="4"/>
              <c:layout>
                <c:manualLayout>
                  <c:x val="-7.895209973753281E-2"/>
                  <c:y val="-9.3067220764071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12-47C2-AB92-0DC787B2A311}"/>
                </c:ext>
              </c:extLst>
            </c:dLbl>
            <c:dLbl>
              <c:idx val="5"/>
              <c:layout>
                <c:manualLayout>
                  <c:x val="-6.2284995625546805E-2"/>
                  <c:y val="-8.84379556722076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12-47C2-AB92-0DC787B2A311}"/>
                </c:ext>
              </c:extLst>
            </c:dLbl>
            <c:spPr>
              <a:noFill/>
              <a:ln>
                <a:noFill/>
              </a:ln>
              <a:effectLst/>
            </c:spPr>
            <c:txPr>
              <a:bodyPr/>
              <a:lstStyle/>
              <a:p>
                <a:pPr>
                  <a:defRPr sz="900"/>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'1.1提繳概況'!$A$3:$A$18</c:f>
              <c:strCache>
                <c:ptCount val="16"/>
                <c:pt idx="0">
                  <c:v>   94年 </c:v>
                </c:pt>
                <c:pt idx="1">
                  <c:v>   95年</c:v>
                </c:pt>
                <c:pt idx="2">
                  <c:v>   96年</c:v>
                </c:pt>
                <c:pt idx="3">
                  <c:v>   97年 </c:v>
                </c:pt>
                <c:pt idx="4">
                  <c:v>   98年</c:v>
                </c:pt>
                <c:pt idx="5">
                  <c:v>   99年</c:v>
                </c:pt>
                <c:pt idx="6">
                  <c:v> 100年 </c:v>
                </c:pt>
                <c:pt idx="7">
                  <c:v> 101年</c:v>
                </c:pt>
                <c:pt idx="8">
                  <c:v> 102年</c:v>
                </c:pt>
                <c:pt idx="9">
                  <c:v> 103年</c:v>
                </c:pt>
                <c:pt idx="10">
                  <c:v>104年</c:v>
                </c:pt>
                <c:pt idx="11">
                  <c:v>105年</c:v>
                </c:pt>
                <c:pt idx="12">
                  <c:v>106年</c:v>
                </c:pt>
                <c:pt idx="13">
                  <c:v>107年</c:v>
                </c:pt>
                <c:pt idx="14">
                  <c:v>108年</c:v>
                </c:pt>
                <c:pt idx="15">
                  <c:v>109年</c:v>
                </c:pt>
              </c:strCache>
            </c:strRef>
          </c:cat>
          <c:val>
            <c:numRef>
              <c:f>'1.1提繳概況'!$E$3:$E$18</c:f>
              <c:numCache>
                <c:formatCode>#,##0_);[Red]\(#,##0\)</c:formatCode>
                <c:ptCount val="16"/>
                <c:pt idx="0">
                  <c:v>30447</c:v>
                </c:pt>
                <c:pt idx="1">
                  <c:v>30352</c:v>
                </c:pt>
                <c:pt idx="2">
                  <c:v>30970</c:v>
                </c:pt>
                <c:pt idx="3">
                  <c:v>31763</c:v>
                </c:pt>
                <c:pt idx="4">
                  <c:v>31776</c:v>
                </c:pt>
                <c:pt idx="5">
                  <c:v>32322</c:v>
                </c:pt>
                <c:pt idx="6">
                  <c:v>33179</c:v>
                </c:pt>
                <c:pt idx="7">
                  <c:v>33977</c:v>
                </c:pt>
                <c:pt idx="8">
                  <c:v>34736</c:v>
                </c:pt>
                <c:pt idx="9">
                  <c:v>35386</c:v>
                </c:pt>
                <c:pt idx="10">
                  <c:v>36127</c:v>
                </c:pt>
                <c:pt idx="11">
                  <c:v>36825</c:v>
                </c:pt>
                <c:pt idx="12">
                  <c:v>37585</c:v>
                </c:pt>
                <c:pt idx="13">
                  <c:v>38447</c:v>
                </c:pt>
                <c:pt idx="14">
                  <c:v>39370</c:v>
                </c:pt>
                <c:pt idx="15">
                  <c:v>40250</c:v>
                </c:pt>
              </c:numCache>
            </c:numRef>
          </c:val>
          <c:smooth val="0"/>
          <c:extLst xmlns:c16r2="http://schemas.microsoft.com/office/drawing/2015/06/chart">
            <c:ext xmlns:c16="http://schemas.microsoft.com/office/drawing/2014/chart" uri="{C3380CC4-5D6E-409C-BE32-E72D297353CC}">
              <c16:uniqueId val="{00000004-4512-47C2-AB92-0DC787B2A311}"/>
            </c:ext>
          </c:extLst>
        </c:ser>
        <c:dLbls>
          <c:showLegendKey val="0"/>
          <c:showVal val="0"/>
          <c:showCatName val="0"/>
          <c:showSerName val="0"/>
          <c:showPercent val="0"/>
          <c:showBubbleSize val="0"/>
        </c:dLbls>
        <c:marker val="1"/>
        <c:smooth val="0"/>
        <c:axId val="297878016"/>
        <c:axId val="292244288"/>
      </c:lineChart>
      <c:catAx>
        <c:axId val="297878016"/>
        <c:scaling>
          <c:orientation val="minMax"/>
        </c:scaling>
        <c:delete val="0"/>
        <c:axPos val="b"/>
        <c:numFmt formatCode="General" sourceLinked="0"/>
        <c:majorTickMark val="out"/>
        <c:minorTickMark val="none"/>
        <c:tickLblPos val="nextTo"/>
        <c:crossAx val="292244288"/>
        <c:crosses val="autoZero"/>
        <c:auto val="1"/>
        <c:lblAlgn val="ctr"/>
        <c:lblOffset val="100"/>
        <c:noMultiLvlLbl val="0"/>
      </c:catAx>
      <c:valAx>
        <c:axId val="292244288"/>
        <c:scaling>
          <c:orientation val="minMax"/>
          <c:max val="41000"/>
          <c:min val="29000"/>
        </c:scaling>
        <c:delete val="0"/>
        <c:axPos val="l"/>
        <c:majorGridlines>
          <c:spPr>
            <a:ln>
              <a:noFill/>
            </a:ln>
          </c:spPr>
        </c:majorGridlines>
        <c:title>
          <c:tx>
            <c:rich>
              <a:bodyPr rot="0" vert="wordArtVertRtl"/>
              <a:lstStyle/>
              <a:p>
                <a:pPr>
                  <a:defRPr>
                    <a:latin typeface="+mn-ea"/>
                    <a:ea typeface="+mn-ea"/>
                  </a:defRPr>
                </a:pPr>
                <a:r>
                  <a:rPr lang="zh-TW" altLang="en-US">
                    <a:latin typeface="+mn-ea"/>
                    <a:ea typeface="+mn-ea"/>
                  </a:rPr>
                  <a:t>平均提繳工資</a:t>
                </a:r>
                <a:r>
                  <a:rPr lang="en-US" altLang="zh-TW">
                    <a:latin typeface="+mn-ea"/>
                    <a:ea typeface="+mn-ea"/>
                  </a:rPr>
                  <a:t>(</a:t>
                </a:r>
                <a:r>
                  <a:rPr lang="zh-TW" altLang="en-US">
                    <a:latin typeface="+mn-ea"/>
                    <a:ea typeface="+mn-ea"/>
                  </a:rPr>
                  <a:t>元</a:t>
                </a:r>
                <a:r>
                  <a:rPr lang="en-US" altLang="zh-TW">
                    <a:latin typeface="+mn-ea"/>
                    <a:ea typeface="+mn-ea"/>
                  </a:rPr>
                  <a:t>)</a:t>
                </a:r>
                <a:endParaRPr lang="zh-TW" altLang="en-US">
                  <a:latin typeface="+mn-ea"/>
                  <a:ea typeface="+mn-ea"/>
                </a:endParaRPr>
              </a:p>
            </c:rich>
          </c:tx>
          <c:layout>
            <c:manualLayout>
              <c:xMode val="edge"/>
              <c:yMode val="edge"/>
              <c:x val="8.3333333333333332E-3"/>
              <c:y val="6.2744604841061535E-2"/>
            </c:manualLayout>
          </c:layout>
          <c:overlay val="0"/>
        </c:title>
        <c:numFmt formatCode="#,##0_);[Red]\(#,##0\)" sourceLinked="1"/>
        <c:majorTickMark val="out"/>
        <c:minorTickMark val="none"/>
        <c:tickLblPos val="nextTo"/>
        <c:crossAx val="297878016"/>
        <c:crosses val="autoZero"/>
        <c:crossBetween val="between"/>
      </c:valAx>
    </c:plotArea>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45873432487609"/>
          <c:y val="4.9790153042463897E-2"/>
          <c:w val="0.82831091426071746"/>
          <c:h val="0.65739536181165759"/>
        </c:manualLayout>
      </c:layout>
      <c:lineChart>
        <c:grouping val="standard"/>
        <c:varyColors val="0"/>
        <c:ser>
          <c:idx val="0"/>
          <c:order val="0"/>
          <c:tx>
            <c:v>男性人數</c:v>
          </c:tx>
          <c:marker>
            <c:symbol val="none"/>
          </c:marker>
          <c:dLbls>
            <c:dLbl>
              <c:idx val="5"/>
              <c:layout>
                <c:manualLayout>
                  <c:x val="-4.881324730242053E-2"/>
                  <c:y val="-3.3868960824341404E-2"/>
                </c:manualLayout>
              </c:layout>
              <c:spPr/>
              <c:txPr>
                <a:bodyPr/>
                <a:lstStyle/>
                <a:p>
                  <a:pPr>
                    <a:defRPr sz="1100"/>
                  </a:pPr>
                  <a:endParaRPr lang="zh-TW"/>
                </a:p>
              </c:txPr>
              <c:showLegendKey val="0"/>
              <c:showVal val="1"/>
              <c:showCatName val="0"/>
              <c:showSerName val="0"/>
              <c:showPercent val="0"/>
              <c:showBubbleSize val="0"/>
            </c:dLbl>
            <c:showLegendKey val="0"/>
            <c:showVal val="0"/>
            <c:showCatName val="0"/>
            <c:showSerName val="0"/>
            <c:showPercent val="0"/>
            <c:showBubbleSize val="0"/>
          </c:dLbls>
          <c:cat>
            <c:strRef>
              <c:f>'1.2提繳人數(按工資及性別分)'!$D$53:$D$63</c:f>
              <c:strCache>
                <c:ptCount val="11"/>
                <c:pt idx="0">
                  <c:v>第1組(7,500元以下)</c:v>
                </c:pt>
                <c:pt idx="1">
                  <c:v>第2組(7,501-13,500元)  ˉ</c:v>
                </c:pt>
                <c:pt idx="2">
                  <c:v>第3組(13,501-23,800元)   ˉ</c:v>
                </c:pt>
                <c:pt idx="3">
                  <c:v>第4組(23,801-28,800元)   ˉ</c:v>
                </c:pt>
                <c:pt idx="4">
                  <c:v>第5組(28,801-36,300元)</c:v>
                </c:pt>
                <c:pt idx="5">
                  <c:v>第6組(36,301-45,800元) </c:v>
                </c:pt>
                <c:pt idx="6">
                  <c:v>第7組(45,801-57,800元) </c:v>
                </c:pt>
                <c:pt idx="7">
                  <c:v>第8組(57,801-72,800元) </c:v>
                </c:pt>
                <c:pt idx="8">
                  <c:v>第9組(72,801-87,600元) </c:v>
                </c:pt>
                <c:pt idx="9">
                  <c:v>第10組(87,601-110,100元)</c:v>
                </c:pt>
                <c:pt idx="10">
                  <c:v>第11組(110,101元以上) </c:v>
                </c:pt>
              </c:strCache>
            </c:strRef>
          </c:cat>
          <c:val>
            <c:numRef>
              <c:f>('1.2提繳人數(按工資及性別分)'!$E$16,'1.2提繳人數(按工資及性別分)'!$H$16,'1.2提繳人數(按工資及性別分)'!$K$16,'1.2提繳人數(按工資及性別分)'!$N$16,'1.2提繳人數(按工資及性別分)'!$Q$16,'1.2提繳人數(按工資及性別分)'!$T$16,'1.2提繳人數(按工資及性別分)'!$W$16,'1.2提繳人數(按工資及性別分)'!$Z$16,'1.2提繳人數(按工資及性別分)'!$AC$16,'1.2提繳人數(按工資及性別分)'!$AF$16,'1.2提繳人數(按工資及性別分)'!$AI$16)</c:f>
              <c:numCache>
                <c:formatCode>#,##0</c:formatCode>
                <c:ptCount val="11"/>
                <c:pt idx="0">
                  <c:v>49370</c:v>
                </c:pt>
                <c:pt idx="1">
                  <c:v>125184</c:v>
                </c:pt>
                <c:pt idx="2">
                  <c:v>569801</c:v>
                </c:pt>
                <c:pt idx="3">
                  <c:v>444927</c:v>
                </c:pt>
                <c:pt idx="4">
                  <c:v>608650</c:v>
                </c:pt>
                <c:pt idx="5">
                  <c:v>652781</c:v>
                </c:pt>
                <c:pt idx="6">
                  <c:v>399907</c:v>
                </c:pt>
                <c:pt idx="7">
                  <c:v>293644</c:v>
                </c:pt>
                <c:pt idx="8">
                  <c:v>157774</c:v>
                </c:pt>
                <c:pt idx="9">
                  <c:v>117518</c:v>
                </c:pt>
                <c:pt idx="10">
                  <c:v>141631</c:v>
                </c:pt>
              </c:numCache>
            </c:numRef>
          </c:val>
          <c:smooth val="0"/>
          <c:extLst xmlns:c16r2="http://schemas.microsoft.com/office/drawing/2015/06/chart">
            <c:ext xmlns:c16="http://schemas.microsoft.com/office/drawing/2014/chart" uri="{C3380CC4-5D6E-409C-BE32-E72D297353CC}">
              <c16:uniqueId val="{00000000-A8ED-420B-8E62-29E04F6A3E0B}"/>
            </c:ext>
          </c:extLst>
        </c:ser>
        <c:ser>
          <c:idx val="1"/>
          <c:order val="1"/>
          <c:tx>
            <c:v>女性人數</c:v>
          </c:tx>
          <c:spPr>
            <a:ln>
              <a:prstDash val="sysDash"/>
            </a:ln>
          </c:spPr>
          <c:marker>
            <c:symbol val="none"/>
          </c:marker>
          <c:dLbls>
            <c:dLbl>
              <c:idx val="2"/>
              <c:layout>
                <c:manualLayout>
                  <c:x val="-5.4608850976961214E-2"/>
                  <c:y val="-2.8223972003499562E-2"/>
                </c:manualLayout>
              </c:layout>
              <c:showLegendKey val="0"/>
              <c:showVal val="1"/>
              <c:showCatName val="0"/>
              <c:showSerName val="0"/>
              <c:showPercent val="0"/>
              <c:showBubbleSize val="0"/>
            </c:dLbl>
            <c:txPr>
              <a:bodyPr/>
              <a:lstStyle/>
              <a:p>
                <a:pPr>
                  <a:defRPr sz="1100"/>
                </a:pPr>
                <a:endParaRPr lang="zh-TW"/>
              </a:p>
            </c:txPr>
            <c:showLegendKey val="0"/>
            <c:showVal val="0"/>
            <c:showCatName val="0"/>
            <c:showSerName val="0"/>
            <c:showPercent val="0"/>
            <c:showBubbleSize val="0"/>
          </c:dLbls>
          <c:cat>
            <c:strRef>
              <c:f>'1.2提繳人數(按工資及性別分)'!$D$53:$D$63</c:f>
              <c:strCache>
                <c:ptCount val="11"/>
                <c:pt idx="0">
                  <c:v>第1組(7,500元以下)</c:v>
                </c:pt>
                <c:pt idx="1">
                  <c:v>第2組(7,501-13,500元)  ˉ</c:v>
                </c:pt>
                <c:pt idx="2">
                  <c:v>第3組(13,501-23,800元)   ˉ</c:v>
                </c:pt>
                <c:pt idx="3">
                  <c:v>第4組(23,801-28,800元)   ˉ</c:v>
                </c:pt>
                <c:pt idx="4">
                  <c:v>第5組(28,801-36,300元)</c:v>
                </c:pt>
                <c:pt idx="5">
                  <c:v>第6組(36,301-45,800元) </c:v>
                </c:pt>
                <c:pt idx="6">
                  <c:v>第7組(45,801-57,800元) </c:v>
                </c:pt>
                <c:pt idx="7">
                  <c:v>第8組(57,801-72,800元) </c:v>
                </c:pt>
                <c:pt idx="8">
                  <c:v>第9組(72,801-87,600元) </c:v>
                </c:pt>
                <c:pt idx="9">
                  <c:v>第10組(87,601-110,100元)</c:v>
                </c:pt>
                <c:pt idx="10">
                  <c:v>第11組(110,101元以上) </c:v>
                </c:pt>
              </c:strCache>
            </c:strRef>
          </c:cat>
          <c:val>
            <c:numRef>
              <c:f>('1.2提繳人數(按工資及性別分)'!$F$16,'1.2提繳人數(按工資及性別分)'!$I$16,'1.2提繳人數(按工資及性別分)'!$L$16,'1.2提繳人數(按工資及性別分)'!$O$16,'1.2提繳人數(按工資及性別分)'!$R$16,'1.2提繳人數(按工資及性別分)'!$U$16,'1.2提繳人數(按工資及性別分)'!$X$16,'1.2提繳人數(按工資及性別分)'!$AA$16,'1.2提繳人數(按工資及性別分)'!$AD$16,'1.2提繳人數(按工資及性別分)'!$AG$16,'1.2提繳人數(按工資及性別分)'!$AJ$16)</c:f>
              <c:numCache>
                <c:formatCode>#,##0</c:formatCode>
                <c:ptCount val="11"/>
                <c:pt idx="0">
                  <c:v>58653</c:v>
                </c:pt>
                <c:pt idx="1">
                  <c:v>167874</c:v>
                </c:pt>
                <c:pt idx="2">
                  <c:v>706766</c:v>
                </c:pt>
                <c:pt idx="3">
                  <c:v>697875</c:v>
                </c:pt>
                <c:pt idx="4">
                  <c:v>705100</c:v>
                </c:pt>
                <c:pt idx="5">
                  <c:v>558353</c:v>
                </c:pt>
                <c:pt idx="6">
                  <c:v>304204</c:v>
                </c:pt>
                <c:pt idx="7">
                  <c:v>165341</c:v>
                </c:pt>
                <c:pt idx="8">
                  <c:v>66718</c:v>
                </c:pt>
                <c:pt idx="9">
                  <c:v>42269</c:v>
                </c:pt>
                <c:pt idx="10">
                  <c:v>50096</c:v>
                </c:pt>
              </c:numCache>
            </c:numRef>
          </c:val>
          <c:smooth val="0"/>
          <c:extLst xmlns:c16r2="http://schemas.microsoft.com/office/drawing/2015/06/chart">
            <c:ext xmlns:c16="http://schemas.microsoft.com/office/drawing/2014/chart" uri="{C3380CC4-5D6E-409C-BE32-E72D297353CC}">
              <c16:uniqueId val="{00000001-A8ED-420B-8E62-29E04F6A3E0B}"/>
            </c:ext>
          </c:extLst>
        </c:ser>
        <c:dLbls>
          <c:showLegendKey val="0"/>
          <c:showVal val="0"/>
          <c:showCatName val="0"/>
          <c:showSerName val="0"/>
          <c:showPercent val="0"/>
          <c:showBubbleSize val="0"/>
        </c:dLbls>
        <c:marker val="1"/>
        <c:smooth val="0"/>
        <c:axId val="297879552"/>
        <c:axId val="318906944"/>
      </c:lineChart>
      <c:catAx>
        <c:axId val="297879552"/>
        <c:scaling>
          <c:orientation val="minMax"/>
        </c:scaling>
        <c:delete val="0"/>
        <c:axPos val="b"/>
        <c:numFmt formatCode="General" sourceLinked="1"/>
        <c:majorTickMark val="out"/>
        <c:minorTickMark val="none"/>
        <c:tickLblPos val="nextTo"/>
        <c:txPr>
          <a:bodyPr/>
          <a:lstStyle/>
          <a:p>
            <a:pPr>
              <a:defRPr sz="800"/>
            </a:pPr>
            <a:endParaRPr lang="zh-TW"/>
          </a:p>
        </c:txPr>
        <c:crossAx val="318906944"/>
        <c:crosses val="autoZero"/>
        <c:auto val="1"/>
        <c:lblAlgn val="ctr"/>
        <c:lblOffset val="100"/>
        <c:noMultiLvlLbl val="0"/>
      </c:catAx>
      <c:valAx>
        <c:axId val="318906944"/>
        <c:scaling>
          <c:orientation val="minMax"/>
        </c:scaling>
        <c:delete val="0"/>
        <c:axPos val="l"/>
        <c:majorGridlines>
          <c:spPr>
            <a:ln>
              <a:noFill/>
            </a:ln>
          </c:spPr>
        </c:majorGridlines>
        <c:title>
          <c:tx>
            <c:rich>
              <a:bodyPr rot="0" vert="wordArtVertRtl"/>
              <a:lstStyle/>
              <a:p>
                <a:pPr>
                  <a:defRPr>
                    <a:latin typeface="+mn-ea"/>
                    <a:ea typeface="+mn-ea"/>
                  </a:defRPr>
                </a:pPr>
                <a:r>
                  <a:rPr lang="zh-TW" altLang="en-US">
                    <a:latin typeface="+mn-ea"/>
                    <a:ea typeface="+mn-ea"/>
                  </a:rPr>
                  <a:t>提繳人數</a:t>
                </a:r>
                <a:r>
                  <a:rPr lang="en-US" altLang="zh-TW">
                    <a:latin typeface="+mn-ea"/>
                    <a:ea typeface="+mn-ea"/>
                  </a:rPr>
                  <a:t>(</a:t>
                </a:r>
                <a:r>
                  <a:rPr lang="zh-TW" altLang="en-US">
                    <a:latin typeface="+mn-ea"/>
                    <a:ea typeface="+mn-ea"/>
                  </a:rPr>
                  <a:t>人</a:t>
                </a:r>
                <a:r>
                  <a:rPr lang="en-US" altLang="zh-TW">
                    <a:latin typeface="+mn-ea"/>
                    <a:ea typeface="+mn-ea"/>
                  </a:rPr>
                  <a:t>)</a:t>
                </a:r>
                <a:endParaRPr lang="zh-TW" altLang="en-US">
                  <a:latin typeface="+mn-ea"/>
                  <a:ea typeface="+mn-ea"/>
                </a:endParaRPr>
              </a:p>
            </c:rich>
          </c:tx>
          <c:layout>
            <c:manualLayout>
              <c:xMode val="edge"/>
              <c:yMode val="edge"/>
              <c:x val="1.0152741324001166E-2"/>
              <c:y val="9.4018984892304008E-2"/>
            </c:manualLayout>
          </c:layout>
          <c:overlay val="0"/>
        </c:title>
        <c:numFmt formatCode="#,##0" sourceLinked="1"/>
        <c:majorTickMark val="out"/>
        <c:minorTickMark val="none"/>
        <c:tickLblPos val="nextTo"/>
        <c:txPr>
          <a:bodyPr/>
          <a:lstStyle/>
          <a:p>
            <a:pPr>
              <a:defRPr sz="900"/>
            </a:pPr>
            <a:endParaRPr lang="zh-TW"/>
          </a:p>
        </c:txPr>
        <c:crossAx val="297879552"/>
        <c:crosses val="autoZero"/>
        <c:crossBetween val="between"/>
      </c:valAx>
    </c:plotArea>
    <c:legend>
      <c:legendPos val="b"/>
      <c:layout>
        <c:manualLayout>
          <c:xMode val="edge"/>
          <c:yMode val="edge"/>
          <c:x val="0.77521598862642171"/>
          <c:y val="0.20262981906588343"/>
          <c:w val="0.19177183581219009"/>
          <c:h val="0.11493305902789849"/>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86867669655957"/>
          <c:y val="2.8252405949256341E-2"/>
          <c:w val="0.78198699528600824"/>
          <c:h val="0.70163623991445512"/>
        </c:manualLayout>
      </c:layout>
      <c:barChart>
        <c:barDir val="col"/>
        <c:grouping val="clustered"/>
        <c:varyColors val="0"/>
        <c:ser>
          <c:idx val="0"/>
          <c:order val="0"/>
          <c:tx>
            <c:v>實際收益率</c:v>
          </c:tx>
          <c:spPr>
            <a:solidFill>
              <a:schemeClr val="accent2">
                <a:lumMod val="40000"/>
                <a:lumOff val="60000"/>
              </a:schemeClr>
            </a:solidFill>
          </c:spPr>
          <c:invertIfNegative val="0"/>
          <c:dLbls>
            <c:dLbl>
              <c:idx val="3"/>
              <c:spPr>
                <a:noFill/>
                <a:ln>
                  <a:noFill/>
                </a:ln>
                <a:effectLst/>
              </c:spPr>
              <c:txPr>
                <a:bodyPr/>
                <a:lstStyle/>
                <a:p>
                  <a:pPr>
                    <a:defRPr>
                      <a:solidFill>
                        <a:srgbClr val="FF0000"/>
                      </a:solidFill>
                    </a:defRPr>
                  </a:pPr>
                  <a:endParaRPr lang="zh-TW"/>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A5-4E75-945C-FCABD120360F}"/>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A5-4E75-945C-FCABD120360F}"/>
                </c:ext>
              </c:extLst>
            </c:dLbl>
            <c:dLbl>
              <c:idx val="13"/>
              <c:layout>
                <c:manualLayout>
                  <c:x val="0"/>
                  <c:y val="8.3333333333333412E-2"/>
                </c:manualLayout>
              </c:layout>
              <c:spPr>
                <a:noFill/>
                <a:ln>
                  <a:noFill/>
                </a:ln>
                <a:effectLst/>
              </c:spPr>
              <c:txPr>
                <a:bodyPr/>
                <a:lstStyle/>
                <a:p>
                  <a:pPr>
                    <a:defRPr>
                      <a:solidFill>
                        <a:srgbClr val="FF0000"/>
                      </a:solidFill>
                    </a:defRPr>
                  </a:pPr>
                  <a:endParaRPr lang="zh-TW"/>
                </a:p>
              </c:txPr>
              <c:showLegendKey val="0"/>
              <c:showVal val="1"/>
              <c:showCatName val="0"/>
              <c:showSerName val="0"/>
              <c:showPercent val="0"/>
              <c:showBubbleSize val="0"/>
            </c:dLbl>
            <c:dLbl>
              <c:idx val="14"/>
              <c:layout>
                <c:manualLayout>
                  <c:x val="7.8455702088328621E-3"/>
                  <c:y val="8.26963086036263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A5-4E75-945C-FCABD120360F}"/>
                </c:ext>
              </c:extLst>
            </c:dLbl>
            <c:dLbl>
              <c:idx val="15"/>
              <c:layout>
                <c:manualLayout>
                  <c:x val="0"/>
                  <c:y val="8.3589539839630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A5-4E75-945C-FCABD120360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'3.2基金運用收益'!$G$3:$G$20</c:f>
              <c:strCache>
                <c:ptCount val="16"/>
                <c:pt idx="0">
                  <c:v> 94年</c:v>
                </c:pt>
                <c:pt idx="1">
                  <c:v> 95年</c:v>
                </c:pt>
                <c:pt idx="2">
                  <c:v> 96年</c:v>
                </c:pt>
                <c:pt idx="3">
                  <c:v> 97年</c:v>
                </c:pt>
                <c:pt idx="4">
                  <c:v> 98年</c:v>
                </c:pt>
                <c:pt idx="5">
                  <c:v> 99年</c:v>
                </c:pt>
                <c:pt idx="6">
                  <c:v> 100年</c:v>
                </c:pt>
                <c:pt idx="7">
                  <c:v> 101年</c:v>
                </c:pt>
                <c:pt idx="8">
                  <c:v> 102年</c:v>
                </c:pt>
                <c:pt idx="9">
                  <c:v> 103年</c:v>
                </c:pt>
                <c:pt idx="10">
                  <c:v> 104年</c:v>
                </c:pt>
                <c:pt idx="11">
                  <c:v>105年</c:v>
                </c:pt>
                <c:pt idx="12">
                  <c:v>106年</c:v>
                </c:pt>
                <c:pt idx="13">
                  <c:v>107年</c:v>
                </c:pt>
                <c:pt idx="14">
                  <c:v>108年</c:v>
                </c:pt>
                <c:pt idx="15">
                  <c:v>109年</c:v>
                </c:pt>
              </c:strCache>
            </c:strRef>
          </c:cat>
          <c:val>
            <c:numRef>
              <c:f>'3.2基金運用收益'!$I$3:$I$18</c:f>
              <c:numCache>
                <c:formatCode>#,##0.0_ </c:formatCode>
                <c:ptCount val="16"/>
                <c:pt idx="0">
                  <c:v>1.5</c:v>
                </c:pt>
                <c:pt idx="1">
                  <c:v>1.6</c:v>
                </c:pt>
                <c:pt idx="2">
                  <c:v>0.4</c:v>
                </c:pt>
                <c:pt idx="3">
                  <c:v>-6.1</c:v>
                </c:pt>
                <c:pt idx="4">
                  <c:v>11.8</c:v>
                </c:pt>
                <c:pt idx="5">
                  <c:v>1.5</c:v>
                </c:pt>
                <c:pt idx="6">
                  <c:v>-3.9</c:v>
                </c:pt>
                <c:pt idx="7">
                  <c:v>5</c:v>
                </c:pt>
                <c:pt idx="8">
                  <c:v>5.7</c:v>
                </c:pt>
                <c:pt idx="9">
                  <c:v>6.4</c:v>
                </c:pt>
                <c:pt idx="10">
                  <c:v>-0.1</c:v>
                </c:pt>
                <c:pt idx="11">
                  <c:v>3.2</c:v>
                </c:pt>
                <c:pt idx="12">
                  <c:v>7.9</c:v>
                </c:pt>
                <c:pt idx="13">
                  <c:v>-2.1</c:v>
                </c:pt>
                <c:pt idx="14">
                  <c:v>11.4</c:v>
                </c:pt>
                <c:pt idx="15">
                  <c:v>6.9</c:v>
                </c:pt>
              </c:numCache>
            </c:numRef>
          </c:val>
          <c:extLst xmlns:c16r2="http://schemas.microsoft.com/office/drawing/2015/06/chart">
            <c:ext xmlns:c16="http://schemas.microsoft.com/office/drawing/2014/chart" uri="{C3380CC4-5D6E-409C-BE32-E72D297353CC}">
              <c16:uniqueId val="{00000005-C2A5-4E75-945C-FCABD120360F}"/>
            </c:ext>
          </c:extLst>
        </c:ser>
        <c:dLbls>
          <c:showLegendKey val="0"/>
          <c:showVal val="0"/>
          <c:showCatName val="0"/>
          <c:showSerName val="0"/>
          <c:showPercent val="0"/>
          <c:showBubbleSize val="0"/>
        </c:dLbls>
        <c:gapWidth val="150"/>
        <c:axId val="319001600"/>
        <c:axId val="318908672"/>
      </c:barChart>
      <c:lineChart>
        <c:grouping val="standard"/>
        <c:varyColors val="0"/>
        <c:ser>
          <c:idx val="1"/>
          <c:order val="1"/>
          <c:tx>
            <c:v>實際收益數</c:v>
          </c:tx>
          <c:spPr>
            <a:ln>
              <a:solidFill>
                <a:schemeClr val="accent1"/>
              </a:solidFill>
            </a:ln>
          </c:spPr>
          <c:marker>
            <c:symbol val="none"/>
          </c:marker>
          <c:dLbls>
            <c:dLbl>
              <c:idx val="3"/>
              <c:layout>
                <c:manualLayout>
                  <c:x val="-4.4943867620482587E-2"/>
                  <c:y val="2.4414144332875906E-2"/>
                </c:manualLayout>
              </c:layout>
              <c:spPr>
                <a:noFill/>
                <a:ln>
                  <a:noFill/>
                </a:ln>
                <a:effectLst/>
              </c:spPr>
              <c:txPr>
                <a:bodyPr/>
                <a:lstStyle/>
                <a:p>
                  <a:pPr>
                    <a:defRPr>
                      <a:solidFill>
                        <a:srgbClr val="FF0000"/>
                      </a:solidFill>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A5-4E75-945C-FCABD120360F}"/>
                </c:ext>
              </c:extLst>
            </c:dLbl>
            <c:dLbl>
              <c:idx val="4"/>
              <c:layout>
                <c:manualLayout>
                  <c:x val="-4.1452901204051179E-2"/>
                  <c:y val="-2.77777777777777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2A5-4E75-945C-FCABD120360F}"/>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2A5-4E75-945C-FCABD120360F}"/>
                </c:ext>
              </c:extLst>
            </c:dLbl>
            <c:dLbl>
              <c:idx val="13"/>
              <c:layout>
                <c:manualLayout>
                  <c:x val="-4.0903296752146795E-2"/>
                  <c:y val="3.2619735606443691E-2"/>
                </c:manualLayout>
              </c:layout>
              <c:spPr>
                <a:noFill/>
                <a:ln>
                  <a:noFill/>
                </a:ln>
                <a:effectLst/>
              </c:spPr>
              <c:txPr>
                <a:bodyPr/>
                <a:lstStyle/>
                <a:p>
                  <a:pPr>
                    <a:defRPr>
                      <a:solidFill>
                        <a:srgbClr val="FF0000"/>
                      </a:solidFill>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2A5-4E75-945C-FCABD120360F}"/>
                </c:ext>
              </c:extLst>
            </c:dLbl>
            <c:dLbl>
              <c:idx val="14"/>
              <c:layout>
                <c:manualLayout>
                  <c:x val="-3.9415941704241536E-2"/>
                  <c:y val="-1.41442715700141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2A5-4E75-945C-FCABD120360F}"/>
                </c:ext>
              </c:extLst>
            </c:dLbl>
            <c:dLbl>
              <c:idx val="15"/>
              <c:layout>
                <c:manualLayout>
                  <c:x val="-3.735544677227258E-2"/>
                  <c:y val="2.80329408365238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2A5-4E75-945C-FCABD120360F}"/>
                </c:ext>
              </c:extLst>
            </c:dLbl>
            <c:spPr>
              <a:noFill/>
              <a:ln>
                <a:noFill/>
              </a:ln>
              <a:effectLst/>
            </c:sp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'3.2基金運用收益'!$G$3:$G$18</c:f>
              <c:strCache>
                <c:ptCount val="16"/>
                <c:pt idx="0">
                  <c:v> 94年</c:v>
                </c:pt>
                <c:pt idx="1">
                  <c:v> 95年</c:v>
                </c:pt>
                <c:pt idx="2">
                  <c:v> 96年</c:v>
                </c:pt>
                <c:pt idx="3">
                  <c:v> 97年</c:v>
                </c:pt>
                <c:pt idx="4">
                  <c:v> 98年</c:v>
                </c:pt>
                <c:pt idx="5">
                  <c:v> 99年</c:v>
                </c:pt>
                <c:pt idx="6">
                  <c:v> 100年</c:v>
                </c:pt>
                <c:pt idx="7">
                  <c:v> 101年</c:v>
                </c:pt>
                <c:pt idx="8">
                  <c:v> 102年</c:v>
                </c:pt>
                <c:pt idx="9">
                  <c:v> 103年</c:v>
                </c:pt>
                <c:pt idx="10">
                  <c:v> 104年</c:v>
                </c:pt>
                <c:pt idx="11">
                  <c:v>105年</c:v>
                </c:pt>
                <c:pt idx="12">
                  <c:v>106年</c:v>
                </c:pt>
                <c:pt idx="13">
                  <c:v>107年</c:v>
                </c:pt>
                <c:pt idx="14">
                  <c:v>108年</c:v>
                </c:pt>
                <c:pt idx="15">
                  <c:v>109年</c:v>
                </c:pt>
              </c:strCache>
            </c:strRef>
          </c:cat>
          <c:val>
            <c:numRef>
              <c:f>'3.2基金運用收益'!$H$3:$H$18</c:f>
              <c:numCache>
                <c:formatCode>#,##0.0_ </c:formatCode>
                <c:ptCount val="16"/>
                <c:pt idx="0">
                  <c:v>0.6</c:v>
                </c:pt>
                <c:pt idx="1">
                  <c:v>12.4</c:v>
                </c:pt>
                <c:pt idx="2">
                  <c:v>7.6</c:v>
                </c:pt>
                <c:pt idx="3">
                  <c:v>-176.6</c:v>
                </c:pt>
                <c:pt idx="4">
                  <c:v>481.1</c:v>
                </c:pt>
                <c:pt idx="5">
                  <c:v>82</c:v>
                </c:pt>
                <c:pt idx="6">
                  <c:v>-264</c:v>
                </c:pt>
                <c:pt idx="7">
                  <c:v>406.3</c:v>
                </c:pt>
                <c:pt idx="8">
                  <c:v>556.6</c:v>
                </c:pt>
                <c:pt idx="9">
                  <c:v>754</c:v>
                </c:pt>
                <c:pt idx="10">
                  <c:v>-13.1</c:v>
                </c:pt>
                <c:pt idx="11">
                  <c:v>515.4</c:v>
                </c:pt>
                <c:pt idx="12">
                  <c:v>1407</c:v>
                </c:pt>
                <c:pt idx="13">
                  <c:v>-423.8</c:v>
                </c:pt>
                <c:pt idx="14">
                  <c:v>2670.1</c:v>
                </c:pt>
                <c:pt idx="15">
                  <c:v>1781.8</c:v>
                </c:pt>
              </c:numCache>
            </c:numRef>
          </c:val>
          <c:smooth val="0"/>
          <c:extLst xmlns:c16r2="http://schemas.microsoft.com/office/drawing/2015/06/chart">
            <c:ext xmlns:c16="http://schemas.microsoft.com/office/drawing/2014/chart" uri="{C3380CC4-5D6E-409C-BE32-E72D297353CC}">
              <c16:uniqueId val="{0000000C-C2A5-4E75-945C-FCABD120360F}"/>
            </c:ext>
          </c:extLst>
        </c:ser>
        <c:dLbls>
          <c:showLegendKey val="0"/>
          <c:showVal val="0"/>
          <c:showCatName val="0"/>
          <c:showSerName val="0"/>
          <c:showPercent val="0"/>
          <c:showBubbleSize val="0"/>
        </c:dLbls>
        <c:marker val="1"/>
        <c:smooth val="0"/>
        <c:axId val="297881088"/>
        <c:axId val="318908096"/>
      </c:lineChart>
      <c:catAx>
        <c:axId val="297881088"/>
        <c:scaling>
          <c:orientation val="minMax"/>
        </c:scaling>
        <c:delete val="0"/>
        <c:axPos val="b"/>
        <c:numFmt formatCode="General" sourceLinked="0"/>
        <c:majorTickMark val="out"/>
        <c:minorTickMark val="none"/>
        <c:tickLblPos val="low"/>
        <c:crossAx val="318908096"/>
        <c:crossesAt val="-1500"/>
        <c:auto val="1"/>
        <c:lblAlgn val="ctr"/>
        <c:lblOffset val="100"/>
        <c:tickLblSkip val="1"/>
        <c:noMultiLvlLbl val="0"/>
      </c:catAx>
      <c:valAx>
        <c:axId val="318908096"/>
        <c:scaling>
          <c:orientation val="minMax"/>
          <c:max val="3000"/>
          <c:min val="-1500"/>
        </c:scaling>
        <c:delete val="0"/>
        <c:axPos val="l"/>
        <c:majorGridlines/>
        <c:title>
          <c:tx>
            <c:rich>
              <a:bodyPr rot="0" vert="wordArtVertRtl"/>
              <a:lstStyle/>
              <a:p>
                <a:pPr>
                  <a:defRPr>
                    <a:latin typeface="+mn-ea"/>
                    <a:ea typeface="+mn-ea"/>
                  </a:defRPr>
                </a:pPr>
                <a:r>
                  <a:rPr lang="zh-TW" altLang="en-US">
                    <a:latin typeface="+mn-ea"/>
                    <a:ea typeface="+mn-ea"/>
                  </a:rPr>
                  <a:t>實際收益數</a:t>
                </a:r>
                <a:r>
                  <a:rPr lang="en-US" altLang="zh-TW">
                    <a:latin typeface="+mn-ea"/>
                    <a:ea typeface="+mn-ea"/>
                  </a:rPr>
                  <a:t>(</a:t>
                </a:r>
                <a:r>
                  <a:rPr lang="zh-TW" altLang="en-US">
                    <a:latin typeface="+mn-ea"/>
                    <a:ea typeface="+mn-ea"/>
                  </a:rPr>
                  <a:t>億元</a:t>
                </a:r>
                <a:r>
                  <a:rPr lang="en-US" altLang="zh-TW">
                    <a:latin typeface="+mn-ea"/>
                    <a:ea typeface="+mn-ea"/>
                  </a:rPr>
                  <a:t>)</a:t>
                </a:r>
                <a:endParaRPr lang="zh-TW" altLang="en-US">
                  <a:latin typeface="+mn-ea"/>
                  <a:ea typeface="+mn-ea"/>
                </a:endParaRPr>
              </a:p>
            </c:rich>
          </c:tx>
          <c:layout>
            <c:manualLayout>
              <c:xMode val="edge"/>
              <c:yMode val="edge"/>
              <c:x val="8.2417586874707262E-3"/>
              <c:y val="0.13095483754185899"/>
            </c:manualLayout>
          </c:layout>
          <c:overlay val="0"/>
        </c:title>
        <c:numFmt formatCode="#,##0_ " sourceLinked="0"/>
        <c:majorTickMark val="out"/>
        <c:minorTickMark val="none"/>
        <c:tickLblPos val="low"/>
        <c:crossAx val="297881088"/>
        <c:crossesAt val="1"/>
        <c:crossBetween val="between"/>
      </c:valAx>
      <c:valAx>
        <c:axId val="318908672"/>
        <c:scaling>
          <c:orientation val="minMax"/>
          <c:max val="18"/>
          <c:min val="-9"/>
        </c:scaling>
        <c:delete val="0"/>
        <c:axPos val="r"/>
        <c:title>
          <c:tx>
            <c:rich>
              <a:bodyPr rot="0" vert="wordArtVertRtl"/>
              <a:lstStyle/>
              <a:p>
                <a:pPr>
                  <a:defRPr>
                    <a:latin typeface="+mn-ea"/>
                    <a:ea typeface="+mn-ea"/>
                  </a:defRPr>
                </a:pPr>
                <a:r>
                  <a:rPr lang="zh-TW" altLang="en-US">
                    <a:latin typeface="+mn-ea"/>
                    <a:ea typeface="+mn-ea"/>
                  </a:rPr>
                  <a:t>實際收益率</a:t>
                </a:r>
                <a:r>
                  <a:rPr lang="en-US" altLang="zh-TW">
                    <a:latin typeface="+mn-ea"/>
                    <a:ea typeface="+mn-ea"/>
                  </a:rPr>
                  <a:t>(%)</a:t>
                </a:r>
                <a:endParaRPr lang="zh-TW" altLang="en-US">
                  <a:latin typeface="+mn-ea"/>
                  <a:ea typeface="+mn-ea"/>
                </a:endParaRPr>
              </a:p>
            </c:rich>
          </c:tx>
          <c:layout>
            <c:manualLayout>
              <c:xMode val="edge"/>
              <c:yMode val="edge"/>
              <c:x val="0.95694950216699515"/>
              <c:y val="0.1392578011081948"/>
            </c:manualLayout>
          </c:layout>
          <c:overlay val="0"/>
        </c:title>
        <c:numFmt formatCode="#,##0_ " sourceLinked="0"/>
        <c:majorTickMark val="out"/>
        <c:minorTickMark val="none"/>
        <c:tickLblPos val="nextTo"/>
        <c:crossAx val="319001600"/>
        <c:crosses val="max"/>
        <c:crossBetween val="between"/>
        <c:majorUnit val="3"/>
      </c:valAx>
      <c:catAx>
        <c:axId val="319001600"/>
        <c:scaling>
          <c:orientation val="minMax"/>
        </c:scaling>
        <c:delete val="1"/>
        <c:axPos val="b"/>
        <c:numFmt formatCode="General" sourceLinked="1"/>
        <c:majorTickMark val="out"/>
        <c:minorTickMark val="none"/>
        <c:tickLblPos val="nextTo"/>
        <c:crossAx val="318908672"/>
        <c:crosses val="autoZero"/>
        <c:auto val="1"/>
        <c:lblAlgn val="ctr"/>
        <c:lblOffset val="100"/>
        <c:noMultiLvlLbl val="0"/>
      </c:catAx>
    </c:plotArea>
    <c:legend>
      <c:legendPos val="b"/>
      <c:layout>
        <c:manualLayout>
          <c:xMode val="edge"/>
          <c:yMode val="edge"/>
          <c:x val="0.25333333333333335"/>
          <c:y val="0.91628280839895015"/>
          <c:w val="0.49333333333333335"/>
          <c:h val="8.3717191601049873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9.5131113198006226E-2"/>
          <c:w val="0.9355738261423947"/>
          <c:h val="0.88228122860789193"/>
        </c:manualLayout>
      </c:layout>
      <c:pie3DChart>
        <c:varyColors val="1"/>
        <c:ser>
          <c:idx val="0"/>
          <c:order val="0"/>
          <c:explosion val="19"/>
          <c:dPt>
            <c:idx val="0"/>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1-99A3-4BCD-9E2A-938FC17C84E9}"/>
              </c:ext>
            </c:extLst>
          </c:dPt>
          <c:dPt>
            <c:idx val="1"/>
            <c:bubble3D val="0"/>
            <c:spPr>
              <a:solidFill>
                <a:schemeClr val="accent6">
                  <a:lumMod val="40000"/>
                  <a:lumOff val="60000"/>
                </a:schemeClr>
              </a:solidFill>
            </c:spPr>
          </c:dPt>
          <c:dPt>
            <c:idx val="2"/>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3-99A3-4BCD-9E2A-938FC17C84E9}"/>
              </c:ext>
            </c:extLst>
          </c:dPt>
          <c:dPt>
            <c:idx val="3"/>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5-99A3-4BCD-9E2A-938FC17C84E9}"/>
              </c:ext>
            </c:extLst>
          </c:dPt>
          <c:dPt>
            <c:idx val="4"/>
            <c:bubble3D val="0"/>
            <c:spPr>
              <a:solidFill>
                <a:schemeClr val="accent6">
                  <a:lumMod val="40000"/>
                  <a:lumOff val="60000"/>
                </a:schemeClr>
              </a:solidFill>
            </c:spPr>
            <c:extLst xmlns:c16r2="http://schemas.microsoft.com/office/drawing/2015/06/chart">
              <c:ext xmlns:c16="http://schemas.microsoft.com/office/drawing/2014/chart" uri="{C3380CC4-5D6E-409C-BE32-E72D297353CC}">
                <c16:uniqueId val="{00000007-99A3-4BCD-9E2A-938FC17C84E9}"/>
              </c:ext>
            </c:extLst>
          </c:dPt>
          <c:dPt>
            <c:idx val="5"/>
            <c:bubble3D val="0"/>
            <c:explosion val="20"/>
            <c:spPr>
              <a:solidFill>
                <a:schemeClr val="accent6"/>
              </a:solidFill>
            </c:spPr>
            <c:extLst xmlns:c16r2="http://schemas.microsoft.com/office/drawing/2015/06/chart">
              <c:ext xmlns:c16="http://schemas.microsoft.com/office/drawing/2014/chart" uri="{C3380CC4-5D6E-409C-BE32-E72D297353CC}">
                <c16:uniqueId val="{00000009-99A3-4BCD-9E2A-938FC17C84E9}"/>
              </c:ext>
            </c:extLst>
          </c:dPt>
          <c:dPt>
            <c:idx val="6"/>
            <c:bubble3D val="0"/>
            <c:spPr>
              <a:solidFill>
                <a:schemeClr val="accent6"/>
              </a:solidFill>
            </c:spPr>
            <c:extLst xmlns:c16r2="http://schemas.microsoft.com/office/drawing/2015/06/chart">
              <c:ext xmlns:c16="http://schemas.microsoft.com/office/drawing/2014/chart" uri="{C3380CC4-5D6E-409C-BE32-E72D297353CC}">
                <c16:uniqueId val="{0000000B-99A3-4BCD-9E2A-938FC17C84E9}"/>
              </c:ext>
            </c:extLst>
          </c:dPt>
          <c:dLbls>
            <c:dLbl>
              <c:idx val="0"/>
              <c:layout>
                <c:manualLayout>
                  <c:x val="-0.12311905742409721"/>
                  <c:y val="3.597384132643304E-2"/>
                </c:manualLayout>
              </c:layout>
              <c:tx>
                <c:rich>
                  <a:bodyPr/>
                  <a:lstStyle/>
                  <a:p>
                    <a:r>
                      <a:rPr lang="zh-TW" altLang="en-US">
                        <a:latin typeface="微軟正黑體" pitchFamily="34" charset="-120"/>
                        <a:ea typeface="微軟正黑體" pitchFamily="34" charset="-120"/>
                      </a:rPr>
                      <a:t>轉存金融機構</a:t>
                    </a:r>
                    <a:r>
                      <a:rPr lang="en-US" altLang="zh-TW">
                        <a:latin typeface="微軟正黑體" pitchFamily="34" charset="-120"/>
                        <a:ea typeface="微軟正黑體" pitchFamily="34" charset="-120"/>
                      </a:rPr>
                      <a:t>, 5,889.6 </a:t>
                    </a:r>
                    <a:r>
                      <a:rPr lang="zh-TW" altLang="en-US">
                        <a:latin typeface="微軟正黑體" pitchFamily="34" charset="-120"/>
                        <a:ea typeface="微軟正黑體" pitchFamily="34" charset="-120"/>
                      </a:rPr>
                      <a:t>億元</a:t>
                    </a:r>
                    <a:r>
                      <a:rPr lang="en-US" altLang="zh-TW">
                        <a:latin typeface="微軟正黑體" pitchFamily="34" charset="-120"/>
                        <a:ea typeface="微軟正黑體" pitchFamily="34" charset="-120"/>
                      </a:rPr>
                      <a:t>, 21.6%</a:t>
                    </a:r>
                    <a:endParaRPr lang="zh-TW" altLang="en-US"/>
                  </a:p>
                </c:rich>
              </c:tx>
              <c:showLegendKey val="0"/>
              <c:showVal val="1"/>
              <c:showCatName val="1"/>
              <c:showSerName val="0"/>
              <c:showPercent val="1"/>
              <c:showBubbleSize val="0"/>
            </c:dLbl>
            <c:dLbl>
              <c:idx val="1"/>
              <c:layout>
                <c:manualLayout>
                  <c:x val="-2.3291158434637624E-2"/>
                  <c:y val="-0.15555444771829455"/>
                </c:manualLayout>
              </c:layout>
              <c:tx>
                <c:rich>
                  <a:bodyPr/>
                  <a:lstStyle/>
                  <a:p>
                    <a:r>
                      <a:rPr lang="zh-TW" altLang="en-US">
                        <a:latin typeface="微軟正黑體" pitchFamily="34" charset="-120"/>
                        <a:ea typeface="微軟正黑體" pitchFamily="34" charset="-120"/>
                      </a:rPr>
                      <a:t>短期票券</a:t>
                    </a:r>
                    <a:r>
                      <a:rPr lang="en-US" altLang="zh-TW">
                        <a:latin typeface="微軟正黑體" pitchFamily="34" charset="-120"/>
                        <a:ea typeface="微軟正黑體" pitchFamily="34" charset="-120"/>
                      </a:rPr>
                      <a:t>, </a:t>
                    </a:r>
                  </a:p>
                  <a:p>
                    <a:r>
                      <a:rPr lang="en-US" altLang="zh-TW">
                        <a:latin typeface="微軟正黑體" pitchFamily="34" charset="-120"/>
                        <a:ea typeface="微軟正黑體" pitchFamily="34" charset="-120"/>
                      </a:rPr>
                      <a:t>371.2</a:t>
                    </a:r>
                    <a:r>
                      <a:rPr lang="zh-TW" altLang="en-US">
                        <a:latin typeface="微軟正黑體" pitchFamily="34" charset="-120"/>
                        <a:ea typeface="微軟正黑體" pitchFamily="34" charset="-120"/>
                      </a:rPr>
                      <a:t>億元</a:t>
                    </a:r>
                    <a:r>
                      <a:rPr lang="en-US" altLang="zh-TW">
                        <a:latin typeface="微軟正黑體" pitchFamily="34" charset="-120"/>
                        <a:ea typeface="微軟正黑體" pitchFamily="34" charset="-120"/>
                      </a:rPr>
                      <a:t> ,</a:t>
                    </a:r>
                    <a:r>
                      <a:rPr lang="en-US" altLang="zh-TW" baseline="0">
                        <a:latin typeface="微軟正黑體" pitchFamily="34" charset="-120"/>
                        <a:ea typeface="微軟正黑體" pitchFamily="34" charset="-120"/>
                      </a:rPr>
                      <a:t> </a:t>
                    </a:r>
                    <a:r>
                      <a:rPr lang="en-US" altLang="zh-TW">
                        <a:latin typeface="微軟正黑體" pitchFamily="34" charset="-120"/>
                        <a:ea typeface="微軟正黑體" pitchFamily="34" charset="-120"/>
                      </a:rPr>
                      <a:t>1.4%</a:t>
                    </a:r>
                    <a:endParaRPr lang="en-US" altLang="zh-TW"/>
                  </a:p>
                </c:rich>
              </c:tx>
              <c:showLegendKey val="0"/>
              <c:showVal val="1"/>
              <c:showCatName val="1"/>
              <c:showSerName val="0"/>
              <c:showPercent val="1"/>
              <c:showBubbleSize val="0"/>
            </c:dLbl>
            <c:dLbl>
              <c:idx val="2"/>
              <c:layout>
                <c:manualLayout>
                  <c:x val="-1.5427590061372233E-16"/>
                  <c:y val="-9.0698371486262988E-2"/>
                </c:manualLayout>
              </c:layout>
              <c:tx>
                <c:rich>
                  <a:bodyPr/>
                  <a:lstStyle/>
                  <a:p>
                    <a:r>
                      <a:rPr lang="zh-TW" altLang="en-US">
                        <a:latin typeface="微軟正黑體" pitchFamily="34" charset="-120"/>
                        <a:ea typeface="微軟正黑體" pitchFamily="34" charset="-120"/>
                      </a:rPr>
                      <a:t>公債、公司債、金融債券及特別股</a:t>
                    </a:r>
                    <a:r>
                      <a:rPr lang="en-US" altLang="zh-TW">
                        <a:latin typeface="微軟正黑體" pitchFamily="34" charset="-120"/>
                        <a:ea typeface="微軟正黑體" pitchFamily="34" charset="-120"/>
                      </a:rPr>
                      <a:t>, 1,971.6</a:t>
                    </a:r>
                    <a:r>
                      <a:rPr lang="zh-TW" altLang="en-US">
                        <a:latin typeface="微軟正黑體" pitchFamily="34" charset="-120"/>
                        <a:ea typeface="微軟正黑體" pitchFamily="34" charset="-120"/>
                      </a:rPr>
                      <a:t>億元</a:t>
                    </a:r>
                    <a:r>
                      <a:rPr lang="en-US" altLang="zh-TW">
                        <a:latin typeface="微軟正黑體" pitchFamily="34" charset="-120"/>
                        <a:ea typeface="微軟正黑體" pitchFamily="34" charset="-120"/>
                      </a:rPr>
                      <a:t> , </a:t>
                    </a:r>
                  </a:p>
                  <a:p>
                    <a:r>
                      <a:rPr lang="en-US" altLang="zh-TW">
                        <a:latin typeface="微軟正黑體" pitchFamily="34" charset="-120"/>
                        <a:ea typeface="微軟正黑體" pitchFamily="34" charset="-120"/>
                      </a:rPr>
                      <a:t>7.2%</a:t>
                    </a:r>
                    <a:endParaRPr lang="zh-TW" altLang="en-US"/>
                  </a:p>
                </c:rich>
              </c:tx>
              <c:showLegendKey val="0"/>
              <c:showVal val="1"/>
              <c:showCatName val="1"/>
              <c:showSerName val="0"/>
              <c:showPercent val="1"/>
              <c:showBubbleSize val="0"/>
            </c:dLbl>
            <c:dLbl>
              <c:idx val="3"/>
              <c:layout>
                <c:manualLayout>
                  <c:x val="-1.9961124674353198E-4"/>
                  <c:y val="8.3918362470056213E-2"/>
                </c:manualLayout>
              </c:layout>
              <c:tx>
                <c:rich>
                  <a:bodyPr/>
                  <a:lstStyle/>
                  <a:p>
                    <a:r>
                      <a:rPr lang="zh-TW" altLang="en-US">
                        <a:latin typeface="微軟正黑體" pitchFamily="34" charset="-120"/>
                        <a:ea typeface="微軟正黑體" pitchFamily="34" charset="-120"/>
                      </a:rPr>
                      <a:t>股票及受益憑證投資</a:t>
                    </a:r>
                    <a:r>
                      <a:rPr lang="en-US" altLang="zh-TW">
                        <a:latin typeface="微軟正黑體" pitchFamily="34" charset="-120"/>
                        <a:ea typeface="微軟正黑體" pitchFamily="34" charset="-120"/>
                      </a:rPr>
                      <a:t>(</a:t>
                    </a:r>
                    <a:r>
                      <a:rPr lang="zh-TW" altLang="en-US">
                        <a:latin typeface="微軟正黑體" pitchFamily="34" charset="-120"/>
                        <a:ea typeface="微軟正黑體" pitchFamily="34" charset="-120"/>
                      </a:rPr>
                      <a:t>含期貨</a:t>
                    </a:r>
                    <a:r>
                      <a:rPr lang="en-US" altLang="zh-TW">
                        <a:latin typeface="微軟正黑體" pitchFamily="34" charset="-120"/>
                        <a:ea typeface="微軟正黑體" pitchFamily="34" charset="-120"/>
                      </a:rPr>
                      <a:t>), </a:t>
                    </a:r>
                  </a:p>
                  <a:p>
                    <a:r>
                      <a:rPr lang="en-US" altLang="zh-TW">
                        <a:latin typeface="微軟正黑體" pitchFamily="34" charset="-120"/>
                        <a:ea typeface="微軟正黑體" pitchFamily="34" charset="-120"/>
                      </a:rPr>
                      <a:t>1,240.5</a:t>
                    </a:r>
                    <a:r>
                      <a:rPr lang="zh-TW" altLang="en-US">
                        <a:latin typeface="微軟正黑體" pitchFamily="34" charset="-120"/>
                        <a:ea typeface="微軟正黑體" pitchFamily="34" charset="-120"/>
                      </a:rPr>
                      <a:t>億元</a:t>
                    </a:r>
                    <a:r>
                      <a:rPr lang="en-US" altLang="zh-TW">
                        <a:latin typeface="微軟正黑體" pitchFamily="34" charset="-120"/>
                        <a:ea typeface="微軟正黑體" pitchFamily="34" charset="-120"/>
                      </a:rPr>
                      <a:t> , </a:t>
                    </a:r>
                  </a:p>
                  <a:p>
                    <a:r>
                      <a:rPr lang="en-US" altLang="zh-TW">
                        <a:latin typeface="微軟正黑體" pitchFamily="34" charset="-120"/>
                        <a:ea typeface="微軟正黑體" pitchFamily="34" charset="-120"/>
                      </a:rPr>
                      <a:t>4.6%</a:t>
                    </a:r>
                    <a:endParaRPr lang="en-US" altLang="zh-TW"/>
                  </a:p>
                </c:rich>
              </c:tx>
              <c:showLegendKey val="0"/>
              <c:showVal val="1"/>
              <c:showCatName val="1"/>
              <c:showSerName val="0"/>
              <c:showPercent val="1"/>
              <c:showBubbleSize val="0"/>
            </c:dLbl>
            <c:dLbl>
              <c:idx val="4"/>
              <c:layout>
                <c:manualLayout>
                  <c:x val="-3.3329611674127103E-2"/>
                  <c:y val="2.866439624890087E-2"/>
                </c:manualLayout>
              </c:layout>
              <c:tx>
                <c:rich>
                  <a:bodyPr/>
                  <a:lstStyle/>
                  <a:p>
                    <a:r>
                      <a:rPr lang="zh-TW" altLang="en-US">
                        <a:latin typeface="微軟正黑體" pitchFamily="34" charset="-120"/>
                        <a:ea typeface="微軟正黑體" pitchFamily="34" charset="-120"/>
                      </a:rPr>
                      <a:t>國外投資</a:t>
                    </a:r>
                    <a:r>
                      <a:rPr lang="en-US" altLang="zh-TW">
                        <a:latin typeface="微軟正黑體" pitchFamily="34" charset="-120"/>
                        <a:ea typeface="微軟正黑體" pitchFamily="34" charset="-120"/>
                      </a:rPr>
                      <a:t>,</a:t>
                    </a:r>
                  </a:p>
                  <a:p>
                    <a:r>
                      <a:rPr lang="en-US" altLang="zh-TW">
                        <a:latin typeface="微軟正黑體" pitchFamily="34" charset="-120"/>
                        <a:ea typeface="微軟正黑體" pitchFamily="34" charset="-120"/>
                      </a:rPr>
                      <a:t>2,510.2</a:t>
                    </a:r>
                    <a:r>
                      <a:rPr lang="zh-TW" altLang="en-US">
                        <a:latin typeface="微軟正黑體" pitchFamily="34" charset="-120"/>
                        <a:ea typeface="微軟正黑體" pitchFamily="34" charset="-120"/>
                      </a:rPr>
                      <a:t>億元</a:t>
                    </a:r>
                    <a:r>
                      <a:rPr lang="en-US" altLang="zh-TW">
                        <a:latin typeface="微軟正黑體" pitchFamily="34" charset="-120"/>
                        <a:ea typeface="微軟正黑體" pitchFamily="34" charset="-120"/>
                      </a:rPr>
                      <a:t> , 9.2%</a:t>
                    </a:r>
                    <a:endParaRPr lang="zh-TW" altLang="en-US"/>
                  </a:p>
                </c:rich>
              </c:tx>
              <c:showLegendKey val="0"/>
              <c:showVal val="1"/>
              <c:showCatName val="1"/>
              <c:showSerName val="0"/>
              <c:showPercent val="1"/>
              <c:showBubbleSize val="0"/>
            </c:dLbl>
            <c:dLbl>
              <c:idx val="5"/>
              <c:layout>
                <c:manualLayout>
                  <c:x val="5.4374766222927827E-2"/>
                  <c:y val="-0.1951627672544827"/>
                </c:manualLayout>
              </c:layout>
              <c:tx>
                <c:rich>
                  <a:bodyPr/>
                  <a:lstStyle/>
                  <a:p>
                    <a:r>
                      <a:rPr lang="zh-TW" altLang="en-US">
                        <a:latin typeface="微軟正黑體" pitchFamily="34" charset="-120"/>
                        <a:ea typeface="微軟正黑體" pitchFamily="34" charset="-120"/>
                      </a:rPr>
                      <a:t>國內委託經營</a:t>
                    </a:r>
                    <a:r>
                      <a:rPr lang="en-US" altLang="zh-TW">
                        <a:latin typeface="微軟正黑體" pitchFamily="34" charset="-120"/>
                        <a:ea typeface="微軟正黑體" pitchFamily="34" charset="-120"/>
                      </a:rPr>
                      <a:t>, 4,054.8</a:t>
                    </a:r>
                    <a:r>
                      <a:rPr lang="zh-TW" altLang="en-US">
                        <a:latin typeface="微軟正黑體" pitchFamily="34" charset="-120"/>
                        <a:ea typeface="微軟正黑體" pitchFamily="34" charset="-120"/>
                      </a:rPr>
                      <a:t>億元</a:t>
                    </a:r>
                    <a:r>
                      <a:rPr lang="en-US" altLang="zh-TW">
                        <a:latin typeface="微軟正黑體" pitchFamily="34" charset="-120"/>
                        <a:ea typeface="微軟正黑體" pitchFamily="34" charset="-120"/>
                      </a:rPr>
                      <a:t> , 14.9%</a:t>
                    </a:r>
                    <a:endParaRPr lang="zh-TW" altLang="en-US"/>
                  </a:p>
                </c:rich>
              </c:tx>
              <c:showLegendKey val="0"/>
              <c:showVal val="1"/>
              <c:showCatName val="1"/>
              <c:showSerName val="0"/>
              <c:showPercent val="1"/>
              <c:showBubbleSize val="0"/>
            </c:dLbl>
            <c:dLbl>
              <c:idx val="6"/>
              <c:layout>
                <c:manualLayout>
                  <c:x val="9.7355954395207736E-2"/>
                  <c:y val="3.1186599430804731E-2"/>
                </c:manualLayout>
              </c:layout>
              <c:tx>
                <c:rich>
                  <a:bodyPr/>
                  <a:lstStyle/>
                  <a:p>
                    <a:r>
                      <a:rPr lang="zh-TW" altLang="en-US">
                        <a:latin typeface="微軟正黑體" pitchFamily="34" charset="-120"/>
                        <a:ea typeface="微軟正黑體" pitchFamily="34" charset="-120"/>
                      </a:rPr>
                      <a:t>國外委託經營</a:t>
                    </a:r>
                    <a:r>
                      <a:rPr lang="en-US" altLang="zh-TW">
                        <a:latin typeface="微軟正黑體" pitchFamily="34" charset="-120"/>
                        <a:ea typeface="微軟正黑體" pitchFamily="34" charset="-120"/>
                      </a:rPr>
                      <a:t>, </a:t>
                    </a:r>
                  </a:p>
                  <a:p>
                    <a:r>
                      <a:rPr lang="en-US" altLang="zh-TW">
                        <a:latin typeface="微軟正黑體" pitchFamily="34" charset="-120"/>
                        <a:ea typeface="微軟正黑體" pitchFamily="34" charset="-120"/>
                      </a:rPr>
                      <a:t>1</a:t>
                    </a:r>
                    <a:r>
                      <a:rPr lang="zh-TW" altLang="en-US">
                        <a:latin typeface="微軟正黑體" pitchFamily="34" charset="-120"/>
                        <a:ea typeface="微軟正黑體" pitchFamily="34" charset="-120"/>
                      </a:rPr>
                      <a:t>兆</a:t>
                    </a:r>
                    <a:r>
                      <a:rPr lang="en-US" altLang="zh-TW">
                        <a:latin typeface="微軟正黑體" pitchFamily="34" charset="-120"/>
                        <a:ea typeface="微軟正黑體" pitchFamily="34" charset="-120"/>
                      </a:rPr>
                      <a:t>1,186.7</a:t>
                    </a:r>
                    <a:r>
                      <a:rPr lang="zh-TW" altLang="en-US">
                        <a:latin typeface="微軟正黑體" pitchFamily="34" charset="-120"/>
                        <a:ea typeface="微軟正黑體" pitchFamily="34" charset="-120"/>
                      </a:rPr>
                      <a:t>億元</a:t>
                    </a:r>
                    <a:r>
                      <a:rPr lang="en-US" altLang="zh-TW">
                        <a:latin typeface="微軟正黑體" pitchFamily="34" charset="-120"/>
                        <a:ea typeface="微軟正黑體" pitchFamily="34" charset="-120"/>
                      </a:rPr>
                      <a:t> , 41.1%</a:t>
                    </a:r>
                    <a:endParaRPr lang="zh-TW" altLang="en-US"/>
                  </a:p>
                </c:rich>
              </c:tx>
              <c:showLegendKey val="0"/>
              <c:showVal val="1"/>
              <c:showCatName val="1"/>
              <c:showSerName val="0"/>
              <c:showPercent val="1"/>
              <c:showBubbleSize val="0"/>
            </c:dLbl>
            <c:numFmt formatCode="0.0%" sourceLinked="0"/>
            <c:txPr>
              <a:bodyPr/>
              <a:lstStyle/>
              <a:p>
                <a:pPr>
                  <a:lnSpc>
                    <a:spcPts val="1500"/>
                  </a:lnSpc>
                  <a:defRPr>
                    <a:latin typeface="微軟正黑體" pitchFamily="34" charset="-120"/>
                    <a:ea typeface="微軟正黑體" pitchFamily="34" charset="-120"/>
                  </a:defRPr>
                </a:pPr>
                <a:endParaRPr lang="zh-TW"/>
              </a:p>
            </c:txPr>
            <c:showLegendKey val="0"/>
            <c:showVal val="1"/>
            <c:showCatName val="1"/>
            <c:showSerName val="0"/>
            <c:showPercent val="1"/>
            <c:showBubbleSize val="0"/>
            <c:showLeaderLines val="1"/>
          </c:dLbls>
          <c:cat>
            <c:strRef>
              <c:f>'3.3基金資產配置'!$B$3:$H$3</c:f>
              <c:strCache>
                <c:ptCount val="7"/>
                <c:pt idx="0">
                  <c:v>轉存金融機構</c:v>
                </c:pt>
                <c:pt idx="1">
                  <c:v>短期票券</c:v>
                </c:pt>
                <c:pt idx="2">
                  <c:v>公債、公司債、金融債券及特別股</c:v>
                </c:pt>
                <c:pt idx="3">
                  <c:v>股票及受益憑證投資(含期貨)</c:v>
                </c:pt>
                <c:pt idx="4">
                  <c:v>國外投資</c:v>
                </c:pt>
                <c:pt idx="5">
                  <c:v>國內委託經營</c:v>
                </c:pt>
                <c:pt idx="6">
                  <c:v>國外委託經營</c:v>
                </c:pt>
              </c:strCache>
            </c:strRef>
          </c:cat>
          <c:val>
            <c:numRef>
              <c:f>'3.3基金資產配置'!$B$12:$H$12</c:f>
              <c:numCache>
                <c:formatCode>#,##0_);[Red]\(#,##0\)</c:formatCode>
                <c:ptCount val="7"/>
                <c:pt idx="0">
                  <c:v>588964613533</c:v>
                </c:pt>
                <c:pt idx="1">
                  <c:v>37119664565</c:v>
                </c:pt>
                <c:pt idx="2">
                  <c:v>197161191307</c:v>
                </c:pt>
                <c:pt idx="3">
                  <c:v>124045737195</c:v>
                </c:pt>
                <c:pt idx="4">
                  <c:v>251020958167</c:v>
                </c:pt>
                <c:pt idx="5">
                  <c:v>405476830059</c:v>
                </c:pt>
                <c:pt idx="6">
                  <c:v>1118665082777</c:v>
                </c:pt>
              </c:numCache>
            </c:numRef>
          </c:val>
          <c:extLst xmlns:c16r2="http://schemas.microsoft.com/office/drawing/2015/06/chart">
            <c:ext xmlns:c16="http://schemas.microsoft.com/office/drawing/2014/chart" uri="{C3380CC4-5D6E-409C-BE32-E72D297353CC}">
              <c16:uniqueId val="{0000000D-99A3-4BCD-9E2A-938FC17C84E9}"/>
            </c:ext>
          </c:extLst>
        </c:ser>
        <c:ser>
          <c:idx val="1"/>
          <c:order val="1"/>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'3.3基金資產配置'!$B$3:$H$3</c:f>
              <c:strCache>
                <c:ptCount val="7"/>
                <c:pt idx="0">
                  <c:v>轉存金融機構</c:v>
                </c:pt>
                <c:pt idx="1">
                  <c:v>短期票券</c:v>
                </c:pt>
                <c:pt idx="2">
                  <c:v>公債、公司債、金融債券及特別股</c:v>
                </c:pt>
                <c:pt idx="3">
                  <c:v>股票及受益憑證投資(含期貨)</c:v>
                </c:pt>
                <c:pt idx="4">
                  <c:v>國外投資</c:v>
                </c:pt>
                <c:pt idx="5">
                  <c:v>國內委託經營</c:v>
                </c:pt>
                <c:pt idx="6">
                  <c:v>國外委託經營</c:v>
                </c:pt>
              </c:strCache>
            </c:strRef>
          </c:cat>
          <c:val>
            <c:numRef>
              <c:f>'3.3基金資產配置'!$B$13:$H$13</c:f>
              <c:numCache>
                <c:formatCode>0.0%</c:formatCode>
                <c:ptCount val="7"/>
                <c:pt idx="0">
                  <c:v>0.2163359222027933</c:v>
                </c:pt>
                <c:pt idx="1">
                  <c:v>1.3634633865957518E-2</c:v>
                </c:pt>
                <c:pt idx="2">
                  <c:v>7.2420391928370631E-2</c:v>
                </c:pt>
                <c:pt idx="3">
                  <c:v>4.5563941083706642E-2</c:v>
                </c:pt>
                <c:pt idx="4">
                  <c:v>9.220392741684473E-2</c:v>
                </c:pt>
                <c:pt idx="5">
                  <c:v>0.14893798701501124</c:v>
                </c:pt>
                <c:pt idx="6">
                  <c:v>0.41090319648731594</c:v>
                </c:pt>
              </c:numCache>
            </c:numRef>
          </c:val>
          <c:extLst xmlns:c16r2="http://schemas.microsoft.com/office/drawing/2015/06/chart">
            <c:ext xmlns:c16="http://schemas.microsoft.com/office/drawing/2014/chart" uri="{C3380CC4-5D6E-409C-BE32-E72D297353CC}">
              <c16:uniqueId val="{0000000E-99A3-4BCD-9E2A-938FC17C84E9}"/>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28404782735492"/>
          <c:y val="0.11260199466750975"/>
          <c:w val="0.84072235874533097"/>
          <c:h val="0.52931046411035365"/>
        </c:manualLayout>
      </c:layout>
      <c:barChart>
        <c:barDir val="col"/>
        <c:grouping val="clustered"/>
        <c:varyColors val="0"/>
        <c:ser>
          <c:idx val="0"/>
          <c:order val="0"/>
          <c:tx>
            <c:strRef>
              <c:f>工作表1!$B$1</c:f>
              <c:strCache>
                <c:ptCount val="1"/>
                <c:pt idx="0">
                  <c:v>勞工保險
(普通事故)</c:v>
                </c:pt>
              </c:strCache>
            </c:strRef>
          </c:tx>
          <c:spPr>
            <a:solidFill>
              <a:schemeClr val="accent6">
                <a:lumMod val="60000"/>
                <a:lumOff val="40000"/>
              </a:schemeClr>
            </a:solidFill>
          </c:spPr>
          <c:invertIfNegative val="0"/>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工作表1!$B$2:$B$11</c:f>
              <c:numCache>
                <c:formatCode>#,##0.0_ </c:formatCode>
                <c:ptCount val="10"/>
                <c:pt idx="0">
                  <c:v>4348.47</c:v>
                </c:pt>
                <c:pt idx="1">
                  <c:v>4677.3</c:v>
                </c:pt>
                <c:pt idx="2">
                  <c:v>5105.6000000000004</c:v>
                </c:pt>
                <c:pt idx="3">
                  <c:v>6042.49</c:v>
                </c:pt>
                <c:pt idx="4">
                  <c:v>6387.82</c:v>
                </c:pt>
                <c:pt idx="5">
                  <c:v>6766.6</c:v>
                </c:pt>
                <c:pt idx="6">
                  <c:v>7022.3</c:v>
                </c:pt>
                <c:pt idx="7">
                  <c:v>6641.68</c:v>
                </c:pt>
                <c:pt idx="8">
                  <c:v>7187.6</c:v>
                </c:pt>
                <c:pt idx="9">
                  <c:v>7624.92</c:v>
                </c:pt>
              </c:numCache>
            </c:numRef>
          </c:val>
        </c:ser>
        <c:ser>
          <c:idx val="1"/>
          <c:order val="1"/>
          <c:tx>
            <c:strRef>
              <c:f>工作表1!$C$1</c:f>
              <c:strCache>
                <c:ptCount val="1"/>
                <c:pt idx="0">
                  <c:v>公教人員保險</c:v>
                </c:pt>
              </c:strCache>
            </c:strRef>
          </c:tx>
          <c:spPr>
            <a:solidFill>
              <a:schemeClr val="accent2">
                <a:lumMod val="60000"/>
                <a:lumOff val="40000"/>
              </a:schemeClr>
            </a:solidFill>
          </c:spPr>
          <c:invertIfNegative val="0"/>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工作表1!$C$2:$C$11</c:f>
              <c:numCache>
                <c:formatCode>#,##0.0_ </c:formatCode>
                <c:ptCount val="10"/>
                <c:pt idx="0">
                  <c:v>1878.23</c:v>
                </c:pt>
                <c:pt idx="1">
                  <c:v>1989.23</c:v>
                </c:pt>
                <c:pt idx="2">
                  <c:v>2137.2199999999998</c:v>
                </c:pt>
                <c:pt idx="3">
                  <c:v>2295.23</c:v>
                </c:pt>
                <c:pt idx="4">
                  <c:v>2399.65</c:v>
                </c:pt>
                <c:pt idx="5">
                  <c:v>2536.6999999999998</c:v>
                </c:pt>
                <c:pt idx="6">
                  <c:v>2718.85</c:v>
                </c:pt>
                <c:pt idx="7">
                  <c:v>2910.17</c:v>
                </c:pt>
                <c:pt idx="8">
                  <c:v>3079.53</c:v>
                </c:pt>
                <c:pt idx="9">
                  <c:v>3257.47</c:v>
                </c:pt>
              </c:numCache>
            </c:numRef>
          </c:val>
        </c:ser>
        <c:ser>
          <c:idx val="2"/>
          <c:order val="2"/>
          <c:tx>
            <c:strRef>
              <c:f>工作表1!$D$1</c:f>
              <c:strCache>
                <c:ptCount val="1"/>
                <c:pt idx="0">
                  <c:v>國民年金保險</c:v>
                </c:pt>
              </c:strCache>
            </c:strRef>
          </c:tx>
          <c:spPr>
            <a:solidFill>
              <a:schemeClr val="tx2">
                <a:lumMod val="40000"/>
                <a:lumOff val="60000"/>
              </a:schemeClr>
            </a:solidFill>
          </c:spPr>
          <c:invertIfNegative val="0"/>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工作表1!$D$2:$D$11</c:f>
              <c:numCache>
                <c:formatCode>#,##0.0_ </c:formatCode>
                <c:ptCount val="10"/>
                <c:pt idx="0">
                  <c:v>1024.24</c:v>
                </c:pt>
                <c:pt idx="1">
                  <c:v>1363.98</c:v>
                </c:pt>
                <c:pt idx="2">
                  <c:v>1698.28</c:v>
                </c:pt>
                <c:pt idx="3">
                  <c:v>1908.05</c:v>
                </c:pt>
                <c:pt idx="4">
                  <c:v>2160.0500000000002</c:v>
                </c:pt>
                <c:pt idx="5">
                  <c:v>2504.1</c:v>
                </c:pt>
                <c:pt idx="6">
                  <c:v>2931.71</c:v>
                </c:pt>
                <c:pt idx="7">
                  <c:v>3104.03</c:v>
                </c:pt>
                <c:pt idx="8">
                  <c:v>3692.56</c:v>
                </c:pt>
                <c:pt idx="9">
                  <c:v>4177.63</c:v>
                </c:pt>
              </c:numCache>
            </c:numRef>
          </c:val>
        </c:ser>
        <c:dLbls>
          <c:showLegendKey val="0"/>
          <c:showVal val="0"/>
          <c:showCatName val="0"/>
          <c:showSerName val="0"/>
          <c:showPercent val="0"/>
          <c:showBubbleSize val="0"/>
        </c:dLbls>
        <c:gapWidth val="70"/>
        <c:axId val="257592832"/>
        <c:axId val="318477952"/>
      </c:barChart>
      <c:lineChart>
        <c:grouping val="standard"/>
        <c:varyColors val="0"/>
        <c:ser>
          <c:idx val="3"/>
          <c:order val="3"/>
          <c:tx>
            <c:strRef>
              <c:f>工作表1!$E$1</c:f>
              <c:strCache>
                <c:ptCount val="1"/>
                <c:pt idx="0">
                  <c:v>總計</c:v>
                </c:pt>
              </c:strCache>
            </c:strRef>
          </c:tx>
          <c:spPr>
            <a:ln w="38100">
              <a:solidFill>
                <a:srgbClr val="C00000"/>
              </a:solidFill>
            </a:ln>
          </c:spPr>
          <c:marker>
            <c:symbol val="circle"/>
            <c:size val="9"/>
            <c:spPr>
              <a:solidFill>
                <a:schemeClr val="bg1"/>
              </a:solidFill>
              <a:ln w="28575">
                <a:solidFill>
                  <a:srgbClr val="C00000"/>
                </a:solidFill>
              </a:ln>
            </c:spPr>
          </c:marker>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工作表1!$E$2:$E$11</c:f>
              <c:numCache>
                <c:formatCode>#,##0.0_ </c:formatCode>
                <c:ptCount val="10"/>
                <c:pt idx="0">
                  <c:v>7250.9400000000005</c:v>
                </c:pt>
                <c:pt idx="1">
                  <c:v>8030.51</c:v>
                </c:pt>
                <c:pt idx="2">
                  <c:v>8941.1</c:v>
                </c:pt>
                <c:pt idx="3">
                  <c:v>10245.769999999999</c:v>
                </c:pt>
                <c:pt idx="4">
                  <c:v>10947.52</c:v>
                </c:pt>
                <c:pt idx="5">
                  <c:v>11807.4</c:v>
                </c:pt>
                <c:pt idx="6">
                  <c:v>12672.86</c:v>
                </c:pt>
                <c:pt idx="7">
                  <c:v>12655.880000000001</c:v>
                </c:pt>
                <c:pt idx="8">
                  <c:v>13959.69</c:v>
                </c:pt>
                <c:pt idx="9">
                  <c:v>15060.02</c:v>
                </c:pt>
              </c:numCache>
            </c:numRef>
          </c:val>
          <c:smooth val="0"/>
        </c:ser>
        <c:dLbls>
          <c:showLegendKey val="0"/>
          <c:showVal val="0"/>
          <c:showCatName val="0"/>
          <c:showSerName val="0"/>
          <c:showPercent val="0"/>
          <c:showBubbleSize val="0"/>
        </c:dLbls>
        <c:marker val="1"/>
        <c:smooth val="0"/>
        <c:axId val="257402368"/>
        <c:axId val="318478528"/>
      </c:lineChart>
      <c:catAx>
        <c:axId val="257592832"/>
        <c:scaling>
          <c:orientation val="minMax"/>
        </c:scaling>
        <c:delete val="0"/>
        <c:axPos val="b"/>
        <c:majorTickMark val="out"/>
        <c:minorTickMark val="none"/>
        <c:tickLblPos val="nextTo"/>
        <c:crossAx val="318477952"/>
        <c:crosses val="autoZero"/>
        <c:auto val="1"/>
        <c:lblAlgn val="ctr"/>
        <c:lblOffset val="100"/>
        <c:noMultiLvlLbl val="0"/>
      </c:catAx>
      <c:valAx>
        <c:axId val="318477952"/>
        <c:scaling>
          <c:orientation val="minMax"/>
          <c:max val="16000"/>
          <c:min val="0"/>
        </c:scaling>
        <c:delete val="0"/>
        <c:axPos val="l"/>
        <c:majorGridlines>
          <c:spPr>
            <a:ln>
              <a:solidFill>
                <a:schemeClr val="bg1">
                  <a:lumMod val="85000"/>
                </a:schemeClr>
              </a:solidFill>
            </a:ln>
          </c:spPr>
        </c:majorGridlines>
        <c:title>
          <c:tx>
            <c:rich>
              <a:bodyPr rot="0" vert="wordArtVertRtl"/>
              <a:lstStyle/>
              <a:p>
                <a:pPr>
                  <a:defRPr>
                    <a:latin typeface="+mn-ea"/>
                    <a:ea typeface="+mn-ea"/>
                  </a:defRPr>
                </a:pPr>
                <a:r>
                  <a:rPr lang="zh-TW">
                    <a:latin typeface="+mn-ea"/>
                    <a:ea typeface="+mn-ea"/>
                  </a:rPr>
                  <a:t>基金運用規模</a:t>
                </a:r>
                <a:r>
                  <a:rPr lang="en-US">
                    <a:latin typeface="+mn-ea"/>
                    <a:ea typeface="+mn-ea"/>
                  </a:rPr>
                  <a:t>(</a:t>
                </a:r>
                <a:r>
                  <a:rPr lang="zh-TW">
                    <a:latin typeface="+mn-ea"/>
                    <a:ea typeface="+mn-ea"/>
                  </a:rPr>
                  <a:t>億元</a:t>
                </a:r>
                <a:r>
                  <a:rPr lang="en-US">
                    <a:latin typeface="+mn-ea"/>
                    <a:ea typeface="+mn-ea"/>
                  </a:rPr>
                  <a:t>)</a:t>
                </a:r>
                <a:endParaRPr lang="zh-TW">
                  <a:latin typeface="+mn-ea"/>
                  <a:ea typeface="+mn-ea"/>
                </a:endParaRPr>
              </a:p>
            </c:rich>
          </c:tx>
          <c:layout>
            <c:manualLayout>
              <c:xMode val="edge"/>
              <c:yMode val="edge"/>
              <c:x val="1.6203703703703703E-2"/>
              <c:y val="0.13709382322688429"/>
            </c:manualLayout>
          </c:layout>
          <c:overlay val="0"/>
        </c:title>
        <c:numFmt formatCode="#,##0_);[Red]\(#,##0\)" sourceLinked="0"/>
        <c:majorTickMark val="out"/>
        <c:minorTickMark val="none"/>
        <c:tickLblPos val="nextTo"/>
        <c:spPr>
          <a:ln>
            <a:noFill/>
          </a:ln>
        </c:spPr>
        <c:crossAx val="257592832"/>
        <c:crosses val="autoZero"/>
        <c:crossBetween val="between"/>
        <c:majorUnit val="2000"/>
      </c:valAx>
      <c:valAx>
        <c:axId val="318478528"/>
        <c:scaling>
          <c:orientation val="minMax"/>
          <c:max val="12000"/>
        </c:scaling>
        <c:delete val="1"/>
        <c:axPos val="r"/>
        <c:numFmt formatCode="#,##0.0_ " sourceLinked="1"/>
        <c:majorTickMark val="out"/>
        <c:minorTickMark val="none"/>
        <c:tickLblPos val="none"/>
        <c:crossAx val="257402368"/>
        <c:crosses val="max"/>
        <c:crossBetween val="between"/>
      </c:valAx>
      <c:catAx>
        <c:axId val="257402368"/>
        <c:scaling>
          <c:orientation val="minMax"/>
        </c:scaling>
        <c:delete val="1"/>
        <c:axPos val="b"/>
        <c:majorTickMark val="out"/>
        <c:minorTickMark val="none"/>
        <c:tickLblPos val="none"/>
        <c:crossAx val="318478528"/>
        <c:crosses val="autoZero"/>
        <c:auto val="1"/>
        <c:lblAlgn val="ctr"/>
        <c:lblOffset val="100"/>
        <c:noMultiLvlLbl val="0"/>
      </c:catAx>
      <c:dTable>
        <c:showHorzBorder val="1"/>
        <c:showVertBorder val="1"/>
        <c:showOutline val="1"/>
        <c:showKeys val="0"/>
        <c:txPr>
          <a:bodyPr/>
          <a:lstStyle/>
          <a:p>
            <a:pPr rtl="0">
              <a:defRPr sz="900">
                <a:latin typeface="微軟正黑體" pitchFamily="34" charset="-120"/>
                <a:ea typeface="微軟正黑體" pitchFamily="34" charset="-120"/>
              </a:defRPr>
            </a:pPr>
            <a:endParaRPr lang="zh-TW"/>
          </a:p>
        </c:txPr>
      </c:dTable>
    </c:plotArea>
    <c:legend>
      <c:legendPos val="t"/>
      <c:legendEntry>
        <c:idx val="0"/>
        <c:txPr>
          <a:bodyPr/>
          <a:lstStyle/>
          <a:p>
            <a:pPr>
              <a:lnSpc>
                <a:spcPts val="1200"/>
              </a:lnSpc>
              <a:defRPr>
                <a:latin typeface="微軟正黑體" pitchFamily="34" charset="-120"/>
                <a:ea typeface="微軟正黑體" pitchFamily="34" charset="-120"/>
              </a:defRPr>
            </a:pPr>
            <a:endParaRPr lang="zh-TW"/>
          </a:p>
        </c:txPr>
      </c:legendEntry>
      <c:layout>
        <c:manualLayout>
          <c:xMode val="edge"/>
          <c:yMode val="edge"/>
          <c:x val="0.17454640620874398"/>
          <c:y val="1.1273221131878688E-2"/>
          <c:w val="0.69720363079615044"/>
          <c:h val="9.6301586095019251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47788640331362"/>
          <c:y val="5.3935185185185183E-2"/>
          <c:w val="0.80996652647241119"/>
          <c:h val="0.74412199981026472"/>
        </c:manualLayout>
      </c:layout>
      <c:lineChart>
        <c:grouping val="standard"/>
        <c:varyColors val="0"/>
        <c:ser>
          <c:idx val="0"/>
          <c:order val="0"/>
          <c:tx>
            <c:v>總計</c:v>
          </c:tx>
          <c:spPr>
            <a:ln>
              <a:solidFill>
                <a:schemeClr val="accent4"/>
              </a:solidFill>
            </a:ln>
          </c:spPr>
          <c:marker>
            <c:symbol val="x"/>
            <c:size val="7"/>
            <c:spPr>
              <a:noFill/>
              <a:ln>
                <a:solidFill>
                  <a:schemeClr val="accent4"/>
                </a:solidFill>
              </a:ln>
            </c:spPr>
          </c:marker>
          <c:dLbls>
            <c:dLbl>
              <c:idx val="0"/>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919-45DE-9BDA-53C9B57F90D6}"/>
                </c:ext>
              </c:extLst>
            </c:dLbl>
            <c:dLbl>
              <c:idx val="3"/>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19-45DE-9BDA-53C9B57F90D6}"/>
                </c:ext>
              </c:extLst>
            </c:dLbl>
            <c:dLbl>
              <c:idx val="9"/>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919-45DE-9BDA-53C9B57F90D6}"/>
                </c:ext>
              </c:extLst>
            </c:dLbl>
            <c:dLbl>
              <c:idx val="11"/>
              <c:dLblPos val="b"/>
              <c:showLegendKey val="0"/>
              <c:showVal val="1"/>
              <c:showCatName val="0"/>
              <c:showSerName val="0"/>
              <c:showPercent val="0"/>
              <c:showBubbleSize val="0"/>
            </c:dLbl>
            <c:spPr>
              <a:noFill/>
              <a:ln>
                <a:noFill/>
              </a:ln>
              <a:effectLst/>
            </c:sp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'1.1參加者人數'!$A$11:$A$20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'1.1參加者人數'!$B$11:$B$20</c:f>
              <c:numCache>
                <c:formatCode>#,##0_ </c:formatCode>
                <c:ptCount val="10"/>
                <c:pt idx="0">
                  <c:v>631690</c:v>
                </c:pt>
                <c:pt idx="1">
                  <c:v>627163</c:v>
                </c:pt>
                <c:pt idx="2">
                  <c:v>622197</c:v>
                </c:pt>
                <c:pt idx="3">
                  <c:v>624993</c:v>
                </c:pt>
                <c:pt idx="4">
                  <c:v>629566</c:v>
                </c:pt>
                <c:pt idx="5">
                  <c:v>634666</c:v>
                </c:pt>
                <c:pt idx="6" formatCode="_(* #,##0_);_(* \(#,##0\);_(* &quot;-&quot;_);_(@_)">
                  <c:v>639412</c:v>
                </c:pt>
                <c:pt idx="7" formatCode="_(* #,##0_);_(* \(#,##0\);_(* &quot;-&quot;_);_(@_)">
                  <c:v>651186</c:v>
                </c:pt>
                <c:pt idx="8" formatCode="_(* #,##0_);_(* \(#,##0\);_(* &quot;-&quot;_);_(@_)">
                  <c:v>663550</c:v>
                </c:pt>
                <c:pt idx="9" formatCode="_(* #,##0_);_(* \(#,##0\);_(* &quot;-&quot;_);_(@_)">
                  <c:v>671550</c:v>
                </c:pt>
              </c:numCache>
            </c:numRef>
          </c:val>
          <c:smooth val="0"/>
          <c:extLst xmlns:c16r2="http://schemas.microsoft.com/office/drawing/2015/06/chart">
            <c:ext xmlns:c16="http://schemas.microsoft.com/office/drawing/2014/chart" uri="{C3380CC4-5D6E-409C-BE32-E72D297353CC}">
              <c16:uniqueId val="{00000003-E919-45DE-9BDA-53C9B57F90D6}"/>
            </c:ext>
          </c:extLst>
        </c:ser>
        <c:ser>
          <c:idx val="1"/>
          <c:order val="1"/>
          <c:tx>
            <c:v>公務人員</c:v>
          </c:tx>
          <c:spPr>
            <a:ln>
              <a:solidFill>
                <a:schemeClr val="accent1"/>
              </a:solidFill>
            </a:ln>
          </c:spPr>
          <c:marker>
            <c:symbol val="diamond"/>
            <c:size val="7"/>
            <c:spPr>
              <a:solidFill>
                <a:schemeClr val="accent1"/>
              </a:solidFill>
              <a:ln>
                <a:solidFill>
                  <a:schemeClr val="accent1"/>
                </a:solidFill>
              </a:ln>
            </c:spPr>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919-45DE-9BDA-53C9B57F90D6}"/>
                </c:ext>
              </c:extLst>
            </c:dLbl>
            <c:dLbl>
              <c:idx val="3"/>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919-45DE-9BDA-53C9B57F90D6}"/>
                </c:ext>
              </c:extLst>
            </c:dLbl>
            <c:dLbl>
              <c:idx val="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919-45DE-9BDA-53C9B57F90D6}"/>
                </c:ext>
              </c:extLst>
            </c:dLbl>
            <c:dLbl>
              <c:idx val="11"/>
              <c:dLblPos val="t"/>
              <c:showLegendKey val="0"/>
              <c:showVal val="1"/>
              <c:showCatName val="0"/>
              <c:showSerName val="0"/>
              <c:showPercent val="0"/>
              <c:showBubbleSize val="0"/>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'1.1參加者人數'!$A$11:$A$20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'1.1參加者人數'!$C$11:$C$20</c:f>
              <c:numCache>
                <c:formatCode>#,##0_ </c:formatCode>
                <c:ptCount val="10"/>
                <c:pt idx="0">
                  <c:v>291487</c:v>
                </c:pt>
                <c:pt idx="1">
                  <c:v>292326</c:v>
                </c:pt>
                <c:pt idx="2">
                  <c:v>293535</c:v>
                </c:pt>
                <c:pt idx="3">
                  <c:v>289833</c:v>
                </c:pt>
                <c:pt idx="4">
                  <c:v>288415</c:v>
                </c:pt>
                <c:pt idx="5">
                  <c:v>289257</c:v>
                </c:pt>
                <c:pt idx="6" formatCode="_(* #,##0_);_(* \(#,##0\);_(* &quot;-&quot;_);_(@_)">
                  <c:v>293829</c:v>
                </c:pt>
                <c:pt idx="7" formatCode="_(* #,##0_);_(* \(#,##0\);_(* &quot;-&quot;_);_(@_)">
                  <c:v>297704</c:v>
                </c:pt>
                <c:pt idx="8" formatCode="_(* #,##0_);_(* \(#,##0\);_(* &quot;-&quot;_);_(@_)">
                  <c:v>302684</c:v>
                </c:pt>
                <c:pt idx="9" formatCode="_(* #,##0_);_(* \(#,##0\);_(* &quot;-&quot;_);_(@_)">
                  <c:v>308063</c:v>
                </c:pt>
              </c:numCache>
            </c:numRef>
          </c:val>
          <c:smooth val="0"/>
          <c:extLst xmlns:c16r2="http://schemas.microsoft.com/office/drawing/2015/06/chart">
            <c:ext xmlns:c16="http://schemas.microsoft.com/office/drawing/2014/chart" uri="{C3380CC4-5D6E-409C-BE32-E72D297353CC}">
              <c16:uniqueId val="{00000007-E919-45DE-9BDA-53C9B57F90D6}"/>
            </c:ext>
          </c:extLst>
        </c:ser>
        <c:ser>
          <c:idx val="2"/>
          <c:order val="2"/>
          <c:tx>
            <c:v>教育人員</c:v>
          </c:tx>
          <c:spPr>
            <a:ln>
              <a:solidFill>
                <a:schemeClr val="accent2"/>
              </a:solidFill>
            </a:ln>
          </c:spPr>
          <c:marker>
            <c:symbol val="square"/>
            <c:size val="7"/>
            <c:spPr>
              <a:solidFill>
                <a:schemeClr val="accent2"/>
              </a:solidFill>
              <a:ln>
                <a:solidFill>
                  <a:schemeClr val="accent2"/>
                </a:solidFill>
              </a:ln>
            </c:spPr>
          </c:marker>
          <c:dLbls>
            <c:dLbl>
              <c:idx val="0"/>
              <c:layout>
                <c:manualLayout>
                  <c:x val="-6.5104461942257219E-2"/>
                  <c:y val="-4.9570659721012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919-45DE-9BDA-53C9B57F90D6}"/>
                </c:ext>
              </c:extLst>
            </c:dLbl>
            <c:dLbl>
              <c:idx val="3"/>
              <c:layout>
                <c:manualLayout>
                  <c:x val="-6.9151856017997754E-2"/>
                  <c:y val="-3.07636678393923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919-45DE-9BDA-53C9B57F90D6}"/>
                </c:ext>
              </c:extLst>
            </c:dLbl>
            <c:dLbl>
              <c:idx val="9"/>
              <c:layout>
                <c:manualLayout>
                  <c:x val="-1.6142669666291715E-2"/>
                  <c:y val="-5.066119394650137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919-45DE-9BDA-53C9B57F90D6}"/>
                </c:ext>
              </c:extLst>
            </c:dLbl>
            <c:dLbl>
              <c:idx val="11"/>
              <c:dLblPos val="t"/>
              <c:showLegendKey val="0"/>
              <c:showVal val="1"/>
              <c:showCatName val="0"/>
              <c:showSerName val="0"/>
              <c:showPercent val="0"/>
              <c:showBubbleSize val="0"/>
            </c:dLbl>
            <c:spPr>
              <a:noFill/>
              <a:ln>
                <a:noFill/>
              </a:ln>
              <a:effectLst/>
            </c:sp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'1.1參加者人數'!$A$11:$A$20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'1.1參加者人數'!$D$11:$D$20</c:f>
              <c:numCache>
                <c:formatCode>#,##0_ </c:formatCode>
                <c:ptCount val="10"/>
                <c:pt idx="0">
                  <c:v>194064</c:v>
                </c:pt>
                <c:pt idx="1">
                  <c:v>193083</c:v>
                </c:pt>
                <c:pt idx="2">
                  <c:v>192275</c:v>
                </c:pt>
                <c:pt idx="3">
                  <c:v>191541</c:v>
                </c:pt>
                <c:pt idx="4">
                  <c:v>188947</c:v>
                </c:pt>
                <c:pt idx="5">
                  <c:v>185810</c:v>
                </c:pt>
                <c:pt idx="6" formatCode="_(* #,##0_);_(* \(#,##0\);_(* &quot;-&quot;_);_(@_)">
                  <c:v>183372</c:v>
                </c:pt>
                <c:pt idx="7" formatCode="_(* #,##0_);_(* \(#,##0\);_(* &quot;-&quot;_);_(@_)">
                  <c:v>182664</c:v>
                </c:pt>
                <c:pt idx="8" formatCode="_(* #,##0_);_(* \(#,##0\);_(* &quot;-&quot;_);_(@_)">
                  <c:v>182365</c:v>
                </c:pt>
                <c:pt idx="9" formatCode="_(* #,##0_);_(* \(#,##0\);_(* &quot;-&quot;_);_(@_)">
                  <c:v>183648</c:v>
                </c:pt>
              </c:numCache>
            </c:numRef>
          </c:val>
          <c:smooth val="0"/>
          <c:extLst xmlns:c16r2="http://schemas.microsoft.com/office/drawing/2015/06/chart">
            <c:ext xmlns:c16="http://schemas.microsoft.com/office/drawing/2014/chart" uri="{C3380CC4-5D6E-409C-BE32-E72D297353CC}">
              <c16:uniqueId val="{0000000B-E919-45DE-9BDA-53C9B57F90D6}"/>
            </c:ext>
          </c:extLst>
        </c:ser>
        <c:ser>
          <c:idx val="3"/>
          <c:order val="3"/>
          <c:tx>
            <c:v>軍職人員</c:v>
          </c:tx>
          <c:spPr>
            <a:ln>
              <a:solidFill>
                <a:schemeClr val="accent3"/>
              </a:solidFill>
            </a:ln>
          </c:spPr>
          <c:marker>
            <c:symbol val="triangle"/>
            <c:size val="7"/>
            <c:spPr>
              <a:solidFill>
                <a:schemeClr val="accent3"/>
              </a:solidFill>
              <a:ln>
                <a:solidFill>
                  <a:schemeClr val="accent3"/>
                </a:solidFill>
              </a:ln>
            </c:spPr>
          </c:marker>
          <c:dLbls>
            <c:dLbl>
              <c:idx val="0"/>
              <c:layout>
                <c:manualLayout>
                  <c:x val="-6.5104461942257219E-2"/>
                  <c:y val="5.39116938397588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919-45DE-9BDA-53C9B57F90D6}"/>
                </c:ext>
              </c:extLst>
            </c:dLbl>
            <c:dLbl>
              <c:idx val="3"/>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919-45DE-9BDA-53C9B57F90D6}"/>
                </c:ext>
              </c:extLst>
            </c:dLbl>
            <c:dLbl>
              <c:idx val="9"/>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919-45DE-9BDA-53C9B57F90D6}"/>
                </c:ext>
              </c:extLst>
            </c:dLbl>
            <c:dLbl>
              <c:idx val="11"/>
              <c:dLblPos val="b"/>
              <c:showLegendKey val="0"/>
              <c:showVal val="1"/>
              <c:showCatName val="0"/>
              <c:showSerName val="0"/>
              <c:showPercent val="0"/>
              <c:showBubbleSize val="0"/>
            </c:dLbl>
            <c:spPr>
              <a:noFill/>
              <a:ln>
                <a:noFill/>
              </a:ln>
              <a:effectLst/>
            </c:sp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'1.1參加者人數'!$A$11:$A$20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'1.1參加者人數'!$E$11:$E$20</c:f>
              <c:numCache>
                <c:formatCode>#,##0_ </c:formatCode>
                <c:ptCount val="10"/>
                <c:pt idx="0">
                  <c:v>146139</c:v>
                </c:pt>
                <c:pt idx="1">
                  <c:v>141754</c:v>
                </c:pt>
                <c:pt idx="2">
                  <c:v>136387</c:v>
                </c:pt>
                <c:pt idx="3">
                  <c:v>143619</c:v>
                </c:pt>
                <c:pt idx="4">
                  <c:v>152204</c:v>
                </c:pt>
                <c:pt idx="5">
                  <c:v>159599</c:v>
                </c:pt>
                <c:pt idx="6" formatCode="_(* #,##0_);_(* \(#,##0\);_(* &quot;-&quot;_);_(@_)">
                  <c:v>162211</c:v>
                </c:pt>
                <c:pt idx="7" formatCode="_(* #,##0_);_(* \(#,##0\);_(* &quot;-&quot;_);_(@_)">
                  <c:v>170818</c:v>
                </c:pt>
                <c:pt idx="8" formatCode="_(* #,##0_);_(* \(#,##0\);_(* &quot;-&quot;_);_(@_)">
                  <c:v>178501</c:v>
                </c:pt>
                <c:pt idx="9" formatCode="_(* #,##0_);_(* \(#,##0\);_(* &quot;-&quot;_);_(@_)">
                  <c:v>179839</c:v>
                </c:pt>
              </c:numCache>
            </c:numRef>
          </c:val>
          <c:smooth val="0"/>
          <c:extLst xmlns:c16r2="http://schemas.microsoft.com/office/drawing/2015/06/chart">
            <c:ext xmlns:c16="http://schemas.microsoft.com/office/drawing/2014/chart" uri="{C3380CC4-5D6E-409C-BE32-E72D297353CC}">
              <c16:uniqueId val="{0000000F-E919-45DE-9BDA-53C9B57F90D6}"/>
            </c:ext>
          </c:extLst>
        </c:ser>
        <c:dLbls>
          <c:showLegendKey val="0"/>
          <c:showVal val="0"/>
          <c:showCatName val="0"/>
          <c:showSerName val="0"/>
          <c:showPercent val="0"/>
          <c:showBubbleSize val="0"/>
        </c:dLbls>
        <c:marker val="1"/>
        <c:smooth val="0"/>
        <c:axId val="319069696"/>
        <c:axId val="318912704"/>
      </c:lineChart>
      <c:catAx>
        <c:axId val="319069696"/>
        <c:scaling>
          <c:orientation val="minMax"/>
        </c:scaling>
        <c:delete val="0"/>
        <c:axPos val="b"/>
        <c:numFmt formatCode="General" sourceLinked="0"/>
        <c:majorTickMark val="out"/>
        <c:minorTickMark val="none"/>
        <c:tickLblPos val="nextTo"/>
        <c:crossAx val="318912704"/>
        <c:crosses val="autoZero"/>
        <c:auto val="1"/>
        <c:lblAlgn val="ctr"/>
        <c:lblOffset val="100"/>
        <c:noMultiLvlLbl val="0"/>
      </c:catAx>
      <c:valAx>
        <c:axId val="318912704"/>
        <c:scaling>
          <c:orientation val="minMax"/>
          <c:max val="700000"/>
          <c:min val="0"/>
        </c:scaling>
        <c:delete val="0"/>
        <c:axPos val="l"/>
        <c:majorGridlines>
          <c:spPr>
            <a:ln>
              <a:noFill/>
            </a:ln>
          </c:spPr>
        </c:majorGridlines>
        <c:title>
          <c:tx>
            <c:rich>
              <a:bodyPr rot="0" vert="wordArtVertRtl"/>
              <a:lstStyle/>
              <a:p>
                <a:pPr>
                  <a:defRPr>
                    <a:latin typeface="+mn-ea"/>
                    <a:ea typeface="+mn-ea"/>
                  </a:defRPr>
                </a:pPr>
                <a:r>
                  <a:rPr lang="zh-TW" b="1">
                    <a:latin typeface="+mn-ea"/>
                    <a:ea typeface="+mn-ea"/>
                  </a:rPr>
                  <a:t>參加退撫基金人數</a:t>
                </a:r>
                <a:r>
                  <a:rPr lang="en-US" b="1">
                    <a:latin typeface="+mn-ea"/>
                    <a:ea typeface="+mn-ea"/>
                  </a:rPr>
                  <a:t>(</a:t>
                </a:r>
                <a:r>
                  <a:rPr lang="zh-TW" b="1">
                    <a:latin typeface="+mn-ea"/>
                    <a:ea typeface="+mn-ea"/>
                  </a:rPr>
                  <a:t>人</a:t>
                </a:r>
                <a:r>
                  <a:rPr lang="en-US" b="1">
                    <a:latin typeface="+mn-ea"/>
                    <a:ea typeface="+mn-ea"/>
                  </a:rPr>
                  <a:t>)</a:t>
                </a:r>
                <a:endParaRPr lang="zh-TW" b="1">
                  <a:latin typeface="+mn-ea"/>
                  <a:ea typeface="+mn-ea"/>
                </a:endParaRPr>
              </a:p>
            </c:rich>
          </c:tx>
          <c:layout>
            <c:manualLayout>
              <c:xMode val="edge"/>
              <c:yMode val="edge"/>
              <c:x val="0"/>
              <c:y val="2.6157407407407407E-2"/>
            </c:manualLayout>
          </c:layout>
          <c:overlay val="0"/>
        </c:title>
        <c:numFmt formatCode="#,##0_ " sourceLinked="1"/>
        <c:majorTickMark val="out"/>
        <c:minorTickMark val="none"/>
        <c:tickLblPos val="nextTo"/>
        <c:crossAx val="319069696"/>
        <c:crosses val="autoZero"/>
        <c:crossBetween val="between"/>
      </c:valAx>
    </c:plotArea>
    <c:legend>
      <c:legendPos val="b"/>
      <c:layout>
        <c:manualLayout>
          <c:xMode val="edge"/>
          <c:yMode val="edge"/>
          <c:x val="0.19644444444444445"/>
          <c:y val="0.90410631660733132"/>
          <c:w val="0.6293333333333333"/>
          <c:h val="9.4263561568720386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a:latin typeface="+mn-ea"/>
          <a:ea typeface="+mn-ea"/>
        </a:defRPr>
      </a:pPr>
      <a:endParaRPr lang="zh-TW"/>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25766697560432"/>
          <c:y val="5.1400554097404488E-2"/>
          <c:w val="0.83023885120195762"/>
          <c:h val="0.74980533683289585"/>
        </c:manualLayout>
      </c:layout>
      <c:lineChart>
        <c:grouping val="standard"/>
        <c:varyColors val="0"/>
        <c:ser>
          <c:idx val="0"/>
          <c:order val="0"/>
          <c:tx>
            <c:v>公務人員</c:v>
          </c:tx>
          <c:dLbls>
            <c:spPr>
              <a:noFill/>
              <a:ln>
                <a:noFill/>
              </a:ln>
              <a:effectLst/>
            </c:spPr>
            <c:txPr>
              <a:bodyPr/>
              <a:lstStyle/>
              <a:p>
                <a:pPr>
                  <a:defRPr sz="800">
                    <a:latin typeface="+mj-ea"/>
                    <a:ea typeface="+mj-ea"/>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'1.2參加者平均俸額'!$A$11:$A$20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'1.2參加者平均俸額'!$B$11:$B$20</c:f>
              <c:numCache>
                <c:formatCode>_(* #,##0_);_(* \(#,##0\);_(* "-"_);_(@_)</c:formatCode>
                <c:ptCount val="10"/>
                <c:pt idx="0">
                  <c:v>32279.4146772313</c:v>
                </c:pt>
                <c:pt idx="1">
                  <c:v>32293</c:v>
                </c:pt>
                <c:pt idx="2">
                  <c:v>32347</c:v>
                </c:pt>
                <c:pt idx="3">
                  <c:v>32571.4643099768</c:v>
                </c:pt>
                <c:pt idx="4">
                  <c:v>32612</c:v>
                </c:pt>
                <c:pt idx="5" formatCode="#,##0_);[Red]\(#,##0\)">
                  <c:v>32614</c:v>
                </c:pt>
                <c:pt idx="6">
                  <c:v>32598.5666964292</c:v>
                </c:pt>
                <c:pt idx="7">
                  <c:v>33619.641340215203</c:v>
                </c:pt>
                <c:pt idx="8">
                  <c:v>33697.5446579036</c:v>
                </c:pt>
                <c:pt idx="9">
                  <c:v>33675.1901954227</c:v>
                </c:pt>
              </c:numCache>
            </c:numRef>
          </c:val>
          <c:smooth val="0"/>
          <c:extLst xmlns:c16r2="http://schemas.microsoft.com/office/drawing/2015/06/chart">
            <c:ext xmlns:c16="http://schemas.microsoft.com/office/drawing/2014/chart" uri="{C3380CC4-5D6E-409C-BE32-E72D297353CC}">
              <c16:uniqueId val="{00000000-EA0E-4B66-B361-05551542C85B}"/>
            </c:ext>
          </c:extLst>
        </c:ser>
        <c:ser>
          <c:idx val="1"/>
          <c:order val="1"/>
          <c:tx>
            <c:v>教育人員</c:v>
          </c:tx>
          <c:dLbls>
            <c:spPr>
              <a:noFill/>
              <a:ln>
                <a:noFill/>
              </a:ln>
              <a:effectLst/>
            </c:spPr>
            <c:txPr>
              <a:bodyPr/>
              <a:lstStyle/>
              <a:p>
                <a:pPr>
                  <a:defRPr sz="800">
                    <a:latin typeface="+mn-ea"/>
                    <a:ea typeface="+mn-ea"/>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'1.2參加者平均俸額'!$A$11:$A$20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'1.2參加者平均俸額'!$C$11:$C$20</c:f>
              <c:numCache>
                <c:formatCode>_(* #,##0_);_(* \(#,##0\);_(* "-"_);_(@_)</c:formatCode>
                <c:ptCount val="10"/>
                <c:pt idx="0">
                  <c:v>38318.1685655541</c:v>
                </c:pt>
                <c:pt idx="1">
                  <c:v>38749</c:v>
                </c:pt>
                <c:pt idx="2">
                  <c:v>39244</c:v>
                </c:pt>
                <c:pt idx="3">
                  <c:v>39736.518725369897</c:v>
                </c:pt>
                <c:pt idx="4">
                  <c:v>40222</c:v>
                </c:pt>
                <c:pt idx="5" formatCode="#,##0_);[Red]\(#,##0\)">
                  <c:v>40693</c:v>
                </c:pt>
                <c:pt idx="6">
                  <c:v>41195.784619580001</c:v>
                </c:pt>
                <c:pt idx="7">
                  <c:v>43005.8546046868</c:v>
                </c:pt>
                <c:pt idx="8">
                  <c:v>43436.2241646006</c:v>
                </c:pt>
                <c:pt idx="9">
                  <c:v>43867.340953273</c:v>
                </c:pt>
              </c:numCache>
            </c:numRef>
          </c:val>
          <c:smooth val="0"/>
          <c:extLst xmlns:c16r2="http://schemas.microsoft.com/office/drawing/2015/06/chart">
            <c:ext xmlns:c16="http://schemas.microsoft.com/office/drawing/2014/chart" uri="{C3380CC4-5D6E-409C-BE32-E72D297353CC}">
              <c16:uniqueId val="{00000001-EA0E-4B66-B361-05551542C85B}"/>
            </c:ext>
          </c:extLst>
        </c:ser>
        <c:ser>
          <c:idx val="2"/>
          <c:order val="2"/>
          <c:tx>
            <c:v>軍職人員</c:v>
          </c:tx>
          <c:dLbls>
            <c:spPr>
              <a:noFill/>
              <a:ln>
                <a:noFill/>
              </a:ln>
              <a:effectLst/>
            </c:spPr>
            <c:txPr>
              <a:bodyPr/>
              <a:lstStyle/>
              <a:p>
                <a:pPr>
                  <a:defRPr sz="800">
                    <a:latin typeface="+mn-ea"/>
                    <a:ea typeface="+mn-ea"/>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'1.2參加者平均俸額'!$A$11:$A$20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'1.2參加者平均俸額'!$D$11:$D$20</c:f>
              <c:numCache>
                <c:formatCode>_(* #,##0_);_(* \(#,##0\);_(* "-"_);_(@_)</c:formatCode>
                <c:ptCount val="10"/>
                <c:pt idx="0">
                  <c:v>21937.7458718241</c:v>
                </c:pt>
                <c:pt idx="1">
                  <c:v>22161</c:v>
                </c:pt>
                <c:pt idx="2">
                  <c:v>22179</c:v>
                </c:pt>
                <c:pt idx="3">
                  <c:v>21510.350906555101</c:v>
                </c:pt>
                <c:pt idx="4">
                  <c:v>20629</c:v>
                </c:pt>
                <c:pt idx="5" formatCode="#,##0_);[Red]\(#,##0\)">
                  <c:v>20124</c:v>
                </c:pt>
                <c:pt idx="6">
                  <c:v>20108.498925340398</c:v>
                </c:pt>
                <c:pt idx="7">
                  <c:v>20656.438693435</c:v>
                </c:pt>
                <c:pt idx="8">
                  <c:v>20675.058241819799</c:v>
                </c:pt>
                <c:pt idx="9">
                  <c:v>20720.894976354099</c:v>
                </c:pt>
              </c:numCache>
            </c:numRef>
          </c:val>
          <c:smooth val="0"/>
          <c:extLst xmlns:c16r2="http://schemas.microsoft.com/office/drawing/2015/06/chart">
            <c:ext xmlns:c16="http://schemas.microsoft.com/office/drawing/2014/chart" uri="{C3380CC4-5D6E-409C-BE32-E72D297353CC}">
              <c16:uniqueId val="{00000002-EA0E-4B66-B361-05551542C85B}"/>
            </c:ext>
          </c:extLst>
        </c:ser>
        <c:dLbls>
          <c:showLegendKey val="0"/>
          <c:showVal val="0"/>
          <c:showCatName val="0"/>
          <c:showSerName val="0"/>
          <c:showPercent val="0"/>
          <c:showBubbleSize val="0"/>
        </c:dLbls>
        <c:marker val="1"/>
        <c:smooth val="0"/>
        <c:axId val="296587776"/>
        <c:axId val="318911552"/>
      </c:lineChart>
      <c:catAx>
        <c:axId val="296587776"/>
        <c:scaling>
          <c:orientation val="minMax"/>
        </c:scaling>
        <c:delete val="0"/>
        <c:axPos val="b"/>
        <c:numFmt formatCode="General" sourceLinked="0"/>
        <c:majorTickMark val="out"/>
        <c:minorTickMark val="none"/>
        <c:tickLblPos val="nextTo"/>
        <c:txPr>
          <a:bodyPr/>
          <a:lstStyle/>
          <a:p>
            <a:pPr>
              <a:defRPr sz="900">
                <a:latin typeface="+mn-ea"/>
                <a:ea typeface="+mn-ea"/>
              </a:defRPr>
            </a:pPr>
            <a:endParaRPr lang="zh-TW"/>
          </a:p>
        </c:txPr>
        <c:crossAx val="318911552"/>
        <c:crossesAt val="0"/>
        <c:auto val="1"/>
        <c:lblAlgn val="ctr"/>
        <c:lblOffset val="100"/>
        <c:noMultiLvlLbl val="0"/>
      </c:catAx>
      <c:valAx>
        <c:axId val="318911552"/>
        <c:scaling>
          <c:orientation val="minMax"/>
          <c:min val="15000"/>
        </c:scaling>
        <c:delete val="0"/>
        <c:axPos val="l"/>
        <c:majorGridlines>
          <c:spPr>
            <a:ln>
              <a:noFill/>
            </a:ln>
          </c:spPr>
        </c:majorGridlines>
        <c:title>
          <c:tx>
            <c:rich>
              <a:bodyPr rot="0" vert="wordArtVertRtl"/>
              <a:lstStyle/>
              <a:p>
                <a:pPr>
                  <a:defRPr b="1">
                    <a:latin typeface="+mn-ea"/>
                    <a:ea typeface="+mn-ea"/>
                  </a:defRPr>
                </a:pPr>
                <a:r>
                  <a:rPr lang="zh-TW" b="1">
                    <a:latin typeface="+mn-ea"/>
                    <a:ea typeface="+mn-ea"/>
                  </a:rPr>
                  <a:t>平均俸額</a:t>
                </a:r>
                <a:r>
                  <a:rPr lang="en-US" b="1">
                    <a:latin typeface="+mn-ea"/>
                    <a:ea typeface="+mn-ea"/>
                  </a:rPr>
                  <a:t>(</a:t>
                </a:r>
                <a:r>
                  <a:rPr lang="zh-TW" b="1">
                    <a:latin typeface="+mn-ea"/>
                    <a:ea typeface="+mn-ea"/>
                  </a:rPr>
                  <a:t>元</a:t>
                </a:r>
                <a:r>
                  <a:rPr lang="en-US" b="1">
                    <a:latin typeface="+mn-ea"/>
                    <a:ea typeface="+mn-ea"/>
                  </a:rPr>
                  <a:t>)</a:t>
                </a:r>
                <a:endParaRPr lang="zh-TW" b="1">
                  <a:latin typeface="+mn-ea"/>
                  <a:ea typeface="+mn-ea"/>
                </a:endParaRPr>
              </a:p>
            </c:rich>
          </c:tx>
          <c:layout>
            <c:manualLayout>
              <c:xMode val="edge"/>
              <c:yMode val="edge"/>
              <c:x val="2.7777777777777779E-3"/>
              <c:y val="0.22687007874015749"/>
            </c:manualLayout>
          </c:layout>
          <c:overlay val="0"/>
        </c:title>
        <c:numFmt formatCode="_(* #,##0_);_(* \(#,##0\);_(* &quot;-&quot;_);_(@_)" sourceLinked="1"/>
        <c:majorTickMark val="out"/>
        <c:minorTickMark val="none"/>
        <c:tickLblPos val="nextTo"/>
        <c:txPr>
          <a:bodyPr/>
          <a:lstStyle/>
          <a:p>
            <a:pPr>
              <a:defRPr sz="900">
                <a:latin typeface="+mn-ea"/>
                <a:ea typeface="+mn-ea"/>
              </a:defRPr>
            </a:pPr>
            <a:endParaRPr lang="zh-TW"/>
          </a:p>
        </c:txPr>
        <c:crossAx val="296587776"/>
        <c:crosses val="autoZero"/>
        <c:crossBetween val="between"/>
      </c:valAx>
    </c:plotArea>
    <c:legend>
      <c:legendPos val="b"/>
      <c:layout>
        <c:manualLayout>
          <c:xMode val="edge"/>
          <c:yMode val="edge"/>
          <c:x val="0.25542514746893413"/>
          <c:y val="0.91860089993458927"/>
          <c:w val="0.50674483878213461"/>
          <c:h val="8.0308379956094661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57632160599835"/>
          <c:y val="5.0925925925925923E-2"/>
          <c:w val="0.86898639768780694"/>
          <c:h val="0.74222149314668995"/>
        </c:manualLayout>
      </c:layout>
      <c:lineChart>
        <c:grouping val="standard"/>
        <c:varyColors val="0"/>
        <c:ser>
          <c:idx val="0"/>
          <c:order val="0"/>
          <c:tx>
            <c:v>公務人員</c:v>
          </c:tx>
          <c:dLbls>
            <c:dLbl>
              <c:idx val="4"/>
              <c:layout>
                <c:manualLayout>
                  <c:x val="-4.8021216097987748E-2"/>
                  <c:y val="5.7418708078156938E-2"/>
                </c:manualLayout>
              </c:layout>
              <c:dLblPos val="r"/>
              <c:showLegendKey val="0"/>
              <c:showVal val="1"/>
              <c:showCatName val="0"/>
              <c:showSerName val="0"/>
              <c:showPercent val="0"/>
              <c:showBubbleSize val="0"/>
            </c:dLbl>
            <c:dLbl>
              <c:idx val="5"/>
              <c:layout>
                <c:manualLayout>
                  <c:x val="-4.2465441819772527E-2"/>
                  <c:y val="4.815981335666375E-2"/>
                </c:manualLayout>
              </c:layout>
              <c:dLblPos val="r"/>
              <c:showLegendKey val="0"/>
              <c:showVal val="1"/>
              <c:showCatName val="0"/>
              <c:showSerName val="0"/>
              <c:showPercent val="0"/>
              <c:showBubbleSize val="0"/>
            </c:dLbl>
            <c:dLbl>
              <c:idx val="6"/>
              <c:layout>
                <c:manualLayout>
                  <c:x val="-4.8020997375328084E-2"/>
                  <c:y val="5.2789442986293379E-2"/>
                </c:manualLayout>
              </c:layout>
              <c:dLblPos val="r"/>
              <c:showLegendKey val="0"/>
              <c:showVal val="1"/>
              <c:showCatName val="0"/>
              <c:showSerName val="0"/>
              <c:showPercent val="0"/>
              <c:showBubbleSize val="0"/>
            </c:dLbl>
            <c:dLbl>
              <c:idx val="7"/>
              <c:layout>
                <c:manualLayout>
                  <c:x val="-4.8020997375328084E-2"/>
                  <c:y val="4.8159813356663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23-4B71-B9EE-CBDFEBF08A71}"/>
                </c:ext>
              </c:extLst>
            </c:dLbl>
            <c:dLbl>
              <c:idx val="8"/>
              <c:layout>
                <c:manualLayout>
                  <c:x val="-4.8021216097987852E-2"/>
                  <c:y val="5.27894429862933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23-4B71-B9EE-CBDFEBF08A71}"/>
                </c:ext>
              </c:extLst>
            </c:dLbl>
            <c:dLbl>
              <c:idx val="9"/>
              <c:layout>
                <c:manualLayout>
                  <c:x val="-4.7578958880140083E-2"/>
                  <c:y val="5.59492563429570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23-4B71-B9EE-CBDFEBF08A71}"/>
                </c:ext>
              </c:extLst>
            </c:dLbl>
            <c:spPr>
              <a:noFill/>
              <a:ln>
                <a:noFill/>
              </a:ln>
              <a:effectLst/>
            </c:spPr>
            <c:txPr>
              <a:bodyPr/>
              <a:lstStyle/>
              <a:p>
                <a:pPr>
                  <a:defRPr sz="800">
                    <a:latin typeface="+mj-ea"/>
                    <a:ea typeface="+mj-ea"/>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'1.3參加者平均年齡'!$A$11:$A$20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'1.3參加者平均年齡'!$B$11:$B$20</c:f>
              <c:numCache>
                <c:formatCode>0.0_);[Red]\(0.0\)</c:formatCode>
                <c:ptCount val="10"/>
                <c:pt idx="0">
                  <c:v>42.569002538245201</c:v>
                </c:pt>
                <c:pt idx="1">
                  <c:v>42.5</c:v>
                </c:pt>
                <c:pt idx="2">
                  <c:v>42.5</c:v>
                </c:pt>
                <c:pt idx="3">
                  <c:v>42.7766800122766</c:v>
                </c:pt>
                <c:pt idx="4">
                  <c:v>42.72</c:v>
                </c:pt>
                <c:pt idx="5">
                  <c:v>41.69</c:v>
                </c:pt>
                <c:pt idx="6" formatCode="#,##0.0">
                  <c:v>42.770994499614901</c:v>
                </c:pt>
                <c:pt idx="7" formatCode="#,##0.0">
                  <c:v>42.867628379604398</c:v>
                </c:pt>
                <c:pt idx="8" formatCode="_-* #,##0.0_-;\-* #,##0.0_-;_-* &quot;-&quot;?_-;_-@_-">
                  <c:v>42.888988018530597</c:v>
                </c:pt>
                <c:pt idx="9" formatCode="_-* #,##0.0_-;\-* #,##0.0_-;_-* &quot;-&quot;?_-;_-@_-">
                  <c:v>41.967331062763201</c:v>
                </c:pt>
              </c:numCache>
            </c:numRef>
          </c:val>
          <c:smooth val="0"/>
          <c:extLst xmlns:c16r2="http://schemas.microsoft.com/office/drawing/2015/06/chart">
            <c:ext xmlns:c16="http://schemas.microsoft.com/office/drawing/2014/chart" uri="{C3380CC4-5D6E-409C-BE32-E72D297353CC}">
              <c16:uniqueId val="{00000003-B823-4B71-B9EE-CBDFEBF08A71}"/>
            </c:ext>
          </c:extLst>
        </c:ser>
        <c:ser>
          <c:idx val="1"/>
          <c:order val="1"/>
          <c:tx>
            <c:v>教育人員</c:v>
          </c:tx>
          <c:dLbls>
            <c:dLbl>
              <c:idx val="4"/>
              <c:layout>
                <c:manualLayout>
                  <c:x val="-4.8020997375328084E-2"/>
                  <c:y val="-6.2048337707786547E-2"/>
                </c:manualLayout>
              </c:layout>
              <c:dLblPos val="r"/>
              <c:showLegendKey val="0"/>
              <c:showVal val="1"/>
              <c:showCatName val="0"/>
              <c:showSerName val="0"/>
              <c:showPercent val="0"/>
              <c:showBubbleSize val="0"/>
            </c:dLbl>
            <c:dLbl>
              <c:idx val="5"/>
              <c:layout>
                <c:manualLayout>
                  <c:x val="-4.8020997375328084E-2"/>
                  <c:y val="-4.8159448818897638E-2"/>
                </c:manualLayout>
              </c:layout>
              <c:dLblPos val="r"/>
              <c:showLegendKey val="0"/>
              <c:showVal val="1"/>
              <c:showCatName val="0"/>
              <c:showSerName val="0"/>
              <c:showPercent val="0"/>
              <c:showBubbleSize val="0"/>
            </c:dLbl>
            <c:dLbl>
              <c:idx val="6"/>
              <c:layout>
                <c:manualLayout>
                  <c:x val="-5.0798775153105859E-2"/>
                  <c:y val="-3.89001895596384E-2"/>
                </c:manualLayout>
              </c:layout>
              <c:dLblPos val="r"/>
              <c:showLegendKey val="0"/>
              <c:showVal val="1"/>
              <c:showCatName val="0"/>
              <c:showSerName val="0"/>
              <c:showPercent val="0"/>
              <c:showBubbleSize val="0"/>
            </c:dLbl>
            <c:dLbl>
              <c:idx val="7"/>
              <c:layout>
                <c:manualLayout>
                  <c:x val="-4.8020997375328084E-2"/>
                  <c:y val="-5.74187080781568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23-4B71-B9EE-CBDFEBF08A71}"/>
                </c:ext>
              </c:extLst>
            </c:dLbl>
            <c:dLbl>
              <c:idx val="8"/>
              <c:layout>
                <c:manualLayout>
                  <c:x val="-4.802099737532798E-2"/>
                  <c:y val="-5.27890784485272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823-4B71-B9EE-CBDFEBF08A71}"/>
                </c:ext>
              </c:extLst>
            </c:dLbl>
            <c:dLbl>
              <c:idx val="9"/>
              <c:layout>
                <c:manualLayout>
                  <c:x val="-4.2023403324584527E-2"/>
                  <c:y val="-6.98377806940799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823-4B71-B9EE-CBDFEBF08A71}"/>
                </c:ext>
              </c:extLst>
            </c:dLbl>
            <c:spPr>
              <a:noFill/>
              <a:ln>
                <a:noFill/>
              </a:ln>
              <a:effectLst/>
            </c:spPr>
            <c:txPr>
              <a:bodyPr/>
              <a:lstStyle/>
              <a:p>
                <a:pPr>
                  <a:defRPr sz="800">
                    <a:latin typeface="+mj-ea"/>
                    <a:ea typeface="+mj-ea"/>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'1.3參加者平均年齡'!$A$11:$A$20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'1.3參加者平均年齡'!$C$11:$C$20</c:f>
              <c:numCache>
                <c:formatCode>0.0_);[Red]\(0.0\)</c:formatCode>
                <c:ptCount val="10"/>
                <c:pt idx="0">
                  <c:v>41.310098371130699</c:v>
                </c:pt>
                <c:pt idx="1">
                  <c:v>41.63</c:v>
                </c:pt>
                <c:pt idx="2">
                  <c:v>42.03</c:v>
                </c:pt>
                <c:pt idx="3">
                  <c:v>42.437967481796598</c:v>
                </c:pt>
                <c:pt idx="4">
                  <c:v>42.81</c:v>
                </c:pt>
                <c:pt idx="5">
                  <c:v>42.18</c:v>
                </c:pt>
                <c:pt idx="6" formatCode="#,##0.0">
                  <c:v>43.638854649577297</c:v>
                </c:pt>
                <c:pt idx="7" formatCode="#,##0.0">
                  <c:v>44.146046868155899</c:v>
                </c:pt>
                <c:pt idx="8" formatCode="_-* #,##0.0_-;\-* #,##0.0_-;_-* &quot;-&quot;?_-;_-@_-">
                  <c:v>44.6237137152511</c:v>
                </c:pt>
                <c:pt idx="9" formatCode="_-* #,##0.0_-;\-* #,##0.0_-;_-* &quot;-&quot;?_-;_-@_-">
                  <c:v>44.1813919549556</c:v>
                </c:pt>
              </c:numCache>
            </c:numRef>
          </c:val>
          <c:smooth val="0"/>
          <c:extLst xmlns:c16r2="http://schemas.microsoft.com/office/drawing/2015/06/chart">
            <c:ext xmlns:c16="http://schemas.microsoft.com/office/drawing/2014/chart" uri="{C3380CC4-5D6E-409C-BE32-E72D297353CC}">
              <c16:uniqueId val="{00000007-B823-4B71-B9EE-CBDFEBF08A71}"/>
            </c:ext>
          </c:extLst>
        </c:ser>
        <c:ser>
          <c:idx val="2"/>
          <c:order val="2"/>
          <c:tx>
            <c:v>軍職人員</c:v>
          </c:tx>
          <c:dLbls>
            <c:dLbl>
              <c:idx val="5"/>
              <c:layout>
                <c:manualLayout>
                  <c:x val="-4.8020997375328084E-2"/>
                  <c:y val="4.4432779235928754E-2"/>
                </c:manualLayout>
              </c:layout>
              <c:dLblPos val="r"/>
              <c:showLegendKey val="0"/>
              <c:showVal val="1"/>
              <c:showCatName val="0"/>
              <c:showSerName val="0"/>
              <c:showPercent val="0"/>
              <c:showBubbleSize val="0"/>
            </c:dLbl>
            <c:spPr>
              <a:noFill/>
              <a:ln>
                <a:noFill/>
              </a:ln>
              <a:effectLst/>
            </c:spPr>
            <c:txPr>
              <a:bodyPr/>
              <a:lstStyle/>
              <a:p>
                <a:pPr>
                  <a:defRPr sz="800">
                    <a:latin typeface="+mn-ea"/>
                    <a:ea typeface="+mn-ea"/>
                  </a:defRPr>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'1.3參加者平均年齡'!$A$11:$A$20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'1.3參加者平均年齡'!$D$11:$D$20</c:f>
              <c:numCache>
                <c:formatCode>0.0_);[Red]\(0.0\)</c:formatCode>
                <c:ptCount val="10"/>
                <c:pt idx="0">
                  <c:v>28.574602281306198</c:v>
                </c:pt>
                <c:pt idx="1">
                  <c:v>28.88</c:v>
                </c:pt>
                <c:pt idx="2">
                  <c:v>29.01</c:v>
                </c:pt>
                <c:pt idx="3">
                  <c:v>28.737880055788001</c:v>
                </c:pt>
                <c:pt idx="4">
                  <c:v>28.35</c:v>
                </c:pt>
                <c:pt idx="5">
                  <c:v>27.23</c:v>
                </c:pt>
                <c:pt idx="6" formatCode="#,##0.0">
                  <c:v>28.432333396971199</c:v>
                </c:pt>
                <c:pt idx="7" formatCode="#,##0.0">
                  <c:v>28.584134067769899</c:v>
                </c:pt>
                <c:pt idx="8" formatCode="_-* #,##0.0_-;\-* #,##0.0_-;_-* &quot;-&quot;?_-;_-@_-">
                  <c:v>28.7384188704617</c:v>
                </c:pt>
                <c:pt idx="9" formatCode="_-* #,##0.0_-;\-* #,##0.0_-;_-* &quot;-&quot;?_-;_-@_-">
                  <c:v>27.958547113411299</c:v>
                </c:pt>
              </c:numCache>
            </c:numRef>
          </c:val>
          <c:smooth val="0"/>
          <c:extLst xmlns:c16r2="http://schemas.microsoft.com/office/drawing/2015/06/chart">
            <c:ext xmlns:c16="http://schemas.microsoft.com/office/drawing/2014/chart" uri="{C3380CC4-5D6E-409C-BE32-E72D297353CC}">
              <c16:uniqueId val="{00000008-B823-4B71-B9EE-CBDFEBF08A71}"/>
            </c:ext>
          </c:extLst>
        </c:ser>
        <c:dLbls>
          <c:showLegendKey val="0"/>
          <c:showVal val="0"/>
          <c:showCatName val="0"/>
          <c:showSerName val="0"/>
          <c:showPercent val="0"/>
          <c:showBubbleSize val="0"/>
        </c:dLbls>
        <c:marker val="1"/>
        <c:smooth val="0"/>
        <c:axId val="296589824"/>
        <c:axId val="319635456"/>
      </c:lineChart>
      <c:catAx>
        <c:axId val="296589824"/>
        <c:scaling>
          <c:orientation val="minMax"/>
        </c:scaling>
        <c:delete val="0"/>
        <c:axPos val="b"/>
        <c:numFmt formatCode="General" sourceLinked="0"/>
        <c:majorTickMark val="out"/>
        <c:minorTickMark val="none"/>
        <c:tickLblPos val="nextTo"/>
        <c:txPr>
          <a:bodyPr/>
          <a:lstStyle/>
          <a:p>
            <a:pPr>
              <a:defRPr sz="900">
                <a:latin typeface="+mj-ea"/>
                <a:ea typeface="+mj-ea"/>
              </a:defRPr>
            </a:pPr>
            <a:endParaRPr lang="zh-TW"/>
          </a:p>
        </c:txPr>
        <c:crossAx val="319635456"/>
        <c:crosses val="autoZero"/>
        <c:auto val="1"/>
        <c:lblAlgn val="ctr"/>
        <c:lblOffset val="100"/>
        <c:noMultiLvlLbl val="0"/>
      </c:catAx>
      <c:valAx>
        <c:axId val="319635456"/>
        <c:scaling>
          <c:orientation val="minMax"/>
          <c:max val="50"/>
          <c:min val="25"/>
        </c:scaling>
        <c:delete val="0"/>
        <c:axPos val="l"/>
        <c:majorGridlines>
          <c:spPr>
            <a:ln>
              <a:noFill/>
            </a:ln>
          </c:spPr>
        </c:majorGridlines>
        <c:title>
          <c:tx>
            <c:rich>
              <a:bodyPr rot="0" vert="wordArtVertRtl"/>
              <a:lstStyle/>
              <a:p>
                <a:pPr>
                  <a:defRPr b="1">
                    <a:latin typeface="+mn-ea"/>
                    <a:ea typeface="+mn-ea"/>
                  </a:defRPr>
                </a:pPr>
                <a:r>
                  <a:rPr lang="zh-TW" altLang="en-US" b="1">
                    <a:latin typeface="+mn-ea"/>
                    <a:ea typeface="+mn-ea"/>
                  </a:rPr>
                  <a:t>參加人員平均年齡</a:t>
                </a:r>
                <a:r>
                  <a:rPr lang="en-US" altLang="zh-TW" b="1">
                    <a:latin typeface="+mn-ea"/>
                    <a:ea typeface="+mn-ea"/>
                  </a:rPr>
                  <a:t>(</a:t>
                </a:r>
                <a:r>
                  <a:rPr lang="zh-TW" altLang="en-US" b="1">
                    <a:latin typeface="+mn-ea"/>
                    <a:ea typeface="+mn-ea"/>
                  </a:rPr>
                  <a:t>歲</a:t>
                </a:r>
                <a:r>
                  <a:rPr lang="en-US" altLang="zh-TW" b="1">
                    <a:latin typeface="+mn-ea"/>
                    <a:ea typeface="+mn-ea"/>
                  </a:rPr>
                  <a:t>)</a:t>
                </a:r>
                <a:endParaRPr lang="zh-TW" altLang="en-US" b="1">
                  <a:latin typeface="+mn-ea"/>
                  <a:ea typeface="+mn-ea"/>
                </a:endParaRPr>
              </a:p>
            </c:rich>
          </c:tx>
          <c:layout>
            <c:manualLayout>
              <c:xMode val="edge"/>
              <c:yMode val="edge"/>
              <c:x val="0"/>
              <c:y val="5.0925925925925923E-2"/>
            </c:manualLayout>
          </c:layout>
          <c:overlay val="0"/>
        </c:title>
        <c:numFmt formatCode="_(* #,##0_);_(* \(#,##0\);_(* &quot;-&quot;_);_(@_)" sourceLinked="0"/>
        <c:majorTickMark val="out"/>
        <c:minorTickMark val="none"/>
        <c:tickLblPos val="nextTo"/>
        <c:txPr>
          <a:bodyPr/>
          <a:lstStyle/>
          <a:p>
            <a:pPr>
              <a:defRPr sz="900">
                <a:latin typeface="+mn-ea"/>
                <a:ea typeface="+mn-ea"/>
              </a:defRPr>
            </a:pPr>
            <a:endParaRPr lang="zh-TW"/>
          </a:p>
        </c:txPr>
        <c:crossAx val="296589824"/>
        <c:crosses val="autoZero"/>
        <c:crossBetween val="between"/>
      </c:valAx>
    </c:plotArea>
    <c:legend>
      <c:legendPos val="b"/>
      <c:layout>
        <c:manualLayout>
          <c:xMode val="edge"/>
          <c:yMode val="edge"/>
          <c:x val="0.28085412308199165"/>
          <c:y val="0.9112642169728784"/>
          <c:w val="0.50898377019332675"/>
          <c:h val="8.8735783027121609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32659997733201"/>
          <c:y val="5.1400554097404488E-2"/>
          <c:w val="0.83567340002266799"/>
          <c:h val="0.5910014862600006"/>
        </c:manualLayout>
      </c:layout>
      <c:lineChart>
        <c:grouping val="standard"/>
        <c:varyColors val="0"/>
        <c:ser>
          <c:idx val="0"/>
          <c:order val="0"/>
          <c:tx>
            <c:v>公務人員</c:v>
          </c:tx>
          <c:cat>
            <c:strRef>
              <c:f>'2.1歷年退休人數'!$A$17:$A$26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'2.1歷年退休人數'!$B$17:$B$26</c:f>
              <c:numCache>
                <c:formatCode>#,##0_ </c:formatCode>
                <c:ptCount val="10"/>
                <c:pt idx="0">
                  <c:v>10361</c:v>
                </c:pt>
                <c:pt idx="1">
                  <c:v>10527</c:v>
                </c:pt>
                <c:pt idx="2">
                  <c:v>9816</c:v>
                </c:pt>
                <c:pt idx="3">
                  <c:v>9679</c:v>
                </c:pt>
                <c:pt idx="4">
                  <c:v>11803</c:v>
                </c:pt>
                <c:pt idx="5">
                  <c:v>9584</c:v>
                </c:pt>
                <c:pt idx="6">
                  <c:v>6915</c:v>
                </c:pt>
                <c:pt idx="7">
                  <c:v>6427</c:v>
                </c:pt>
                <c:pt idx="8" formatCode="_(* #,##0_);_(* \(#,##0\);_(* &quot;-&quot;_);_(@_)">
                  <c:v>7288</c:v>
                </c:pt>
                <c:pt idx="9" formatCode="_(* #,##0_);_(* \(#,##0\);_(* &quot;-&quot;_);_(@_)">
                  <c:v>6287</c:v>
                </c:pt>
              </c:numCache>
            </c:numRef>
          </c:val>
          <c:smooth val="0"/>
          <c:extLst xmlns:c16r2="http://schemas.microsoft.com/office/drawing/2015/06/chart">
            <c:ext xmlns:c16="http://schemas.microsoft.com/office/drawing/2014/chart" uri="{C3380CC4-5D6E-409C-BE32-E72D297353CC}">
              <c16:uniqueId val="{00000000-61F0-40B5-9304-64EF3B76C56D}"/>
            </c:ext>
          </c:extLst>
        </c:ser>
        <c:ser>
          <c:idx val="1"/>
          <c:order val="1"/>
          <c:tx>
            <c:v>教育人員</c:v>
          </c:tx>
          <c:cat>
            <c:strRef>
              <c:f>'2.1歷年退休人數'!$A$17:$A$26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'2.1歷年退休人數'!$C$17:$C$26</c:f>
              <c:numCache>
                <c:formatCode>#,##0_ </c:formatCode>
                <c:ptCount val="10"/>
                <c:pt idx="0">
                  <c:v>5560</c:v>
                </c:pt>
                <c:pt idx="1">
                  <c:v>5774</c:v>
                </c:pt>
                <c:pt idx="2">
                  <c:v>5213</c:v>
                </c:pt>
                <c:pt idx="3">
                  <c:v>5014</c:v>
                </c:pt>
                <c:pt idx="4">
                  <c:v>6371</c:v>
                </c:pt>
                <c:pt idx="5">
                  <c:v>6728</c:v>
                </c:pt>
                <c:pt idx="6">
                  <c:v>5621</c:v>
                </c:pt>
                <c:pt idx="7">
                  <c:v>4105</c:v>
                </c:pt>
                <c:pt idx="8">
                  <c:v>3962</c:v>
                </c:pt>
                <c:pt idx="9">
                  <c:v>2564</c:v>
                </c:pt>
              </c:numCache>
            </c:numRef>
          </c:val>
          <c:smooth val="0"/>
          <c:extLst xmlns:c16r2="http://schemas.microsoft.com/office/drawing/2015/06/chart">
            <c:ext xmlns:c16="http://schemas.microsoft.com/office/drawing/2014/chart" uri="{C3380CC4-5D6E-409C-BE32-E72D297353CC}">
              <c16:uniqueId val="{00000001-61F0-40B5-9304-64EF3B76C56D}"/>
            </c:ext>
          </c:extLst>
        </c:ser>
        <c:ser>
          <c:idx val="2"/>
          <c:order val="2"/>
          <c:tx>
            <c:v>軍職人員</c:v>
          </c:tx>
          <c:cat>
            <c:strRef>
              <c:f>'2.1歷年退休人數'!$A$17:$A$26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'2.1歷年退休人數'!$D$17:$D$26</c:f>
              <c:numCache>
                <c:formatCode>#,##0_ </c:formatCode>
                <c:ptCount val="10"/>
                <c:pt idx="0">
                  <c:v>13096</c:v>
                </c:pt>
                <c:pt idx="1">
                  <c:v>15027</c:v>
                </c:pt>
                <c:pt idx="2">
                  <c:v>17078</c:v>
                </c:pt>
                <c:pt idx="3">
                  <c:v>12295</c:v>
                </c:pt>
                <c:pt idx="4">
                  <c:v>10380</c:v>
                </c:pt>
                <c:pt idx="5">
                  <c:v>10992</c:v>
                </c:pt>
                <c:pt idx="6">
                  <c:v>10741</c:v>
                </c:pt>
                <c:pt idx="7">
                  <c:v>10178</c:v>
                </c:pt>
                <c:pt idx="8">
                  <c:v>11478</c:v>
                </c:pt>
                <c:pt idx="9">
                  <c:v>12224</c:v>
                </c:pt>
              </c:numCache>
            </c:numRef>
          </c:val>
          <c:smooth val="0"/>
          <c:extLst xmlns:c16r2="http://schemas.microsoft.com/office/drawing/2015/06/chart">
            <c:ext xmlns:c16="http://schemas.microsoft.com/office/drawing/2014/chart" uri="{C3380CC4-5D6E-409C-BE32-E72D297353CC}">
              <c16:uniqueId val="{00000002-61F0-40B5-9304-64EF3B76C56D}"/>
            </c:ext>
          </c:extLst>
        </c:ser>
        <c:ser>
          <c:idx val="3"/>
          <c:order val="3"/>
          <c:tx>
            <c:v>總計</c:v>
          </c:tx>
          <c:cat>
            <c:strRef>
              <c:f>'2.1歷年退休人數'!$A$17:$A$26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'2.1歷年退休人數'!$G$17:$G$26</c:f>
              <c:numCache>
                <c:formatCode>_(* #,##0_);_(* \(#,##0\);_(* "-"_);_(@_)</c:formatCode>
                <c:ptCount val="10"/>
                <c:pt idx="0">
                  <c:v>29017</c:v>
                </c:pt>
                <c:pt idx="1">
                  <c:v>31328</c:v>
                </c:pt>
                <c:pt idx="2">
                  <c:v>32107</c:v>
                </c:pt>
                <c:pt idx="3">
                  <c:v>26988</c:v>
                </c:pt>
                <c:pt idx="4">
                  <c:v>28554</c:v>
                </c:pt>
                <c:pt idx="5">
                  <c:v>27304</c:v>
                </c:pt>
                <c:pt idx="6">
                  <c:v>23277</c:v>
                </c:pt>
                <c:pt idx="7">
                  <c:v>20710</c:v>
                </c:pt>
                <c:pt idx="8">
                  <c:v>22728</c:v>
                </c:pt>
                <c:pt idx="9">
                  <c:v>21075</c:v>
                </c:pt>
              </c:numCache>
            </c:numRef>
          </c:val>
          <c:smooth val="0"/>
          <c:extLst xmlns:c16r2="http://schemas.microsoft.com/office/drawing/2015/06/chart">
            <c:ext xmlns:c16="http://schemas.microsoft.com/office/drawing/2014/chart" uri="{C3380CC4-5D6E-409C-BE32-E72D297353CC}">
              <c16:uniqueId val="{00000003-61F0-40B5-9304-64EF3B76C56D}"/>
            </c:ext>
          </c:extLst>
        </c:ser>
        <c:dLbls>
          <c:showLegendKey val="0"/>
          <c:showVal val="0"/>
          <c:showCatName val="0"/>
          <c:showSerName val="0"/>
          <c:showPercent val="0"/>
          <c:showBubbleSize val="0"/>
        </c:dLbls>
        <c:marker val="1"/>
        <c:smooth val="0"/>
        <c:axId val="320602112"/>
        <c:axId val="319637184"/>
      </c:lineChart>
      <c:catAx>
        <c:axId val="320602112"/>
        <c:scaling>
          <c:orientation val="minMax"/>
        </c:scaling>
        <c:delete val="0"/>
        <c:axPos val="b"/>
        <c:numFmt formatCode="General" sourceLinked="0"/>
        <c:majorTickMark val="none"/>
        <c:minorTickMark val="none"/>
        <c:tickLblPos val="nextTo"/>
        <c:crossAx val="319637184"/>
        <c:crosses val="autoZero"/>
        <c:auto val="1"/>
        <c:lblAlgn val="ctr"/>
        <c:lblOffset val="100"/>
        <c:noMultiLvlLbl val="0"/>
      </c:catAx>
      <c:valAx>
        <c:axId val="319637184"/>
        <c:scaling>
          <c:orientation val="minMax"/>
        </c:scaling>
        <c:delete val="0"/>
        <c:axPos val="l"/>
        <c:majorGridlines/>
        <c:numFmt formatCode="#,##0_ " sourceLinked="1"/>
        <c:majorTickMark val="none"/>
        <c:minorTickMark val="none"/>
        <c:tickLblPos val="nextTo"/>
        <c:crossAx val="32060211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mn-ea"/>
          <a:ea typeface="+mn-ea"/>
        </a:defRPr>
      </a:pPr>
      <a:endParaRPr lang="zh-TW"/>
    </a:p>
  </c:txPr>
  <c:externalData r:id="rId1">
    <c:autoUpdate val="0"/>
  </c:externalData>
  <c:userShapes r:id="rId2"/>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微軟正黑體" pitchFamily="34" charset="-120"/>
                <a:ea typeface="微軟正黑體" pitchFamily="34" charset="-120"/>
              </a:defRPr>
            </a:pPr>
            <a:r>
              <a:rPr lang="zh-TW" sz="1200">
                <a:latin typeface="微軟正黑體" pitchFamily="34" charset="-120"/>
                <a:ea typeface="微軟正黑體" pitchFamily="34" charset="-120"/>
              </a:rPr>
              <a:t>公務人員</a:t>
            </a:r>
          </a:p>
        </c:rich>
      </c:tx>
      <c:layout>
        <c:manualLayout>
          <c:xMode val="edge"/>
          <c:yMode val="edge"/>
          <c:x val="0.42499999999999999"/>
          <c:y val="0"/>
        </c:manualLayout>
      </c:layout>
      <c:overlay val="0"/>
    </c:title>
    <c:autoTitleDeleted val="0"/>
    <c:plotArea>
      <c:layout>
        <c:manualLayout>
          <c:layoutTarget val="inner"/>
          <c:xMode val="edge"/>
          <c:yMode val="edge"/>
          <c:x val="0.10714391951006125"/>
          <c:y val="0.13312518226888306"/>
          <c:w val="0.86230052493438325"/>
          <c:h val="0.65539260717410319"/>
        </c:manualLayout>
      </c:layout>
      <c:barChart>
        <c:barDir val="col"/>
        <c:grouping val="stacked"/>
        <c:varyColors val="0"/>
        <c:ser>
          <c:idx val="0"/>
          <c:order val="0"/>
          <c:tx>
            <c:v>月退休金(含兼領)</c:v>
          </c:tx>
          <c:invertIfNegative val="0"/>
          <c:cat>
            <c:strRef>
              <c:f>'2.2支領一次退休金、月退休金及兼領人數'!$I$33:$I$42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'2.2支領一次退休金、月退休金及兼領人數'!$J$33:$J$42</c:f>
              <c:numCache>
                <c:formatCode>0.0%</c:formatCode>
                <c:ptCount val="10"/>
                <c:pt idx="0">
                  <c:v>0.98697036965543872</c:v>
                </c:pt>
                <c:pt idx="1">
                  <c:v>0.98698584592001515</c:v>
                </c:pt>
                <c:pt idx="2">
                  <c:v>0.97229013854930724</c:v>
                </c:pt>
                <c:pt idx="3">
                  <c:v>0.96042979646657711</c:v>
                </c:pt>
                <c:pt idx="4">
                  <c:v>0.96721172583241544</c:v>
                </c:pt>
                <c:pt idx="5">
                  <c:v>0.9580550918196995</c:v>
                </c:pt>
                <c:pt idx="6">
                  <c:v>0.91829356471438905</c:v>
                </c:pt>
                <c:pt idx="7">
                  <c:v>0.89590788859498993</c:v>
                </c:pt>
                <c:pt idx="8">
                  <c:v>0.94621295279912188</c:v>
                </c:pt>
                <c:pt idx="9">
                  <c:v>0.95991728964529988</c:v>
                </c:pt>
              </c:numCache>
            </c:numRef>
          </c:val>
          <c:extLst xmlns:c16r2="http://schemas.microsoft.com/office/drawing/2015/06/chart">
            <c:ext xmlns:c16="http://schemas.microsoft.com/office/drawing/2014/chart" uri="{C3380CC4-5D6E-409C-BE32-E72D297353CC}">
              <c16:uniqueId val="{00000000-7679-47CE-85F4-EE85E3DD16E4}"/>
            </c:ext>
          </c:extLst>
        </c:ser>
        <c:ser>
          <c:idx val="1"/>
          <c:order val="1"/>
          <c:tx>
            <c:v>一次退休金</c:v>
          </c:tx>
          <c:spPr>
            <a:solidFill>
              <a:schemeClr val="accent1">
                <a:lumMod val="60000"/>
                <a:lumOff val="40000"/>
              </a:schemeClr>
            </a:solidFill>
          </c:spPr>
          <c:invertIfNegative val="0"/>
          <c:cat>
            <c:strRef>
              <c:f>'2.2支領一次退休金、月退休金及兼領人數'!$I$33:$I$42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'2.2支領一次退休金、月退休金及兼領人數'!$K$33:$K$42</c:f>
              <c:numCache>
                <c:formatCode>0.0%</c:formatCode>
                <c:ptCount val="10"/>
                <c:pt idx="0">
                  <c:v>1.3029630344561336E-2</c:v>
                </c:pt>
                <c:pt idx="1">
                  <c:v>1.3014154079984802E-2</c:v>
                </c:pt>
                <c:pt idx="2">
                  <c:v>2.7709861450692746E-2</c:v>
                </c:pt>
                <c:pt idx="3">
                  <c:v>3.9570203533422874E-2</c:v>
                </c:pt>
                <c:pt idx="4">
                  <c:v>3.2788274167584515E-2</c:v>
                </c:pt>
                <c:pt idx="5">
                  <c:v>4.19449081803005E-2</c:v>
                </c:pt>
                <c:pt idx="6">
                  <c:v>8.1706435285610987E-2</c:v>
                </c:pt>
                <c:pt idx="7">
                  <c:v>0.10409211140501011</c:v>
                </c:pt>
                <c:pt idx="8">
                  <c:v>5.3787047200878159E-2</c:v>
                </c:pt>
                <c:pt idx="9">
                  <c:v>4.0082710354700173E-2</c:v>
                </c:pt>
              </c:numCache>
            </c:numRef>
          </c:val>
          <c:extLst xmlns:c16r2="http://schemas.microsoft.com/office/drawing/2015/06/chart">
            <c:ext xmlns:c16="http://schemas.microsoft.com/office/drawing/2014/chart" uri="{C3380CC4-5D6E-409C-BE32-E72D297353CC}">
              <c16:uniqueId val="{00000001-7679-47CE-85F4-EE85E3DD16E4}"/>
            </c:ext>
          </c:extLst>
        </c:ser>
        <c:dLbls>
          <c:showLegendKey val="0"/>
          <c:showVal val="0"/>
          <c:showCatName val="0"/>
          <c:showSerName val="0"/>
          <c:showPercent val="0"/>
          <c:showBubbleSize val="0"/>
        </c:dLbls>
        <c:gapWidth val="150"/>
        <c:overlap val="100"/>
        <c:axId val="320605696"/>
        <c:axId val="319638912"/>
      </c:barChart>
      <c:catAx>
        <c:axId val="320605696"/>
        <c:scaling>
          <c:orientation val="minMax"/>
        </c:scaling>
        <c:delete val="0"/>
        <c:axPos val="b"/>
        <c:numFmt formatCode="General" sourceLinked="0"/>
        <c:majorTickMark val="out"/>
        <c:minorTickMark val="none"/>
        <c:tickLblPos val="nextTo"/>
        <c:crossAx val="319638912"/>
        <c:crosses val="autoZero"/>
        <c:auto val="1"/>
        <c:lblAlgn val="ctr"/>
        <c:lblOffset val="100"/>
        <c:noMultiLvlLbl val="0"/>
      </c:catAx>
      <c:valAx>
        <c:axId val="319638912"/>
        <c:scaling>
          <c:orientation val="minMax"/>
          <c:max val="1"/>
          <c:min val="0"/>
        </c:scaling>
        <c:delete val="0"/>
        <c:axPos val="l"/>
        <c:majorGridlines/>
        <c:numFmt formatCode="0%" sourceLinked="0"/>
        <c:majorTickMark val="out"/>
        <c:minorTickMark val="none"/>
        <c:tickLblPos val="nextTo"/>
        <c:txPr>
          <a:bodyPr/>
          <a:lstStyle/>
          <a:p>
            <a:pPr>
              <a:defRPr sz="900"/>
            </a:pPr>
            <a:endParaRPr lang="zh-TW"/>
          </a:p>
        </c:txPr>
        <c:crossAx val="320605696"/>
        <c:crosses val="autoZero"/>
        <c:crossBetween val="between"/>
        <c:majorUnit val="0.2"/>
      </c:valAx>
    </c:plotArea>
    <c:legend>
      <c:legendPos val="b"/>
      <c:layout>
        <c:manualLayout>
          <c:xMode val="edge"/>
          <c:yMode val="edge"/>
          <c:x val="0.24662226596675416"/>
          <c:y val="0.89737532808398945"/>
          <c:w val="0.5011999125109361"/>
          <c:h val="8.8735783027121609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a:latin typeface="+mn-ea"/>
          <a:ea typeface="+mn-ea"/>
        </a:defRPr>
      </a:pPr>
      <a:endParaRPr lang="zh-TW"/>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微軟正黑體" pitchFamily="34" charset="-120"/>
                <a:ea typeface="微軟正黑體" pitchFamily="34" charset="-120"/>
              </a:defRPr>
            </a:pPr>
            <a:r>
              <a:rPr lang="zh-TW" sz="1200">
                <a:latin typeface="微軟正黑體" pitchFamily="34" charset="-120"/>
                <a:ea typeface="微軟正黑體" pitchFamily="34" charset="-120"/>
              </a:rPr>
              <a:t>教育人員</a:t>
            </a:r>
          </a:p>
        </c:rich>
      </c:tx>
      <c:layout>
        <c:manualLayout>
          <c:xMode val="edge"/>
          <c:yMode val="edge"/>
          <c:x val="0.42499999999999999"/>
          <c:y val="0"/>
        </c:manualLayout>
      </c:layout>
      <c:overlay val="0"/>
    </c:title>
    <c:autoTitleDeleted val="0"/>
    <c:plotArea>
      <c:layout>
        <c:manualLayout>
          <c:layoutTarget val="inner"/>
          <c:xMode val="edge"/>
          <c:yMode val="edge"/>
          <c:x val="0.10714391951006125"/>
          <c:y val="0.10534740449110527"/>
          <c:w val="0.86230052493438325"/>
          <c:h val="0.71094816272965877"/>
        </c:manualLayout>
      </c:layout>
      <c:barChart>
        <c:barDir val="col"/>
        <c:grouping val="stacked"/>
        <c:varyColors val="0"/>
        <c:ser>
          <c:idx val="0"/>
          <c:order val="0"/>
          <c:tx>
            <c:v>月退休金(含兼領)</c:v>
          </c:tx>
          <c:spPr>
            <a:solidFill>
              <a:schemeClr val="accent2"/>
            </a:solidFill>
          </c:spPr>
          <c:invertIfNegative val="0"/>
          <c:cat>
            <c:strRef>
              <c:f>'2.2支領一次退休金、月退休金及兼領人數'!$I$33:$I$42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'2.2支領一次退休金、月退休金及兼領人數'!$L$33:$L$42</c:f>
              <c:numCache>
                <c:formatCode>0.0%</c:formatCode>
                <c:ptCount val="10"/>
                <c:pt idx="0">
                  <c:v>0.9863309352517986</c:v>
                </c:pt>
                <c:pt idx="1">
                  <c:v>0.98562521648770351</c:v>
                </c:pt>
                <c:pt idx="2">
                  <c:v>0.98407826587377711</c:v>
                </c:pt>
                <c:pt idx="3">
                  <c:v>0.98364579178300759</c:v>
                </c:pt>
                <c:pt idx="4">
                  <c:v>0.98916967509025266</c:v>
                </c:pt>
                <c:pt idx="5">
                  <c:v>0.98766349583828772</c:v>
                </c:pt>
                <c:pt idx="6">
                  <c:v>0.98025262408824054</c:v>
                </c:pt>
                <c:pt idx="7">
                  <c:v>0.97271619975639467</c:v>
                </c:pt>
                <c:pt idx="8">
                  <c:v>0.97804139323573958</c:v>
                </c:pt>
                <c:pt idx="9">
                  <c:v>0.96762870514820598</c:v>
                </c:pt>
              </c:numCache>
            </c:numRef>
          </c:val>
          <c:extLst xmlns:c16r2="http://schemas.microsoft.com/office/drawing/2015/06/chart">
            <c:ext xmlns:c16="http://schemas.microsoft.com/office/drawing/2014/chart" uri="{C3380CC4-5D6E-409C-BE32-E72D297353CC}">
              <c16:uniqueId val="{00000000-7F2B-4E77-9437-F599DCB30AEA}"/>
            </c:ext>
          </c:extLst>
        </c:ser>
        <c:ser>
          <c:idx val="1"/>
          <c:order val="1"/>
          <c:tx>
            <c:v>一次退休金</c:v>
          </c:tx>
          <c:spPr>
            <a:solidFill>
              <a:schemeClr val="accent2">
                <a:lumMod val="40000"/>
                <a:lumOff val="60000"/>
              </a:schemeClr>
            </a:solidFill>
          </c:spPr>
          <c:invertIfNegative val="0"/>
          <c:cat>
            <c:strRef>
              <c:f>'2.2支領一次退休金、月退休金及兼領人數'!$I$33:$I$42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'2.2支領一次退休金、月退休金及兼領人數'!$M$33:$M$42</c:f>
              <c:numCache>
                <c:formatCode>0.0%</c:formatCode>
                <c:ptCount val="10"/>
                <c:pt idx="0">
                  <c:v>1.3669064748201438E-2</c:v>
                </c:pt>
                <c:pt idx="1">
                  <c:v>1.4374783512296501E-2</c:v>
                </c:pt>
                <c:pt idx="2">
                  <c:v>1.5921734126222904E-2</c:v>
                </c:pt>
                <c:pt idx="3">
                  <c:v>1.6354208216992423E-2</c:v>
                </c:pt>
                <c:pt idx="4">
                  <c:v>1.0830324909747292E-2</c:v>
                </c:pt>
                <c:pt idx="5">
                  <c:v>1.2336504161712248E-2</c:v>
                </c:pt>
                <c:pt idx="6">
                  <c:v>1.9747375911759475E-2</c:v>
                </c:pt>
                <c:pt idx="7">
                  <c:v>2.7283800243605359E-2</c:v>
                </c:pt>
                <c:pt idx="8">
                  <c:v>2.1958606764260473E-2</c:v>
                </c:pt>
                <c:pt idx="9">
                  <c:v>3.2371294851794075E-2</c:v>
                </c:pt>
              </c:numCache>
            </c:numRef>
          </c:val>
          <c:extLst xmlns:c16r2="http://schemas.microsoft.com/office/drawing/2015/06/chart">
            <c:ext xmlns:c16="http://schemas.microsoft.com/office/drawing/2014/chart" uri="{C3380CC4-5D6E-409C-BE32-E72D297353CC}">
              <c16:uniqueId val="{00000001-7F2B-4E77-9437-F599DCB30AEA}"/>
            </c:ext>
          </c:extLst>
        </c:ser>
        <c:dLbls>
          <c:showLegendKey val="0"/>
          <c:showVal val="0"/>
          <c:showCatName val="0"/>
          <c:showSerName val="0"/>
          <c:showPercent val="0"/>
          <c:showBubbleSize val="0"/>
        </c:dLbls>
        <c:gapWidth val="150"/>
        <c:overlap val="100"/>
        <c:axId val="320684544"/>
        <c:axId val="319640640"/>
      </c:barChart>
      <c:catAx>
        <c:axId val="320684544"/>
        <c:scaling>
          <c:orientation val="minMax"/>
        </c:scaling>
        <c:delete val="0"/>
        <c:axPos val="b"/>
        <c:numFmt formatCode="General" sourceLinked="0"/>
        <c:majorTickMark val="out"/>
        <c:minorTickMark val="none"/>
        <c:tickLblPos val="nextTo"/>
        <c:crossAx val="319640640"/>
        <c:crosses val="autoZero"/>
        <c:auto val="1"/>
        <c:lblAlgn val="ctr"/>
        <c:lblOffset val="100"/>
        <c:noMultiLvlLbl val="0"/>
      </c:catAx>
      <c:valAx>
        <c:axId val="319640640"/>
        <c:scaling>
          <c:orientation val="minMax"/>
          <c:max val="1"/>
          <c:min val="0"/>
        </c:scaling>
        <c:delete val="0"/>
        <c:axPos val="l"/>
        <c:majorGridlines/>
        <c:numFmt formatCode="0%" sourceLinked="0"/>
        <c:majorTickMark val="out"/>
        <c:minorTickMark val="none"/>
        <c:tickLblPos val="nextTo"/>
        <c:txPr>
          <a:bodyPr/>
          <a:lstStyle/>
          <a:p>
            <a:pPr>
              <a:defRPr sz="900"/>
            </a:pPr>
            <a:endParaRPr lang="zh-TW"/>
          </a:p>
        </c:txPr>
        <c:crossAx val="320684544"/>
        <c:crosses val="autoZero"/>
        <c:crossBetween val="between"/>
        <c:majorUnit val="0.2"/>
      </c:valAx>
    </c:plotArea>
    <c:legend>
      <c:legendPos val="b"/>
      <c:layout>
        <c:manualLayout>
          <c:xMode val="edge"/>
          <c:yMode val="edge"/>
          <c:x val="0.24940004374453192"/>
          <c:y val="0.9112642169728784"/>
          <c:w val="0.5011999125109361"/>
          <c:h val="8.8735783027121609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a:latin typeface="+mn-ea"/>
          <a:ea typeface="+mn-ea"/>
        </a:defRPr>
      </a:pPr>
      <a:endParaRPr lang="zh-TW"/>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微軟正黑體" pitchFamily="34" charset="-120"/>
                <a:ea typeface="微軟正黑體" pitchFamily="34" charset="-120"/>
              </a:defRPr>
            </a:pPr>
            <a:r>
              <a:rPr lang="zh-TW" sz="1200">
                <a:latin typeface="微軟正黑體" pitchFamily="34" charset="-120"/>
                <a:ea typeface="微軟正黑體" pitchFamily="34" charset="-120"/>
              </a:rPr>
              <a:t>軍職人員</a:t>
            </a:r>
          </a:p>
        </c:rich>
      </c:tx>
      <c:layout>
        <c:manualLayout>
          <c:xMode val="edge"/>
          <c:yMode val="edge"/>
          <c:x val="0.42499999999999999"/>
          <c:y val="0"/>
        </c:manualLayout>
      </c:layout>
      <c:overlay val="0"/>
    </c:title>
    <c:autoTitleDeleted val="0"/>
    <c:plotArea>
      <c:layout>
        <c:manualLayout>
          <c:layoutTarget val="inner"/>
          <c:xMode val="edge"/>
          <c:yMode val="edge"/>
          <c:x val="0.10436614173228347"/>
          <c:y val="0.11460666375036453"/>
          <c:w val="0.86507830271216113"/>
          <c:h val="0.7013823333970266"/>
        </c:manualLayout>
      </c:layout>
      <c:barChart>
        <c:barDir val="col"/>
        <c:grouping val="stacked"/>
        <c:varyColors val="0"/>
        <c:ser>
          <c:idx val="0"/>
          <c:order val="0"/>
          <c:tx>
            <c:v>月退休金(含兼領)</c:v>
          </c:tx>
          <c:spPr>
            <a:solidFill>
              <a:schemeClr val="accent3">
                <a:lumMod val="75000"/>
              </a:schemeClr>
            </a:solidFill>
          </c:spPr>
          <c:invertIfNegative val="0"/>
          <c:cat>
            <c:strRef>
              <c:f>'2.2支領一次退休金、月退休金及兼領人數'!$I$33:$I$42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'2.2支領一次退休金、月退休金及兼領人數'!$N$33:$N$42</c:f>
              <c:numCache>
                <c:formatCode>0.0%</c:formatCode>
                <c:ptCount val="10"/>
                <c:pt idx="0">
                  <c:v>0.25725412339645692</c:v>
                </c:pt>
                <c:pt idx="1">
                  <c:v>0.24016769814334199</c:v>
                </c:pt>
                <c:pt idx="2">
                  <c:v>0.25243002693523831</c:v>
                </c:pt>
                <c:pt idx="3">
                  <c:v>0.25091500610004069</c:v>
                </c:pt>
                <c:pt idx="4">
                  <c:v>0.36878612716763004</c:v>
                </c:pt>
                <c:pt idx="5">
                  <c:v>0.36344614264919944</c:v>
                </c:pt>
                <c:pt idx="6">
                  <c:v>0.23405641932780932</c:v>
                </c:pt>
                <c:pt idx="7">
                  <c:v>0.11446256631951267</c:v>
                </c:pt>
                <c:pt idx="8">
                  <c:v>0.17555323227043038</c:v>
                </c:pt>
                <c:pt idx="9">
                  <c:v>0.24803664921465968</c:v>
                </c:pt>
              </c:numCache>
            </c:numRef>
          </c:val>
          <c:extLst xmlns:c16r2="http://schemas.microsoft.com/office/drawing/2015/06/chart">
            <c:ext xmlns:c16="http://schemas.microsoft.com/office/drawing/2014/chart" uri="{C3380CC4-5D6E-409C-BE32-E72D297353CC}">
              <c16:uniqueId val="{00000000-1867-4F86-A5F2-082B40964149}"/>
            </c:ext>
          </c:extLst>
        </c:ser>
        <c:ser>
          <c:idx val="1"/>
          <c:order val="1"/>
          <c:tx>
            <c:v>一次退休金</c:v>
          </c:tx>
          <c:spPr>
            <a:solidFill>
              <a:schemeClr val="accent3">
                <a:lumMod val="40000"/>
                <a:lumOff val="60000"/>
              </a:schemeClr>
            </a:solidFill>
          </c:spPr>
          <c:invertIfNegative val="0"/>
          <c:cat>
            <c:strRef>
              <c:f>'2.2支領一次退休金、月退休金及兼領人數'!$I$33:$I$42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'2.2支領一次退休金、月退休金及兼領人數'!$O$33:$O$42</c:f>
              <c:numCache>
                <c:formatCode>0.0%</c:formatCode>
                <c:ptCount val="10"/>
                <c:pt idx="0">
                  <c:v>0.74274587660354308</c:v>
                </c:pt>
                <c:pt idx="1">
                  <c:v>0.75983230185665807</c:v>
                </c:pt>
                <c:pt idx="2">
                  <c:v>0.74756997306476169</c:v>
                </c:pt>
                <c:pt idx="3">
                  <c:v>0.74908499389995931</c:v>
                </c:pt>
                <c:pt idx="4">
                  <c:v>0.63121387283236996</c:v>
                </c:pt>
                <c:pt idx="5">
                  <c:v>0.63655385735080061</c:v>
                </c:pt>
                <c:pt idx="6">
                  <c:v>0.7659435806721907</c:v>
                </c:pt>
                <c:pt idx="7">
                  <c:v>0.88553743368048732</c:v>
                </c:pt>
                <c:pt idx="8">
                  <c:v>0.8244467677295696</c:v>
                </c:pt>
                <c:pt idx="9">
                  <c:v>0.75196335078534027</c:v>
                </c:pt>
              </c:numCache>
            </c:numRef>
          </c:val>
          <c:extLst xmlns:c16r2="http://schemas.microsoft.com/office/drawing/2015/06/chart">
            <c:ext xmlns:c16="http://schemas.microsoft.com/office/drawing/2014/chart" uri="{C3380CC4-5D6E-409C-BE32-E72D297353CC}">
              <c16:uniqueId val="{00000001-1867-4F86-A5F2-082B40964149}"/>
            </c:ext>
          </c:extLst>
        </c:ser>
        <c:dLbls>
          <c:showLegendKey val="0"/>
          <c:showVal val="0"/>
          <c:showCatName val="0"/>
          <c:showSerName val="0"/>
          <c:showPercent val="0"/>
          <c:showBubbleSize val="0"/>
        </c:dLbls>
        <c:gapWidth val="150"/>
        <c:overlap val="100"/>
        <c:axId val="320685568"/>
        <c:axId val="319642368"/>
      </c:barChart>
      <c:catAx>
        <c:axId val="320685568"/>
        <c:scaling>
          <c:orientation val="minMax"/>
        </c:scaling>
        <c:delete val="0"/>
        <c:axPos val="b"/>
        <c:numFmt formatCode="General" sourceLinked="0"/>
        <c:majorTickMark val="out"/>
        <c:minorTickMark val="none"/>
        <c:tickLblPos val="nextTo"/>
        <c:crossAx val="319642368"/>
        <c:crosses val="autoZero"/>
        <c:auto val="1"/>
        <c:lblAlgn val="ctr"/>
        <c:lblOffset val="100"/>
        <c:noMultiLvlLbl val="0"/>
      </c:catAx>
      <c:valAx>
        <c:axId val="319642368"/>
        <c:scaling>
          <c:orientation val="minMax"/>
          <c:max val="1"/>
          <c:min val="0"/>
        </c:scaling>
        <c:delete val="0"/>
        <c:axPos val="l"/>
        <c:majorGridlines/>
        <c:numFmt formatCode="0%" sourceLinked="0"/>
        <c:majorTickMark val="out"/>
        <c:minorTickMark val="none"/>
        <c:tickLblPos val="nextTo"/>
        <c:txPr>
          <a:bodyPr/>
          <a:lstStyle/>
          <a:p>
            <a:pPr>
              <a:defRPr sz="900"/>
            </a:pPr>
            <a:endParaRPr lang="zh-TW"/>
          </a:p>
        </c:txPr>
        <c:crossAx val="320685568"/>
        <c:crosses val="autoZero"/>
        <c:crossBetween val="between"/>
        <c:majorUnit val="0.2"/>
      </c:valAx>
    </c:plotArea>
    <c:legend>
      <c:legendPos val="b"/>
      <c:layout>
        <c:manualLayout>
          <c:xMode val="edge"/>
          <c:yMode val="edge"/>
          <c:x val="0.24940004374453192"/>
          <c:y val="0.91126414916766252"/>
          <c:w val="0.5011999125109361"/>
          <c:h val="8.6777283759079851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a:latin typeface="+mn-ea"/>
          <a:ea typeface="+mn-ea"/>
        </a:defRPr>
      </a:pPr>
      <a:endParaRPr lang="zh-TW"/>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115011371564745E-2"/>
          <c:y val="2.108313996500058E-2"/>
          <c:w val="0.89031885851521375"/>
          <c:h val="0.77188768385083939"/>
        </c:manualLayout>
      </c:layout>
      <c:lineChart>
        <c:grouping val="standard"/>
        <c:varyColors val="0"/>
        <c:ser>
          <c:idx val="0"/>
          <c:order val="0"/>
          <c:tx>
            <c:v>公務人員(退休)</c:v>
          </c:tx>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825-42A7-9EA7-51931D5AF937}"/>
                </c:ext>
              </c:extLst>
            </c:dLbl>
            <c:dLbl>
              <c:idx val="8"/>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25-42A7-9EA7-51931D5AF937}"/>
                </c:ext>
              </c:extLst>
            </c:dLbl>
            <c:dLbl>
              <c:idx val="1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25-42A7-9EA7-51931D5AF937}"/>
                </c:ext>
              </c:extLst>
            </c:dLbl>
            <c:dLbl>
              <c:idx val="2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25-42A7-9EA7-51931D5AF937}"/>
                </c:ext>
              </c:extLst>
            </c:dLbl>
            <c:dLbl>
              <c:idx val="2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25-42A7-9EA7-51931D5AF937}"/>
                </c:ext>
              </c:extLst>
            </c:dLbl>
            <c:dLbl>
              <c:idx val="22"/>
              <c:dLblPos val="t"/>
              <c:showLegendKey val="0"/>
              <c:showVal val="1"/>
              <c:showCatName val="0"/>
              <c:showSerName val="0"/>
              <c:showPercent val="0"/>
              <c:showBubbleSize val="0"/>
            </c:dLbl>
            <c:dLbl>
              <c:idx val="23"/>
              <c:dLblPos val="t"/>
              <c:showLegendKey val="0"/>
              <c:showVal val="1"/>
              <c:showCatName val="0"/>
              <c:showSerName val="0"/>
              <c:showPercent val="0"/>
              <c:showBubbleSize val="0"/>
            </c:dLbl>
            <c:spPr>
              <a:noFill/>
              <a:ln>
                <a:noFill/>
              </a:ln>
              <a:effectLst/>
            </c:spPr>
            <c:txPr>
              <a:bodyPr/>
              <a:lstStyle/>
              <a:p>
                <a:pPr>
                  <a:defRPr sz="800">
                    <a:latin typeface="+mj-ea"/>
                    <a:ea typeface="+mj-ea"/>
                  </a:defRPr>
                </a:pPr>
                <a:endParaRPr lang="zh-TW"/>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'2.3退休平均年齡'!$A$4:$A$27</c:f>
              <c:strCache>
                <c:ptCount val="24"/>
                <c:pt idx="0">
                  <c:v>86年</c:v>
                </c:pt>
                <c:pt idx="1">
                  <c:v>87年</c:v>
                </c:pt>
                <c:pt idx="2">
                  <c:v>88年</c:v>
                </c:pt>
                <c:pt idx="3">
                  <c:v>89年</c:v>
                </c:pt>
                <c:pt idx="4">
                  <c:v>90年</c:v>
                </c:pt>
                <c:pt idx="5">
                  <c:v>91年</c:v>
                </c:pt>
                <c:pt idx="6">
                  <c:v>92年</c:v>
                </c:pt>
                <c:pt idx="7">
                  <c:v>93年</c:v>
                </c:pt>
                <c:pt idx="8">
                  <c:v>94年</c:v>
                </c:pt>
                <c:pt idx="9">
                  <c:v>95年</c:v>
                </c:pt>
                <c:pt idx="10">
                  <c:v>96年</c:v>
                </c:pt>
                <c:pt idx="11">
                  <c:v>97年</c:v>
                </c:pt>
                <c:pt idx="12">
                  <c:v>98年</c:v>
                </c:pt>
                <c:pt idx="13">
                  <c:v>99年</c:v>
                </c:pt>
                <c:pt idx="14">
                  <c:v>100年</c:v>
                </c:pt>
                <c:pt idx="15">
                  <c:v>101年</c:v>
                </c:pt>
                <c:pt idx="16">
                  <c:v>102年</c:v>
                </c:pt>
                <c:pt idx="17">
                  <c:v>103年</c:v>
                </c:pt>
                <c:pt idx="18">
                  <c:v>104年</c:v>
                </c:pt>
                <c:pt idx="19">
                  <c:v>105年</c:v>
                </c:pt>
                <c:pt idx="20">
                  <c:v>106年</c:v>
                </c:pt>
                <c:pt idx="21">
                  <c:v>107年</c:v>
                </c:pt>
                <c:pt idx="22">
                  <c:v>108年</c:v>
                </c:pt>
                <c:pt idx="23">
                  <c:v>109年</c:v>
                </c:pt>
              </c:strCache>
            </c:strRef>
          </c:cat>
          <c:val>
            <c:numRef>
              <c:f>'2.3退休平均年齡'!$B$4:$B$27</c:f>
              <c:numCache>
                <c:formatCode>0.0_);[Red]\(0.0\)</c:formatCode>
                <c:ptCount val="24"/>
                <c:pt idx="0">
                  <c:v>60.862740551820082</c:v>
                </c:pt>
                <c:pt idx="1">
                  <c:v>60.557631503305551</c:v>
                </c:pt>
                <c:pt idx="2">
                  <c:v>58.792214488270176</c:v>
                </c:pt>
                <c:pt idx="3">
                  <c:v>58.330941208942868</c:v>
                </c:pt>
                <c:pt idx="4">
                  <c:v>56.712875475955435</c:v>
                </c:pt>
                <c:pt idx="5">
                  <c:v>56.599131244182438</c:v>
                </c:pt>
                <c:pt idx="6">
                  <c:v>55.86</c:v>
                </c:pt>
                <c:pt idx="7">
                  <c:v>55.85</c:v>
                </c:pt>
                <c:pt idx="8">
                  <c:v>55.41</c:v>
                </c:pt>
                <c:pt idx="9">
                  <c:v>55.21</c:v>
                </c:pt>
                <c:pt idx="10">
                  <c:v>55.47</c:v>
                </c:pt>
                <c:pt idx="11">
                  <c:v>55.53</c:v>
                </c:pt>
                <c:pt idx="12">
                  <c:v>55.25</c:v>
                </c:pt>
                <c:pt idx="13">
                  <c:v>55.16</c:v>
                </c:pt>
                <c:pt idx="14">
                  <c:v>55.2</c:v>
                </c:pt>
                <c:pt idx="15">
                  <c:v>55.29</c:v>
                </c:pt>
                <c:pt idx="16">
                  <c:v>55.44</c:v>
                </c:pt>
                <c:pt idx="17">
                  <c:v>55.61</c:v>
                </c:pt>
                <c:pt idx="18">
                  <c:v>55.72</c:v>
                </c:pt>
                <c:pt idx="19">
                  <c:v>56.61</c:v>
                </c:pt>
                <c:pt idx="20">
                  <c:v>56.990600144613161</c:v>
                </c:pt>
                <c:pt idx="21">
                  <c:v>57.112805352419478</c:v>
                </c:pt>
                <c:pt idx="22" formatCode="#,##0.0_ ">
                  <c:v>57.506860592755203</c:v>
                </c:pt>
                <c:pt idx="23" formatCode="#,##0.0_ ">
                  <c:v>56.990456500000001</c:v>
                </c:pt>
              </c:numCache>
            </c:numRef>
          </c:val>
          <c:smooth val="0"/>
          <c:extLst xmlns:c16r2="http://schemas.microsoft.com/office/drawing/2015/06/chart">
            <c:ext xmlns:c16="http://schemas.microsoft.com/office/drawing/2014/chart" uri="{C3380CC4-5D6E-409C-BE32-E72D297353CC}">
              <c16:uniqueId val="{00000005-7825-42A7-9EA7-51931D5AF937}"/>
            </c:ext>
          </c:extLst>
        </c:ser>
        <c:ser>
          <c:idx val="1"/>
          <c:order val="1"/>
          <c:tx>
            <c:v>教育人員(退休)</c:v>
          </c:tx>
          <c:dLbls>
            <c:dLbl>
              <c:idx val="0"/>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825-42A7-9EA7-51931D5AF937}"/>
                </c:ext>
              </c:extLst>
            </c:dLbl>
            <c:dLbl>
              <c:idx val="8"/>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25-42A7-9EA7-51931D5AF937}"/>
                </c:ext>
              </c:extLst>
            </c:dLbl>
            <c:dLbl>
              <c:idx val="19"/>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825-42A7-9EA7-51931D5AF937}"/>
                </c:ext>
              </c:extLst>
            </c:dLbl>
            <c:dLbl>
              <c:idx val="20"/>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825-42A7-9EA7-51931D5AF937}"/>
                </c:ext>
              </c:extLst>
            </c:dLbl>
            <c:dLbl>
              <c:idx val="21"/>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825-42A7-9EA7-51931D5AF937}"/>
                </c:ext>
              </c:extLst>
            </c:dLbl>
            <c:dLbl>
              <c:idx val="22"/>
              <c:dLblPos val="b"/>
              <c:showLegendKey val="0"/>
              <c:showVal val="1"/>
              <c:showCatName val="0"/>
              <c:showSerName val="0"/>
              <c:showPercent val="0"/>
              <c:showBubbleSize val="0"/>
            </c:dLbl>
            <c:dLbl>
              <c:idx val="23"/>
              <c:dLblPos val="b"/>
              <c:showLegendKey val="0"/>
              <c:showVal val="1"/>
              <c:showCatName val="0"/>
              <c:showSerName val="0"/>
              <c:showPercent val="0"/>
              <c:showBubbleSize val="0"/>
            </c:dLbl>
            <c:spPr>
              <a:noFill/>
              <a:ln>
                <a:noFill/>
              </a:ln>
              <a:effectLst/>
            </c:spPr>
            <c:txPr>
              <a:bodyPr/>
              <a:lstStyle/>
              <a:p>
                <a:pPr>
                  <a:defRPr sz="800">
                    <a:latin typeface="+mj-ea"/>
                    <a:ea typeface="+mj-ea"/>
                  </a:defRPr>
                </a:pPr>
                <a:endParaRPr lang="zh-TW"/>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'2.3退休平均年齡'!$A$4:$A$27</c:f>
              <c:strCache>
                <c:ptCount val="24"/>
                <c:pt idx="0">
                  <c:v>86年</c:v>
                </c:pt>
                <c:pt idx="1">
                  <c:v>87年</c:v>
                </c:pt>
                <c:pt idx="2">
                  <c:v>88年</c:v>
                </c:pt>
                <c:pt idx="3">
                  <c:v>89年</c:v>
                </c:pt>
                <c:pt idx="4">
                  <c:v>90年</c:v>
                </c:pt>
                <c:pt idx="5">
                  <c:v>91年</c:v>
                </c:pt>
                <c:pt idx="6">
                  <c:v>92年</c:v>
                </c:pt>
                <c:pt idx="7">
                  <c:v>93年</c:v>
                </c:pt>
                <c:pt idx="8">
                  <c:v>94年</c:v>
                </c:pt>
                <c:pt idx="9">
                  <c:v>95年</c:v>
                </c:pt>
                <c:pt idx="10">
                  <c:v>96年</c:v>
                </c:pt>
                <c:pt idx="11">
                  <c:v>97年</c:v>
                </c:pt>
                <c:pt idx="12">
                  <c:v>98年</c:v>
                </c:pt>
                <c:pt idx="13">
                  <c:v>99年</c:v>
                </c:pt>
                <c:pt idx="14">
                  <c:v>100年</c:v>
                </c:pt>
                <c:pt idx="15">
                  <c:v>101年</c:v>
                </c:pt>
                <c:pt idx="16">
                  <c:v>102年</c:v>
                </c:pt>
                <c:pt idx="17">
                  <c:v>103年</c:v>
                </c:pt>
                <c:pt idx="18">
                  <c:v>104年</c:v>
                </c:pt>
                <c:pt idx="19">
                  <c:v>105年</c:v>
                </c:pt>
                <c:pt idx="20">
                  <c:v>106年</c:v>
                </c:pt>
                <c:pt idx="21">
                  <c:v>107年</c:v>
                </c:pt>
                <c:pt idx="22">
                  <c:v>108年</c:v>
                </c:pt>
                <c:pt idx="23">
                  <c:v>109年</c:v>
                </c:pt>
              </c:strCache>
            </c:strRef>
          </c:cat>
          <c:val>
            <c:numRef>
              <c:f>'2.3退休平均年齡'!$C$4:$C$27</c:f>
              <c:numCache>
                <c:formatCode>0.0_);[Red]\(0.0\)</c:formatCode>
                <c:ptCount val="24"/>
                <c:pt idx="0">
                  <c:v>58.013207547169813</c:v>
                </c:pt>
                <c:pt idx="1">
                  <c:v>57.008306065945128</c:v>
                </c:pt>
                <c:pt idx="2">
                  <c:v>56.233811086168195</c:v>
                </c:pt>
                <c:pt idx="3">
                  <c:v>56.023309592082136</c:v>
                </c:pt>
                <c:pt idx="4">
                  <c:v>56.055147058823529</c:v>
                </c:pt>
                <c:pt idx="5">
                  <c:v>55.316327606197952</c:v>
                </c:pt>
                <c:pt idx="6">
                  <c:v>54.98</c:v>
                </c:pt>
                <c:pt idx="7">
                  <c:v>54.54</c:v>
                </c:pt>
                <c:pt idx="8">
                  <c:v>54.06</c:v>
                </c:pt>
                <c:pt idx="9">
                  <c:v>53.87</c:v>
                </c:pt>
                <c:pt idx="10">
                  <c:v>53.76</c:v>
                </c:pt>
                <c:pt idx="11">
                  <c:v>53.95</c:v>
                </c:pt>
                <c:pt idx="12">
                  <c:v>54.17</c:v>
                </c:pt>
                <c:pt idx="13">
                  <c:v>53.96</c:v>
                </c:pt>
                <c:pt idx="14">
                  <c:v>53.99</c:v>
                </c:pt>
                <c:pt idx="15">
                  <c:v>54.03</c:v>
                </c:pt>
                <c:pt idx="16">
                  <c:v>54.01</c:v>
                </c:pt>
                <c:pt idx="17">
                  <c:v>54.05</c:v>
                </c:pt>
                <c:pt idx="18">
                  <c:v>54.01</c:v>
                </c:pt>
                <c:pt idx="19">
                  <c:v>53.99</c:v>
                </c:pt>
                <c:pt idx="20">
                  <c:v>54.319338196050523</c:v>
                </c:pt>
                <c:pt idx="21">
                  <c:v>54.531546894031671</c:v>
                </c:pt>
                <c:pt idx="22" formatCode="#,##0.0_ ">
                  <c:v>55.195860676426001</c:v>
                </c:pt>
                <c:pt idx="23" formatCode="#,##0.0_ ">
                  <c:v>56.398205930000003</c:v>
                </c:pt>
              </c:numCache>
            </c:numRef>
          </c:val>
          <c:smooth val="0"/>
          <c:extLst xmlns:c16r2="http://schemas.microsoft.com/office/drawing/2015/06/chart">
            <c:ext xmlns:c16="http://schemas.microsoft.com/office/drawing/2014/chart" uri="{C3380CC4-5D6E-409C-BE32-E72D297353CC}">
              <c16:uniqueId val="{0000000B-7825-42A7-9EA7-51931D5AF937}"/>
            </c:ext>
          </c:extLst>
        </c:ser>
        <c:ser>
          <c:idx val="2"/>
          <c:order val="2"/>
          <c:tx>
            <c:v>軍職人員(退伍)</c:v>
          </c:tx>
          <c:spPr>
            <a:ln>
              <a:prstDash val="dash"/>
            </a:ln>
          </c:spP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825-42A7-9EA7-51931D5AF937}"/>
                </c:ext>
              </c:extLst>
            </c:dLbl>
            <c:dLbl>
              <c:idx val="12"/>
              <c:layout>
                <c:manualLayout>
                  <c:x val="-3.4971423326370703E-2"/>
                  <c:y val="-4.32095306697382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825-42A7-9EA7-51931D5AF937}"/>
                </c:ext>
              </c:extLst>
            </c:dLbl>
            <c:dLbl>
              <c:idx val="1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825-42A7-9EA7-51931D5AF937}"/>
                </c:ext>
              </c:extLst>
            </c:dLbl>
            <c:dLbl>
              <c:idx val="2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825-42A7-9EA7-51931D5AF937}"/>
                </c:ext>
              </c:extLst>
            </c:dLbl>
            <c:dLbl>
              <c:idx val="2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825-42A7-9EA7-51931D5AF937}"/>
                </c:ext>
              </c:extLst>
            </c:dLbl>
            <c:dLbl>
              <c:idx val="22"/>
              <c:dLblPos val="t"/>
              <c:showLegendKey val="0"/>
              <c:showVal val="1"/>
              <c:showCatName val="0"/>
              <c:showSerName val="0"/>
              <c:showPercent val="0"/>
              <c:showBubbleSize val="0"/>
            </c:dLbl>
            <c:dLbl>
              <c:idx val="23"/>
              <c:dLblPos val="t"/>
              <c:showLegendKey val="0"/>
              <c:showVal val="1"/>
              <c:showCatName val="0"/>
              <c:showSerName val="0"/>
              <c:showPercent val="0"/>
              <c:showBubbleSize val="0"/>
            </c:dLbl>
            <c:spPr>
              <a:noFill/>
              <a:ln>
                <a:noFill/>
              </a:ln>
              <a:effectLst/>
            </c:spPr>
            <c:txPr>
              <a:bodyPr/>
              <a:lstStyle/>
              <a:p>
                <a:pPr>
                  <a:defRPr sz="800">
                    <a:latin typeface="+mn-ea"/>
                    <a:ea typeface="+mn-ea"/>
                  </a:defRPr>
                </a:pPr>
                <a:endParaRPr lang="zh-TW"/>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'2.3退休平均年齡'!$A$4:$A$27</c:f>
              <c:strCache>
                <c:ptCount val="24"/>
                <c:pt idx="0">
                  <c:v>86年</c:v>
                </c:pt>
                <c:pt idx="1">
                  <c:v>87年</c:v>
                </c:pt>
                <c:pt idx="2">
                  <c:v>88年</c:v>
                </c:pt>
                <c:pt idx="3">
                  <c:v>89年</c:v>
                </c:pt>
                <c:pt idx="4">
                  <c:v>90年</c:v>
                </c:pt>
                <c:pt idx="5">
                  <c:v>91年</c:v>
                </c:pt>
                <c:pt idx="6">
                  <c:v>92年</c:v>
                </c:pt>
                <c:pt idx="7">
                  <c:v>93年</c:v>
                </c:pt>
                <c:pt idx="8">
                  <c:v>94年</c:v>
                </c:pt>
                <c:pt idx="9">
                  <c:v>95年</c:v>
                </c:pt>
                <c:pt idx="10">
                  <c:v>96年</c:v>
                </c:pt>
                <c:pt idx="11">
                  <c:v>97年</c:v>
                </c:pt>
                <c:pt idx="12">
                  <c:v>98年</c:v>
                </c:pt>
                <c:pt idx="13">
                  <c:v>99年</c:v>
                </c:pt>
                <c:pt idx="14">
                  <c:v>100年</c:v>
                </c:pt>
                <c:pt idx="15">
                  <c:v>101年</c:v>
                </c:pt>
                <c:pt idx="16">
                  <c:v>102年</c:v>
                </c:pt>
                <c:pt idx="17">
                  <c:v>103年</c:v>
                </c:pt>
                <c:pt idx="18">
                  <c:v>104年</c:v>
                </c:pt>
                <c:pt idx="19">
                  <c:v>105年</c:v>
                </c:pt>
                <c:pt idx="20">
                  <c:v>106年</c:v>
                </c:pt>
                <c:pt idx="21">
                  <c:v>107年</c:v>
                </c:pt>
                <c:pt idx="22">
                  <c:v>108年</c:v>
                </c:pt>
                <c:pt idx="23">
                  <c:v>109年</c:v>
                </c:pt>
              </c:strCache>
            </c:strRef>
          </c:cat>
          <c:val>
            <c:numRef>
              <c:f>'2.3退休平均年齡'!$D$4:$D$27</c:f>
              <c:numCache>
                <c:formatCode>0.0_);[Red]\(0.0\)</c:formatCode>
                <c:ptCount val="24"/>
                <c:pt idx="0">
                  <c:v>27.983020285499624</c:v>
                </c:pt>
                <c:pt idx="1">
                  <c:v>29.429349736379613</c:v>
                </c:pt>
                <c:pt idx="2">
                  <c:v>29.792384634781879</c:v>
                </c:pt>
                <c:pt idx="3">
                  <c:v>30.297890940880777</c:v>
                </c:pt>
                <c:pt idx="4">
                  <c:v>29.572259051504336</c:v>
                </c:pt>
                <c:pt idx="5">
                  <c:v>28.705162638018503</c:v>
                </c:pt>
                <c:pt idx="6">
                  <c:v>28.74</c:v>
                </c:pt>
                <c:pt idx="7">
                  <c:v>28.47</c:v>
                </c:pt>
                <c:pt idx="8">
                  <c:v>29.74</c:v>
                </c:pt>
                <c:pt idx="9">
                  <c:v>30.92</c:v>
                </c:pt>
                <c:pt idx="10">
                  <c:v>33.200000000000003</c:v>
                </c:pt>
                <c:pt idx="11">
                  <c:v>30.75</c:v>
                </c:pt>
                <c:pt idx="12">
                  <c:v>35.99</c:v>
                </c:pt>
                <c:pt idx="13">
                  <c:v>34.32</c:v>
                </c:pt>
                <c:pt idx="14">
                  <c:v>29.91</c:v>
                </c:pt>
                <c:pt idx="15">
                  <c:v>29.66</c:v>
                </c:pt>
                <c:pt idx="16">
                  <c:v>30.02</c:v>
                </c:pt>
                <c:pt idx="17">
                  <c:v>30.21</c:v>
                </c:pt>
                <c:pt idx="18">
                  <c:v>32.72</c:v>
                </c:pt>
                <c:pt idx="19">
                  <c:v>32.43</c:v>
                </c:pt>
                <c:pt idx="20">
                  <c:v>30.531421655339354</c:v>
                </c:pt>
                <c:pt idx="21">
                  <c:v>28.204755354686579</c:v>
                </c:pt>
                <c:pt idx="22">
                  <c:v>29.085554974734301</c:v>
                </c:pt>
                <c:pt idx="23">
                  <c:v>30.470795160000002</c:v>
                </c:pt>
              </c:numCache>
            </c:numRef>
          </c:val>
          <c:smooth val="0"/>
          <c:extLst xmlns:c16r2="http://schemas.microsoft.com/office/drawing/2015/06/chart">
            <c:ext xmlns:c16="http://schemas.microsoft.com/office/drawing/2014/chart" uri="{C3380CC4-5D6E-409C-BE32-E72D297353CC}">
              <c16:uniqueId val="{00000011-7825-42A7-9EA7-51931D5AF937}"/>
            </c:ext>
          </c:extLst>
        </c:ser>
        <c:ser>
          <c:idx val="3"/>
          <c:order val="3"/>
          <c:tx>
            <c:v>軍職人員(領取月退俸)</c:v>
          </c:tx>
          <c:spPr>
            <a:ln>
              <a:solidFill>
                <a:schemeClr val="accent3">
                  <a:shade val="95000"/>
                  <a:satMod val="105000"/>
                </a:schemeClr>
              </a:solidFill>
            </a:ln>
          </c:spPr>
          <c:marker>
            <c:symbol val="triangle"/>
            <c:size val="8"/>
            <c:spPr>
              <a:solidFill>
                <a:schemeClr val="accent3"/>
              </a:solidFill>
              <a:ln>
                <a:noFill/>
              </a:ln>
            </c:spPr>
          </c:marker>
          <c:dLbls>
            <c:dLbl>
              <c:idx val="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825-42A7-9EA7-51931D5AF937}"/>
                </c:ext>
              </c:extLst>
            </c:dLbl>
            <c:dLbl>
              <c:idx val="1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825-42A7-9EA7-51931D5AF937}"/>
                </c:ext>
              </c:extLst>
            </c:dLbl>
            <c:dLbl>
              <c:idx val="20"/>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7825-42A7-9EA7-51931D5AF937}"/>
                </c:ext>
              </c:extLst>
            </c:dLbl>
            <c:dLbl>
              <c:idx val="21"/>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825-42A7-9EA7-51931D5AF937}"/>
                </c:ext>
              </c:extLst>
            </c:dLbl>
            <c:dLbl>
              <c:idx val="22"/>
              <c:dLblPos val="t"/>
              <c:showLegendKey val="0"/>
              <c:showVal val="1"/>
              <c:showCatName val="0"/>
              <c:showSerName val="0"/>
              <c:showPercent val="0"/>
              <c:showBubbleSize val="0"/>
            </c:dLbl>
            <c:dLbl>
              <c:idx val="23"/>
              <c:dLblPos val="t"/>
              <c:showLegendKey val="0"/>
              <c:showVal val="1"/>
              <c:showCatName val="0"/>
              <c:showSerName val="0"/>
              <c:showPercent val="0"/>
              <c:showBubbleSize val="0"/>
            </c:dLbl>
            <c:spPr>
              <a:noFill/>
              <a:ln>
                <a:noFill/>
              </a:ln>
              <a:effectLst/>
            </c:spPr>
            <c:txPr>
              <a:bodyPr/>
              <a:lstStyle/>
              <a:p>
                <a:pPr>
                  <a:defRPr sz="800">
                    <a:latin typeface="+mn-ea"/>
                    <a:ea typeface="+mn-ea"/>
                  </a:defRPr>
                </a:pPr>
                <a:endParaRPr lang="zh-TW"/>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'2.3退休平均年齡'!$A$4:$A$27</c:f>
              <c:strCache>
                <c:ptCount val="24"/>
                <c:pt idx="0">
                  <c:v>86年</c:v>
                </c:pt>
                <c:pt idx="1">
                  <c:v>87年</c:v>
                </c:pt>
                <c:pt idx="2">
                  <c:v>88年</c:v>
                </c:pt>
                <c:pt idx="3">
                  <c:v>89年</c:v>
                </c:pt>
                <c:pt idx="4">
                  <c:v>90年</c:v>
                </c:pt>
                <c:pt idx="5">
                  <c:v>91年</c:v>
                </c:pt>
                <c:pt idx="6">
                  <c:v>92年</c:v>
                </c:pt>
                <c:pt idx="7">
                  <c:v>93年</c:v>
                </c:pt>
                <c:pt idx="8">
                  <c:v>94年</c:v>
                </c:pt>
                <c:pt idx="9">
                  <c:v>95年</c:v>
                </c:pt>
                <c:pt idx="10">
                  <c:v>96年</c:v>
                </c:pt>
                <c:pt idx="11">
                  <c:v>97年</c:v>
                </c:pt>
                <c:pt idx="12">
                  <c:v>98年</c:v>
                </c:pt>
                <c:pt idx="13">
                  <c:v>99年</c:v>
                </c:pt>
                <c:pt idx="14">
                  <c:v>100年</c:v>
                </c:pt>
                <c:pt idx="15">
                  <c:v>101年</c:v>
                </c:pt>
                <c:pt idx="16">
                  <c:v>102年</c:v>
                </c:pt>
                <c:pt idx="17">
                  <c:v>103年</c:v>
                </c:pt>
                <c:pt idx="18">
                  <c:v>104年</c:v>
                </c:pt>
                <c:pt idx="19">
                  <c:v>105年</c:v>
                </c:pt>
                <c:pt idx="20">
                  <c:v>106年</c:v>
                </c:pt>
                <c:pt idx="21">
                  <c:v>107年</c:v>
                </c:pt>
                <c:pt idx="22">
                  <c:v>108年</c:v>
                </c:pt>
                <c:pt idx="23">
                  <c:v>109年</c:v>
                </c:pt>
              </c:strCache>
            </c:strRef>
          </c:cat>
          <c:val>
            <c:numRef>
              <c:f>'2.3退休平均年齡'!$G$4:$G$27</c:f>
              <c:numCache>
                <c:formatCode>0.0_);[Red]\(0.0\)</c:formatCode>
                <c:ptCount val="24"/>
                <c:pt idx="0">
                  <c:v>42.536404160475485</c:v>
                </c:pt>
                <c:pt idx="1">
                  <c:v>44.082191780821915</c:v>
                </c:pt>
                <c:pt idx="2">
                  <c:v>43.942927028128821</c:v>
                </c:pt>
                <c:pt idx="3">
                  <c:v>43.478507024533442</c:v>
                </c:pt>
                <c:pt idx="4">
                  <c:v>43.374219446922389</c:v>
                </c:pt>
                <c:pt idx="5">
                  <c:v>43.457843638221767</c:v>
                </c:pt>
                <c:pt idx="6">
                  <c:v>43.58</c:v>
                </c:pt>
                <c:pt idx="7">
                  <c:v>43.02</c:v>
                </c:pt>
                <c:pt idx="8">
                  <c:v>42.69</c:v>
                </c:pt>
                <c:pt idx="9">
                  <c:v>42.42</c:v>
                </c:pt>
                <c:pt idx="10">
                  <c:v>42.97</c:v>
                </c:pt>
                <c:pt idx="11">
                  <c:v>43.2</c:v>
                </c:pt>
                <c:pt idx="12">
                  <c:v>43.76</c:v>
                </c:pt>
                <c:pt idx="13">
                  <c:v>44.04</c:v>
                </c:pt>
                <c:pt idx="14">
                  <c:v>43.65</c:v>
                </c:pt>
                <c:pt idx="15">
                  <c:v>43.43</c:v>
                </c:pt>
                <c:pt idx="16">
                  <c:v>42.85</c:v>
                </c:pt>
                <c:pt idx="17">
                  <c:v>43.43</c:v>
                </c:pt>
                <c:pt idx="18">
                  <c:v>42.97</c:v>
                </c:pt>
                <c:pt idx="19">
                  <c:v>42.4</c:v>
                </c:pt>
                <c:pt idx="20">
                  <c:v>42.7068416865553</c:v>
                </c:pt>
                <c:pt idx="21">
                  <c:v>42.581974248926997</c:v>
                </c:pt>
                <c:pt idx="22">
                  <c:v>42.646153846153801</c:v>
                </c:pt>
                <c:pt idx="23">
                  <c:v>43.435026385224297</c:v>
                </c:pt>
              </c:numCache>
            </c:numRef>
          </c:val>
          <c:smooth val="0"/>
          <c:extLst xmlns:c16r2="http://schemas.microsoft.com/office/drawing/2015/06/chart">
            <c:ext xmlns:c16="http://schemas.microsoft.com/office/drawing/2014/chart" uri="{C3380CC4-5D6E-409C-BE32-E72D297353CC}">
              <c16:uniqueId val="{00000016-7825-42A7-9EA7-51931D5AF937}"/>
            </c:ext>
          </c:extLst>
        </c:ser>
        <c:dLbls>
          <c:showLegendKey val="0"/>
          <c:showVal val="0"/>
          <c:showCatName val="0"/>
          <c:showSerName val="0"/>
          <c:showPercent val="0"/>
          <c:showBubbleSize val="0"/>
        </c:dLbls>
        <c:marker val="1"/>
        <c:smooth val="0"/>
        <c:axId val="320687616"/>
        <c:axId val="320817984"/>
      </c:lineChart>
      <c:catAx>
        <c:axId val="320687616"/>
        <c:scaling>
          <c:orientation val="minMax"/>
        </c:scaling>
        <c:delete val="0"/>
        <c:axPos val="b"/>
        <c:numFmt formatCode="General" sourceLinked="0"/>
        <c:majorTickMark val="out"/>
        <c:minorTickMark val="none"/>
        <c:tickLblPos val="nextTo"/>
        <c:txPr>
          <a:bodyPr/>
          <a:lstStyle/>
          <a:p>
            <a:pPr>
              <a:defRPr sz="800">
                <a:latin typeface="+mn-ea"/>
                <a:ea typeface="+mn-ea"/>
              </a:defRPr>
            </a:pPr>
            <a:endParaRPr lang="zh-TW"/>
          </a:p>
        </c:txPr>
        <c:crossAx val="320817984"/>
        <c:crosses val="autoZero"/>
        <c:auto val="1"/>
        <c:lblAlgn val="ctr"/>
        <c:lblOffset val="100"/>
        <c:noMultiLvlLbl val="0"/>
      </c:catAx>
      <c:valAx>
        <c:axId val="320817984"/>
        <c:scaling>
          <c:orientation val="minMax"/>
          <c:max val="65"/>
          <c:min val="25"/>
        </c:scaling>
        <c:delete val="0"/>
        <c:axPos val="l"/>
        <c:majorGridlines/>
        <c:title>
          <c:tx>
            <c:rich>
              <a:bodyPr rot="0" vert="wordArtVertRtl"/>
              <a:lstStyle/>
              <a:p>
                <a:pPr>
                  <a:defRPr b="1">
                    <a:latin typeface="+mn-ea"/>
                    <a:ea typeface="+mn-ea"/>
                  </a:defRPr>
                </a:pPr>
                <a:r>
                  <a:rPr lang="zh-TW" altLang="en-US" b="1">
                    <a:latin typeface="+mn-ea"/>
                    <a:ea typeface="+mn-ea"/>
                  </a:rPr>
                  <a:t>退休平均年齡</a:t>
                </a:r>
                <a:r>
                  <a:rPr lang="en-US" altLang="zh-TW" b="1">
                    <a:latin typeface="+mn-ea"/>
                    <a:ea typeface="+mn-ea"/>
                  </a:rPr>
                  <a:t>(</a:t>
                </a:r>
                <a:r>
                  <a:rPr lang="zh-TW" altLang="en-US" b="1">
                    <a:latin typeface="+mn-ea"/>
                    <a:ea typeface="+mn-ea"/>
                  </a:rPr>
                  <a:t>歲</a:t>
                </a:r>
                <a:r>
                  <a:rPr lang="en-US" altLang="zh-TW" b="1">
                    <a:latin typeface="+mn-ea"/>
                    <a:ea typeface="+mn-ea"/>
                  </a:rPr>
                  <a:t>)</a:t>
                </a:r>
                <a:endParaRPr lang="zh-TW" altLang="en-US" b="1">
                  <a:latin typeface="+mn-ea"/>
                  <a:ea typeface="+mn-ea"/>
                </a:endParaRPr>
              </a:p>
            </c:rich>
          </c:tx>
          <c:layout>
            <c:manualLayout>
              <c:xMode val="edge"/>
              <c:yMode val="edge"/>
              <c:x val="1.352380749549194E-3"/>
              <c:y val="0.13397623224537869"/>
            </c:manualLayout>
          </c:layout>
          <c:overlay val="0"/>
        </c:title>
        <c:numFmt formatCode="#,##0_);[Red]\(#,##0\)" sourceLinked="0"/>
        <c:majorTickMark val="out"/>
        <c:minorTickMark val="none"/>
        <c:tickLblPos val="nextTo"/>
        <c:txPr>
          <a:bodyPr/>
          <a:lstStyle/>
          <a:p>
            <a:pPr>
              <a:defRPr sz="1000">
                <a:latin typeface="+mn-ea"/>
                <a:ea typeface="+mn-ea"/>
              </a:defRPr>
            </a:pPr>
            <a:endParaRPr lang="zh-TW"/>
          </a:p>
        </c:txPr>
        <c:crossAx val="320687616"/>
        <c:crosses val="autoZero"/>
        <c:crossBetween val="between"/>
        <c:majorUnit val="5"/>
      </c:valAx>
    </c:plotArea>
    <c:legend>
      <c:legendPos val="b"/>
      <c:layout>
        <c:manualLayout>
          <c:xMode val="edge"/>
          <c:yMode val="edge"/>
          <c:x val="0.14166672040994069"/>
          <c:y val="0.8826917248551478"/>
          <c:w val="0.67500000000000004"/>
          <c:h val="0.11520695290447185"/>
        </c:manualLayout>
      </c:layout>
      <c:overlay val="0"/>
      <c:txPr>
        <a:bodyPr/>
        <a:lstStyle/>
        <a:p>
          <a:pPr>
            <a:defRPr>
              <a:latin typeface="+mn-ea"/>
              <a:ea typeface="+mn-ea"/>
            </a:defRPr>
          </a:pPr>
          <a:endParaRPr lang="zh-TW"/>
        </a:p>
      </c:txPr>
    </c:legend>
    <c:plotVisOnly val="1"/>
    <c:dispBlanksAs val="gap"/>
    <c:showDLblsOverMax val="0"/>
  </c:chart>
  <c:txPr>
    <a:bodyPr/>
    <a:lstStyle/>
    <a:p>
      <a:pPr>
        <a:defRPr>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15070886944945"/>
          <c:y val="5.1400554097404488E-2"/>
          <c:w val="0.82029370668164503"/>
          <c:h val="0.69686445315341805"/>
        </c:manualLayout>
      </c:layout>
      <c:lineChart>
        <c:grouping val="standard"/>
        <c:varyColors val="0"/>
        <c:ser>
          <c:idx val="0"/>
          <c:order val="0"/>
          <c:tx>
            <c:v>公務人員(退休)</c:v>
          </c:tx>
          <c:dLbls>
            <c:dLbl>
              <c:idx val="0"/>
              <c:layout>
                <c:manualLayout>
                  <c:x val="-5.4722154774706024E-2"/>
                  <c:y val="3.84941390176135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E7E-48D8-BBE0-1D9008DAFE75}"/>
                </c:ext>
              </c:extLst>
            </c:dLbl>
            <c:dLbl>
              <c:idx val="9"/>
              <c:layout>
                <c:manualLayout>
                  <c:x val="-1.9253280839895116E-2"/>
                  <c:y val="-3.80555555555555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7E-48D8-BBE0-1D9008DAFE75}"/>
                </c:ext>
              </c:extLst>
            </c:dLbl>
            <c:spPr>
              <a:noFill/>
              <a:ln>
                <a:noFill/>
              </a:ln>
              <a:effectLst/>
            </c:spPr>
            <c:txPr>
              <a:bodyPr/>
              <a:lstStyle/>
              <a:p>
                <a:pPr>
                  <a:defRPr sz="900">
                    <a:latin typeface="+mn-ea"/>
                    <a:ea typeface="+mn-ea"/>
                  </a:defRPr>
                </a:pPr>
                <a:endParaRPr lang="zh-TW"/>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'2.4退休平均俸額'!$A$11:$A$20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'2.4退休平均俸額'!$B$11:$B$20</c:f>
              <c:numCache>
                <c:formatCode>_(* #,##0_);_(* \(#,##0\);_(* "-"_);_(@_)</c:formatCode>
                <c:ptCount val="10"/>
                <c:pt idx="0">
                  <c:v>38460</c:v>
                </c:pt>
                <c:pt idx="1">
                  <c:v>38955</c:v>
                </c:pt>
                <c:pt idx="2">
                  <c:v>38634</c:v>
                </c:pt>
                <c:pt idx="3">
                  <c:v>38806</c:v>
                </c:pt>
                <c:pt idx="4">
                  <c:v>38737</c:v>
                </c:pt>
                <c:pt idx="5">
                  <c:v>38695</c:v>
                </c:pt>
                <c:pt idx="6" formatCode="#,##0_);[Red]\(#,##0\)">
                  <c:v>38681</c:v>
                </c:pt>
                <c:pt idx="7" formatCode="#,##0_);[Red]\(#,##0\)">
                  <c:v>40438</c:v>
                </c:pt>
                <c:pt idx="8">
                  <c:v>39868.434687157001</c:v>
                </c:pt>
                <c:pt idx="9">
                  <c:v>40919.384599999998</c:v>
                </c:pt>
              </c:numCache>
            </c:numRef>
          </c:val>
          <c:smooth val="0"/>
          <c:extLst xmlns:c16r2="http://schemas.microsoft.com/office/drawing/2015/06/chart">
            <c:ext xmlns:c16="http://schemas.microsoft.com/office/drawing/2014/chart" uri="{C3380CC4-5D6E-409C-BE32-E72D297353CC}">
              <c16:uniqueId val="{00000002-0E7E-48D8-BBE0-1D9008DAFE75}"/>
            </c:ext>
          </c:extLst>
        </c:ser>
        <c:ser>
          <c:idx val="1"/>
          <c:order val="1"/>
          <c:tx>
            <c:v>教育人員(退休)</c:v>
          </c:tx>
          <c:dLbls>
            <c:dLbl>
              <c:idx val="0"/>
              <c:layout>
                <c:manualLayout>
                  <c:x val="-5.3992334108016231E-2"/>
                  <c:y val="-4.4809561495313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7E-48D8-BBE0-1D9008DAFE75}"/>
                </c:ext>
              </c:extLst>
            </c:dLbl>
            <c:dLbl>
              <c:idx val="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E7E-48D8-BBE0-1D9008DAFE75}"/>
                </c:ext>
              </c:extLst>
            </c:dLbl>
            <c:spPr>
              <a:noFill/>
              <a:ln>
                <a:noFill/>
              </a:ln>
              <a:effectLst/>
            </c:spPr>
            <c:txPr>
              <a:bodyPr/>
              <a:lstStyle/>
              <a:p>
                <a:pPr>
                  <a:defRPr sz="900">
                    <a:latin typeface="+mn-ea"/>
                    <a:ea typeface="+mn-ea"/>
                  </a:defRPr>
                </a:pPr>
                <a:endParaRPr lang="zh-TW"/>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'2.4退休平均俸額'!$A$11:$A$20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'2.4退休平均俸額'!$C$11:$C$20</c:f>
              <c:numCache>
                <c:formatCode>_(* #,##0_);_(* \(#,##0\);_(* "-"_);_(@_)</c:formatCode>
                <c:ptCount val="10"/>
                <c:pt idx="0">
                  <c:v>46620</c:v>
                </c:pt>
                <c:pt idx="1">
                  <c:v>47068</c:v>
                </c:pt>
                <c:pt idx="2">
                  <c:v>47153</c:v>
                </c:pt>
                <c:pt idx="3">
                  <c:v>47261</c:v>
                </c:pt>
                <c:pt idx="4">
                  <c:v>47428</c:v>
                </c:pt>
                <c:pt idx="5">
                  <c:v>47505</c:v>
                </c:pt>
                <c:pt idx="6" formatCode="#,##0_);[Red]\(#,##0\)">
                  <c:v>47648.106208859601</c:v>
                </c:pt>
                <c:pt idx="7" formatCode="#,##0_);[Red]\(#,##0\)">
                  <c:v>49231.437271620001</c:v>
                </c:pt>
                <c:pt idx="8">
                  <c:v>48801.372034326101</c:v>
                </c:pt>
                <c:pt idx="9">
                  <c:v>48863.299140000003</c:v>
                </c:pt>
              </c:numCache>
            </c:numRef>
          </c:val>
          <c:smooth val="0"/>
          <c:extLst xmlns:c16r2="http://schemas.microsoft.com/office/drawing/2015/06/chart">
            <c:ext xmlns:c16="http://schemas.microsoft.com/office/drawing/2014/chart" uri="{C3380CC4-5D6E-409C-BE32-E72D297353CC}">
              <c16:uniqueId val="{00000005-0E7E-48D8-BBE0-1D9008DAFE75}"/>
            </c:ext>
          </c:extLst>
        </c:ser>
        <c:ser>
          <c:idx val="2"/>
          <c:order val="2"/>
          <c:tx>
            <c:v>軍職人員(退伍)</c:v>
          </c:tx>
          <c:spPr>
            <a:ln>
              <a:prstDash val="dash"/>
            </a:ln>
          </c:spPr>
          <c:dLbls>
            <c:dLbl>
              <c:idx val="0"/>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E7E-48D8-BBE0-1D9008DAFE75}"/>
                </c:ext>
              </c:extLst>
            </c:dLbl>
            <c:dLbl>
              <c:idx val="9"/>
              <c:dLblPos val="b"/>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E7E-48D8-BBE0-1D9008DAFE75}"/>
                </c:ext>
              </c:extLst>
            </c:dLbl>
            <c:spPr>
              <a:noFill/>
              <a:ln>
                <a:noFill/>
              </a:ln>
              <a:effectLst/>
            </c:spPr>
            <c:txPr>
              <a:bodyPr/>
              <a:lstStyle/>
              <a:p>
                <a:pPr>
                  <a:defRPr sz="900">
                    <a:latin typeface="+mn-ea"/>
                    <a:ea typeface="+mn-ea"/>
                  </a:defRPr>
                </a:pPr>
                <a:endParaRPr lang="zh-TW"/>
              </a:p>
            </c:txPr>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'2.4退休平均俸額'!$A$11:$A$20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'2.4退休平均俸額'!$D$11:$D$20</c:f>
              <c:numCache>
                <c:formatCode>_(* #,##0_);_(* \(#,##0\);_(* "-"_);_(@_)</c:formatCode>
                <c:ptCount val="10"/>
                <c:pt idx="0">
                  <c:v>21756</c:v>
                </c:pt>
                <c:pt idx="1">
                  <c:v>21399</c:v>
                </c:pt>
                <c:pt idx="2">
                  <c:v>21679</c:v>
                </c:pt>
                <c:pt idx="3">
                  <c:v>21947</c:v>
                </c:pt>
                <c:pt idx="4">
                  <c:v>25283</c:v>
                </c:pt>
                <c:pt idx="5">
                  <c:v>24814</c:v>
                </c:pt>
                <c:pt idx="6" formatCode="#,##0_);[Red]\(#,##0\)">
                  <c:v>22106.345777860501</c:v>
                </c:pt>
                <c:pt idx="7" formatCode="#,##0_);[Red]\(#,##0\)">
                  <c:v>18666.389270976601</c:v>
                </c:pt>
                <c:pt idx="8">
                  <c:v>19351.940581982901</c:v>
                </c:pt>
                <c:pt idx="9">
                  <c:v>21105.041560000001</c:v>
                </c:pt>
              </c:numCache>
            </c:numRef>
          </c:val>
          <c:smooth val="0"/>
          <c:extLst xmlns:c16r2="http://schemas.microsoft.com/office/drawing/2015/06/chart">
            <c:ext xmlns:c16="http://schemas.microsoft.com/office/drawing/2014/chart" uri="{C3380CC4-5D6E-409C-BE32-E72D297353CC}">
              <c16:uniqueId val="{00000008-0E7E-48D8-BBE0-1D9008DAFE75}"/>
            </c:ext>
          </c:extLst>
        </c:ser>
        <c:ser>
          <c:idx val="3"/>
          <c:order val="3"/>
          <c:tx>
            <c:v>軍職人員(領取月退俸)</c:v>
          </c:tx>
          <c:spPr>
            <a:ln>
              <a:solidFill>
                <a:schemeClr val="accent3"/>
              </a:solidFill>
            </a:ln>
          </c:spPr>
          <c:marker>
            <c:symbol val="triangle"/>
            <c:size val="8"/>
            <c:spPr>
              <a:solidFill>
                <a:schemeClr val="accent3"/>
              </a:solidFill>
              <a:ln>
                <a:noFill/>
              </a:ln>
            </c:spPr>
          </c:marker>
          <c:dLbls>
            <c:dLbl>
              <c:idx val="0"/>
              <c:layout>
                <c:manualLayout>
                  <c:x val="-5.4588695644033756E-2"/>
                  <c:y val="-4.69800631980490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E7E-48D8-BBE0-1D9008DAFE75}"/>
                </c:ext>
              </c:extLst>
            </c:dLbl>
            <c:dLbl>
              <c:idx val="9"/>
              <c:layout>
                <c:manualLayout>
                  <c:x val="-2.480883639545067E-2"/>
                  <c:y val="6.35177894429862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E7E-48D8-BBE0-1D9008DAFE75}"/>
                </c:ext>
              </c:extLst>
            </c:dLbl>
            <c:spPr>
              <a:noFill/>
              <a:ln>
                <a:noFill/>
              </a:ln>
              <a:effectLst/>
            </c:spPr>
            <c:txPr>
              <a:bodyPr/>
              <a:lstStyle/>
              <a:p>
                <a:pPr>
                  <a:defRPr sz="900">
                    <a:latin typeface="+mn-ea"/>
                    <a:ea typeface="+mn-ea"/>
                  </a:defRPr>
                </a:pPr>
                <a:endParaRPr lang="zh-TW"/>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'2.4退休平均俸額'!$A$11:$A$20</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'2.4退休平均俸額'!$E$11:$E$20</c:f>
              <c:numCache>
                <c:formatCode>_(* #,##0_);_(* \(#,##0\);_(* "-"_);_(@_)</c:formatCode>
                <c:ptCount val="10"/>
                <c:pt idx="0">
                  <c:v>39190</c:v>
                </c:pt>
                <c:pt idx="1">
                  <c:v>38928</c:v>
                </c:pt>
                <c:pt idx="2">
                  <c:v>38633</c:v>
                </c:pt>
                <c:pt idx="3">
                  <c:v>39420</c:v>
                </c:pt>
                <c:pt idx="4">
                  <c:v>38124</c:v>
                </c:pt>
                <c:pt idx="5">
                  <c:v>37732</c:v>
                </c:pt>
                <c:pt idx="6" formatCode="#,##0_);[Red]\(#,##0\)">
                  <c:v>38437.3806682578</c:v>
                </c:pt>
                <c:pt idx="7" formatCode="#,##0_);[Red]\(#,##0\)">
                  <c:v>37858.2575107296</c:v>
                </c:pt>
                <c:pt idx="8">
                  <c:v>36886.473449131503</c:v>
                </c:pt>
                <c:pt idx="9">
                  <c:v>37651.684696569901</c:v>
                </c:pt>
              </c:numCache>
            </c:numRef>
          </c:val>
          <c:smooth val="0"/>
          <c:extLst xmlns:c16r2="http://schemas.microsoft.com/office/drawing/2015/06/chart">
            <c:ext xmlns:c16="http://schemas.microsoft.com/office/drawing/2014/chart" uri="{C3380CC4-5D6E-409C-BE32-E72D297353CC}">
              <c16:uniqueId val="{0000000B-0E7E-48D8-BBE0-1D9008DAFE75}"/>
            </c:ext>
          </c:extLst>
        </c:ser>
        <c:dLbls>
          <c:showLegendKey val="0"/>
          <c:showVal val="0"/>
          <c:showCatName val="0"/>
          <c:showSerName val="0"/>
          <c:showPercent val="0"/>
          <c:showBubbleSize val="0"/>
        </c:dLbls>
        <c:marker val="1"/>
        <c:smooth val="0"/>
        <c:axId val="321000448"/>
        <c:axId val="320819136"/>
      </c:lineChart>
      <c:catAx>
        <c:axId val="321000448"/>
        <c:scaling>
          <c:orientation val="minMax"/>
        </c:scaling>
        <c:delete val="0"/>
        <c:axPos val="b"/>
        <c:numFmt formatCode="General" sourceLinked="0"/>
        <c:majorTickMark val="out"/>
        <c:minorTickMark val="none"/>
        <c:tickLblPos val="nextTo"/>
        <c:txPr>
          <a:bodyPr/>
          <a:lstStyle/>
          <a:p>
            <a:pPr>
              <a:defRPr sz="900">
                <a:latin typeface="+mn-ea"/>
                <a:ea typeface="+mn-ea"/>
              </a:defRPr>
            </a:pPr>
            <a:endParaRPr lang="zh-TW"/>
          </a:p>
        </c:txPr>
        <c:crossAx val="320819136"/>
        <c:crosses val="autoZero"/>
        <c:auto val="1"/>
        <c:lblAlgn val="ctr"/>
        <c:lblOffset val="100"/>
        <c:noMultiLvlLbl val="0"/>
      </c:catAx>
      <c:valAx>
        <c:axId val="320819136"/>
        <c:scaling>
          <c:orientation val="minMax"/>
          <c:min val="15000"/>
        </c:scaling>
        <c:delete val="0"/>
        <c:axPos val="l"/>
        <c:majorGridlines/>
        <c:title>
          <c:tx>
            <c:rich>
              <a:bodyPr rot="0" vert="wordArtVertRtl"/>
              <a:lstStyle/>
              <a:p>
                <a:pPr>
                  <a:defRPr sz="1000" b="1">
                    <a:latin typeface="+mn-ea"/>
                    <a:ea typeface="+mn-ea"/>
                  </a:defRPr>
                </a:pPr>
                <a:r>
                  <a:rPr lang="zh-TW" sz="1000" b="1">
                    <a:latin typeface="+mn-ea"/>
                    <a:ea typeface="+mn-ea"/>
                  </a:rPr>
                  <a:t>退休人員平均俸額</a:t>
                </a:r>
                <a:r>
                  <a:rPr lang="en-US" sz="1000" b="1">
                    <a:latin typeface="+mn-ea"/>
                    <a:ea typeface="+mn-ea"/>
                  </a:rPr>
                  <a:t>(</a:t>
                </a:r>
                <a:r>
                  <a:rPr lang="zh-TW" sz="1000" b="1">
                    <a:latin typeface="+mn-ea"/>
                    <a:ea typeface="+mn-ea"/>
                  </a:rPr>
                  <a:t>元</a:t>
                </a:r>
                <a:r>
                  <a:rPr lang="en-US" sz="1000" b="1">
                    <a:latin typeface="+mn-ea"/>
                    <a:ea typeface="+mn-ea"/>
                  </a:rPr>
                  <a:t>)</a:t>
                </a:r>
                <a:endParaRPr lang="zh-TW" sz="1000" b="1">
                  <a:latin typeface="+mn-ea"/>
                  <a:ea typeface="+mn-ea"/>
                </a:endParaRPr>
              </a:p>
            </c:rich>
          </c:tx>
          <c:layout>
            <c:manualLayout>
              <c:xMode val="edge"/>
              <c:yMode val="edge"/>
              <c:x val="5.5555555555555558E-3"/>
              <c:y val="1.7720180810731991E-2"/>
            </c:manualLayout>
          </c:layout>
          <c:overlay val="0"/>
        </c:title>
        <c:numFmt formatCode="_(* #,##0_);_(* \(#,##0\);_(* &quot;-&quot;_);_(@_)" sourceLinked="1"/>
        <c:majorTickMark val="out"/>
        <c:minorTickMark val="none"/>
        <c:tickLblPos val="nextTo"/>
        <c:txPr>
          <a:bodyPr/>
          <a:lstStyle/>
          <a:p>
            <a:pPr>
              <a:defRPr sz="900">
                <a:latin typeface="+mn-ea"/>
                <a:ea typeface="+mn-ea"/>
              </a:defRPr>
            </a:pPr>
            <a:endParaRPr lang="zh-TW"/>
          </a:p>
        </c:txPr>
        <c:crossAx val="321000448"/>
        <c:crosses val="autoZero"/>
        <c:crossBetween val="between"/>
      </c:valAx>
    </c:plotArea>
    <c:legend>
      <c:legendPos val="b"/>
      <c:layout>
        <c:manualLayout>
          <c:xMode val="edge"/>
          <c:yMode val="edge"/>
          <c:x val="0.22264317180616741"/>
          <c:y val="0.85781438328646042"/>
          <c:w val="0.61638766519823796"/>
          <c:h val="0.13995121843196678"/>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a:latin typeface="微軟正黑體" panose="020B0604030504040204" pitchFamily="34" charset="-120"/>
          <a:ea typeface="微軟正黑體" panose="020B0604030504040204" pitchFamily="34" charset="-120"/>
        </a:defRPr>
      </a:pPr>
      <a:endParaRPr lang="zh-TW"/>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54265265176429"/>
          <c:y val="4.6770924467774866E-2"/>
          <c:w val="0.82852260881769912"/>
          <c:h val="0.46151845004979036"/>
        </c:manualLayout>
      </c:layout>
      <c:barChart>
        <c:barDir val="col"/>
        <c:grouping val="clustered"/>
        <c:varyColors val="0"/>
        <c:ser>
          <c:idx val="0"/>
          <c:order val="0"/>
          <c:tx>
            <c:v>公務人員</c:v>
          </c:tx>
          <c:spPr>
            <a:pattFill prst="pct30">
              <a:fgClr>
                <a:schemeClr val="accent1"/>
              </a:fgClr>
              <a:bgClr>
                <a:schemeClr val="bg1"/>
              </a:bgClr>
            </a:pattFill>
          </c:spPr>
          <c:invertIfNegative val="0"/>
          <c:cat>
            <c:strRef>
              <c:f>'2.5定期退撫給與發放人數及金額'!$A$12:$A$21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'2.5定期退撫給與發放人數及金額'!$H$12:$H$21</c:f>
              <c:numCache>
                <c:formatCode>#,##0_ </c:formatCode>
                <c:ptCount val="10"/>
                <c:pt idx="0">
                  <c:v>89194</c:v>
                </c:pt>
                <c:pt idx="1">
                  <c:v>100025</c:v>
                </c:pt>
                <c:pt idx="2">
                  <c:v>109461</c:v>
                </c:pt>
                <c:pt idx="3">
                  <c:v>117985</c:v>
                </c:pt>
                <c:pt idx="4">
                  <c:v>127310</c:v>
                </c:pt>
                <c:pt idx="5">
                  <c:v>137730</c:v>
                </c:pt>
                <c:pt idx="6" formatCode="_(* #,##0_);_(* \(#,##0\);_(* &quot;-&quot;_);_(@_)">
                  <c:v>145279</c:v>
                </c:pt>
                <c:pt idx="7" formatCode="_(* #,##0_);_(* \(#,##0\);_(* &quot;-&quot;_);_(@_)">
                  <c:v>153095</c:v>
                </c:pt>
                <c:pt idx="8" formatCode="_(* #,##0_);_(* \(#,##0\);_(* &quot;-&quot;_);_(@_)">
                  <c:v>159677</c:v>
                </c:pt>
                <c:pt idx="9" formatCode="_(* #,##0_);_(* \(#,##0\);_(* &quot;-&quot;_);_(@_)">
                  <c:v>163373</c:v>
                </c:pt>
              </c:numCache>
            </c:numRef>
          </c:val>
          <c:extLst xmlns:c16r2="http://schemas.microsoft.com/office/drawing/2015/06/chart">
            <c:ext xmlns:c16="http://schemas.microsoft.com/office/drawing/2014/chart" uri="{C3380CC4-5D6E-409C-BE32-E72D297353CC}">
              <c16:uniqueId val="{00000001-90A2-4902-B30D-1A51CB97001C}"/>
            </c:ext>
          </c:extLst>
        </c:ser>
        <c:ser>
          <c:idx val="1"/>
          <c:order val="1"/>
          <c:tx>
            <c:v>教育人員</c:v>
          </c:tx>
          <c:spPr>
            <a:pattFill prst="pct70">
              <a:fgClr>
                <a:schemeClr val="accent2">
                  <a:lumMod val="60000"/>
                  <a:lumOff val="40000"/>
                </a:schemeClr>
              </a:fgClr>
              <a:bgClr>
                <a:schemeClr val="bg1"/>
              </a:bgClr>
            </a:pattFill>
          </c:spPr>
          <c:invertIfNegative val="0"/>
          <c:cat>
            <c:strRef>
              <c:f>'2.5定期退撫給與發放人數及金額'!$A$12:$A$21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'2.5定期退撫給與發放人數及金額'!$J$12:$J$21</c:f>
              <c:numCache>
                <c:formatCode>#,##0_ </c:formatCode>
                <c:ptCount val="10"/>
                <c:pt idx="0">
                  <c:v>83012</c:v>
                </c:pt>
                <c:pt idx="1">
                  <c:v>88524</c:v>
                </c:pt>
                <c:pt idx="2">
                  <c:v>94095</c:v>
                </c:pt>
                <c:pt idx="3">
                  <c:v>98800</c:v>
                </c:pt>
                <c:pt idx="4">
                  <c:v>103840</c:v>
                </c:pt>
                <c:pt idx="5">
                  <c:v>109999</c:v>
                </c:pt>
                <c:pt idx="6" formatCode="_(* #,##0_);_(* \(#,##0\);_(* &quot;-&quot;_);_(@_)">
                  <c:v>116373</c:v>
                </c:pt>
                <c:pt idx="7" formatCode="_(* #,##0_);_(* \(#,##0\);_(* &quot;-&quot;_);_(@_)">
                  <c:v>123828</c:v>
                </c:pt>
                <c:pt idx="8" formatCode="_(* #,##0_);_(* \(#,##0\);_(* &quot;-&quot;_);_(@_)">
                  <c:v>127841</c:v>
                </c:pt>
                <c:pt idx="9" formatCode="_(* #,##0_);_(* \(#,##0\);_(* &quot;-&quot;_);_(@_)">
                  <c:v>129618</c:v>
                </c:pt>
              </c:numCache>
            </c:numRef>
          </c:val>
          <c:extLst xmlns:c16r2="http://schemas.microsoft.com/office/drawing/2015/06/chart">
            <c:ext xmlns:c16="http://schemas.microsoft.com/office/drawing/2014/chart" uri="{C3380CC4-5D6E-409C-BE32-E72D297353CC}">
              <c16:uniqueId val="{00000003-90A2-4902-B30D-1A51CB97001C}"/>
            </c:ext>
          </c:extLst>
        </c:ser>
        <c:ser>
          <c:idx val="2"/>
          <c:order val="2"/>
          <c:tx>
            <c:v>軍職人員</c:v>
          </c:tx>
          <c:spPr>
            <a:pattFill prst="dkDnDiag">
              <a:fgClr>
                <a:schemeClr val="accent3"/>
              </a:fgClr>
              <a:bgClr>
                <a:schemeClr val="bg1"/>
              </a:bgClr>
            </a:pattFill>
          </c:spPr>
          <c:invertIfNegative val="0"/>
          <c:cat>
            <c:strRef>
              <c:f>'2.5定期退撫給與發放人數及金額'!$A$12:$A$21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'2.5定期退撫給與發放人數及金額'!$L$12:$L$21</c:f>
              <c:numCache>
                <c:formatCode>#,##0_ </c:formatCode>
                <c:ptCount val="10"/>
                <c:pt idx="0">
                  <c:v>40516</c:v>
                </c:pt>
                <c:pt idx="1">
                  <c:v>44074</c:v>
                </c:pt>
                <c:pt idx="2">
                  <c:v>48128</c:v>
                </c:pt>
                <c:pt idx="3">
                  <c:v>51692</c:v>
                </c:pt>
                <c:pt idx="4">
                  <c:v>54835</c:v>
                </c:pt>
                <c:pt idx="5">
                  <c:v>58677</c:v>
                </c:pt>
                <c:pt idx="6" formatCode="_(* #,##0_);_(* \(#,##0\);_(* &quot;-&quot;_);_(@_)">
                  <c:v>62491</c:v>
                </c:pt>
                <c:pt idx="7" formatCode="_(* #,##0_);_(* \(#,##0\);_(* &quot;-&quot;_);_(@_)">
                  <c:v>64888</c:v>
                </c:pt>
                <c:pt idx="8" formatCode="_(* #,##0_);_(* \(#,##0\);_(* &quot;-&quot;_);_(@_)">
                  <c:v>66977</c:v>
                </c:pt>
                <c:pt idx="9" formatCode="_(* #,##0_);_(* \(#,##0\);_(* &quot;-&quot;_);_(@_)">
                  <c:v>69870</c:v>
                </c:pt>
              </c:numCache>
            </c:numRef>
          </c:val>
          <c:extLst xmlns:c16r2="http://schemas.microsoft.com/office/drawing/2015/06/chart">
            <c:ext xmlns:c16="http://schemas.microsoft.com/office/drawing/2014/chart" uri="{C3380CC4-5D6E-409C-BE32-E72D297353CC}">
              <c16:uniqueId val="{00000005-90A2-4902-B30D-1A51CB97001C}"/>
            </c:ext>
          </c:extLst>
        </c:ser>
        <c:ser>
          <c:idx val="4"/>
          <c:order val="4"/>
          <c:tx>
            <c:v>政務人員</c:v>
          </c:tx>
          <c:spPr>
            <a:solidFill>
              <a:schemeClr val="accent6"/>
            </a:solidFill>
          </c:spPr>
          <c:invertIfNegative val="0"/>
          <c:cat>
            <c:strRef>
              <c:f>'2.5定期退撫給與發放人數及金額'!$A$12:$A$21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'2.5定期退撫給與發放人數及金額'!$F$12:$F$21</c:f>
              <c:numCache>
                <c:formatCode>#,##0_ </c:formatCode>
                <c:ptCount val="10"/>
                <c:pt idx="0">
                  <c:v>221</c:v>
                </c:pt>
                <c:pt idx="1">
                  <c:v>226</c:v>
                </c:pt>
                <c:pt idx="2">
                  <c:v>225</c:v>
                </c:pt>
                <c:pt idx="3">
                  <c:v>227</c:v>
                </c:pt>
                <c:pt idx="4">
                  <c:v>236</c:v>
                </c:pt>
                <c:pt idx="5">
                  <c:v>233</c:v>
                </c:pt>
                <c:pt idx="6" formatCode="_(* #,##0_);_(* \(#,##0\);_(* &quot;-&quot;_);_(@_)">
                  <c:v>230</c:v>
                </c:pt>
                <c:pt idx="7" formatCode="_(* #,##0_);_(* \(#,##0\);_(* &quot;-&quot;_);_(@_)">
                  <c:v>223</c:v>
                </c:pt>
                <c:pt idx="8" formatCode="_(* #,##0_);_(* \(#,##0\);_(* &quot;-&quot;_);_(@_)">
                  <c:v>216</c:v>
                </c:pt>
                <c:pt idx="9" formatCode="_(* #,##0_);_(* \(#,##0\);_(* &quot;-&quot;_);_(@_)">
                  <c:v>218</c:v>
                </c:pt>
              </c:numCache>
            </c:numRef>
          </c:val>
        </c:ser>
        <c:dLbls>
          <c:showLegendKey val="0"/>
          <c:showVal val="0"/>
          <c:showCatName val="0"/>
          <c:showSerName val="0"/>
          <c:showPercent val="0"/>
          <c:showBubbleSize val="0"/>
        </c:dLbls>
        <c:gapWidth val="150"/>
        <c:axId val="321001984"/>
        <c:axId val="320816832"/>
      </c:barChart>
      <c:lineChart>
        <c:grouping val="stacked"/>
        <c:varyColors val="0"/>
        <c:ser>
          <c:idx val="3"/>
          <c:order val="3"/>
          <c:tx>
            <c:v>總計</c:v>
          </c:tx>
          <c:spPr>
            <a:ln>
              <a:solidFill>
                <a:schemeClr val="accent4"/>
              </a:solidFill>
            </a:ln>
          </c:spPr>
          <c:marker>
            <c:symbol val="x"/>
            <c:size val="7"/>
            <c:spPr>
              <a:noFill/>
              <a:ln>
                <a:solidFill>
                  <a:schemeClr val="accent4"/>
                </a:solidFill>
              </a:ln>
            </c:spPr>
          </c:marker>
          <c:dLbls>
            <c:dLbl>
              <c:idx val="8"/>
              <c:layout>
                <c:manualLayout>
                  <c:x val="-6.4729221347331584E-2"/>
                  <c:y val="-3.9317220764071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0A2-4902-B30D-1A51CB97001C}"/>
                </c:ext>
              </c:extLst>
            </c:dLbl>
            <c:spPr>
              <a:noFill/>
              <a:ln>
                <a:noFill/>
              </a:ln>
              <a:effectLst/>
            </c:spPr>
            <c:txPr>
              <a:bodyPr/>
              <a:lstStyle/>
              <a:p>
                <a:pPr>
                  <a:defRPr sz="800"/>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'2.5定期退撫給與發放人數及金額'!$A$12:$A$21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'2.5定期退撫給與發放人數及金額'!$B$12:$B$21</c:f>
              <c:numCache>
                <c:formatCode>#,##0_ </c:formatCode>
                <c:ptCount val="10"/>
                <c:pt idx="0">
                  <c:v>212943</c:v>
                </c:pt>
                <c:pt idx="1">
                  <c:v>232849</c:v>
                </c:pt>
                <c:pt idx="2">
                  <c:v>251909</c:v>
                </c:pt>
                <c:pt idx="3">
                  <c:v>268704</c:v>
                </c:pt>
                <c:pt idx="4">
                  <c:v>286221</c:v>
                </c:pt>
                <c:pt idx="5">
                  <c:v>306639</c:v>
                </c:pt>
                <c:pt idx="6" formatCode="_(* #,##0_);_(* \(#,##0\);_(* &quot;-&quot;_);_(@_)">
                  <c:v>324373</c:v>
                </c:pt>
                <c:pt idx="7" formatCode="_(* #,##0_);_(* \(#,##0\);_(* &quot;-&quot;_);_(@_)">
                  <c:v>342034</c:v>
                </c:pt>
                <c:pt idx="8" formatCode="_(* #,##0_);_(* \(#,##0\);_(* &quot;-&quot;_);_(@_)">
                  <c:v>354711</c:v>
                </c:pt>
                <c:pt idx="9" formatCode="_(* #,##0_);_(* \(#,##0\);_(* &quot;-&quot;_);_(@_)">
                  <c:v>363079</c:v>
                </c:pt>
              </c:numCache>
            </c:numRef>
          </c:val>
          <c:smooth val="0"/>
          <c:extLst xmlns:c16r2="http://schemas.microsoft.com/office/drawing/2015/06/chart">
            <c:ext xmlns:c16="http://schemas.microsoft.com/office/drawing/2014/chart" uri="{C3380CC4-5D6E-409C-BE32-E72D297353CC}">
              <c16:uniqueId val="{00000007-90A2-4902-B30D-1A51CB97001C}"/>
            </c:ext>
          </c:extLst>
        </c:ser>
        <c:dLbls>
          <c:showLegendKey val="0"/>
          <c:showVal val="0"/>
          <c:showCatName val="0"/>
          <c:showSerName val="0"/>
          <c:showPercent val="0"/>
          <c:showBubbleSize val="0"/>
        </c:dLbls>
        <c:marker val="1"/>
        <c:smooth val="0"/>
        <c:axId val="321001984"/>
        <c:axId val="320816832"/>
      </c:lineChart>
      <c:catAx>
        <c:axId val="321001984"/>
        <c:scaling>
          <c:orientation val="minMax"/>
        </c:scaling>
        <c:delete val="0"/>
        <c:axPos val="b"/>
        <c:numFmt formatCode="General" sourceLinked="0"/>
        <c:majorTickMark val="out"/>
        <c:minorTickMark val="none"/>
        <c:tickLblPos val="nextTo"/>
        <c:crossAx val="320816832"/>
        <c:crosses val="autoZero"/>
        <c:auto val="1"/>
        <c:lblAlgn val="ctr"/>
        <c:lblOffset val="100"/>
        <c:noMultiLvlLbl val="0"/>
      </c:catAx>
      <c:valAx>
        <c:axId val="320816832"/>
        <c:scaling>
          <c:orientation val="minMax"/>
          <c:max val="400000"/>
        </c:scaling>
        <c:delete val="0"/>
        <c:axPos val="l"/>
        <c:majorGridlines/>
        <c:title>
          <c:tx>
            <c:rich>
              <a:bodyPr rot="0" vert="wordArtVertRtl"/>
              <a:lstStyle/>
              <a:p>
                <a:pPr>
                  <a:defRPr>
                    <a:latin typeface="+mn-ea"/>
                    <a:ea typeface="+mn-ea"/>
                  </a:defRPr>
                </a:pPr>
                <a:r>
                  <a:rPr lang="zh-TW" altLang="en-US">
                    <a:latin typeface="+mn-ea"/>
                    <a:ea typeface="+mn-ea"/>
                  </a:rPr>
                  <a:t>定期給與發放人數</a:t>
                </a:r>
                <a:r>
                  <a:rPr lang="en-US" altLang="zh-TW">
                    <a:latin typeface="+mn-ea"/>
                    <a:ea typeface="+mn-ea"/>
                  </a:rPr>
                  <a:t>(</a:t>
                </a:r>
                <a:r>
                  <a:rPr lang="zh-TW" altLang="en-US">
                    <a:latin typeface="+mn-ea"/>
                    <a:ea typeface="+mn-ea"/>
                  </a:rPr>
                  <a:t>人</a:t>
                </a:r>
                <a:r>
                  <a:rPr lang="en-US" altLang="zh-TW">
                    <a:latin typeface="+mn-ea"/>
                    <a:ea typeface="+mn-ea"/>
                  </a:rPr>
                  <a:t>)</a:t>
                </a:r>
                <a:endParaRPr lang="zh-TW" altLang="en-US">
                  <a:latin typeface="+mn-ea"/>
                  <a:ea typeface="+mn-ea"/>
                </a:endParaRPr>
              </a:p>
            </c:rich>
          </c:tx>
          <c:layout>
            <c:manualLayout>
              <c:xMode val="edge"/>
              <c:yMode val="edge"/>
              <c:x val="1.4915951710729881E-2"/>
              <c:y val="6.0739908972512274E-2"/>
            </c:manualLayout>
          </c:layout>
          <c:overlay val="0"/>
        </c:title>
        <c:numFmt formatCode="#,##0_ " sourceLinked="1"/>
        <c:majorTickMark val="out"/>
        <c:minorTickMark val="none"/>
        <c:tickLblPos val="nextTo"/>
        <c:crossAx val="321001984"/>
        <c:crosses val="autoZero"/>
        <c:crossBetween val="between"/>
      </c:valAx>
      <c:dTable>
        <c:showHorzBorder val="1"/>
        <c:showVertBorder val="1"/>
        <c:showOutline val="1"/>
        <c:showKeys val="0"/>
      </c:dTable>
    </c:plotArea>
    <c:legend>
      <c:legendPos val="b"/>
      <c:layout>
        <c:manualLayout>
          <c:xMode val="edge"/>
          <c:yMode val="edge"/>
          <c:x val="0.11894048709027648"/>
          <c:y val="0.91362909402861603"/>
          <c:w val="0.8322221505098748"/>
          <c:h val="8.3717191601049873E-2"/>
        </c:manualLayout>
      </c:layout>
      <c:overlay val="0"/>
      <c:txPr>
        <a:bodyPr/>
        <a:lstStyle/>
        <a:p>
          <a:pPr>
            <a:defRPr>
              <a:latin typeface="微軟正黑體" pitchFamily="34" charset="-120"/>
              <a:ea typeface="微軟正黑體" pitchFamily="34" charset="-120"/>
            </a:defRPr>
          </a:pPr>
          <a:endParaRPr lang="zh-TW"/>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工作表1!$B$1</c:f>
              <c:strCache>
                <c:ptCount val="1"/>
                <c:pt idx="0">
                  <c:v>公教人員保險</c:v>
                </c:pt>
              </c:strCache>
            </c:strRef>
          </c:tx>
          <c:spPr>
            <a:ln>
              <a:solidFill>
                <a:srgbClr val="C00000"/>
              </a:solidFill>
            </a:ln>
          </c:spPr>
          <c:marker>
            <c:symbol val="none"/>
          </c:marker>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工作表1!$B$2:$B$11</c:f>
              <c:numCache>
                <c:formatCode>General</c:formatCode>
                <c:ptCount val="10"/>
                <c:pt idx="0">
                  <c:v>-2.9</c:v>
                </c:pt>
                <c:pt idx="1">
                  <c:v>4.7</c:v>
                </c:pt>
                <c:pt idx="2" formatCode="0.0">
                  <c:v>6</c:v>
                </c:pt>
                <c:pt idx="3">
                  <c:v>6.7</c:v>
                </c:pt>
                <c:pt idx="4">
                  <c:v>0.4</c:v>
                </c:pt>
                <c:pt idx="5">
                  <c:v>5.0999999999999996</c:v>
                </c:pt>
                <c:pt idx="6">
                  <c:v>8.1999999999999993</c:v>
                </c:pt>
                <c:pt idx="7">
                  <c:v>-3.1</c:v>
                </c:pt>
                <c:pt idx="8">
                  <c:v>12.8</c:v>
                </c:pt>
                <c:pt idx="9">
                  <c:v>15.3</c:v>
                </c:pt>
              </c:numCache>
            </c:numRef>
          </c:val>
          <c:smooth val="0"/>
        </c:ser>
        <c:ser>
          <c:idx val="1"/>
          <c:order val="1"/>
          <c:tx>
            <c:strRef>
              <c:f>工作表1!$C$1</c:f>
              <c:strCache>
                <c:ptCount val="1"/>
                <c:pt idx="0">
                  <c:v>勞工保險</c:v>
                </c:pt>
              </c:strCache>
            </c:strRef>
          </c:tx>
          <c:spPr>
            <a:ln>
              <a:solidFill>
                <a:schemeClr val="accent6">
                  <a:lumMod val="75000"/>
                </a:schemeClr>
              </a:solidFill>
            </a:ln>
          </c:spPr>
          <c:marker>
            <c:symbol val="none"/>
          </c:marker>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工作表1!$C$2:$C$11</c:f>
              <c:numCache>
                <c:formatCode>General</c:formatCode>
                <c:ptCount val="10"/>
                <c:pt idx="0" formatCode="0.0">
                  <c:v>-3</c:v>
                </c:pt>
                <c:pt idx="1">
                  <c:v>6.3</c:v>
                </c:pt>
                <c:pt idx="2">
                  <c:v>6.4</c:v>
                </c:pt>
                <c:pt idx="3">
                  <c:v>5.6</c:v>
                </c:pt>
                <c:pt idx="4">
                  <c:v>-0.6</c:v>
                </c:pt>
                <c:pt idx="5" formatCode="0.0">
                  <c:v>4</c:v>
                </c:pt>
                <c:pt idx="6">
                  <c:v>7.9</c:v>
                </c:pt>
                <c:pt idx="7">
                  <c:v>-2.2000000000000002</c:v>
                </c:pt>
                <c:pt idx="8">
                  <c:v>13.3</c:v>
                </c:pt>
                <c:pt idx="9">
                  <c:v>8.8000000000000007</c:v>
                </c:pt>
              </c:numCache>
            </c:numRef>
          </c:val>
          <c:smooth val="0"/>
        </c:ser>
        <c:ser>
          <c:idx val="2"/>
          <c:order val="2"/>
          <c:tx>
            <c:strRef>
              <c:f>工作表1!$D$1</c:f>
              <c:strCache>
                <c:ptCount val="1"/>
                <c:pt idx="0">
                  <c:v>國民年金保險</c:v>
                </c:pt>
              </c:strCache>
            </c:strRef>
          </c:tx>
          <c:spPr>
            <a:ln>
              <a:solidFill>
                <a:schemeClr val="accent1"/>
              </a:solidFill>
            </a:ln>
          </c:spPr>
          <c:marker>
            <c:symbol val="none"/>
          </c:marker>
          <c:cat>
            <c:strRef>
              <c:f>工作表1!$A$2:$A$11</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工作表1!$D$2:$D$11</c:f>
              <c:numCache>
                <c:formatCode>General</c:formatCode>
                <c:ptCount val="10"/>
                <c:pt idx="0">
                  <c:v>-3.7</c:v>
                </c:pt>
                <c:pt idx="1">
                  <c:v>5.0999999999999996</c:v>
                </c:pt>
                <c:pt idx="2">
                  <c:v>4.0999999999999996</c:v>
                </c:pt>
                <c:pt idx="3">
                  <c:v>6.1</c:v>
                </c:pt>
                <c:pt idx="4">
                  <c:v>-0.5</c:v>
                </c:pt>
                <c:pt idx="5">
                  <c:v>4.3</c:v>
                </c:pt>
                <c:pt idx="6" formatCode="0.0">
                  <c:v>8</c:v>
                </c:pt>
                <c:pt idx="7">
                  <c:v>-2.2999999999999998</c:v>
                </c:pt>
                <c:pt idx="8" formatCode="0.0">
                  <c:v>12</c:v>
                </c:pt>
                <c:pt idx="9">
                  <c:v>8.8000000000000007</c:v>
                </c:pt>
              </c:numCache>
            </c:numRef>
          </c:val>
          <c:smooth val="0"/>
        </c:ser>
        <c:dLbls>
          <c:showLegendKey val="0"/>
          <c:showVal val="0"/>
          <c:showCatName val="0"/>
          <c:showSerName val="0"/>
          <c:showPercent val="0"/>
          <c:showBubbleSize val="0"/>
        </c:dLbls>
        <c:marker val="1"/>
        <c:smooth val="0"/>
        <c:axId val="257403904"/>
        <c:axId val="318480960"/>
      </c:lineChart>
      <c:catAx>
        <c:axId val="257403904"/>
        <c:scaling>
          <c:orientation val="minMax"/>
        </c:scaling>
        <c:delete val="0"/>
        <c:axPos val="b"/>
        <c:majorTickMark val="out"/>
        <c:minorTickMark val="none"/>
        <c:tickLblPos val="nextTo"/>
        <c:crossAx val="318480960"/>
        <c:crosses val="autoZero"/>
        <c:auto val="1"/>
        <c:lblAlgn val="ctr"/>
        <c:lblOffset val="100"/>
        <c:noMultiLvlLbl val="0"/>
      </c:catAx>
      <c:valAx>
        <c:axId val="318480960"/>
        <c:scaling>
          <c:orientation val="minMax"/>
        </c:scaling>
        <c:delete val="0"/>
        <c:axPos val="l"/>
        <c:majorGridlines>
          <c:spPr>
            <a:ln>
              <a:solidFill>
                <a:schemeClr val="bg1">
                  <a:lumMod val="85000"/>
                </a:schemeClr>
              </a:solidFill>
            </a:ln>
          </c:spPr>
        </c:majorGridlines>
        <c:title>
          <c:tx>
            <c:rich>
              <a:bodyPr rot="0" vert="wordArtVertRtl"/>
              <a:lstStyle/>
              <a:p>
                <a:pPr>
                  <a:defRPr>
                    <a:latin typeface="+mn-ea"/>
                    <a:ea typeface="+mn-ea"/>
                  </a:defRPr>
                </a:pPr>
                <a:r>
                  <a:rPr lang="zh-TW">
                    <a:latin typeface="+mn-ea"/>
                    <a:ea typeface="+mn-ea"/>
                  </a:rPr>
                  <a:t>收益率</a:t>
                </a:r>
                <a:r>
                  <a:rPr lang="en-US">
                    <a:latin typeface="+mn-ea"/>
                    <a:ea typeface="+mn-ea"/>
                  </a:rPr>
                  <a:t>(%)</a:t>
                </a:r>
                <a:endParaRPr lang="zh-TW">
                  <a:latin typeface="+mn-ea"/>
                  <a:ea typeface="+mn-ea"/>
                </a:endParaRPr>
              </a:p>
            </c:rich>
          </c:tx>
          <c:layout>
            <c:manualLayout>
              <c:xMode val="edge"/>
              <c:yMode val="edge"/>
              <c:x val="6.7058441301218491E-2"/>
              <c:y val="0.16409963010774489"/>
            </c:manualLayout>
          </c:layout>
          <c:overlay val="0"/>
        </c:title>
        <c:numFmt formatCode="General" sourceLinked="1"/>
        <c:majorTickMark val="out"/>
        <c:minorTickMark val="none"/>
        <c:tickLblPos val="nextTo"/>
        <c:spPr>
          <a:ln>
            <a:noFill/>
          </a:ln>
        </c:spPr>
        <c:txPr>
          <a:bodyPr/>
          <a:lstStyle/>
          <a:p>
            <a:pPr>
              <a:defRPr sz="1000">
                <a:latin typeface="微軟正黑體" pitchFamily="34" charset="-120"/>
                <a:ea typeface="微軟正黑體" pitchFamily="34" charset="-120"/>
              </a:defRPr>
            </a:pPr>
            <a:endParaRPr lang="zh-TW"/>
          </a:p>
        </c:txPr>
        <c:crossAx val="257403904"/>
        <c:crosses val="autoZero"/>
        <c:crossBetween val="between"/>
      </c:valAx>
      <c:dTable>
        <c:showHorzBorder val="1"/>
        <c:showVertBorder val="1"/>
        <c:showOutline val="1"/>
        <c:showKeys val="0"/>
        <c:txPr>
          <a:bodyPr/>
          <a:lstStyle/>
          <a:p>
            <a:pPr rtl="0">
              <a:defRPr sz="1000">
                <a:latin typeface="微軟正黑體" pitchFamily="34" charset="-120"/>
                <a:ea typeface="微軟正黑體" pitchFamily="34" charset="-120"/>
              </a:defRPr>
            </a:pPr>
            <a:endParaRPr lang="zh-TW"/>
          </a:p>
        </c:txPr>
      </c:dTable>
    </c:plotArea>
    <c:legend>
      <c:legendPos val="t"/>
      <c:layout>
        <c:manualLayout>
          <c:xMode val="edge"/>
          <c:yMode val="edge"/>
          <c:x val="0.1962962962962963"/>
          <c:y val="1.6836195965366927E-2"/>
          <c:w val="0.6274691358024691"/>
          <c:h val="7.5951350022083697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txPr>
    <a:bodyPr/>
    <a:lstStyle/>
    <a:p>
      <a:pPr>
        <a:defRPr sz="1000"/>
      </a:pPr>
      <a:endParaRPr lang="zh-TW"/>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1566371450833596E-2"/>
          <c:y val="0.12268406823019061"/>
          <c:w val="0.87953327003662152"/>
          <c:h val="0.83202663697978874"/>
        </c:manualLayout>
      </c:layout>
      <c:pie3DChart>
        <c:varyColors val="1"/>
        <c:ser>
          <c:idx val="0"/>
          <c:order val="0"/>
          <c:explosion val="25"/>
          <c:dPt>
            <c:idx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E1C0-4249-946B-E27406C1C800}"/>
              </c:ext>
            </c:extLst>
          </c:dPt>
          <c:dLbls>
            <c:dLbl>
              <c:idx val="0"/>
              <c:layout>
                <c:manualLayout>
                  <c:x val="-0.13784453126477492"/>
                  <c:y val="-0.26934105663639007"/>
                </c:manualLayout>
              </c:layout>
              <c:tx>
                <c:rich>
                  <a:bodyPr/>
                  <a:lstStyle/>
                  <a:p>
                    <a:r>
                      <a:rPr lang="zh-TW" altLang="en-US"/>
                      <a:t>月退休金</a:t>
                    </a:r>
                    <a:r>
                      <a:rPr lang="en-US" altLang="zh-TW"/>
                      <a:t>(</a:t>
                    </a:r>
                    <a:r>
                      <a:rPr lang="zh-TW" altLang="en-US"/>
                      <a:t>退休俸</a:t>
                    </a:r>
                    <a:r>
                      <a:rPr lang="en-US" altLang="zh-TW"/>
                      <a:t>), 33</a:t>
                    </a:r>
                    <a:r>
                      <a:rPr lang="zh-TW" altLang="en-US"/>
                      <a:t>萬</a:t>
                    </a:r>
                    <a:r>
                      <a:rPr lang="en-US" altLang="zh-TW"/>
                      <a:t>8,327</a:t>
                    </a:r>
                    <a:r>
                      <a:rPr lang="zh-TW" altLang="en-US"/>
                      <a:t>人</a:t>
                    </a:r>
                    <a:r>
                      <a:rPr lang="en-US" altLang="zh-TW"/>
                      <a:t> , 93.2%</a:t>
                    </a:r>
                  </a:p>
                </c:rich>
              </c:tx>
              <c:showLegendKey val="0"/>
              <c:showVal val="1"/>
              <c:showCatName val="1"/>
              <c:showSerName val="0"/>
              <c:showPercent val="1"/>
              <c:showBubbleSize val="0"/>
            </c:dLbl>
            <c:dLbl>
              <c:idx val="1"/>
              <c:layout>
                <c:manualLayout>
                  <c:x val="-0.13497108083699111"/>
                  <c:y val="4.4042253001573342E-2"/>
                </c:manualLayout>
              </c:layout>
              <c:tx>
                <c:rich>
                  <a:bodyPr/>
                  <a:lstStyle/>
                  <a:p>
                    <a:r>
                      <a:rPr lang="zh-TW" altLang="en-US"/>
                      <a:t>遺屬年金
</a:t>
                    </a:r>
                    <a:r>
                      <a:rPr lang="en-US" altLang="zh-TW"/>
                      <a:t>(</a:t>
                    </a:r>
                    <a:r>
                      <a:rPr lang="zh-TW" altLang="en-US"/>
                      <a:t>月撫慰金、退休俸半數</a:t>
                    </a:r>
                    <a:r>
                      <a:rPr lang="en-US" altLang="zh-TW"/>
                      <a:t>), </a:t>
                    </a:r>
                  </a:p>
                  <a:p>
                    <a:r>
                      <a:rPr lang="en-US" altLang="zh-TW"/>
                      <a:t>1</a:t>
                    </a:r>
                    <a:r>
                      <a:rPr lang="zh-TW" altLang="en-US"/>
                      <a:t>萬</a:t>
                    </a:r>
                    <a:r>
                      <a:rPr lang="en-US" altLang="zh-TW"/>
                      <a:t>8,989</a:t>
                    </a:r>
                    <a:r>
                      <a:rPr lang="zh-TW" altLang="en-US"/>
                      <a:t>人</a:t>
                    </a:r>
                    <a:r>
                      <a:rPr lang="en-US" altLang="zh-TW"/>
                      <a:t> , 5.2%</a:t>
                    </a:r>
                    <a:endParaRPr lang="zh-TW" altLang="en-US"/>
                  </a:p>
                </c:rich>
              </c:tx>
              <c:showLegendKey val="0"/>
              <c:showVal val="1"/>
              <c:showCatName val="1"/>
              <c:showSerName val="0"/>
              <c:showPercent val="1"/>
              <c:showBubbleSize val="0"/>
            </c:dLbl>
            <c:dLbl>
              <c:idx val="2"/>
              <c:layout>
                <c:manualLayout>
                  <c:x val="6.0382732823677759E-2"/>
                  <c:y val="1.1574074074074073E-3"/>
                </c:manualLayout>
              </c:layout>
              <c:tx>
                <c:rich>
                  <a:bodyPr/>
                  <a:lstStyle/>
                  <a:p>
                    <a:r>
                      <a:rPr lang="zh-TW" altLang="en-US"/>
                      <a:t>年</a:t>
                    </a:r>
                    <a:r>
                      <a:rPr lang="en-US" altLang="zh-TW"/>
                      <a:t>(</a:t>
                    </a:r>
                    <a:r>
                      <a:rPr lang="zh-TW" altLang="en-US"/>
                      <a:t>月</a:t>
                    </a:r>
                    <a:r>
                      <a:rPr lang="en-US" altLang="zh-TW"/>
                      <a:t>)</a:t>
                    </a:r>
                    <a:r>
                      <a:rPr lang="zh-TW" altLang="en-US"/>
                      <a:t>撫卹金</a:t>
                    </a:r>
                    <a:r>
                      <a:rPr lang="en-US" altLang="zh-TW"/>
                      <a:t>, 5,636</a:t>
                    </a:r>
                    <a:r>
                      <a:rPr lang="zh-TW" altLang="en-US"/>
                      <a:t>人</a:t>
                    </a:r>
                    <a:r>
                      <a:rPr lang="en-US" altLang="zh-TW"/>
                      <a:t> , 1.6%</a:t>
                    </a:r>
                    <a:endParaRPr lang="zh-TW" altLang="en-US"/>
                  </a:p>
                </c:rich>
              </c:tx>
              <c:showLegendKey val="0"/>
              <c:showVal val="1"/>
              <c:showCatName val="1"/>
              <c:showSerName val="0"/>
              <c:showPercent val="1"/>
              <c:showBubbleSize val="0"/>
            </c:dLbl>
            <c:dLbl>
              <c:idx val="3"/>
              <c:layout>
                <c:manualLayout>
                  <c:x val="0.25109020017006445"/>
                  <c:y val="8.3714766180677511E-2"/>
                </c:manualLayout>
              </c:layout>
              <c:tx>
                <c:rich>
                  <a:bodyPr/>
                  <a:lstStyle/>
                  <a:p>
                    <a:r>
                      <a:rPr lang="zh-TW" altLang="en-US"/>
                      <a:t>其他</a:t>
                    </a:r>
                    <a:r>
                      <a:rPr lang="en-US" altLang="zh-TW"/>
                      <a:t>, 127</a:t>
                    </a:r>
                    <a:r>
                      <a:rPr lang="zh-TW" altLang="en-US"/>
                      <a:t>人</a:t>
                    </a:r>
                    <a:r>
                      <a:rPr lang="en-US" altLang="zh-TW"/>
                      <a:t> , 0.0%</a:t>
                    </a:r>
                    <a:endParaRPr lang="zh-TW" altLang="en-US"/>
                  </a:p>
                </c:rich>
              </c:tx>
              <c:showLegendKey val="0"/>
              <c:showVal val="1"/>
              <c:showCatName val="1"/>
              <c:showSerName val="0"/>
              <c:showPercent val="1"/>
              <c:showBubbleSize val="0"/>
            </c:dLbl>
            <c:numFmt formatCode="0.0%" sourceLinked="0"/>
            <c:txPr>
              <a:bodyPr/>
              <a:lstStyle/>
              <a:p>
                <a:pPr>
                  <a:lnSpc>
                    <a:spcPts val="1500"/>
                  </a:lnSpc>
                  <a:defRPr>
                    <a:latin typeface="微軟正黑體" pitchFamily="34" charset="-120"/>
                    <a:ea typeface="微軟正黑體" pitchFamily="34" charset="-120"/>
                  </a:defRPr>
                </a:pPr>
                <a:endParaRPr lang="zh-TW"/>
              </a:p>
            </c:txPr>
            <c:showLegendKey val="0"/>
            <c:showVal val="1"/>
            <c:showCatName val="1"/>
            <c:showSerName val="0"/>
            <c:showPercent val="1"/>
            <c:showBubbleSize val="0"/>
            <c:showLeaderLines val="1"/>
          </c:dLbls>
          <c:cat>
            <c:strRef>
              <c:f>'2.5定期退撫給與發放人數及金額'!$J$26:$M$26</c:f>
              <c:strCache>
                <c:ptCount val="4"/>
                <c:pt idx="0">
                  <c:v>月退休金(退休俸)</c:v>
                </c:pt>
                <c:pt idx="1">
                  <c:v>遺屬年金
(月撫慰金、退休俸半數)</c:v>
                </c:pt>
                <c:pt idx="2">
                  <c:v>年(月)撫卹金</c:v>
                </c:pt>
                <c:pt idx="3">
                  <c:v>其他</c:v>
                </c:pt>
              </c:strCache>
            </c:strRef>
          </c:cat>
          <c:val>
            <c:numRef>
              <c:f>'2.5定期退撫給與發放人數及金額'!$J$33:$M$33</c:f>
              <c:numCache>
                <c:formatCode>#,##0_ </c:formatCode>
                <c:ptCount val="4"/>
                <c:pt idx="0">
                  <c:v>338327</c:v>
                </c:pt>
                <c:pt idx="1">
                  <c:v>18989</c:v>
                </c:pt>
                <c:pt idx="2">
                  <c:v>5636</c:v>
                </c:pt>
                <c:pt idx="3">
                  <c:v>127</c:v>
                </c:pt>
              </c:numCache>
            </c:numRef>
          </c:val>
          <c:extLst xmlns:c16r2="http://schemas.microsoft.com/office/drawing/2015/06/chart">
            <c:ext xmlns:c16="http://schemas.microsoft.com/office/drawing/2014/chart" uri="{C3380CC4-5D6E-409C-BE32-E72D297353CC}">
              <c16:uniqueId val="{00000005-E1C0-4249-946B-E27406C1C800}"/>
            </c:ext>
          </c:extLst>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88012880440428"/>
          <c:y val="7.3226556093857975E-2"/>
          <c:w val="0.86261738146048861"/>
          <c:h val="0.73147411638127147"/>
        </c:manualLayout>
      </c:layout>
      <c:lineChart>
        <c:grouping val="standard"/>
        <c:varyColors val="0"/>
        <c:ser>
          <c:idx val="0"/>
          <c:order val="0"/>
          <c:tx>
            <c:v>公務人員</c:v>
          </c:tx>
          <c:dLbls>
            <c:spPr>
              <a:noFill/>
              <a:ln>
                <a:noFill/>
              </a:ln>
              <a:effectLst/>
            </c:spPr>
            <c:txPr>
              <a:bodyPr/>
              <a:lstStyle/>
              <a:p>
                <a:pPr>
                  <a:defRPr sz="900"/>
                </a:pPr>
                <a:endParaRPr lang="zh-TW"/>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'3.1基金收支概況'!$O$26:$Y$26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'3.1基金收支概況'!$O$29:$Y$29</c:f>
              <c:numCache>
                <c:formatCode>0.0_);[Red]\(0.0\)</c:formatCode>
                <c:ptCount val="10"/>
                <c:pt idx="0">
                  <c:v>61.37213222898189</c:v>
                </c:pt>
                <c:pt idx="1">
                  <c:v>73.249259232492591</c:v>
                </c:pt>
                <c:pt idx="2">
                  <c:v>84.877996190749997</c:v>
                </c:pt>
                <c:pt idx="3">
                  <c:v>96.499320603590064</c:v>
                </c:pt>
                <c:pt idx="4">
                  <c:v>109.79949065604934</c:v>
                </c:pt>
                <c:pt idx="5">
                  <c:v>124.8920241865822</c:v>
                </c:pt>
                <c:pt idx="6">
                  <c:v>136.01767388825544</c:v>
                </c:pt>
                <c:pt idx="7">
                  <c:v>143.4</c:v>
                </c:pt>
                <c:pt idx="8" formatCode="0.0_ ">
                  <c:v>145.30000000000001</c:v>
                </c:pt>
                <c:pt idx="9" formatCode="0.0_ ">
                  <c:v>123.9</c:v>
                </c:pt>
              </c:numCache>
            </c:numRef>
          </c:val>
          <c:smooth val="0"/>
          <c:extLst xmlns:c16r2="http://schemas.microsoft.com/office/drawing/2015/06/chart">
            <c:ext xmlns:c16="http://schemas.microsoft.com/office/drawing/2014/chart" uri="{C3380CC4-5D6E-409C-BE32-E72D297353CC}">
              <c16:uniqueId val="{00000000-EA7D-4E66-A2D8-4BDE479B05D8}"/>
            </c:ext>
          </c:extLst>
        </c:ser>
        <c:ser>
          <c:idx val="1"/>
          <c:order val="1"/>
          <c:tx>
            <c:v>教育人員</c:v>
          </c:tx>
          <c:dLbls>
            <c:dLbl>
              <c:idx val="0"/>
              <c:layout>
                <c:manualLayout>
                  <c:x val="-4.4735143501084117E-2"/>
                  <c:y val="-4.394685039370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7D-4E66-A2D8-4BDE479B05D8}"/>
                </c:ext>
              </c:extLst>
            </c:dLbl>
            <c:dLbl>
              <c:idx val="1"/>
              <c:layout>
                <c:manualLayout>
                  <c:x val="-3.9572100022823235E-2"/>
                  <c:y val="-4.8576480023330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7D-4E66-A2D8-4BDE479B05D8}"/>
                </c:ext>
              </c:extLst>
            </c:dLbl>
            <c:dLbl>
              <c:idx val="2"/>
              <c:layout>
                <c:manualLayout>
                  <c:x val="-4.4735143501084103E-2"/>
                  <c:y val="-4.394685039370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7D-4E66-A2D8-4BDE479B05D8}"/>
                </c:ext>
              </c:extLst>
            </c:dLbl>
            <c:dLbl>
              <c:idx val="3"/>
              <c:layout>
                <c:manualLayout>
                  <c:x val="-4.4735143501084103E-2"/>
                  <c:y val="-4.3946850393700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7D-4E66-A2D8-4BDE479B05D8}"/>
                </c:ext>
              </c:extLst>
            </c:dLbl>
            <c:dLbl>
              <c:idx val="4"/>
              <c:layout>
                <c:manualLayout>
                  <c:x val="-4.4735143501084103E-2"/>
                  <c:y val="-3.9317220764071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A7D-4E66-A2D8-4BDE479B05D8}"/>
                </c:ext>
              </c:extLst>
            </c:dLbl>
            <c:dLbl>
              <c:idx val="5"/>
              <c:layout>
                <c:manualLayout>
                  <c:x val="-4.2470650747460918E-2"/>
                  <c:y val="-4.85764800233304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A7D-4E66-A2D8-4BDE479B05D8}"/>
                </c:ext>
              </c:extLst>
            </c:dLbl>
            <c:dLbl>
              <c:idx val="6"/>
              <c:layout>
                <c:manualLayout>
                  <c:x val="-3.5043114515576859E-2"/>
                  <c:y val="-3.46875911344415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A7D-4E66-A2D8-4BDE479B05D8}"/>
                </c:ext>
              </c:extLst>
            </c:dLbl>
            <c:dLbl>
              <c:idx val="7"/>
              <c:layout>
                <c:manualLayout>
                  <c:x val="-4.4735143501084103E-2"/>
                  <c:y val="-3.46875911344415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A7D-4E66-A2D8-4BDE479B05D8}"/>
                </c:ext>
              </c:extLst>
            </c:dLbl>
            <c:dLbl>
              <c:idx val="8"/>
              <c:layout>
                <c:manualLayout>
                  <c:x val="-4.4735143501084103E-2"/>
                  <c:y val="-3.9317220764071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A7D-4E66-A2D8-4BDE479B05D8}"/>
                </c:ext>
              </c:extLst>
            </c:dLbl>
            <c:dLbl>
              <c:idx val="9"/>
              <c:layout>
                <c:manualLayout>
                  <c:x val="-3.9572100022823152E-2"/>
                  <c:y val="-3.9317220764071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A7D-4E66-A2D8-4BDE479B05D8}"/>
                </c:ext>
              </c:extLst>
            </c:dLbl>
            <c:dLbl>
              <c:idx val="10"/>
              <c:layout>
                <c:manualLayout>
                  <c:x val="-4.4735143501084103E-2"/>
                  <c:y val="-3.93172207640711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A7D-4E66-A2D8-4BDE479B05D8}"/>
                </c:ext>
              </c:extLst>
            </c:dLbl>
            <c:spPr>
              <a:noFill/>
              <a:ln>
                <a:noFill/>
              </a:ln>
              <a:effectLst/>
            </c:spPr>
            <c:txPr>
              <a:bodyPr/>
              <a:lstStyle/>
              <a:p>
                <a:pPr>
                  <a:defRPr sz="900"/>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'3.1基金收支概況'!$O$26:$Y$26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'3.1基金收支概況'!$O$32:$Y$32</c:f>
              <c:numCache>
                <c:formatCode>0.0_);[Red]\(0.0\)</c:formatCode>
                <c:ptCount val="10"/>
                <c:pt idx="0">
                  <c:v>75.438927694921659</c:v>
                </c:pt>
                <c:pt idx="1">
                  <c:v>84.90286085222796</c:v>
                </c:pt>
                <c:pt idx="2">
                  <c:v>94.110891634893662</c:v>
                </c:pt>
                <c:pt idx="3">
                  <c:v>102.13869676010194</c:v>
                </c:pt>
                <c:pt idx="4">
                  <c:v>113.23462621491507</c:v>
                </c:pt>
                <c:pt idx="5">
                  <c:v>127.23501253704126</c:v>
                </c:pt>
                <c:pt idx="6">
                  <c:v>141.93710806975787</c:v>
                </c:pt>
                <c:pt idx="7">
                  <c:v>150.41902505374929</c:v>
                </c:pt>
                <c:pt idx="8" formatCode="0.0_ ">
                  <c:v>158</c:v>
                </c:pt>
                <c:pt idx="9" formatCode="#,##0.0_ ">
                  <c:v>121.7</c:v>
                </c:pt>
              </c:numCache>
            </c:numRef>
          </c:val>
          <c:smooth val="0"/>
          <c:extLst xmlns:c16r2="http://schemas.microsoft.com/office/drawing/2015/06/chart">
            <c:ext xmlns:c16="http://schemas.microsoft.com/office/drawing/2014/chart" uri="{C3380CC4-5D6E-409C-BE32-E72D297353CC}">
              <c16:uniqueId val="{0000000C-EA7D-4E66-A2D8-4BDE479B05D8}"/>
            </c:ext>
          </c:extLst>
        </c:ser>
        <c:ser>
          <c:idx val="2"/>
          <c:order val="2"/>
          <c:tx>
            <c:v>軍職人員</c:v>
          </c:tx>
          <c:dLbls>
            <c:dLbl>
              <c:idx val="7"/>
              <c:layout>
                <c:manualLayout>
                  <c:x val="-3.4128080452757607E-2"/>
                  <c:y val="-4.755277446199583E-2"/>
                </c:manualLayout>
              </c:layout>
              <c:dLblPos val="r"/>
              <c:showLegendKey val="0"/>
              <c:showVal val="1"/>
              <c:showCatName val="0"/>
              <c:showSerName val="0"/>
              <c:showPercent val="0"/>
              <c:showBubbleSize val="0"/>
            </c:dLbl>
            <c:dLbl>
              <c:idx val="9"/>
              <c:layout>
                <c:manualLayout>
                  <c:x val="-1.5647779197091888E-2"/>
                  <c:y val="-2.04298303094105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A7D-4E66-A2D8-4BDE479B05D8}"/>
                </c:ext>
              </c:extLst>
            </c:dLbl>
            <c:spPr>
              <a:noFill/>
              <a:ln>
                <a:noFill/>
              </a:ln>
              <a:effectLst/>
            </c:spPr>
            <c:txPr>
              <a:bodyPr/>
              <a:lstStyle/>
              <a:p>
                <a:pPr>
                  <a:defRPr sz="900" b="0">
                    <a:solidFill>
                      <a:schemeClr val="tx1"/>
                    </a:solidFill>
                  </a:defRPr>
                </a:pPr>
                <a:endParaRPr lang="zh-TW"/>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'3.1基金收支概況'!$O$26:$Y$26</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'3.1基金收支概況'!$O$35:$Y$35</c:f>
              <c:numCache>
                <c:formatCode>0.0_);[Red]\(0.0\)</c:formatCode>
                <c:ptCount val="10"/>
                <c:pt idx="0">
                  <c:v>107.28181719378327</c:v>
                </c:pt>
                <c:pt idx="1">
                  <c:v>117.96022437531872</c:v>
                </c:pt>
                <c:pt idx="2">
                  <c:v>141.08751941998966</c:v>
                </c:pt>
                <c:pt idx="3">
                  <c:v>139.85798085828961</c:v>
                </c:pt>
                <c:pt idx="4">
                  <c:v>147.38126716159869</c:v>
                </c:pt>
                <c:pt idx="5">
                  <c:v>161.5</c:v>
                </c:pt>
                <c:pt idx="6">
                  <c:v>177.85371824951542</c:v>
                </c:pt>
                <c:pt idx="7">
                  <c:v>102.86213677081058</c:v>
                </c:pt>
                <c:pt idx="8" formatCode="General">
                  <c:v>51.1</c:v>
                </c:pt>
                <c:pt idx="9" formatCode="General">
                  <c:v>52.5</c:v>
                </c:pt>
              </c:numCache>
            </c:numRef>
          </c:val>
          <c:smooth val="0"/>
          <c:extLst xmlns:c16r2="http://schemas.microsoft.com/office/drawing/2015/06/chart">
            <c:ext xmlns:c16="http://schemas.microsoft.com/office/drawing/2014/chart" uri="{C3380CC4-5D6E-409C-BE32-E72D297353CC}">
              <c16:uniqueId val="{0000000E-EA7D-4E66-A2D8-4BDE479B05D8}"/>
            </c:ext>
          </c:extLst>
        </c:ser>
        <c:dLbls>
          <c:showLegendKey val="0"/>
          <c:showVal val="0"/>
          <c:showCatName val="0"/>
          <c:showSerName val="0"/>
          <c:showPercent val="0"/>
          <c:showBubbleSize val="0"/>
        </c:dLbls>
        <c:marker val="1"/>
        <c:smooth val="0"/>
        <c:axId val="321171968"/>
        <c:axId val="320822016"/>
      </c:lineChart>
      <c:catAx>
        <c:axId val="321171968"/>
        <c:scaling>
          <c:orientation val="minMax"/>
        </c:scaling>
        <c:delete val="0"/>
        <c:axPos val="b"/>
        <c:numFmt formatCode="General" sourceLinked="1"/>
        <c:majorTickMark val="out"/>
        <c:minorTickMark val="none"/>
        <c:tickLblPos val="nextTo"/>
        <c:crossAx val="320822016"/>
        <c:crosses val="autoZero"/>
        <c:auto val="1"/>
        <c:lblAlgn val="ctr"/>
        <c:lblOffset val="100"/>
        <c:noMultiLvlLbl val="0"/>
      </c:catAx>
      <c:valAx>
        <c:axId val="320822016"/>
        <c:scaling>
          <c:orientation val="minMax"/>
          <c:max val="180"/>
        </c:scaling>
        <c:delete val="0"/>
        <c:axPos val="l"/>
        <c:majorGridlines>
          <c:spPr>
            <a:ln>
              <a:noFill/>
            </a:ln>
          </c:spPr>
        </c:majorGridlines>
        <c:title>
          <c:tx>
            <c:rich>
              <a:bodyPr rot="0" vert="wordArtVertRtl"/>
              <a:lstStyle/>
              <a:p>
                <a:pPr>
                  <a:defRPr b="1"/>
                </a:pPr>
                <a:r>
                  <a:rPr lang="zh-TW" altLang="en-US" b="1"/>
                  <a:t>支出占收入比率</a:t>
                </a:r>
                <a:r>
                  <a:rPr lang="en-US" altLang="zh-TW" b="1"/>
                  <a:t>(%)</a:t>
                </a:r>
                <a:endParaRPr lang="zh-TW" altLang="en-US" b="1"/>
              </a:p>
            </c:rich>
          </c:tx>
          <c:layout>
            <c:manualLayout>
              <c:xMode val="edge"/>
              <c:yMode val="edge"/>
              <c:x val="4.0355125100887809E-3"/>
              <c:y val="0.14706219362415987"/>
            </c:manualLayout>
          </c:layout>
          <c:overlay val="0"/>
        </c:title>
        <c:numFmt formatCode="#,##0_);[Red]\(#,##0\)" sourceLinked="0"/>
        <c:majorTickMark val="out"/>
        <c:minorTickMark val="none"/>
        <c:tickLblPos val="nextTo"/>
        <c:crossAx val="321171968"/>
        <c:crosses val="autoZero"/>
        <c:crossBetween val="between"/>
      </c:valAx>
    </c:plotArea>
    <c:legend>
      <c:legendPos val="b"/>
      <c:layout>
        <c:manualLayout>
          <c:xMode val="edge"/>
          <c:yMode val="edge"/>
          <c:x val="0.20542012335712631"/>
          <c:y val="0.91351505468117922"/>
          <c:w val="0.58914170273717115"/>
          <c:h val="8.1952927196133118E-2"/>
        </c:manualLayout>
      </c:layout>
      <c:overlay val="0"/>
    </c:legend>
    <c:plotVisOnly val="1"/>
    <c:dispBlanksAs val="gap"/>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94709369194019"/>
          <c:y val="5.1400554097404488E-2"/>
          <c:w val="0.85349730160134496"/>
          <c:h val="0.76511400906081861"/>
        </c:manualLayout>
      </c:layout>
      <c:barChart>
        <c:barDir val="col"/>
        <c:grouping val="stacked"/>
        <c:varyColors val="0"/>
        <c:ser>
          <c:idx val="1"/>
          <c:order val="1"/>
          <c:tx>
            <c:v>整體收益率</c:v>
          </c:tx>
          <c:spPr>
            <a:solidFill>
              <a:schemeClr val="accent2">
                <a:lumMod val="40000"/>
                <a:lumOff val="60000"/>
              </a:schemeClr>
            </a:solidFill>
          </c:spPr>
          <c:invertIfNegative val="0"/>
          <c:dLbls>
            <c:dLbl>
              <c:idx val="0"/>
              <c:layout>
                <c:manualLayout>
                  <c:x val="0"/>
                  <c:y val="-0.14427274715660535"/>
                </c:manualLayout>
              </c:layout>
              <c:dLblPos val="ctr"/>
              <c:showLegendKey val="0"/>
              <c:showVal val="1"/>
              <c:showCatName val="0"/>
              <c:showSerName val="0"/>
              <c:showPercent val="0"/>
              <c:showBubbleSize val="0"/>
            </c:dLbl>
            <c:dLbl>
              <c:idx val="1"/>
              <c:layout>
                <c:manualLayout>
                  <c:x val="-3.5020284221673535E-17"/>
                  <c:y val="-0.14315069991251095"/>
                </c:manualLayout>
              </c:layout>
              <c:dLblPos val="ctr"/>
              <c:showLegendKey val="0"/>
              <c:showVal val="1"/>
              <c:showCatName val="0"/>
              <c:showSerName val="0"/>
              <c:showPercent val="0"/>
              <c:showBubbleSize val="0"/>
            </c:dLbl>
            <c:dLbl>
              <c:idx val="2"/>
              <c:layout>
                <c:manualLayout>
                  <c:x val="1.9102193879446505E-3"/>
                  <c:y val="-0.18692840478273551"/>
                </c:manualLayout>
              </c:layout>
              <c:dLblPos val="ctr"/>
              <c:showLegendKey val="0"/>
              <c:showVal val="1"/>
              <c:showCatName val="0"/>
              <c:showSerName val="0"/>
              <c:showPercent val="0"/>
              <c:showBubbleSize val="0"/>
            </c:dLbl>
            <c:dLbl>
              <c:idx val="3"/>
              <c:layout>
                <c:manualLayout>
                  <c:x val="0"/>
                  <c:y val="-0.18074605600839216"/>
                </c:manualLayout>
              </c:layout>
              <c:dLblPos val="ctr"/>
              <c:showLegendKey val="0"/>
              <c:showVal val="1"/>
              <c:showCatName val="0"/>
              <c:showSerName val="0"/>
              <c:showPercent val="0"/>
              <c:showBubbleSize val="0"/>
            </c:dLbl>
            <c:dLbl>
              <c:idx val="4"/>
              <c:layout>
                <c:manualLayout>
                  <c:x val="1.9102193879446505E-3"/>
                  <c:y val="-6.062044327792359E-2"/>
                </c:manualLayout>
              </c:layout>
              <c:dLblPos val="ctr"/>
              <c:showLegendKey val="0"/>
              <c:showVal val="1"/>
              <c:showCatName val="0"/>
              <c:showSerName val="0"/>
              <c:showPercent val="0"/>
              <c:showBubbleSize val="0"/>
            </c:dLbl>
            <c:dLbl>
              <c:idx val="5"/>
              <c:layout>
                <c:manualLayout>
                  <c:x val="-7.004056844334707E-17"/>
                  <c:y val="-0.1270636482939633"/>
                </c:manualLayout>
              </c:layout>
              <c:dLblPos val="ctr"/>
              <c:showLegendKey val="0"/>
              <c:showVal val="1"/>
              <c:showCatName val="0"/>
              <c:showSerName val="0"/>
              <c:showPercent val="0"/>
              <c:showBubbleSize val="0"/>
            </c:dLbl>
            <c:dLbl>
              <c:idx val="6"/>
              <c:layout>
                <c:manualLayout>
                  <c:x val="0"/>
                  <c:y val="-0.17965988626421697"/>
                </c:manualLayout>
              </c:layout>
              <c:dLblPos val="ctr"/>
              <c:showLegendKey val="0"/>
              <c:showVal val="1"/>
              <c:showCatName val="0"/>
              <c:showSerName val="0"/>
              <c:showPercent val="0"/>
              <c:showBubbleSize val="0"/>
            </c:dLbl>
            <c:dLbl>
              <c:idx val="7"/>
              <c:layout>
                <c:manualLayout>
                  <c:x val="0"/>
                  <c:y val="-5.5215077282006413E-2"/>
                </c:manualLayout>
              </c:layout>
              <c:dLblPos val="ctr"/>
              <c:showLegendKey val="0"/>
              <c:showVal val="1"/>
              <c:showCatName val="0"/>
              <c:showSerName val="0"/>
              <c:showPercent val="0"/>
              <c:showBubbleSize val="0"/>
            </c:dLbl>
            <c:dLbl>
              <c:idx val="8"/>
              <c:layout>
                <c:manualLayout>
                  <c:x val="1.9102193879446505E-3"/>
                  <c:y val="-0.23427602799650044"/>
                </c:manualLayout>
              </c:layout>
              <c:dLblPos val="ctr"/>
              <c:showLegendKey val="0"/>
              <c:showVal val="1"/>
              <c:showCatName val="0"/>
              <c:showSerName val="0"/>
              <c:showPercent val="0"/>
              <c:showBubbleSize val="0"/>
            </c:dLbl>
            <c:dLbl>
              <c:idx val="9"/>
              <c:layout>
                <c:manualLayout>
                  <c:x val="0"/>
                  <c:y val="-0.19450495771361914"/>
                </c:manualLayout>
              </c:layout>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strRef>
              <c:f>'3.2基金運用效益'!$I$8:$I$17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'3.2基金運用效益'!$M$8:$M$17</c:f>
              <c:numCache>
                <c:formatCode>0.0_ </c:formatCode>
                <c:ptCount val="10"/>
                <c:pt idx="0">
                  <c:v>-5.9803088200754297</c:v>
                </c:pt>
                <c:pt idx="1">
                  <c:v>6.1709617359695699</c:v>
                </c:pt>
                <c:pt idx="2">
                  <c:v>8.2988081071656605</c:v>
                </c:pt>
                <c:pt idx="3">
                  <c:v>6.5027564325238698</c:v>
                </c:pt>
                <c:pt idx="4">
                  <c:v>-1.93673920560459</c:v>
                </c:pt>
                <c:pt idx="5">
                  <c:v>4.29</c:v>
                </c:pt>
                <c:pt idx="6" formatCode="#,##0.0_ ">
                  <c:v>7.1488277562531763</c:v>
                </c:pt>
                <c:pt idx="7" formatCode="#,##0.0_ ">
                  <c:v>-1.1396586642533251</c:v>
                </c:pt>
                <c:pt idx="8" formatCode="#,##0.0_ ">
                  <c:v>10.620701528334289</c:v>
                </c:pt>
                <c:pt idx="9" formatCode="#,##0.0_ ">
                  <c:v>8.4589844283799085</c:v>
                </c:pt>
              </c:numCache>
            </c:numRef>
          </c:val>
          <c:extLst xmlns:c16r2="http://schemas.microsoft.com/office/drawing/2015/06/chart">
            <c:ext xmlns:c16="http://schemas.microsoft.com/office/drawing/2014/chart" uri="{C3380CC4-5D6E-409C-BE32-E72D297353CC}">
              <c16:uniqueId val="{0000000A-FFE0-4A48-BC2A-CB2816F51EA8}"/>
            </c:ext>
          </c:extLst>
        </c:ser>
        <c:dLbls>
          <c:showLegendKey val="0"/>
          <c:showVal val="0"/>
          <c:showCatName val="0"/>
          <c:showSerName val="0"/>
          <c:showPercent val="0"/>
          <c:showBubbleSize val="0"/>
        </c:dLbls>
        <c:gapWidth val="150"/>
        <c:overlap val="100"/>
        <c:axId val="321175040"/>
        <c:axId val="322257472"/>
      </c:barChart>
      <c:lineChart>
        <c:grouping val="standard"/>
        <c:varyColors val="0"/>
        <c:ser>
          <c:idx val="0"/>
          <c:order val="0"/>
          <c:tx>
            <c:v>已實現收益率</c:v>
          </c:tx>
          <c:marker>
            <c:symbol val="none"/>
          </c:marker>
          <c:dLbls>
            <c:dLbl>
              <c:idx val="3"/>
              <c:layout>
                <c:manualLayout>
                  <c:x val="-2.8333366674432887E-2"/>
                  <c:y val="-4.6770924467774859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strRef>
              <c:f>'3.2基金運用效益'!$I$8:$I$17</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'3.2基金運用效益'!$K$8:$K$17</c:f>
              <c:numCache>
                <c:formatCode>0.0_ </c:formatCode>
                <c:ptCount val="10"/>
                <c:pt idx="0">
                  <c:v>1.4446559052543699</c:v>
                </c:pt>
                <c:pt idx="1">
                  <c:v>2.2073283229887402</c:v>
                </c:pt>
                <c:pt idx="2">
                  <c:v>3.9957746478649998</c:v>
                </c:pt>
                <c:pt idx="3">
                  <c:v>4.5991290915378498</c:v>
                </c:pt>
                <c:pt idx="4">
                  <c:v>2.3377787036377802</c:v>
                </c:pt>
                <c:pt idx="5">
                  <c:v>2.0099999999999998</c:v>
                </c:pt>
                <c:pt idx="6" formatCode="#,##0.0_ ">
                  <c:v>3.8169772863065208</c:v>
                </c:pt>
                <c:pt idx="7" formatCode="#,##0.0_ ">
                  <c:v>3.16</c:v>
                </c:pt>
                <c:pt idx="8" formatCode="#,##0.0_ ">
                  <c:v>3.6</c:v>
                </c:pt>
                <c:pt idx="9" formatCode="#,##0.0_ ">
                  <c:v>2.31</c:v>
                </c:pt>
              </c:numCache>
            </c:numRef>
          </c:val>
          <c:smooth val="0"/>
          <c:extLst xmlns:c16r2="http://schemas.microsoft.com/office/drawing/2015/06/chart">
            <c:ext xmlns:c16="http://schemas.microsoft.com/office/drawing/2014/chart" uri="{C3380CC4-5D6E-409C-BE32-E72D297353CC}">
              <c16:uniqueId val="{0000000E-FFE0-4A48-BC2A-CB2816F51EA8}"/>
            </c:ext>
          </c:extLst>
        </c:ser>
        <c:dLbls>
          <c:showLegendKey val="0"/>
          <c:showVal val="0"/>
          <c:showCatName val="0"/>
          <c:showSerName val="0"/>
          <c:showPercent val="0"/>
          <c:showBubbleSize val="0"/>
        </c:dLbls>
        <c:marker val="1"/>
        <c:smooth val="0"/>
        <c:axId val="321175040"/>
        <c:axId val="322257472"/>
      </c:lineChart>
      <c:catAx>
        <c:axId val="321175040"/>
        <c:scaling>
          <c:orientation val="minMax"/>
        </c:scaling>
        <c:delete val="0"/>
        <c:axPos val="b"/>
        <c:numFmt formatCode="General" sourceLinked="0"/>
        <c:majorTickMark val="out"/>
        <c:minorTickMark val="none"/>
        <c:tickLblPos val="nextTo"/>
        <c:crossAx val="322257472"/>
        <c:crossesAt val="-25"/>
        <c:auto val="1"/>
        <c:lblAlgn val="ctr"/>
        <c:lblOffset val="100"/>
        <c:noMultiLvlLbl val="0"/>
      </c:catAx>
      <c:valAx>
        <c:axId val="322257472"/>
        <c:scaling>
          <c:orientation val="minMax"/>
        </c:scaling>
        <c:delete val="0"/>
        <c:axPos val="l"/>
        <c:majorGridlines/>
        <c:title>
          <c:tx>
            <c:rich>
              <a:bodyPr rot="0" vert="wordArtVertRtl"/>
              <a:lstStyle/>
              <a:p>
                <a:pPr>
                  <a:defRPr>
                    <a:latin typeface="+mn-ea"/>
                    <a:ea typeface="+mn-ea"/>
                  </a:defRPr>
                </a:pPr>
                <a:r>
                  <a:rPr lang="zh-TW" altLang="en-US">
                    <a:latin typeface="+mn-ea"/>
                    <a:ea typeface="+mn-ea"/>
                  </a:rPr>
                  <a:t>收益率</a:t>
                </a:r>
                <a:r>
                  <a:rPr lang="en-US" altLang="zh-TW">
                    <a:latin typeface="+mn-ea"/>
                    <a:ea typeface="+mn-ea"/>
                  </a:rPr>
                  <a:t>(%)</a:t>
                </a:r>
                <a:endParaRPr lang="zh-TW" altLang="en-US">
                  <a:latin typeface="+mn-ea"/>
                  <a:ea typeface="+mn-ea"/>
                </a:endParaRPr>
              </a:p>
            </c:rich>
          </c:tx>
          <c:layout>
            <c:manualLayout>
              <c:xMode val="edge"/>
              <c:yMode val="edge"/>
              <c:x val="9.3333333333333341E-3"/>
              <c:y val="0.2632939632545932"/>
            </c:manualLayout>
          </c:layout>
          <c:overlay val="0"/>
        </c:title>
        <c:numFmt formatCode="0_ " sourceLinked="0"/>
        <c:majorTickMark val="out"/>
        <c:minorTickMark val="none"/>
        <c:tickLblPos val="nextTo"/>
        <c:crossAx val="321175040"/>
        <c:crossesAt val="1"/>
        <c:crossBetween val="between"/>
      </c:valAx>
    </c:plotArea>
    <c:legend>
      <c:legendPos val="b"/>
      <c:layout>
        <c:manualLayout>
          <c:xMode val="edge"/>
          <c:yMode val="edge"/>
          <c:x val="0.23666674333881244"/>
          <c:y val="0.92296308706092589"/>
          <c:w val="0.52666666666666662"/>
          <c:h val="7.4457932341790614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027107450463863"/>
          <c:y val="0.23824642240575544"/>
          <c:w val="0.60635052911603471"/>
          <c:h val="0.5793113093483635"/>
        </c:manualLayout>
      </c:layout>
      <c:pie3DChart>
        <c:varyColors val="1"/>
        <c:ser>
          <c:idx val="0"/>
          <c:order val="0"/>
          <c:explosion val="25"/>
          <c:dPt>
            <c:idx val="0"/>
            <c:bubble3D val="0"/>
            <c:spPr>
              <a:solidFill>
                <a:schemeClr val="accent6">
                  <a:lumMod val="40000"/>
                  <a:lumOff val="60000"/>
                </a:schemeClr>
              </a:solidFill>
            </c:spPr>
          </c:dPt>
          <c:dPt>
            <c:idx val="1"/>
            <c:bubble3D val="0"/>
            <c:spPr>
              <a:solidFill>
                <a:schemeClr val="accent6">
                  <a:lumMod val="40000"/>
                  <a:lumOff val="60000"/>
                </a:schemeClr>
              </a:solidFill>
            </c:spPr>
          </c:dPt>
          <c:dPt>
            <c:idx val="2"/>
            <c:bubble3D val="0"/>
            <c:spPr>
              <a:solidFill>
                <a:schemeClr val="accent6">
                  <a:lumMod val="40000"/>
                  <a:lumOff val="60000"/>
                </a:schemeClr>
              </a:solidFill>
            </c:spPr>
          </c:dPt>
          <c:dPt>
            <c:idx val="3"/>
            <c:bubble3D val="0"/>
            <c:spPr>
              <a:solidFill>
                <a:schemeClr val="accent6">
                  <a:lumMod val="40000"/>
                  <a:lumOff val="60000"/>
                </a:schemeClr>
              </a:solidFill>
            </c:spPr>
          </c:dPt>
          <c:dPt>
            <c:idx val="4"/>
            <c:bubble3D val="0"/>
            <c:spPr>
              <a:solidFill>
                <a:schemeClr val="accent6">
                  <a:lumMod val="40000"/>
                  <a:lumOff val="60000"/>
                </a:schemeClr>
              </a:solidFill>
            </c:spPr>
          </c:dPt>
          <c:dPt>
            <c:idx val="5"/>
            <c:bubble3D val="0"/>
            <c:spPr>
              <a:solidFill>
                <a:schemeClr val="accent6">
                  <a:lumMod val="40000"/>
                  <a:lumOff val="60000"/>
                </a:schemeClr>
              </a:solidFill>
            </c:spPr>
          </c:dPt>
          <c:dPt>
            <c:idx val="6"/>
            <c:bubble3D val="0"/>
            <c:spPr>
              <a:solidFill>
                <a:schemeClr val="accent6">
                  <a:lumMod val="40000"/>
                  <a:lumOff val="60000"/>
                </a:schemeClr>
              </a:solidFill>
            </c:spPr>
          </c:dPt>
          <c:dPt>
            <c:idx val="7"/>
            <c:bubble3D val="0"/>
            <c:spPr>
              <a:solidFill>
                <a:schemeClr val="accent6">
                  <a:lumMod val="40000"/>
                  <a:lumOff val="60000"/>
                </a:schemeClr>
              </a:solidFill>
            </c:spPr>
          </c:dPt>
          <c:dPt>
            <c:idx val="8"/>
            <c:bubble3D val="0"/>
            <c:spPr>
              <a:solidFill>
                <a:schemeClr val="accent6"/>
              </a:solidFill>
            </c:spPr>
          </c:dPt>
          <c:dPt>
            <c:idx val="9"/>
            <c:bubble3D val="0"/>
            <c:spPr>
              <a:solidFill>
                <a:schemeClr val="accent6"/>
              </a:solidFill>
            </c:spPr>
          </c:dPt>
          <c:dLbls>
            <c:dLbl>
              <c:idx val="0"/>
              <c:layout>
                <c:manualLayout>
                  <c:x val="-2.9745049790341031E-2"/>
                  <c:y val="-2.7160158924973781E-3"/>
                </c:manualLayout>
              </c:layout>
              <c:tx>
                <c:rich>
                  <a:bodyPr/>
                  <a:lstStyle/>
                  <a:p>
                    <a:r>
                      <a:rPr lang="zh-TW" altLang="en-US">
                        <a:latin typeface="微軟正黑體" pitchFamily="34" charset="-120"/>
                        <a:ea typeface="微軟正黑體" pitchFamily="34" charset="-120"/>
                        <a:sym typeface="Wingdings"/>
                      </a:rPr>
                      <a:t>國內債券</a:t>
                    </a:r>
                    <a:r>
                      <a:rPr lang="en-US" altLang="zh-TW">
                        <a:latin typeface="微軟正黑體" pitchFamily="34" charset="-120"/>
                        <a:ea typeface="微軟正黑體" pitchFamily="34" charset="-120"/>
                        <a:sym typeface="Wingdings"/>
                      </a:rPr>
                      <a:t>,</a:t>
                    </a:r>
                  </a:p>
                  <a:p>
                    <a:r>
                      <a:rPr lang="en-US" altLang="zh-TW">
                        <a:latin typeface="微軟正黑體" pitchFamily="34" charset="-120"/>
                        <a:ea typeface="微軟正黑體" pitchFamily="34" charset="-120"/>
                        <a:sym typeface="Wingdings"/>
                      </a:rPr>
                      <a:t> 501.7</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 ,</a:t>
                    </a:r>
                  </a:p>
                  <a:p>
                    <a:r>
                      <a:rPr lang="en-US" altLang="zh-TW">
                        <a:latin typeface="微軟正黑體" pitchFamily="34" charset="-120"/>
                        <a:ea typeface="微軟正黑體" pitchFamily="34" charset="-120"/>
                        <a:sym typeface="Wingdings"/>
                      </a:rPr>
                      <a:t>7.8%</a:t>
                    </a:r>
                    <a:endParaRPr lang="en-US" altLang="zh-TW"/>
                  </a:p>
                </c:rich>
              </c:tx>
              <c:showLegendKey val="0"/>
              <c:showVal val="1"/>
              <c:showCatName val="1"/>
              <c:showSerName val="0"/>
              <c:showPercent val="1"/>
              <c:showBubbleSize val="0"/>
            </c:dLbl>
            <c:dLbl>
              <c:idx val="1"/>
              <c:layout>
                <c:manualLayout>
                  <c:x val="3.830213453669392E-2"/>
                  <c:y val="-0.1127530043538658"/>
                </c:manualLayout>
              </c:layout>
              <c:tx>
                <c:rich>
                  <a:bodyPr/>
                  <a:lstStyle/>
                  <a:p>
                    <a:r>
                      <a:rPr lang="zh-TW" altLang="en-US">
                        <a:latin typeface="微軟正黑體" pitchFamily="34" charset="-120"/>
                        <a:ea typeface="微軟正黑體" pitchFamily="34" charset="-120"/>
                        <a:sym typeface="Wingdings"/>
                      </a:rPr>
                      <a:t>國外債券</a:t>
                    </a:r>
                    <a:r>
                      <a:rPr lang="en-US" altLang="zh-TW">
                        <a:latin typeface="微軟正黑體" pitchFamily="34" charset="-120"/>
                        <a:ea typeface="微軟正黑體" pitchFamily="34" charset="-120"/>
                        <a:sym typeface="Wingdings"/>
                      </a:rPr>
                      <a:t>,</a:t>
                    </a:r>
                  </a:p>
                  <a:p>
                    <a:r>
                      <a:rPr lang="en-US" altLang="zh-TW">
                        <a:latin typeface="微軟正黑體" pitchFamily="34" charset="-120"/>
                        <a:ea typeface="微軟正黑體" pitchFamily="34" charset="-120"/>
                        <a:sym typeface="Wingdings"/>
                      </a:rPr>
                      <a:t>733.4</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 ,</a:t>
                    </a:r>
                  </a:p>
                  <a:p>
                    <a:r>
                      <a:rPr lang="en-US" altLang="zh-TW">
                        <a:latin typeface="微軟正黑體" pitchFamily="34" charset="-120"/>
                        <a:ea typeface="微軟正黑體" pitchFamily="34" charset="-120"/>
                        <a:sym typeface="Wingdings"/>
                      </a:rPr>
                      <a:t>11.5%</a:t>
                    </a:r>
                    <a:endParaRPr lang="en-US" altLang="zh-TW"/>
                  </a:p>
                </c:rich>
              </c:tx>
              <c:showLegendKey val="0"/>
              <c:showVal val="1"/>
              <c:showCatName val="1"/>
              <c:showSerName val="0"/>
              <c:showPercent val="1"/>
              <c:showBubbleSize val="0"/>
            </c:dLbl>
            <c:dLbl>
              <c:idx val="2"/>
              <c:layout>
                <c:manualLayout>
                  <c:x val="6.2415135608048997E-2"/>
                  <c:y val="-0.10278032954214057"/>
                </c:manualLayout>
              </c:layout>
              <c:tx>
                <c:rich>
                  <a:bodyPr/>
                  <a:lstStyle/>
                  <a:p>
                    <a:r>
                      <a:rPr lang="zh-TW" altLang="en-US">
                        <a:latin typeface="微軟正黑體" pitchFamily="34" charset="-120"/>
                        <a:ea typeface="微軟正黑體" pitchFamily="34" charset="-120"/>
                        <a:sym typeface="Wingdings"/>
                      </a:rPr>
                      <a:t>臺幣銀行存款</a:t>
                    </a:r>
                    <a:r>
                      <a:rPr lang="en-US" altLang="zh-TW">
                        <a:latin typeface="微軟正黑體" pitchFamily="34" charset="-120"/>
                        <a:ea typeface="微軟正黑體" pitchFamily="34" charset="-120"/>
                        <a:sym typeface="Wingdings"/>
                      </a:rPr>
                      <a:t>,</a:t>
                    </a:r>
                  </a:p>
                  <a:p>
                    <a:r>
                      <a:rPr lang="en-US" altLang="zh-TW">
                        <a:latin typeface="微軟正黑體" pitchFamily="34" charset="-120"/>
                        <a:ea typeface="微軟正黑體" pitchFamily="34" charset="-120"/>
                        <a:sym typeface="Wingdings"/>
                      </a:rPr>
                      <a:t> 455.9</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 ,</a:t>
                    </a:r>
                  </a:p>
                  <a:p>
                    <a:r>
                      <a:rPr lang="en-US" altLang="zh-TW">
                        <a:latin typeface="微軟正黑體" pitchFamily="34" charset="-120"/>
                        <a:ea typeface="微軟正黑體" pitchFamily="34" charset="-120"/>
                        <a:sym typeface="Wingdings"/>
                      </a:rPr>
                      <a:t>7.1%</a:t>
                    </a:r>
                    <a:endParaRPr lang="en-US" altLang="zh-TW"/>
                  </a:p>
                </c:rich>
              </c:tx>
              <c:showLegendKey val="0"/>
              <c:showVal val="1"/>
              <c:showCatName val="1"/>
              <c:showSerName val="0"/>
              <c:showPercent val="1"/>
              <c:showBubbleSize val="0"/>
            </c:dLbl>
            <c:dLbl>
              <c:idx val="3"/>
              <c:layout>
                <c:manualLayout>
                  <c:x val="-2.1371837461063573E-4"/>
                  <c:y val="-6.4425605193963106E-2"/>
                </c:manualLayout>
              </c:layout>
              <c:tx>
                <c:rich>
                  <a:bodyPr/>
                  <a:lstStyle/>
                  <a:p>
                    <a:r>
                      <a:rPr lang="zh-TW" altLang="en-US">
                        <a:latin typeface="微軟正黑體" pitchFamily="34" charset="-120"/>
                        <a:ea typeface="微軟正黑體" pitchFamily="34" charset="-120"/>
                        <a:sym typeface="Wingdings"/>
                      </a:rPr>
                      <a:t>外幣銀行存款</a:t>
                    </a:r>
                    <a:r>
                      <a:rPr lang="en-US" altLang="zh-TW">
                        <a:latin typeface="微軟正黑體" pitchFamily="34" charset="-120"/>
                        <a:ea typeface="微軟正黑體" pitchFamily="34" charset="-120"/>
                        <a:sym typeface="Wingdings"/>
                      </a:rPr>
                      <a:t>, </a:t>
                    </a:r>
                  </a:p>
                  <a:p>
                    <a:r>
                      <a:rPr lang="en-US" altLang="zh-TW">
                        <a:latin typeface="微軟正黑體" pitchFamily="34" charset="-120"/>
                        <a:ea typeface="微軟正黑體" pitchFamily="34" charset="-120"/>
                        <a:sym typeface="Wingdings"/>
                      </a:rPr>
                      <a:t>155.4</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a:t>
                    </a:r>
                  </a:p>
                  <a:p>
                    <a:r>
                      <a:rPr lang="en-US" altLang="zh-TW">
                        <a:latin typeface="微軟正黑體" pitchFamily="34" charset="-120"/>
                        <a:ea typeface="微軟正黑體" pitchFamily="34" charset="-120"/>
                        <a:sym typeface="Wingdings"/>
                      </a:rPr>
                      <a:t>2.4%</a:t>
                    </a:r>
                    <a:endParaRPr lang="zh-TW" altLang="en-US"/>
                  </a:p>
                </c:rich>
              </c:tx>
              <c:showLegendKey val="0"/>
              <c:showVal val="1"/>
              <c:showCatName val="1"/>
              <c:showSerName val="0"/>
              <c:showPercent val="1"/>
              <c:showBubbleSize val="0"/>
            </c:dLbl>
            <c:dLbl>
              <c:idx val="4"/>
              <c:layout>
                <c:manualLayout>
                  <c:x val="3.7175196850393805E-2"/>
                  <c:y val="0.11140419947506554"/>
                </c:manualLayout>
              </c:layout>
              <c:tx>
                <c:rich>
                  <a:bodyPr/>
                  <a:lstStyle/>
                  <a:p>
                    <a:r>
                      <a:rPr lang="zh-TW" altLang="en-US">
                        <a:latin typeface="微軟正黑體" pitchFamily="34" charset="-120"/>
                        <a:ea typeface="微軟正黑體" pitchFamily="34" charset="-120"/>
                        <a:sym typeface="Wingdings"/>
                      </a:rPr>
                      <a:t>國內短期票券及庫券</a:t>
                    </a:r>
                    <a:r>
                      <a:rPr lang="en-US" altLang="zh-TW">
                        <a:latin typeface="微軟正黑體" pitchFamily="34" charset="-120"/>
                        <a:ea typeface="微軟正黑體" pitchFamily="34" charset="-120"/>
                        <a:sym typeface="Wingdings"/>
                      </a:rPr>
                      <a:t>, 203.5</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 , 3.2%</a:t>
                    </a:r>
                    <a:endParaRPr lang="zh-TW" altLang="en-US"/>
                  </a:p>
                </c:rich>
              </c:tx>
              <c:showLegendKey val="0"/>
              <c:showVal val="1"/>
              <c:showCatName val="1"/>
              <c:showSerName val="0"/>
              <c:showPercent val="1"/>
              <c:showBubbleSize val="0"/>
            </c:dLbl>
            <c:dLbl>
              <c:idx val="5"/>
              <c:layout>
                <c:manualLayout>
                  <c:x val="-1.7433414645802212E-2"/>
                  <c:y val="6.7955018486604249E-2"/>
                </c:manualLayout>
              </c:layout>
              <c:tx>
                <c:rich>
                  <a:bodyPr/>
                  <a:lstStyle/>
                  <a:p>
                    <a:r>
                      <a:rPr lang="zh-TW" altLang="en-US">
                        <a:latin typeface="微軟正黑體" pitchFamily="34" charset="-120"/>
                        <a:ea typeface="微軟正黑體" pitchFamily="34" charset="-120"/>
                        <a:sym typeface="Wingdings"/>
                      </a:rPr>
                      <a:t>國內股票及指數股票型基金</a:t>
                    </a:r>
                    <a:r>
                      <a:rPr lang="en-US" altLang="zh-TW">
                        <a:latin typeface="微軟正黑體" pitchFamily="34" charset="-120"/>
                        <a:ea typeface="微軟正黑體" pitchFamily="34" charset="-120"/>
                        <a:sym typeface="Wingdings"/>
                      </a:rPr>
                      <a:t>, 997.2</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 , 15.6%</a:t>
                    </a:r>
                    <a:endParaRPr lang="en-US" altLang="zh-TW"/>
                  </a:p>
                </c:rich>
              </c:tx>
              <c:showLegendKey val="0"/>
              <c:showVal val="1"/>
              <c:showCatName val="1"/>
              <c:showSerName val="0"/>
              <c:showPercent val="1"/>
              <c:showBubbleSize val="0"/>
            </c:dLbl>
            <c:dLbl>
              <c:idx val="6"/>
              <c:layout>
                <c:manualLayout>
                  <c:x val="1.2055945526499849E-2"/>
                  <c:y val="1.1450381679389313E-2"/>
                </c:manualLayout>
              </c:layout>
              <c:tx>
                <c:rich>
                  <a:bodyPr/>
                  <a:lstStyle/>
                  <a:p>
                    <a:r>
                      <a:rPr lang="zh-TW" altLang="en-US">
                        <a:latin typeface="微軟正黑體" pitchFamily="34" charset="-120"/>
                        <a:ea typeface="微軟正黑體" pitchFamily="34" charset="-120"/>
                        <a:sym typeface="Wingdings"/>
                      </a:rPr>
                      <a:t>國內開放型受益</a:t>
                    </a:r>
                    <a:endParaRPr lang="en-US" altLang="zh-TW">
                      <a:latin typeface="微軟正黑體" pitchFamily="34" charset="-120"/>
                      <a:ea typeface="微軟正黑體" pitchFamily="34" charset="-120"/>
                      <a:sym typeface="Wingdings"/>
                    </a:endParaRPr>
                  </a:p>
                  <a:p>
                    <a:r>
                      <a:rPr lang="zh-TW" altLang="en-US">
                        <a:latin typeface="微軟正黑體" pitchFamily="34" charset="-120"/>
                        <a:ea typeface="微軟正黑體" pitchFamily="34" charset="-120"/>
                        <a:sym typeface="Wingdings"/>
                      </a:rPr>
                      <a:t>憑證</a:t>
                    </a:r>
                    <a:r>
                      <a:rPr lang="en-US" altLang="zh-TW">
                        <a:latin typeface="微軟正黑體" pitchFamily="34" charset="-120"/>
                        <a:ea typeface="微軟正黑體" pitchFamily="34" charset="-120"/>
                        <a:sym typeface="Wingdings"/>
                      </a:rPr>
                      <a:t>, 88.1</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 , 1.4%</a:t>
                    </a:r>
                    <a:endParaRPr lang="en-US" altLang="zh-TW"/>
                  </a:p>
                </c:rich>
              </c:tx>
              <c:showLegendKey val="0"/>
              <c:showVal val="1"/>
              <c:showCatName val="1"/>
              <c:showSerName val="0"/>
              <c:showPercent val="1"/>
              <c:showBubbleSize val="0"/>
            </c:dLbl>
            <c:dLbl>
              <c:idx val="7"/>
              <c:layout>
                <c:manualLayout>
                  <c:x val="-0.2903456526735359"/>
                  <c:y val="-1.6198833924385407E-4"/>
                </c:manualLayout>
              </c:layout>
              <c:tx>
                <c:rich>
                  <a:bodyPr/>
                  <a:lstStyle/>
                  <a:p>
                    <a:r>
                      <a:rPr lang="zh-TW" altLang="en-US">
                        <a:latin typeface="微軟正黑體" pitchFamily="34" charset="-120"/>
                        <a:ea typeface="微軟正黑體" pitchFamily="34" charset="-120"/>
                        <a:sym typeface="Wingdings"/>
                      </a:rPr>
                      <a:t>國外開放型受益憑證</a:t>
                    </a:r>
                    <a:r>
                      <a:rPr lang="en-US" altLang="zh-TW">
                        <a:latin typeface="微軟正黑體" pitchFamily="34" charset="-120"/>
                        <a:ea typeface="微軟正黑體" pitchFamily="34" charset="-120"/>
                        <a:sym typeface="Wingdings"/>
                      </a:rPr>
                      <a:t>, 159.3</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 , 2.5%</a:t>
                    </a:r>
                    <a:endParaRPr lang="en-US" altLang="zh-TW"/>
                  </a:p>
                </c:rich>
              </c:tx>
              <c:showLegendKey val="0"/>
              <c:showVal val="1"/>
              <c:showCatName val="1"/>
              <c:showSerName val="0"/>
              <c:showPercent val="1"/>
              <c:showBubbleSize val="0"/>
            </c:dLbl>
            <c:dLbl>
              <c:idx val="8"/>
              <c:layout>
                <c:manualLayout>
                  <c:x val="-7.647462817147857E-2"/>
                  <c:y val="-0.17246682706328384"/>
                </c:manualLayout>
              </c:layout>
              <c:tx>
                <c:rich>
                  <a:bodyPr/>
                  <a:lstStyle/>
                  <a:p>
                    <a:r>
                      <a:rPr lang="zh-TW" altLang="en-US">
                        <a:latin typeface="微軟正黑體" pitchFamily="34" charset="-120"/>
                        <a:ea typeface="微軟正黑體" pitchFamily="34" charset="-120"/>
                        <a:sym typeface="Wingdings"/>
                      </a:rPr>
                      <a:t>國內委託經營</a:t>
                    </a:r>
                    <a:r>
                      <a:rPr lang="en-US" altLang="zh-TW">
                        <a:latin typeface="微軟正黑體" pitchFamily="34" charset="-120"/>
                        <a:ea typeface="微軟正黑體" pitchFamily="34" charset="-120"/>
                        <a:sym typeface="Wingdings"/>
                      </a:rPr>
                      <a:t>,</a:t>
                    </a:r>
                  </a:p>
                  <a:p>
                    <a:r>
                      <a:rPr lang="en-US" altLang="zh-TW">
                        <a:latin typeface="微軟正黑體" pitchFamily="34" charset="-120"/>
                        <a:ea typeface="微軟正黑體" pitchFamily="34" charset="-120"/>
                        <a:sym typeface="Wingdings"/>
                      </a:rPr>
                      <a:t>979.2</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 ,</a:t>
                    </a:r>
                  </a:p>
                  <a:p>
                    <a:r>
                      <a:rPr lang="en-US" altLang="zh-TW">
                        <a:latin typeface="微軟正黑體" pitchFamily="34" charset="-120"/>
                        <a:ea typeface="微軟正黑體" pitchFamily="34" charset="-120"/>
                        <a:sym typeface="Wingdings"/>
                      </a:rPr>
                      <a:t>15.3%</a:t>
                    </a:r>
                    <a:endParaRPr lang="en-US" altLang="zh-TW"/>
                  </a:p>
                </c:rich>
              </c:tx>
              <c:showLegendKey val="0"/>
              <c:showVal val="1"/>
              <c:showCatName val="1"/>
              <c:showSerName val="0"/>
              <c:showPercent val="1"/>
              <c:showBubbleSize val="0"/>
            </c:dLbl>
            <c:dLbl>
              <c:idx val="9"/>
              <c:layout>
                <c:manualLayout>
                  <c:x val="2.1326088292452989E-2"/>
                  <c:y val="-4.2468293562541323E-2"/>
                </c:manualLayout>
              </c:layout>
              <c:tx>
                <c:rich>
                  <a:bodyPr/>
                  <a:lstStyle/>
                  <a:p>
                    <a:r>
                      <a:rPr lang="zh-TW" altLang="en-US">
                        <a:latin typeface="微軟正黑體" pitchFamily="34" charset="-120"/>
                        <a:ea typeface="微軟正黑體" pitchFamily="34" charset="-120"/>
                        <a:sym typeface="Wingdings"/>
                      </a:rPr>
                      <a:t>國外委託經營</a:t>
                    </a:r>
                    <a:r>
                      <a:rPr lang="en-US" altLang="zh-TW">
                        <a:latin typeface="微軟正黑體" pitchFamily="34" charset="-120"/>
                        <a:ea typeface="微軟正黑體" pitchFamily="34" charset="-120"/>
                        <a:sym typeface="Wingdings"/>
                      </a:rPr>
                      <a:t>,</a:t>
                    </a:r>
                  </a:p>
                  <a:p>
                    <a:r>
                      <a:rPr lang="en-US" altLang="zh-TW">
                        <a:latin typeface="微軟正黑體" pitchFamily="34" charset="-120"/>
                        <a:ea typeface="微軟正黑體" pitchFamily="34" charset="-120"/>
                        <a:sym typeface="Wingdings"/>
                      </a:rPr>
                      <a:t> 2,129.1</a:t>
                    </a:r>
                    <a:r>
                      <a:rPr lang="zh-TW" altLang="en-US">
                        <a:latin typeface="微軟正黑體" pitchFamily="34" charset="-120"/>
                        <a:ea typeface="微軟正黑體" pitchFamily="34" charset="-120"/>
                        <a:sym typeface="Wingdings"/>
                      </a:rPr>
                      <a:t>億元</a:t>
                    </a:r>
                    <a:r>
                      <a:rPr lang="en-US" altLang="zh-TW">
                        <a:latin typeface="微軟正黑體" pitchFamily="34" charset="-120"/>
                        <a:ea typeface="微軟正黑體" pitchFamily="34" charset="-120"/>
                        <a:sym typeface="Wingdings"/>
                      </a:rPr>
                      <a:t> ,</a:t>
                    </a:r>
                  </a:p>
                  <a:p>
                    <a:r>
                      <a:rPr lang="en-US" altLang="zh-TW">
                        <a:latin typeface="微軟正黑體" pitchFamily="34" charset="-120"/>
                        <a:ea typeface="微軟正黑體" pitchFamily="34" charset="-120"/>
                        <a:sym typeface="Wingdings"/>
                      </a:rPr>
                      <a:t>33.2%</a:t>
                    </a:r>
                    <a:endParaRPr lang="zh-TW" altLang="en-US"/>
                  </a:p>
                </c:rich>
              </c:tx>
              <c:showLegendKey val="0"/>
              <c:showVal val="1"/>
              <c:showCatName val="1"/>
              <c:showSerName val="0"/>
              <c:showPercent val="1"/>
              <c:showBubbleSize val="0"/>
            </c:dLbl>
            <c:numFmt formatCode="0.0%" sourceLinked="0"/>
            <c:txPr>
              <a:bodyPr/>
              <a:lstStyle/>
              <a:p>
                <a:pPr>
                  <a:lnSpc>
                    <a:spcPts val="1400"/>
                  </a:lnSpc>
                  <a:defRPr>
                    <a:latin typeface="微軟正黑體" pitchFamily="34" charset="-120"/>
                    <a:ea typeface="微軟正黑體" pitchFamily="34" charset="-120"/>
                  </a:defRPr>
                </a:pPr>
                <a:endParaRPr lang="zh-TW"/>
              </a:p>
            </c:txPr>
            <c:showLegendKey val="0"/>
            <c:showVal val="1"/>
            <c:showCatName val="1"/>
            <c:showSerName val="0"/>
            <c:showPercent val="1"/>
            <c:showBubbleSize val="0"/>
            <c:showLeaderLines val="1"/>
          </c:dLbls>
          <c:cat>
            <c:strRef>
              <c:f>'3.3基金資產配置'!$E$2:$N$2</c:f>
              <c:strCache>
                <c:ptCount val="10"/>
                <c:pt idx="0">
                  <c:v>國內債券</c:v>
                </c:pt>
                <c:pt idx="1">
                  <c:v>國外債券</c:v>
                </c:pt>
                <c:pt idx="2">
                  <c:v>台幣銀行存款</c:v>
                </c:pt>
                <c:pt idx="3">
                  <c:v>外幣銀行存款</c:v>
                </c:pt>
                <c:pt idx="4">
                  <c:v>國內短期票券及庫券</c:v>
                </c:pt>
                <c:pt idx="5">
                  <c:v>國內股票及指數股票型基金</c:v>
                </c:pt>
                <c:pt idx="6">
                  <c:v>國內開放型受益憑證</c:v>
                </c:pt>
                <c:pt idx="7">
                  <c:v>國外開放型受益憑證</c:v>
                </c:pt>
                <c:pt idx="8">
                  <c:v>國內委託經營</c:v>
                </c:pt>
                <c:pt idx="9">
                  <c:v>國外委託經營</c:v>
                </c:pt>
              </c:strCache>
            </c:strRef>
          </c:cat>
          <c:val>
            <c:numRef>
              <c:f>'3.3基金資產配置'!$E$6:$N$6</c:f>
              <c:numCache>
                <c:formatCode>#,##0.0_);[Red]\(#,##0.0\)</c:formatCode>
                <c:ptCount val="10"/>
                <c:pt idx="0">
                  <c:v>501.68</c:v>
                </c:pt>
                <c:pt idx="1">
                  <c:v>733.42</c:v>
                </c:pt>
                <c:pt idx="2">
                  <c:v>455.94</c:v>
                </c:pt>
                <c:pt idx="3">
                  <c:v>155.38</c:v>
                </c:pt>
                <c:pt idx="4">
                  <c:v>203.46</c:v>
                </c:pt>
                <c:pt idx="5">
                  <c:v>997.17</c:v>
                </c:pt>
                <c:pt idx="6">
                  <c:v>88.07</c:v>
                </c:pt>
                <c:pt idx="7">
                  <c:v>159.29</c:v>
                </c:pt>
                <c:pt idx="8">
                  <c:v>979.21</c:v>
                </c:pt>
                <c:pt idx="9">
                  <c:v>2129.09</c:v>
                </c:pt>
              </c:numCache>
            </c:numRef>
          </c:val>
        </c:ser>
        <c:ser>
          <c:idx val="1"/>
          <c:order val="1"/>
          <c:explosion val="25"/>
          <c:cat>
            <c:strRef>
              <c:f>'3.3基金資產配置'!$E$2:$N$2</c:f>
              <c:strCache>
                <c:ptCount val="10"/>
                <c:pt idx="0">
                  <c:v>國內債券</c:v>
                </c:pt>
                <c:pt idx="1">
                  <c:v>國外債券</c:v>
                </c:pt>
                <c:pt idx="2">
                  <c:v>台幣銀行存款</c:v>
                </c:pt>
                <c:pt idx="3">
                  <c:v>外幣銀行存款</c:v>
                </c:pt>
                <c:pt idx="4">
                  <c:v>國內短期票券及庫券</c:v>
                </c:pt>
                <c:pt idx="5">
                  <c:v>國內股票及指數股票型基金</c:v>
                </c:pt>
                <c:pt idx="6">
                  <c:v>國內開放型受益憑證</c:v>
                </c:pt>
                <c:pt idx="7">
                  <c:v>國外開放型受益憑證</c:v>
                </c:pt>
                <c:pt idx="8">
                  <c:v>國內委託經營</c:v>
                </c:pt>
                <c:pt idx="9">
                  <c:v>國外委託經營</c:v>
                </c:pt>
              </c:strCache>
            </c:strRef>
          </c:cat>
          <c:val>
            <c:numRef>
              <c:f>'3.3基金資產配置'!$E$7:$N$7</c:f>
              <c:numCache>
                <c:formatCode>0.0%</c:formatCode>
                <c:ptCount val="10"/>
                <c:pt idx="0">
                  <c:v>7.8354321841845084E-2</c:v>
                </c:pt>
                <c:pt idx="1">
                  <c:v>0.11454837092418677</c:v>
                </c:pt>
                <c:pt idx="2">
                  <c:v>7.1210471815840476E-2</c:v>
                </c:pt>
                <c:pt idx="3">
                  <c:v>2.4267849082654058E-2</c:v>
                </c:pt>
                <c:pt idx="4">
                  <c:v>3.1777169354851302E-2</c:v>
                </c:pt>
                <c:pt idx="5">
                  <c:v>0.15574186555380454</c:v>
                </c:pt>
                <c:pt idx="6">
                  <c:v>1.3755113069309712E-2</c:v>
                </c:pt>
                <c:pt idx="7">
                  <c:v>2.4878527998300714E-2</c:v>
                </c:pt>
                <c:pt idx="8">
                  <c:v>0.15293680332234319</c:v>
                </c:pt>
                <c:pt idx="9">
                  <c:v>0.33252950703686407</c:v>
                </c:pt>
              </c:numCache>
            </c:numRef>
          </c:val>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a:sym typeface="Wingdings"/>
        </a:defRPr>
      </a:pPr>
      <a:endParaRPr lang="zh-TW"/>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1150731158605188E-2"/>
          <c:y val="9.5607496015593985E-2"/>
          <c:w val="0.85555555555555551"/>
          <c:h val="0.84791217124947416"/>
        </c:manualLayout>
      </c:layout>
      <c:pie3DChart>
        <c:varyColors val="1"/>
        <c:ser>
          <c:idx val="0"/>
          <c:order val="0"/>
          <c:explosion val="25"/>
          <c:dPt>
            <c:idx val="0"/>
            <c:bubble3D val="0"/>
            <c:spPr>
              <a:solidFill>
                <a:schemeClr val="accent1">
                  <a:lumMod val="20000"/>
                  <a:lumOff val="80000"/>
                </a:schemeClr>
              </a:solidFill>
            </c:spPr>
          </c:dPt>
          <c:dPt>
            <c:idx val="1"/>
            <c:bubble3D val="0"/>
            <c:spPr>
              <a:solidFill>
                <a:schemeClr val="accent2">
                  <a:lumMod val="20000"/>
                  <a:lumOff val="80000"/>
                </a:schemeClr>
              </a:solidFill>
            </c:spPr>
          </c:dPt>
          <c:dPt>
            <c:idx val="3"/>
            <c:bubble3D val="0"/>
            <c:spPr>
              <a:solidFill>
                <a:schemeClr val="accent4">
                  <a:lumMod val="20000"/>
                  <a:lumOff val="80000"/>
                </a:schemeClr>
              </a:solidFill>
            </c:spPr>
          </c:dPt>
          <c:dLbls>
            <c:dLbl>
              <c:idx val="0"/>
              <c:layout>
                <c:manualLayout>
                  <c:x val="-0.18762768674185998"/>
                  <c:y val="7.9250792575659229E-2"/>
                </c:manualLayout>
              </c:layout>
              <c:tx>
                <c:rich>
                  <a:bodyPr/>
                  <a:lstStyle/>
                  <a:p>
                    <a:r>
                      <a:rPr lang="zh-TW" altLang="en-US" sz="1000">
                        <a:solidFill>
                          <a:schemeClr val="tx1"/>
                        </a:solidFill>
                        <a:latin typeface="微軟正黑體" pitchFamily="34" charset="-120"/>
                        <a:ea typeface="微軟正黑體" pitchFamily="34" charset="-120"/>
                      </a:rPr>
                      <a:t>大學院校</a:t>
                    </a:r>
                    <a:r>
                      <a:rPr lang="en-US" altLang="zh-TW" sz="1000">
                        <a:solidFill>
                          <a:schemeClr val="tx1"/>
                        </a:solidFill>
                        <a:latin typeface="微軟正黑體" pitchFamily="34" charset="-120"/>
                        <a:ea typeface="微軟正黑體" pitchFamily="34" charset="-120"/>
                      </a:rPr>
                      <a:t>,</a:t>
                    </a:r>
                  </a:p>
                  <a:p>
                    <a:r>
                      <a:rPr lang="en-US" altLang="zh-TW" sz="1000">
                        <a:solidFill>
                          <a:schemeClr val="tx1"/>
                        </a:solidFill>
                        <a:latin typeface="微軟正黑體" pitchFamily="34" charset="-120"/>
                        <a:ea typeface="微軟正黑體" pitchFamily="34" charset="-120"/>
                      </a:rPr>
                      <a:t> 1</a:t>
                    </a:r>
                    <a:r>
                      <a:rPr lang="zh-TW" altLang="zh-TW" sz="1000" b="0" i="0" u="none" strike="noStrike" baseline="0">
                        <a:solidFill>
                          <a:schemeClr val="tx1"/>
                        </a:solidFill>
                        <a:effectLst/>
                        <a:latin typeface="微軟正黑體" pitchFamily="34" charset="-120"/>
                        <a:ea typeface="微軟正黑體" pitchFamily="34" charset="-120"/>
                      </a:rPr>
                      <a:t>萬</a:t>
                    </a:r>
                    <a:r>
                      <a:rPr lang="en-US" altLang="zh-TW" sz="1000">
                        <a:solidFill>
                          <a:schemeClr val="tx1"/>
                        </a:solidFill>
                        <a:latin typeface="微軟正黑體" pitchFamily="34" charset="-120"/>
                        <a:ea typeface="微軟正黑體" pitchFamily="34" charset="-120"/>
                      </a:rPr>
                      <a:t>7,289</a:t>
                    </a:r>
                    <a:r>
                      <a:rPr lang="zh-TW" altLang="en-US" sz="1000">
                        <a:solidFill>
                          <a:schemeClr val="tx1"/>
                        </a:solidFill>
                        <a:latin typeface="微軟正黑體" pitchFamily="34" charset="-120"/>
                        <a:ea typeface="微軟正黑體" pitchFamily="34" charset="-120"/>
                      </a:rPr>
                      <a:t>人</a:t>
                    </a:r>
                    <a:r>
                      <a:rPr lang="en-US" altLang="zh-TW" sz="1000">
                        <a:solidFill>
                          <a:schemeClr val="tx1"/>
                        </a:solidFill>
                        <a:latin typeface="微軟正黑體" pitchFamily="34" charset="-120"/>
                        <a:ea typeface="微軟正黑體" pitchFamily="34" charset="-120"/>
                      </a:rPr>
                      <a:t> ,</a:t>
                    </a:r>
                  </a:p>
                  <a:p>
                    <a:r>
                      <a:rPr lang="en-US" altLang="zh-TW" sz="1000">
                        <a:solidFill>
                          <a:schemeClr val="tx1"/>
                        </a:solidFill>
                        <a:latin typeface="微軟正黑體" pitchFamily="34" charset="-120"/>
                        <a:ea typeface="微軟正黑體" pitchFamily="34" charset="-120"/>
                      </a:rPr>
                      <a:t> 34.4%</a:t>
                    </a:r>
                    <a:endParaRPr lang="en-US" altLang="zh-TW"/>
                  </a:p>
                </c:rich>
              </c:tx>
              <c:showLegendKey val="0"/>
              <c:showVal val="1"/>
              <c:showCatName val="1"/>
              <c:showSerName val="0"/>
              <c:showPercent val="1"/>
              <c:showBubbleSize val="0"/>
            </c:dLbl>
            <c:dLbl>
              <c:idx val="1"/>
              <c:layout>
                <c:manualLayout>
                  <c:x val="-6.6498900475278344E-2"/>
                  <c:y val="-0.18591787804857865"/>
                </c:manualLayout>
              </c:layout>
              <c:tx>
                <c:rich>
                  <a:bodyPr/>
                  <a:lstStyle/>
                  <a:p>
                    <a:r>
                      <a:rPr lang="zh-TW" altLang="en-US" sz="1000">
                        <a:solidFill>
                          <a:schemeClr val="tx1"/>
                        </a:solidFill>
                        <a:latin typeface="微軟正黑體" pitchFamily="34" charset="-120"/>
                        <a:ea typeface="微軟正黑體" pitchFamily="34" charset="-120"/>
                      </a:rPr>
                      <a:t>科技大學</a:t>
                    </a:r>
                    <a:r>
                      <a:rPr lang="en-US" altLang="zh-TW" sz="1000">
                        <a:solidFill>
                          <a:schemeClr val="tx1"/>
                        </a:solidFill>
                        <a:latin typeface="微軟正黑體" pitchFamily="34" charset="-120"/>
                        <a:ea typeface="微軟正黑體" pitchFamily="34" charset="-120"/>
                      </a:rPr>
                      <a:t>/</a:t>
                    </a:r>
                  </a:p>
                  <a:p>
                    <a:r>
                      <a:rPr lang="zh-TW" altLang="en-US" sz="1000">
                        <a:solidFill>
                          <a:schemeClr val="tx1"/>
                        </a:solidFill>
                        <a:latin typeface="微軟正黑體" pitchFamily="34" charset="-120"/>
                        <a:ea typeface="微軟正黑體" pitchFamily="34" charset="-120"/>
                      </a:rPr>
                      <a:t>技術學院</a:t>
                    </a:r>
                    <a:r>
                      <a:rPr lang="en-US" altLang="zh-TW" sz="1000">
                        <a:solidFill>
                          <a:schemeClr val="tx1"/>
                        </a:solidFill>
                        <a:latin typeface="微軟正黑體" pitchFamily="34" charset="-120"/>
                        <a:ea typeface="微軟正黑體" pitchFamily="34" charset="-120"/>
                      </a:rPr>
                      <a:t>,</a:t>
                    </a:r>
                  </a:p>
                  <a:p>
                    <a:r>
                      <a:rPr lang="en-US" altLang="zh-TW" sz="1000">
                        <a:solidFill>
                          <a:schemeClr val="tx1"/>
                        </a:solidFill>
                        <a:latin typeface="微軟正黑體" pitchFamily="34" charset="-120"/>
                        <a:ea typeface="微軟正黑體" pitchFamily="34" charset="-120"/>
                      </a:rPr>
                      <a:t>1</a:t>
                    </a:r>
                    <a:r>
                      <a:rPr lang="zh-TW" altLang="zh-TW" sz="1000" b="0" i="0" u="none" strike="noStrike" baseline="0">
                        <a:solidFill>
                          <a:schemeClr val="tx1"/>
                        </a:solidFill>
                        <a:effectLst/>
                        <a:latin typeface="微軟正黑體" pitchFamily="34" charset="-120"/>
                        <a:ea typeface="微軟正黑體" pitchFamily="34" charset="-120"/>
                      </a:rPr>
                      <a:t>萬</a:t>
                    </a:r>
                    <a:r>
                      <a:rPr lang="en-US" altLang="zh-TW" sz="1000">
                        <a:solidFill>
                          <a:schemeClr val="tx1"/>
                        </a:solidFill>
                        <a:latin typeface="微軟正黑體" pitchFamily="34" charset="-120"/>
                        <a:ea typeface="微軟正黑體" pitchFamily="34" charset="-120"/>
                      </a:rPr>
                      <a:t>3,822</a:t>
                    </a:r>
                    <a:r>
                      <a:rPr lang="zh-TW" altLang="en-US" sz="1000">
                        <a:solidFill>
                          <a:schemeClr val="tx1"/>
                        </a:solidFill>
                        <a:latin typeface="微軟正黑體" pitchFamily="34" charset="-120"/>
                        <a:ea typeface="微軟正黑體" pitchFamily="34" charset="-120"/>
                      </a:rPr>
                      <a:t>人</a:t>
                    </a:r>
                    <a:r>
                      <a:rPr lang="en-US" altLang="zh-TW" sz="1000">
                        <a:solidFill>
                          <a:schemeClr val="tx1"/>
                        </a:solidFill>
                        <a:latin typeface="微軟正黑體" pitchFamily="34" charset="-120"/>
                        <a:ea typeface="微軟正黑體" pitchFamily="34" charset="-120"/>
                      </a:rPr>
                      <a:t>,</a:t>
                    </a:r>
                  </a:p>
                  <a:p>
                    <a:r>
                      <a:rPr lang="en-US" altLang="zh-TW" sz="1000">
                        <a:solidFill>
                          <a:schemeClr val="tx1"/>
                        </a:solidFill>
                        <a:latin typeface="微軟正黑體" pitchFamily="34" charset="-120"/>
                        <a:ea typeface="微軟正黑體" pitchFamily="34" charset="-120"/>
                      </a:rPr>
                      <a:t>27.5%</a:t>
                    </a:r>
                    <a:endParaRPr lang="en-US" altLang="zh-TW"/>
                  </a:p>
                </c:rich>
              </c:tx>
              <c:showLegendKey val="0"/>
              <c:showVal val="1"/>
              <c:showCatName val="1"/>
              <c:showSerName val="0"/>
              <c:showPercent val="1"/>
              <c:showBubbleSize val="0"/>
            </c:dLbl>
            <c:dLbl>
              <c:idx val="2"/>
              <c:layout>
                <c:manualLayout>
                  <c:x val="1.1391401060798746E-3"/>
                  <c:y val="4.4326536447035318E-2"/>
                </c:manualLayout>
              </c:layout>
              <c:tx>
                <c:rich>
                  <a:bodyPr/>
                  <a:lstStyle/>
                  <a:p>
                    <a:r>
                      <a:rPr lang="zh-TW" altLang="en-US" sz="1000">
                        <a:solidFill>
                          <a:schemeClr val="tx1"/>
                        </a:solidFill>
                        <a:latin typeface="微軟正黑體" pitchFamily="34" charset="-120"/>
                        <a:ea typeface="微軟正黑體" pitchFamily="34" charset="-120"/>
                      </a:rPr>
                      <a:t>專科學校</a:t>
                    </a:r>
                    <a:r>
                      <a:rPr lang="en-US" altLang="zh-TW" sz="1000">
                        <a:solidFill>
                          <a:schemeClr val="tx1"/>
                        </a:solidFill>
                        <a:latin typeface="微軟正黑體" pitchFamily="34" charset="-120"/>
                        <a:ea typeface="微軟正黑體" pitchFamily="34" charset="-120"/>
                      </a:rPr>
                      <a:t>,</a:t>
                    </a:r>
                  </a:p>
                  <a:p>
                    <a:r>
                      <a:rPr lang="en-US" altLang="zh-TW" sz="1000">
                        <a:solidFill>
                          <a:schemeClr val="tx1"/>
                        </a:solidFill>
                        <a:latin typeface="微軟正黑體" pitchFamily="34" charset="-120"/>
                        <a:ea typeface="微軟正黑體" pitchFamily="34" charset="-120"/>
                      </a:rPr>
                      <a:t>1,343</a:t>
                    </a:r>
                    <a:r>
                      <a:rPr lang="zh-TW" altLang="en-US" sz="1000">
                        <a:solidFill>
                          <a:schemeClr val="tx1"/>
                        </a:solidFill>
                        <a:latin typeface="微軟正黑體" pitchFamily="34" charset="-120"/>
                        <a:ea typeface="微軟正黑體" pitchFamily="34" charset="-120"/>
                      </a:rPr>
                      <a:t>人</a:t>
                    </a:r>
                    <a:r>
                      <a:rPr lang="en-US" altLang="zh-TW" sz="1000">
                        <a:solidFill>
                          <a:schemeClr val="tx1"/>
                        </a:solidFill>
                        <a:latin typeface="微軟正黑體" pitchFamily="34" charset="-120"/>
                        <a:ea typeface="微軟正黑體" pitchFamily="34" charset="-120"/>
                      </a:rPr>
                      <a:t>,</a:t>
                    </a:r>
                  </a:p>
                  <a:p>
                    <a:r>
                      <a:rPr lang="en-US" altLang="zh-TW" sz="1000">
                        <a:solidFill>
                          <a:schemeClr val="tx1"/>
                        </a:solidFill>
                        <a:latin typeface="微軟正黑體" pitchFamily="34" charset="-120"/>
                        <a:ea typeface="微軟正黑體" pitchFamily="34" charset="-120"/>
                      </a:rPr>
                      <a:t>2.7%</a:t>
                    </a:r>
                    <a:endParaRPr lang="en-US" altLang="zh-TW"/>
                  </a:p>
                </c:rich>
              </c:tx>
              <c:showLegendKey val="0"/>
              <c:showVal val="1"/>
              <c:showCatName val="1"/>
              <c:showSerName val="0"/>
              <c:showPercent val="1"/>
              <c:showBubbleSize val="0"/>
            </c:dLbl>
            <c:dLbl>
              <c:idx val="3"/>
              <c:layout>
                <c:manualLayout>
                  <c:x val="0.11604791799673689"/>
                  <c:y val="-1.5062436666222791E-2"/>
                </c:manualLayout>
              </c:layout>
              <c:tx>
                <c:rich>
                  <a:bodyPr/>
                  <a:lstStyle/>
                  <a:p>
                    <a:r>
                      <a:rPr lang="zh-TW" altLang="en-US" sz="1000">
                        <a:solidFill>
                          <a:schemeClr val="tx1"/>
                        </a:solidFill>
                        <a:latin typeface="微軟正黑體" pitchFamily="34" charset="-120"/>
                        <a:ea typeface="微軟正黑體" pitchFamily="34" charset="-120"/>
                      </a:rPr>
                      <a:t>高中職</a:t>
                    </a:r>
                    <a:r>
                      <a:rPr lang="en-US" altLang="zh-TW" sz="1000">
                        <a:solidFill>
                          <a:schemeClr val="tx1"/>
                        </a:solidFill>
                        <a:latin typeface="微軟正黑體" pitchFamily="34" charset="-120"/>
                        <a:ea typeface="微軟正黑體" pitchFamily="34" charset="-120"/>
                      </a:rPr>
                      <a:t>,</a:t>
                    </a:r>
                  </a:p>
                  <a:p>
                    <a:r>
                      <a:rPr lang="en-US" altLang="zh-TW" sz="1000">
                        <a:solidFill>
                          <a:schemeClr val="tx1"/>
                        </a:solidFill>
                        <a:latin typeface="微軟正黑體" pitchFamily="34" charset="-120"/>
                        <a:ea typeface="微軟正黑體" pitchFamily="34" charset="-120"/>
                      </a:rPr>
                      <a:t>1</a:t>
                    </a:r>
                    <a:r>
                      <a:rPr lang="zh-TW" altLang="en-US" sz="1000">
                        <a:solidFill>
                          <a:schemeClr val="tx1"/>
                        </a:solidFill>
                        <a:latin typeface="微軟正黑體" pitchFamily="34" charset="-120"/>
                        <a:ea typeface="微軟正黑體" pitchFamily="34" charset="-120"/>
                      </a:rPr>
                      <a:t>萬</a:t>
                    </a:r>
                    <a:r>
                      <a:rPr lang="en-US" altLang="zh-TW" sz="1000">
                        <a:solidFill>
                          <a:schemeClr val="tx1"/>
                        </a:solidFill>
                        <a:latin typeface="微軟正黑體" pitchFamily="34" charset="-120"/>
                        <a:ea typeface="微軟正黑體" pitchFamily="34" charset="-120"/>
                      </a:rPr>
                      <a:t>6,489</a:t>
                    </a:r>
                    <a:r>
                      <a:rPr lang="zh-TW" altLang="en-US" sz="1000">
                        <a:solidFill>
                          <a:schemeClr val="tx1"/>
                        </a:solidFill>
                        <a:latin typeface="微軟正黑體" pitchFamily="34" charset="-120"/>
                        <a:ea typeface="微軟正黑體" pitchFamily="34" charset="-120"/>
                      </a:rPr>
                      <a:t>人</a:t>
                    </a:r>
                    <a:r>
                      <a:rPr lang="en-US" altLang="zh-TW" sz="1000">
                        <a:solidFill>
                          <a:schemeClr val="tx1"/>
                        </a:solidFill>
                        <a:latin typeface="微軟正黑體" pitchFamily="34" charset="-120"/>
                        <a:ea typeface="微軟正黑體" pitchFamily="34" charset="-120"/>
                      </a:rPr>
                      <a:t>,</a:t>
                    </a:r>
                  </a:p>
                  <a:p>
                    <a:r>
                      <a:rPr lang="en-US" altLang="zh-TW" sz="1000">
                        <a:solidFill>
                          <a:schemeClr val="tx1"/>
                        </a:solidFill>
                        <a:latin typeface="微軟正黑體" pitchFamily="34" charset="-120"/>
                        <a:ea typeface="微軟正黑體" pitchFamily="34" charset="-120"/>
                      </a:rPr>
                      <a:t>32.9%</a:t>
                    </a:r>
                    <a:endParaRPr lang="en-US" altLang="zh-TW"/>
                  </a:p>
                </c:rich>
              </c:tx>
              <c:showLegendKey val="0"/>
              <c:showVal val="1"/>
              <c:showCatName val="1"/>
              <c:showSerName val="0"/>
              <c:showPercent val="1"/>
              <c:showBubbleSize val="0"/>
            </c:dLbl>
            <c:dLbl>
              <c:idx val="4"/>
              <c:layout>
                <c:manualLayout>
                  <c:x val="-1.9527559055118191E-2"/>
                  <c:y val="0"/>
                </c:manualLayout>
              </c:layout>
              <c:tx>
                <c:rich>
                  <a:bodyPr/>
                  <a:lstStyle/>
                  <a:p>
                    <a:r>
                      <a:rPr lang="zh-TW" altLang="en-US" sz="1000">
                        <a:solidFill>
                          <a:schemeClr val="tx1"/>
                        </a:solidFill>
                        <a:latin typeface="微軟正黑體" pitchFamily="34" charset="-120"/>
                        <a:ea typeface="微軟正黑體" pitchFamily="34" charset="-120"/>
                      </a:rPr>
                      <a:t>國中小</a:t>
                    </a:r>
                    <a:r>
                      <a:rPr lang="en-US" altLang="zh-TW" sz="1000">
                        <a:solidFill>
                          <a:schemeClr val="tx1"/>
                        </a:solidFill>
                        <a:latin typeface="微軟正黑體" pitchFamily="34" charset="-120"/>
                        <a:ea typeface="微軟正黑體" pitchFamily="34" charset="-120"/>
                      </a:rPr>
                      <a:t>,</a:t>
                    </a:r>
                  </a:p>
                  <a:p>
                    <a:r>
                      <a:rPr lang="en-US" altLang="zh-TW" sz="1000">
                        <a:solidFill>
                          <a:schemeClr val="tx1"/>
                        </a:solidFill>
                        <a:latin typeface="微軟正黑體" pitchFamily="34" charset="-120"/>
                        <a:ea typeface="微軟正黑體" pitchFamily="34" charset="-120"/>
                      </a:rPr>
                      <a:t>1,238</a:t>
                    </a:r>
                    <a:r>
                      <a:rPr lang="zh-TW" altLang="en-US" sz="1000">
                        <a:solidFill>
                          <a:schemeClr val="tx1"/>
                        </a:solidFill>
                        <a:latin typeface="微軟正黑體" pitchFamily="34" charset="-120"/>
                        <a:ea typeface="微軟正黑體" pitchFamily="34" charset="-120"/>
                      </a:rPr>
                      <a:t>人</a:t>
                    </a:r>
                    <a:r>
                      <a:rPr lang="en-US" altLang="zh-TW" sz="1000">
                        <a:solidFill>
                          <a:schemeClr val="tx1"/>
                        </a:solidFill>
                        <a:latin typeface="微軟正黑體" pitchFamily="34" charset="-120"/>
                        <a:ea typeface="微軟正黑體" pitchFamily="34" charset="-120"/>
                      </a:rPr>
                      <a:t> ,</a:t>
                    </a:r>
                  </a:p>
                  <a:p>
                    <a:r>
                      <a:rPr lang="en-US" altLang="zh-TW" sz="1000">
                        <a:solidFill>
                          <a:schemeClr val="tx1"/>
                        </a:solidFill>
                        <a:latin typeface="微軟正黑體" pitchFamily="34" charset="-120"/>
                        <a:ea typeface="微軟正黑體" pitchFamily="34" charset="-120"/>
                      </a:rPr>
                      <a:t>2.5%</a:t>
                    </a:r>
                    <a:endParaRPr lang="en-US" altLang="zh-TW"/>
                  </a:p>
                </c:rich>
              </c:tx>
              <c:showLegendKey val="0"/>
              <c:showVal val="1"/>
              <c:showCatName val="1"/>
              <c:showSerName val="0"/>
              <c:showPercent val="1"/>
              <c:showBubbleSize val="0"/>
            </c:dLbl>
            <c:numFmt formatCode="0.0%" sourceLinked="0"/>
            <c:txPr>
              <a:bodyPr/>
              <a:lstStyle/>
              <a:p>
                <a:pPr>
                  <a:lnSpc>
                    <a:spcPts val="1500"/>
                  </a:lnSpc>
                  <a:defRPr sz="1000">
                    <a:solidFill>
                      <a:schemeClr val="tx1"/>
                    </a:solidFill>
                    <a:latin typeface="微軟正黑體" pitchFamily="34" charset="-120"/>
                    <a:ea typeface="微軟正黑體" pitchFamily="34" charset="-120"/>
                  </a:defRPr>
                </a:pPr>
                <a:endParaRPr lang="zh-TW"/>
              </a:p>
            </c:txPr>
            <c:showLegendKey val="0"/>
            <c:showVal val="1"/>
            <c:showCatName val="1"/>
            <c:showSerName val="0"/>
            <c:showPercent val="1"/>
            <c:showBubbleSize val="0"/>
            <c:showLeaderLines val="1"/>
          </c:dLbls>
          <c:cat>
            <c:strRef>
              <c:f>'1.參加者人數(按性別及學制分)'!$C$41:$G$41</c:f>
              <c:strCache>
                <c:ptCount val="5"/>
                <c:pt idx="0">
                  <c:v>大學院校</c:v>
                </c:pt>
                <c:pt idx="1">
                  <c:v>科技大學/技術學院</c:v>
                </c:pt>
                <c:pt idx="2">
                  <c:v>專科學校</c:v>
                </c:pt>
                <c:pt idx="3">
                  <c:v>高中職</c:v>
                </c:pt>
                <c:pt idx="4">
                  <c:v>國中小</c:v>
                </c:pt>
              </c:strCache>
            </c:strRef>
          </c:cat>
          <c:val>
            <c:numRef>
              <c:f>'1.參加者人數(按性別及學制分)'!$C$43:$G$43</c:f>
              <c:numCache>
                <c:formatCode>#,##0_ </c:formatCode>
                <c:ptCount val="5"/>
                <c:pt idx="0">
                  <c:v>17289</c:v>
                </c:pt>
                <c:pt idx="1">
                  <c:v>13822</c:v>
                </c:pt>
                <c:pt idx="2">
                  <c:v>1343</c:v>
                </c:pt>
                <c:pt idx="3">
                  <c:v>16489</c:v>
                </c:pt>
                <c:pt idx="4">
                  <c:v>1238</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977212525853625"/>
          <c:y val="0.16851325340089937"/>
          <c:w val="0.84304909466961786"/>
          <c:h val="0.80292792792792789"/>
        </c:manualLayout>
      </c:layout>
      <c:pie3DChart>
        <c:varyColors val="1"/>
        <c:ser>
          <c:idx val="0"/>
          <c:order val="0"/>
          <c:explosion val="25"/>
          <c:dPt>
            <c:idx val="0"/>
            <c:bubble3D val="0"/>
            <c:spPr>
              <a:solidFill>
                <a:schemeClr val="tx2">
                  <a:lumMod val="40000"/>
                  <a:lumOff val="60000"/>
                </a:schemeClr>
              </a:solidFill>
            </c:spPr>
          </c:dPt>
          <c:dPt>
            <c:idx val="1"/>
            <c:bubble3D val="0"/>
            <c:spPr>
              <a:solidFill>
                <a:schemeClr val="accent2">
                  <a:lumMod val="60000"/>
                  <a:lumOff val="40000"/>
                </a:schemeClr>
              </a:solidFill>
            </c:spPr>
          </c:dPt>
          <c:dPt>
            <c:idx val="3"/>
            <c:bubble3D val="0"/>
            <c:explosion val="21"/>
            <c:spPr>
              <a:solidFill>
                <a:schemeClr val="accent4">
                  <a:lumMod val="60000"/>
                  <a:lumOff val="40000"/>
                </a:schemeClr>
              </a:solidFill>
            </c:spPr>
          </c:dPt>
          <c:dLbls>
            <c:dLbl>
              <c:idx val="0"/>
              <c:layout>
                <c:manualLayout>
                  <c:x val="-0.17140008708588847"/>
                  <c:y val="-0.28231304399323021"/>
                </c:manualLayout>
              </c:layout>
              <c:tx>
                <c:rich>
                  <a:bodyPr/>
                  <a:lstStyle/>
                  <a:p>
                    <a:r>
                      <a:rPr lang="zh-TW" altLang="en-US" sz="1000"/>
                      <a:t>退休</a:t>
                    </a:r>
                    <a:r>
                      <a:rPr lang="en-US" altLang="zh-TW" sz="1000"/>
                      <a:t>, </a:t>
                    </a:r>
                  </a:p>
                  <a:p>
                    <a:r>
                      <a:rPr lang="en-US" altLang="zh-TW" sz="1000"/>
                      <a:t>3,110,543</a:t>
                    </a:r>
                    <a:r>
                      <a:rPr lang="zh-TW" altLang="en-US" sz="1000"/>
                      <a:t>千元</a:t>
                    </a:r>
                    <a:r>
                      <a:rPr lang="en-US" altLang="zh-TW" sz="1000"/>
                      <a:t> , 83.8%</a:t>
                    </a:r>
                    <a:endParaRPr lang="en-US" altLang="zh-TW"/>
                  </a:p>
                </c:rich>
              </c:tx>
              <c:dLblPos val="bestFit"/>
              <c:showLegendKey val="0"/>
              <c:showVal val="1"/>
              <c:showCatName val="1"/>
              <c:showSerName val="0"/>
              <c:showPercent val="1"/>
              <c:showBubbleSize val="0"/>
            </c:dLbl>
            <c:dLbl>
              <c:idx val="1"/>
              <c:layout>
                <c:manualLayout>
                  <c:x val="-5.3647084437026017E-2"/>
                  <c:y val="0.22889960863928041"/>
                </c:manualLayout>
              </c:layout>
              <c:tx>
                <c:rich>
                  <a:bodyPr/>
                  <a:lstStyle/>
                  <a:p>
                    <a:r>
                      <a:rPr lang="zh-TW" altLang="en-US" sz="1000"/>
                      <a:t>資遣</a:t>
                    </a:r>
                    <a:r>
                      <a:rPr lang="en-US" altLang="zh-TW" sz="1000"/>
                      <a:t>, </a:t>
                    </a:r>
                  </a:p>
                  <a:p>
                    <a:r>
                      <a:rPr lang="en-US" altLang="zh-TW" sz="1000"/>
                      <a:t>119,507</a:t>
                    </a:r>
                    <a:r>
                      <a:rPr lang="zh-TW" altLang="en-US" sz="1000"/>
                      <a:t>千元</a:t>
                    </a:r>
                    <a:r>
                      <a:rPr lang="en-US" altLang="zh-TW" sz="1000"/>
                      <a:t> , 3.2%</a:t>
                    </a:r>
                    <a:endParaRPr lang="en-US" altLang="zh-TW"/>
                  </a:p>
                </c:rich>
              </c:tx>
              <c:dLblPos val="bestFit"/>
              <c:showLegendKey val="0"/>
              <c:showVal val="1"/>
              <c:showCatName val="1"/>
              <c:showSerName val="0"/>
              <c:showPercent val="1"/>
              <c:showBubbleSize val="0"/>
            </c:dLbl>
            <c:dLbl>
              <c:idx val="2"/>
              <c:layout>
                <c:manualLayout>
                  <c:x val="-1.8153416306832624E-2"/>
                  <c:y val="-3.564466722361459E-2"/>
                </c:manualLayout>
              </c:layout>
              <c:tx>
                <c:rich>
                  <a:bodyPr/>
                  <a:lstStyle/>
                  <a:p>
                    <a:r>
                      <a:rPr lang="zh-TW" altLang="en-US" sz="1000"/>
                      <a:t>撫卹</a:t>
                    </a:r>
                    <a:r>
                      <a:rPr lang="en-US" altLang="zh-TW" sz="1000"/>
                      <a:t>, </a:t>
                    </a:r>
                  </a:p>
                  <a:p>
                    <a:r>
                      <a:rPr lang="en-US" altLang="zh-TW" sz="1000"/>
                      <a:t>42,514</a:t>
                    </a:r>
                    <a:r>
                      <a:rPr lang="zh-TW" altLang="en-US" sz="1000"/>
                      <a:t>千元</a:t>
                    </a:r>
                    <a:r>
                      <a:rPr lang="en-US" altLang="zh-TW" sz="1000"/>
                      <a:t> , 1.2%</a:t>
                    </a:r>
                    <a:endParaRPr lang="en-US" altLang="zh-TW"/>
                  </a:p>
                </c:rich>
              </c:tx>
              <c:dLblPos val="bestFit"/>
              <c:showLegendKey val="0"/>
              <c:showVal val="1"/>
              <c:showCatName val="1"/>
              <c:showSerName val="0"/>
              <c:showPercent val="1"/>
              <c:showBubbleSize val="0"/>
            </c:dLbl>
            <c:dLbl>
              <c:idx val="3"/>
              <c:layout>
                <c:manualLayout>
                  <c:x val="0.15108512645596728"/>
                  <c:y val="1.6242650965659191E-3"/>
                </c:manualLayout>
              </c:layout>
              <c:tx>
                <c:rich>
                  <a:bodyPr/>
                  <a:lstStyle/>
                  <a:p>
                    <a:r>
                      <a:rPr lang="zh-TW" altLang="en-US" sz="1000"/>
                      <a:t>離職</a:t>
                    </a:r>
                    <a:r>
                      <a:rPr lang="en-US" altLang="zh-TW" sz="1000"/>
                      <a:t>, </a:t>
                    </a:r>
                  </a:p>
                  <a:p>
                    <a:r>
                      <a:rPr lang="en-US" altLang="zh-TW" sz="1000"/>
                      <a:t>438,013</a:t>
                    </a:r>
                    <a:r>
                      <a:rPr lang="zh-TW" altLang="en-US" sz="1000"/>
                      <a:t>千元</a:t>
                    </a:r>
                    <a:r>
                      <a:rPr lang="en-US" altLang="zh-TW" sz="1000"/>
                      <a:t> , 11.8%</a:t>
                    </a:r>
                    <a:endParaRPr lang="en-US" altLang="zh-TW"/>
                  </a:p>
                </c:rich>
              </c:tx>
              <c:dLblPos val="bestFit"/>
              <c:showLegendKey val="0"/>
              <c:showVal val="1"/>
              <c:showCatName val="1"/>
              <c:showSerName val="0"/>
              <c:showPercent val="1"/>
              <c:showBubbleSize val="0"/>
            </c:dLbl>
            <c:numFmt formatCode="0.0%" sourceLinked="0"/>
            <c:txPr>
              <a:bodyPr/>
              <a:lstStyle/>
              <a:p>
                <a:pPr>
                  <a:lnSpc>
                    <a:spcPts val="1500"/>
                  </a:lnSpc>
                  <a:defRPr sz="1000">
                    <a:latin typeface="微軟正黑體" pitchFamily="34" charset="-120"/>
                    <a:ea typeface="微軟正黑體" pitchFamily="34" charset="-120"/>
                  </a:defRPr>
                </a:pPr>
                <a:endParaRPr lang="zh-TW"/>
              </a:p>
            </c:txPr>
            <c:dLblPos val="inEnd"/>
            <c:showLegendKey val="0"/>
            <c:showVal val="1"/>
            <c:showCatName val="1"/>
            <c:showSerName val="0"/>
            <c:showPercent val="1"/>
            <c:showBubbleSize val="0"/>
            <c:showLeaderLines val="1"/>
          </c:dLbls>
          <c:cat>
            <c:strRef>
              <c:f>'2.給付件數及金額'!$H$3:$K$3</c:f>
              <c:strCache>
                <c:ptCount val="4"/>
                <c:pt idx="0">
                  <c:v>退休</c:v>
                </c:pt>
                <c:pt idx="1">
                  <c:v>資遣</c:v>
                </c:pt>
                <c:pt idx="2">
                  <c:v>撫卹</c:v>
                </c:pt>
                <c:pt idx="3">
                  <c:v>離職</c:v>
                </c:pt>
              </c:strCache>
            </c:strRef>
          </c:cat>
          <c:val>
            <c:numRef>
              <c:f>'2.給付件數及金額'!$H$14:$K$14</c:f>
              <c:numCache>
                <c:formatCode>#,##0_);[Red]\(#,##0\)</c:formatCode>
                <c:ptCount val="4"/>
                <c:pt idx="0">
                  <c:v>3110543</c:v>
                </c:pt>
                <c:pt idx="1">
                  <c:v>119507</c:v>
                </c:pt>
                <c:pt idx="2">
                  <c:v>42514</c:v>
                </c:pt>
                <c:pt idx="3">
                  <c:v>438013</c:v>
                </c:pt>
              </c:numCache>
            </c:numRef>
          </c:val>
        </c:ser>
        <c:dLbls>
          <c:dLblPos val="inEnd"/>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83573928258968"/>
          <c:y val="0.13458185948664578"/>
          <c:w val="0.84360870516185482"/>
          <c:h val="0.66232217650890512"/>
        </c:manualLayout>
      </c:layout>
      <c:barChart>
        <c:barDir val="col"/>
        <c:grouping val="clustered"/>
        <c:varyColors val="0"/>
        <c:ser>
          <c:idx val="0"/>
          <c:order val="0"/>
          <c:tx>
            <c:v>保守型</c:v>
          </c:tx>
          <c:spPr>
            <a:solidFill>
              <a:schemeClr val="accent1">
                <a:lumMod val="60000"/>
                <a:lumOff val="40000"/>
              </a:schemeClr>
            </a:solidFill>
          </c:spPr>
          <c:invertIfNegative val="0"/>
          <c:dLbls>
            <c:dLbl>
              <c:idx val="0"/>
              <c:layout>
                <c:manualLayout>
                  <c:x val="-5.5555555555555809E-3"/>
                  <c:y val="-4.2437781360066642E-17"/>
                </c:manualLayout>
              </c:layout>
              <c:showLegendKey val="0"/>
              <c:showVal val="1"/>
              <c:showCatName val="0"/>
              <c:showSerName val="0"/>
              <c:showPercent val="0"/>
              <c:showBubbleSize val="0"/>
            </c:dLbl>
            <c:dLbl>
              <c:idx val="1"/>
              <c:layout>
                <c:manualLayout>
                  <c:x val="-8.3333333333333835E-3"/>
                  <c:y val="0"/>
                </c:manualLayout>
              </c:layout>
              <c:spPr/>
              <c:txPr>
                <a:bodyPr/>
                <a:lstStyle/>
                <a:p>
                  <a:pPr>
                    <a:defRPr>
                      <a:solidFill>
                        <a:srgbClr val="FF0000"/>
                      </a:solidFill>
                    </a:defRPr>
                  </a:pPr>
                  <a:endParaRPr lang="zh-TW"/>
                </a:p>
              </c:txPr>
              <c:showLegendKey val="0"/>
              <c:showVal val="1"/>
              <c:showCatName val="0"/>
              <c:showSerName val="0"/>
              <c:showPercent val="0"/>
              <c:showBubbleSize val="0"/>
            </c:dLbl>
            <c:dLbl>
              <c:idx val="3"/>
              <c:layout>
                <c:manualLayout>
                  <c:x val="-1.6666885389326334E-2"/>
                  <c:y val="4.630358705161854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'3.2基金運用效益'!$B$28:$B$31</c:f>
              <c:strCache>
                <c:ptCount val="4"/>
                <c:pt idx="0">
                  <c:v>106年</c:v>
                </c:pt>
                <c:pt idx="1">
                  <c:v>107年</c:v>
                </c:pt>
                <c:pt idx="2">
                  <c:v>108年</c:v>
                </c:pt>
                <c:pt idx="3">
                  <c:v>109年</c:v>
                </c:pt>
              </c:strCache>
            </c:strRef>
          </c:cat>
          <c:val>
            <c:numRef>
              <c:f>'3.2基金運用效益'!$D$28:$D$31</c:f>
              <c:numCache>
                <c:formatCode>0.0%</c:formatCode>
                <c:ptCount val="4"/>
                <c:pt idx="0">
                  <c:v>1.2999999999999999E-2</c:v>
                </c:pt>
                <c:pt idx="1">
                  <c:v>-1.2999999999999999E-2</c:v>
                </c:pt>
                <c:pt idx="2">
                  <c:v>6.4000000000000001E-2</c:v>
                </c:pt>
                <c:pt idx="3">
                  <c:v>0.03</c:v>
                </c:pt>
              </c:numCache>
            </c:numRef>
          </c:val>
        </c:ser>
        <c:ser>
          <c:idx val="1"/>
          <c:order val="1"/>
          <c:tx>
            <c:v>穩健型</c:v>
          </c:tx>
          <c:spPr>
            <a:pattFill prst="ltUpDiag">
              <a:fgClr>
                <a:schemeClr val="accent2">
                  <a:lumMod val="60000"/>
                  <a:lumOff val="40000"/>
                </a:schemeClr>
              </a:fgClr>
              <a:bgClr>
                <a:schemeClr val="bg1"/>
              </a:bgClr>
            </a:pattFill>
          </c:spPr>
          <c:invertIfNegative val="0"/>
          <c:dLbls>
            <c:dLbl>
              <c:idx val="0"/>
              <c:layout>
                <c:manualLayout>
                  <c:x val="-8.3333333333333332E-3"/>
                  <c:y val="0"/>
                </c:manualLayout>
              </c:layout>
              <c:showLegendKey val="0"/>
              <c:showVal val="1"/>
              <c:showCatName val="0"/>
              <c:showSerName val="0"/>
              <c:showPercent val="0"/>
              <c:showBubbleSize val="0"/>
            </c:dLbl>
            <c:dLbl>
              <c:idx val="1"/>
              <c:spPr/>
              <c:txPr>
                <a:bodyPr/>
                <a:lstStyle/>
                <a:p>
                  <a:pPr>
                    <a:defRPr>
                      <a:solidFill>
                        <a:srgbClr val="FF0000"/>
                      </a:solidFill>
                    </a:defRPr>
                  </a:pPr>
                  <a:endParaRPr lang="zh-TW"/>
                </a:p>
              </c:txPr>
              <c:showLegendKey val="0"/>
              <c:showVal val="1"/>
              <c:showCatName val="0"/>
              <c:showSerName val="0"/>
              <c:showPercent val="0"/>
              <c:showBubbleSize val="0"/>
            </c:dLbl>
            <c:dLbl>
              <c:idx val="2"/>
              <c:layout>
                <c:manualLayout>
                  <c:x val="-1.3888888888888888E-2"/>
                  <c:y val="0"/>
                </c:manualLayout>
              </c:layout>
              <c:showLegendKey val="0"/>
              <c:showVal val="1"/>
              <c:showCatName val="0"/>
              <c:showSerName val="0"/>
              <c:showPercent val="0"/>
              <c:showBubbleSize val="0"/>
            </c:dLbl>
            <c:dLbl>
              <c:idx val="3"/>
              <c:layout>
                <c:manualLayout>
                  <c:x val="-2.7777777777777779E-3"/>
                  <c:y val="-1.38888888888889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'3.2基金運用效益'!$B$28:$B$31</c:f>
              <c:strCache>
                <c:ptCount val="4"/>
                <c:pt idx="0">
                  <c:v>106年</c:v>
                </c:pt>
                <c:pt idx="1">
                  <c:v>107年</c:v>
                </c:pt>
                <c:pt idx="2">
                  <c:v>108年</c:v>
                </c:pt>
                <c:pt idx="3">
                  <c:v>109年</c:v>
                </c:pt>
              </c:strCache>
            </c:strRef>
          </c:cat>
          <c:val>
            <c:numRef>
              <c:f>'3.2基金運用效益'!$E$28:$E$31</c:f>
              <c:numCache>
                <c:formatCode>0.0%</c:formatCode>
                <c:ptCount val="4"/>
                <c:pt idx="0">
                  <c:v>5.6000000000000001E-2</c:v>
                </c:pt>
                <c:pt idx="1">
                  <c:v>-1.4999999999999999E-2</c:v>
                </c:pt>
                <c:pt idx="2">
                  <c:v>0.14699999999999999</c:v>
                </c:pt>
                <c:pt idx="3">
                  <c:v>8.6999999999999994E-2</c:v>
                </c:pt>
              </c:numCache>
            </c:numRef>
          </c:val>
        </c:ser>
        <c:ser>
          <c:idx val="2"/>
          <c:order val="2"/>
          <c:tx>
            <c:v>積極型</c:v>
          </c:tx>
          <c:spPr>
            <a:pattFill prst="lgCheck">
              <a:fgClr>
                <a:schemeClr val="accent3">
                  <a:lumMod val="60000"/>
                  <a:lumOff val="40000"/>
                </a:schemeClr>
              </a:fgClr>
              <a:bgClr>
                <a:schemeClr val="bg1"/>
              </a:bgClr>
            </a:pattFill>
          </c:spPr>
          <c:invertIfNegative val="0"/>
          <c:dLbls>
            <c:dLbl>
              <c:idx val="0"/>
              <c:layout>
                <c:manualLayout>
                  <c:x val="8.3333333333333332E-3"/>
                  <c:y val="0"/>
                </c:manualLayout>
              </c:layout>
              <c:showLegendKey val="0"/>
              <c:showVal val="1"/>
              <c:showCatName val="0"/>
              <c:showSerName val="0"/>
              <c:showPercent val="0"/>
              <c:showBubbleSize val="0"/>
            </c:dLbl>
            <c:dLbl>
              <c:idx val="1"/>
              <c:layout>
                <c:manualLayout>
                  <c:x val="1.3888888888888888E-2"/>
                  <c:y val="-4.2437781360066642E-17"/>
                </c:manualLayout>
              </c:layout>
              <c:spPr/>
              <c:txPr>
                <a:bodyPr/>
                <a:lstStyle/>
                <a:p>
                  <a:pPr>
                    <a:defRPr>
                      <a:solidFill>
                        <a:srgbClr val="FF0000"/>
                      </a:solidFill>
                    </a:defRPr>
                  </a:pPr>
                  <a:endParaRPr lang="zh-TW"/>
                </a:p>
              </c:txPr>
              <c:showLegendKey val="0"/>
              <c:showVal val="1"/>
              <c:showCatName val="0"/>
              <c:showSerName val="0"/>
              <c:showPercent val="0"/>
              <c:showBubbleSize val="0"/>
            </c:dLbl>
            <c:dLbl>
              <c:idx val="2"/>
              <c:layout>
                <c:manualLayout>
                  <c:x val="5.5555555555555558E-3"/>
                  <c:y val="1.7204301075268807E-2"/>
                </c:manualLayout>
              </c:layout>
              <c:showLegendKey val="0"/>
              <c:showVal val="1"/>
              <c:showCatName val="0"/>
              <c:showSerName val="0"/>
              <c:showPercent val="0"/>
              <c:showBubbleSize val="0"/>
            </c:dLbl>
            <c:dLbl>
              <c:idx val="3"/>
              <c:layout>
                <c:manualLayout>
                  <c:x val="8.3331146106736653E-3"/>
                  <c:y val="4.630358705161854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'3.2基金運用效益'!$B$28:$B$31</c:f>
              <c:strCache>
                <c:ptCount val="4"/>
                <c:pt idx="0">
                  <c:v>106年</c:v>
                </c:pt>
                <c:pt idx="1">
                  <c:v>107年</c:v>
                </c:pt>
                <c:pt idx="2">
                  <c:v>108年</c:v>
                </c:pt>
                <c:pt idx="3">
                  <c:v>109年</c:v>
                </c:pt>
              </c:strCache>
            </c:strRef>
          </c:cat>
          <c:val>
            <c:numRef>
              <c:f>'3.2基金運用效益'!$F$28:$F$31</c:f>
              <c:numCache>
                <c:formatCode>0.0%</c:formatCode>
                <c:ptCount val="4"/>
                <c:pt idx="0">
                  <c:v>9.8000000000000004E-2</c:v>
                </c:pt>
                <c:pt idx="1">
                  <c:v>-4.7E-2</c:v>
                </c:pt>
                <c:pt idx="2">
                  <c:v>0.19400000000000001</c:v>
                </c:pt>
                <c:pt idx="3">
                  <c:v>0.1</c:v>
                </c:pt>
              </c:numCache>
            </c:numRef>
          </c:val>
        </c:ser>
        <c:dLbls>
          <c:showLegendKey val="0"/>
          <c:showVal val="0"/>
          <c:showCatName val="0"/>
          <c:showSerName val="0"/>
          <c:showPercent val="0"/>
          <c:showBubbleSize val="0"/>
        </c:dLbls>
        <c:gapWidth val="150"/>
        <c:axId val="322349568"/>
        <c:axId val="322264384"/>
      </c:barChart>
      <c:catAx>
        <c:axId val="322349568"/>
        <c:scaling>
          <c:orientation val="minMax"/>
        </c:scaling>
        <c:delete val="0"/>
        <c:axPos val="b"/>
        <c:majorTickMark val="none"/>
        <c:minorTickMark val="none"/>
        <c:tickLblPos val="high"/>
        <c:crossAx val="322264384"/>
        <c:crosses val="autoZero"/>
        <c:auto val="1"/>
        <c:lblAlgn val="ctr"/>
        <c:lblOffset val="100"/>
        <c:noMultiLvlLbl val="0"/>
      </c:catAx>
      <c:valAx>
        <c:axId val="322264384"/>
        <c:scaling>
          <c:orientation val="minMax"/>
          <c:max val="0.2"/>
          <c:min val="-5.000000000000001E-2"/>
        </c:scaling>
        <c:delete val="0"/>
        <c:axPos val="l"/>
        <c:majorGridlines>
          <c:spPr>
            <a:ln>
              <a:noFill/>
            </a:ln>
          </c:spPr>
        </c:majorGridlines>
        <c:title>
          <c:tx>
            <c:rich>
              <a:bodyPr rot="0" vert="wordArtVertRtl"/>
              <a:lstStyle/>
              <a:p>
                <a:pPr>
                  <a:defRPr sz="1100"/>
                </a:pPr>
                <a:r>
                  <a:rPr lang="zh-TW" altLang="en-US" sz="1100">
                    <a:latin typeface="+mn-ea"/>
                    <a:ea typeface="+mn-ea"/>
                  </a:rPr>
                  <a:t>報酬率</a:t>
                </a:r>
                <a:r>
                  <a:rPr lang="en-US" altLang="zh-TW" sz="1100">
                    <a:latin typeface="+mn-ea"/>
                    <a:ea typeface="+mn-ea"/>
                  </a:rPr>
                  <a:t>(%)</a:t>
                </a:r>
                <a:endParaRPr lang="zh-TW" altLang="en-US" sz="1100">
                  <a:latin typeface="+mn-ea"/>
                  <a:ea typeface="+mn-ea"/>
                </a:endParaRPr>
              </a:p>
            </c:rich>
          </c:tx>
          <c:layout>
            <c:manualLayout>
              <c:xMode val="edge"/>
              <c:yMode val="edge"/>
              <c:x val="1.6833814832299468E-2"/>
              <c:y val="0.22743519040402846"/>
            </c:manualLayout>
          </c:layout>
          <c:overlay val="0"/>
        </c:title>
        <c:numFmt formatCode="0%" sourceLinked="0"/>
        <c:majorTickMark val="out"/>
        <c:minorTickMark val="none"/>
        <c:tickLblPos val="nextTo"/>
        <c:crossAx val="322349568"/>
        <c:crossesAt val="1"/>
        <c:crossBetween val="between"/>
      </c:valAx>
    </c:plotArea>
    <c:legend>
      <c:legendPos val="b"/>
      <c:layout>
        <c:manualLayout>
          <c:xMode val="edge"/>
          <c:yMode val="edge"/>
          <c:x val="0.25341097987751532"/>
          <c:y val="0.88850503062117236"/>
          <c:w val="0.58618138817341925"/>
          <c:h val="8.3717191601049873E-2"/>
        </c:manualLayout>
      </c:layout>
      <c:overlay val="0"/>
      <c:txPr>
        <a:bodyPr/>
        <a:lstStyle/>
        <a:p>
          <a:pPr>
            <a:defRPr>
              <a:latin typeface="微軟正黑體" pitchFamily="34" charset="-120"/>
              <a:ea typeface="微軟正黑體" pitchFamily="34" charset="-120"/>
            </a:defRPr>
          </a:pPr>
          <a:endParaRPr lang="zh-TW"/>
        </a:p>
      </c:txPr>
    </c:legend>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7223248225059705E-2"/>
          <c:y val="9.4973667507247866E-2"/>
          <c:w val="0.77733641503767248"/>
          <c:h val="0.78914138993495375"/>
        </c:manualLayout>
      </c:layout>
      <c:barChart>
        <c:barDir val="col"/>
        <c:grouping val="percentStacked"/>
        <c:varyColors val="0"/>
        <c:ser>
          <c:idx val="0"/>
          <c:order val="0"/>
          <c:tx>
            <c:v>保守型</c:v>
          </c:tx>
          <c:spPr>
            <a:solidFill>
              <a:schemeClr val="accent4">
                <a:lumMod val="40000"/>
                <a:lumOff val="60000"/>
              </a:schemeClr>
            </a:solidFill>
          </c:spPr>
          <c:invertIfNegative val="0"/>
          <c:dLbls>
            <c:dLbl>
              <c:idx val="5"/>
              <c:tx>
                <c:rich>
                  <a:bodyPr/>
                  <a:lstStyle/>
                  <a:p>
                    <a:r>
                      <a:rPr lang="en-US" altLang="en-US"/>
                      <a:t>80.5%</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'3.3基金資產配置'!$A$4:$A$11</c:f>
              <c:strCache>
                <c:ptCount val="8"/>
                <c:pt idx="0">
                  <c:v>102年</c:v>
                </c:pt>
                <c:pt idx="1">
                  <c:v>103年</c:v>
                </c:pt>
                <c:pt idx="2">
                  <c:v>104年</c:v>
                </c:pt>
                <c:pt idx="3">
                  <c:v>105年</c:v>
                </c:pt>
                <c:pt idx="4">
                  <c:v>106年</c:v>
                </c:pt>
                <c:pt idx="5">
                  <c:v>107年</c:v>
                </c:pt>
                <c:pt idx="6">
                  <c:v>108年</c:v>
                </c:pt>
                <c:pt idx="7">
                  <c:v>109年</c:v>
                </c:pt>
              </c:strCache>
            </c:strRef>
          </c:cat>
          <c:val>
            <c:numRef>
              <c:f>'3.3基金資產配置'!$H$4:$H$11</c:f>
              <c:numCache>
                <c:formatCode>0.00%</c:formatCode>
                <c:ptCount val="8"/>
                <c:pt idx="0">
                  <c:v>0.95257580978635426</c:v>
                </c:pt>
                <c:pt idx="1">
                  <c:v>0.93004441078252476</c:v>
                </c:pt>
                <c:pt idx="2">
                  <c:v>0.90890161374284228</c:v>
                </c:pt>
                <c:pt idx="3">
                  <c:v>0.89421420609990887</c:v>
                </c:pt>
                <c:pt idx="4">
                  <c:v>0.84795479615497171</c:v>
                </c:pt>
                <c:pt idx="5" formatCode="0.0000%">
                  <c:v>0.80561855449527153</c:v>
                </c:pt>
                <c:pt idx="6">
                  <c:v>0.73812632914226028</c:v>
                </c:pt>
                <c:pt idx="7">
                  <c:v>0.41225654141255164</c:v>
                </c:pt>
              </c:numCache>
            </c:numRef>
          </c:val>
        </c:ser>
        <c:ser>
          <c:idx val="1"/>
          <c:order val="1"/>
          <c:tx>
            <c:v>穩健型</c:v>
          </c:tx>
          <c:spPr>
            <a:solidFill>
              <a:schemeClr val="bg2">
                <a:lumMod val="75000"/>
              </a:schemeClr>
            </a:solidFill>
          </c:spPr>
          <c:invertIfNegative val="0"/>
          <c:dLbls>
            <c:dLbl>
              <c:idx val="0"/>
              <c:layout>
                <c:manualLayout>
                  <c:x val="2.5491932673515371E-3"/>
                  <c:y val="1.8518518518518507E-2"/>
                </c:manualLayout>
              </c:layout>
              <c:showLegendKey val="0"/>
              <c:showVal val="1"/>
              <c:showCatName val="0"/>
              <c:showSerName val="0"/>
              <c:showPercent val="0"/>
              <c:showBubbleSize val="0"/>
            </c:dLbl>
            <c:dLbl>
              <c:idx val="1"/>
              <c:layout>
                <c:manualLayout>
                  <c:x val="-2.3369175101802083E-17"/>
                  <c:y val="1.8518518518518528E-2"/>
                </c:manualLayout>
              </c:layout>
              <c:showLegendKey val="0"/>
              <c:showVal val="1"/>
              <c:showCatName val="0"/>
              <c:showSerName val="0"/>
              <c:showPercent val="0"/>
              <c:showBubbleSize val="0"/>
            </c:dLbl>
            <c:dLbl>
              <c:idx val="2"/>
              <c:layout>
                <c:manualLayout>
                  <c:x val="0"/>
                  <c:y val="9.2592592592592587E-3"/>
                </c:manualLayout>
              </c:layout>
              <c:showLegendKey val="0"/>
              <c:showVal val="1"/>
              <c:showCatName val="0"/>
              <c:showSerName val="0"/>
              <c:showPercent val="0"/>
              <c:showBubbleSize val="0"/>
            </c:dLbl>
            <c:dLbl>
              <c:idx val="6"/>
              <c:tx>
                <c:rich>
                  <a:bodyPr/>
                  <a:lstStyle/>
                  <a:p>
                    <a:r>
                      <a:rPr lang="en-US" altLang="en-US"/>
                      <a:t>15.9%</a:t>
                    </a:r>
                  </a:p>
                </c:rich>
              </c:tx>
              <c:showLegendKey val="0"/>
              <c:showVal val="1"/>
              <c:showCatName val="0"/>
              <c:showSerName val="0"/>
              <c:showPercent val="0"/>
              <c:showBubbleSize val="0"/>
            </c:dLbl>
            <c:dLbl>
              <c:idx val="7"/>
              <c:tx>
                <c:rich>
                  <a:bodyPr/>
                  <a:lstStyle/>
                  <a:p>
                    <a:r>
                      <a:rPr lang="en-US" altLang="en-US"/>
                      <a:t>37.9%</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'3.3基金資產配置'!$A$4:$A$11</c:f>
              <c:strCache>
                <c:ptCount val="8"/>
                <c:pt idx="0">
                  <c:v>102年</c:v>
                </c:pt>
                <c:pt idx="1">
                  <c:v>103年</c:v>
                </c:pt>
                <c:pt idx="2">
                  <c:v>104年</c:v>
                </c:pt>
                <c:pt idx="3">
                  <c:v>105年</c:v>
                </c:pt>
                <c:pt idx="4">
                  <c:v>106年</c:v>
                </c:pt>
                <c:pt idx="5">
                  <c:v>107年</c:v>
                </c:pt>
                <c:pt idx="6">
                  <c:v>108年</c:v>
                </c:pt>
                <c:pt idx="7">
                  <c:v>109年</c:v>
                </c:pt>
              </c:strCache>
            </c:strRef>
          </c:cat>
          <c:val>
            <c:numRef>
              <c:f>'3.3基金資產配置'!$O$4:$O$11</c:f>
              <c:numCache>
                <c:formatCode>0.00%</c:formatCode>
                <c:ptCount val="8"/>
                <c:pt idx="0">
                  <c:v>2.2139903514817365E-2</c:v>
                </c:pt>
                <c:pt idx="1">
                  <c:v>3.6905704547801836E-2</c:v>
                </c:pt>
                <c:pt idx="2">
                  <c:v>5.0234252993232698E-2</c:v>
                </c:pt>
                <c:pt idx="3">
                  <c:v>6.1328402067078736E-2</c:v>
                </c:pt>
                <c:pt idx="4">
                  <c:v>8.5342518178339058E-2</c:v>
                </c:pt>
                <c:pt idx="5" formatCode="0.0000%">
                  <c:v>0.11262784030125382</c:v>
                </c:pt>
                <c:pt idx="6">
                  <c:v>0.158452412043428</c:v>
                </c:pt>
                <c:pt idx="7">
                  <c:v>0.37843465145255428</c:v>
                </c:pt>
              </c:numCache>
            </c:numRef>
          </c:val>
        </c:ser>
        <c:ser>
          <c:idx val="2"/>
          <c:order val="2"/>
          <c:tx>
            <c:v>積極型</c:v>
          </c:tx>
          <c:spPr>
            <a:solidFill>
              <a:schemeClr val="accent6">
                <a:lumMod val="40000"/>
                <a:lumOff val="60000"/>
              </a:schemeClr>
            </a:solidFill>
          </c:spPr>
          <c:invertIfNegative val="0"/>
          <c:dLbls>
            <c:dLbl>
              <c:idx val="0"/>
              <c:layout>
                <c:manualLayout>
                  <c:x val="6.8030796329085366E-4"/>
                  <c:y val="-9.2591578226634708E-3"/>
                </c:manualLayout>
              </c:layout>
              <c:showLegendKey val="0"/>
              <c:showVal val="1"/>
              <c:showCatName val="0"/>
              <c:showSerName val="0"/>
              <c:showPercent val="0"/>
              <c:showBubbleSize val="0"/>
            </c:dLbl>
            <c:dLbl>
              <c:idx val="1"/>
              <c:layout>
                <c:manualLayout>
                  <c:x val="-2.3369175101802083E-17"/>
                  <c:y val="-9.2592592592592587E-3"/>
                </c:manualLayout>
              </c:layout>
              <c:showLegendKey val="0"/>
              <c:showVal val="1"/>
              <c:showCatName val="0"/>
              <c:showSerName val="0"/>
              <c:showPercent val="0"/>
              <c:showBubbleSize val="0"/>
            </c:dLbl>
            <c:dLbl>
              <c:idx val="2"/>
              <c:layout>
                <c:manualLayout>
                  <c:x val="0"/>
                  <c:y val="-1.3888888888888888E-2"/>
                </c:manualLayout>
              </c:layout>
              <c:showLegendKey val="0"/>
              <c:showVal val="1"/>
              <c:showCatName val="0"/>
              <c:showSerName val="0"/>
              <c:showPercent val="0"/>
              <c:showBubbleSize val="0"/>
            </c:dLbl>
            <c:dLbl>
              <c:idx val="3"/>
              <c:tx>
                <c:rich>
                  <a:bodyPr/>
                  <a:lstStyle/>
                  <a:p>
                    <a:r>
                      <a:rPr lang="en-US" altLang="en-US"/>
                      <a:t>4.5%</a:t>
                    </a:r>
                  </a:p>
                </c:rich>
              </c:tx>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'3.3基金資產配置'!$A$4:$A$11</c:f>
              <c:strCache>
                <c:ptCount val="8"/>
                <c:pt idx="0">
                  <c:v>102年</c:v>
                </c:pt>
                <c:pt idx="1">
                  <c:v>103年</c:v>
                </c:pt>
                <c:pt idx="2">
                  <c:v>104年</c:v>
                </c:pt>
                <c:pt idx="3">
                  <c:v>105年</c:v>
                </c:pt>
                <c:pt idx="4">
                  <c:v>106年</c:v>
                </c:pt>
                <c:pt idx="5">
                  <c:v>107年</c:v>
                </c:pt>
                <c:pt idx="6">
                  <c:v>108年</c:v>
                </c:pt>
                <c:pt idx="7">
                  <c:v>109年</c:v>
                </c:pt>
              </c:strCache>
            </c:strRef>
          </c:cat>
          <c:val>
            <c:numRef>
              <c:f>'3.3基金資產配置'!$V$4:$V$11</c:f>
              <c:numCache>
                <c:formatCode>0.00%</c:formatCode>
                <c:ptCount val="8"/>
                <c:pt idx="0">
                  <c:v>2.5284286698828394E-2</c:v>
                </c:pt>
                <c:pt idx="1">
                  <c:v>3.3049884669673284E-2</c:v>
                </c:pt>
                <c:pt idx="2">
                  <c:v>4.0864133263925045E-2</c:v>
                </c:pt>
                <c:pt idx="3" formatCode="0.00000%">
                  <c:v>4.4457391833012463E-2</c:v>
                </c:pt>
                <c:pt idx="4">
                  <c:v>6.6702685666689174E-2</c:v>
                </c:pt>
                <c:pt idx="5" formatCode="0.0000%">
                  <c:v>8.1753605203474702E-2</c:v>
                </c:pt>
                <c:pt idx="6" formatCode="0.000%">
                  <c:v>0.10342125881431184</c:v>
                </c:pt>
                <c:pt idx="7">
                  <c:v>0.20930880713489408</c:v>
                </c:pt>
              </c:numCache>
            </c:numRef>
          </c:val>
        </c:ser>
        <c:dLbls>
          <c:showLegendKey val="0"/>
          <c:showVal val="0"/>
          <c:showCatName val="0"/>
          <c:showSerName val="0"/>
          <c:showPercent val="0"/>
          <c:showBubbleSize val="0"/>
        </c:dLbls>
        <c:gapWidth val="150"/>
        <c:overlap val="100"/>
        <c:axId val="322350592"/>
        <c:axId val="322261504"/>
      </c:barChart>
      <c:catAx>
        <c:axId val="322350592"/>
        <c:scaling>
          <c:orientation val="minMax"/>
        </c:scaling>
        <c:delete val="0"/>
        <c:axPos val="b"/>
        <c:numFmt formatCode="General" sourceLinked="1"/>
        <c:majorTickMark val="out"/>
        <c:minorTickMark val="none"/>
        <c:tickLblPos val="nextTo"/>
        <c:crossAx val="322261504"/>
        <c:crosses val="autoZero"/>
        <c:auto val="1"/>
        <c:lblAlgn val="ctr"/>
        <c:lblOffset val="100"/>
        <c:noMultiLvlLbl val="0"/>
      </c:catAx>
      <c:valAx>
        <c:axId val="322261504"/>
        <c:scaling>
          <c:orientation val="minMax"/>
        </c:scaling>
        <c:delete val="0"/>
        <c:axPos val="l"/>
        <c:majorGridlines/>
        <c:numFmt formatCode="0%" sourceLinked="1"/>
        <c:majorTickMark val="out"/>
        <c:minorTickMark val="none"/>
        <c:tickLblPos val="nextTo"/>
        <c:crossAx val="322350592"/>
        <c:crosses val="autoZero"/>
        <c:crossBetween val="between"/>
      </c:valAx>
    </c:plotArea>
    <c:plotVisOnly val="1"/>
    <c:dispBlanksAs val="gap"/>
    <c:showDLblsOverMax val="0"/>
  </c:chart>
  <c:externalData r:id="rId1">
    <c:autoUpdate val="0"/>
  </c:externalData>
  <c:userShapes r:id="rId2"/>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0305676855895197"/>
          <c:y val="4.7140640961635678E-2"/>
          <c:w val="0.68174507032774745"/>
          <c:h val="0.71406191470756331"/>
        </c:manualLayout>
      </c:layout>
      <c:barChart>
        <c:barDir val="col"/>
        <c:grouping val="clustered"/>
        <c:varyColors val="0"/>
        <c:ser>
          <c:idx val="1"/>
          <c:order val="1"/>
          <c:tx>
            <c:strRef>
              <c:f>'[商業年金保險圖1.5.5(1100817).xlsx]工作表1'!$D$2</c:f>
              <c:strCache>
                <c:ptCount val="1"/>
                <c:pt idx="0">
                  <c:v>有效契約件數</c:v>
                </c:pt>
              </c:strCache>
            </c:strRef>
          </c:tx>
          <c:spPr>
            <a:solidFill>
              <a:schemeClr val="accent2"/>
            </a:solidFill>
            <a:ln>
              <a:noFill/>
              <a:prstDash val="sysDot"/>
            </a:ln>
          </c:spPr>
          <c:invertIfNegative val="0"/>
          <c:cat>
            <c:strRef>
              <c:f>'[商業年金保險圖1.5.5(1100817).xlsx]工作表1'!$C$3:$C$12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'[商業年金保險圖1.5.5(1100817).xlsx]工作表1'!$D$3:$D$12</c:f>
              <c:numCache>
                <c:formatCode>General</c:formatCode>
                <c:ptCount val="10"/>
                <c:pt idx="0">
                  <c:v>99</c:v>
                </c:pt>
                <c:pt idx="1">
                  <c:v>98</c:v>
                </c:pt>
                <c:pt idx="2">
                  <c:v>111</c:v>
                </c:pt>
                <c:pt idx="3" formatCode="0_ ">
                  <c:v>107.3412</c:v>
                </c:pt>
                <c:pt idx="4" formatCode="0_ ">
                  <c:v>115</c:v>
                </c:pt>
                <c:pt idx="5" formatCode="0_ ">
                  <c:v>118</c:v>
                </c:pt>
                <c:pt idx="6" formatCode="0_ ">
                  <c:v>132</c:v>
                </c:pt>
                <c:pt idx="7" formatCode="0_ ">
                  <c:v>151</c:v>
                </c:pt>
                <c:pt idx="8" formatCode="0_ ">
                  <c:v>166</c:v>
                </c:pt>
                <c:pt idx="9" formatCode="0_ ">
                  <c:v>178</c:v>
                </c:pt>
              </c:numCache>
            </c:numRef>
          </c:val>
        </c:ser>
        <c:dLbls>
          <c:showLegendKey val="0"/>
          <c:showVal val="0"/>
          <c:showCatName val="0"/>
          <c:showSerName val="0"/>
          <c:showPercent val="0"/>
          <c:showBubbleSize val="0"/>
        </c:dLbls>
        <c:gapWidth val="150"/>
        <c:axId val="323032064"/>
        <c:axId val="322791104"/>
      </c:barChart>
      <c:lineChart>
        <c:grouping val="standard"/>
        <c:varyColors val="0"/>
        <c:ser>
          <c:idx val="0"/>
          <c:order val="0"/>
          <c:tx>
            <c:strRef>
              <c:f>'[商業年金保險圖1.5.5(1100817).xlsx]工作表1'!$E$2</c:f>
              <c:strCache>
                <c:ptCount val="1"/>
                <c:pt idx="0">
                  <c:v>總保費收入</c:v>
                </c:pt>
              </c:strCache>
            </c:strRef>
          </c:tx>
          <c:spPr>
            <a:ln>
              <a:solidFill>
                <a:srgbClr val="7030A0"/>
              </a:solidFill>
            </a:ln>
          </c:spPr>
          <c:marker>
            <c:spPr>
              <a:solidFill>
                <a:srgbClr val="7030A0"/>
              </a:solidFill>
            </c:spPr>
          </c:marker>
          <c:cat>
            <c:strRef>
              <c:f>'[商業年金保險圖1.5.5(1100817).xlsx]工作表1'!$C$3:$C$12</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'[商業年金保險圖1.5.5(1100817).xlsx]工作表1'!$E$3:$E$12</c:f>
              <c:numCache>
                <c:formatCode>#,##0</c:formatCode>
                <c:ptCount val="10"/>
                <c:pt idx="0">
                  <c:v>2136</c:v>
                </c:pt>
                <c:pt idx="1">
                  <c:v>2153</c:v>
                </c:pt>
                <c:pt idx="2">
                  <c:v>3772</c:v>
                </c:pt>
                <c:pt idx="3">
                  <c:v>2413.0661300000002</c:v>
                </c:pt>
                <c:pt idx="4">
                  <c:v>3034</c:v>
                </c:pt>
                <c:pt idx="5">
                  <c:v>2060</c:v>
                </c:pt>
                <c:pt idx="6">
                  <c:v>3208</c:v>
                </c:pt>
                <c:pt idx="7">
                  <c:v>3460</c:v>
                </c:pt>
                <c:pt idx="8">
                  <c:v>3157</c:v>
                </c:pt>
                <c:pt idx="9">
                  <c:v>3001</c:v>
                </c:pt>
              </c:numCache>
            </c:numRef>
          </c:val>
          <c:smooth val="0"/>
        </c:ser>
        <c:dLbls>
          <c:showLegendKey val="0"/>
          <c:showVal val="0"/>
          <c:showCatName val="0"/>
          <c:showSerName val="0"/>
          <c:showPercent val="0"/>
          <c:showBubbleSize val="0"/>
        </c:dLbls>
        <c:marker val="1"/>
        <c:smooth val="0"/>
        <c:axId val="322879488"/>
        <c:axId val="322790528"/>
      </c:lineChart>
      <c:catAx>
        <c:axId val="322879488"/>
        <c:scaling>
          <c:orientation val="minMax"/>
        </c:scaling>
        <c:delete val="0"/>
        <c:axPos val="b"/>
        <c:numFmt formatCode="General" sourceLinked="1"/>
        <c:majorTickMark val="none"/>
        <c:minorTickMark val="none"/>
        <c:tickLblPos val="nextTo"/>
        <c:crossAx val="322790528"/>
        <c:crossesAt val="0"/>
        <c:auto val="1"/>
        <c:lblAlgn val="ctr"/>
        <c:lblOffset val="100"/>
        <c:noMultiLvlLbl val="0"/>
      </c:catAx>
      <c:valAx>
        <c:axId val="322790528"/>
        <c:scaling>
          <c:orientation val="minMax"/>
        </c:scaling>
        <c:delete val="0"/>
        <c:axPos val="l"/>
        <c:numFmt formatCode="#,##0" sourceLinked="1"/>
        <c:majorTickMark val="out"/>
        <c:minorTickMark val="none"/>
        <c:tickLblPos val="nextTo"/>
        <c:txPr>
          <a:bodyPr/>
          <a:lstStyle/>
          <a:p>
            <a:pPr>
              <a:defRPr sz="1050">
                <a:latin typeface="+mn-lt"/>
              </a:defRPr>
            </a:pPr>
            <a:endParaRPr lang="zh-TW"/>
          </a:p>
        </c:txPr>
        <c:crossAx val="322879488"/>
        <c:crosses val="autoZero"/>
        <c:crossBetween val="between"/>
        <c:majorUnit val="1000"/>
      </c:valAx>
      <c:valAx>
        <c:axId val="322791104"/>
        <c:scaling>
          <c:orientation val="minMax"/>
          <c:min val="50"/>
        </c:scaling>
        <c:delete val="0"/>
        <c:axPos val="r"/>
        <c:numFmt formatCode="General" sourceLinked="1"/>
        <c:majorTickMark val="out"/>
        <c:minorTickMark val="none"/>
        <c:tickLblPos val="nextTo"/>
        <c:txPr>
          <a:bodyPr/>
          <a:lstStyle/>
          <a:p>
            <a:pPr>
              <a:defRPr sz="1050">
                <a:latin typeface="+mn-lt"/>
              </a:defRPr>
            </a:pPr>
            <a:endParaRPr lang="zh-TW"/>
          </a:p>
        </c:txPr>
        <c:crossAx val="323032064"/>
        <c:crosses val="max"/>
        <c:crossBetween val="between"/>
        <c:majorUnit val="50"/>
      </c:valAx>
      <c:catAx>
        <c:axId val="323032064"/>
        <c:scaling>
          <c:orientation val="minMax"/>
        </c:scaling>
        <c:delete val="1"/>
        <c:axPos val="b"/>
        <c:numFmt formatCode="General" sourceLinked="1"/>
        <c:majorTickMark val="out"/>
        <c:minorTickMark val="none"/>
        <c:tickLblPos val="nextTo"/>
        <c:crossAx val="322791104"/>
        <c:crosses val="autoZero"/>
        <c:auto val="1"/>
        <c:lblAlgn val="ctr"/>
        <c:lblOffset val="100"/>
        <c:noMultiLvlLbl val="0"/>
      </c:catAx>
      <c:dTable>
        <c:showHorzBorder val="1"/>
        <c:showVertBorder val="1"/>
        <c:showOutline val="1"/>
        <c:showKeys val="1"/>
        <c:txPr>
          <a:bodyPr/>
          <a:lstStyle/>
          <a:p>
            <a:pPr rtl="0">
              <a:defRPr sz="900">
                <a:latin typeface="+mn-lt"/>
              </a:defRPr>
            </a:pPr>
            <a:endParaRPr lang="zh-TW"/>
          </a:p>
        </c:txPr>
      </c:dTable>
      <c:spPr>
        <a:noFill/>
        <a:ln w="25400">
          <a:noFill/>
        </a:ln>
      </c:spPr>
    </c:plotArea>
    <c:plotVisOnly val="1"/>
    <c:dispBlanksAs val="gap"/>
    <c:showDLblsOverMax val="0"/>
  </c:chart>
  <c:txPr>
    <a:bodyPr/>
    <a:lstStyle/>
    <a:p>
      <a:pPr>
        <a:defRPr sz="1200"/>
      </a:pPr>
      <a:endParaRPr lang="zh-TW"/>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42477876106195"/>
          <c:y val="3.3693122780124138E-2"/>
          <c:w val="0.63122413072259764"/>
          <c:h val="0.65810609200165759"/>
        </c:manualLayout>
      </c:layout>
      <c:barChart>
        <c:barDir val="col"/>
        <c:grouping val="clustered"/>
        <c:varyColors val="0"/>
        <c:ser>
          <c:idx val="1"/>
          <c:order val="0"/>
          <c:tx>
            <c:strRef>
              <c:f>工作表1!$C$1</c:f>
              <c:strCache>
                <c:ptCount val="1"/>
                <c:pt idx="0">
                  <c:v>有效契約件數</c:v>
                </c:pt>
              </c:strCache>
            </c:strRef>
          </c:tx>
          <c:invertIfNegative val="0"/>
          <c:cat>
            <c:strRef>
              <c:f>工作表1!$A$4:$A$13</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工作表1!$C$4:$C$13</c:f>
              <c:numCache>
                <c:formatCode>General</c:formatCode>
                <c:ptCount val="10"/>
                <c:pt idx="0">
                  <c:v>39</c:v>
                </c:pt>
                <c:pt idx="1">
                  <c:v>43</c:v>
                </c:pt>
                <c:pt idx="2">
                  <c:v>47</c:v>
                </c:pt>
                <c:pt idx="3" formatCode="0_ ">
                  <c:v>53.254100000000001</c:v>
                </c:pt>
                <c:pt idx="4" formatCode="0_ ">
                  <c:v>56</c:v>
                </c:pt>
                <c:pt idx="5" formatCode="0_ ">
                  <c:v>58</c:v>
                </c:pt>
                <c:pt idx="6" formatCode="0_ ">
                  <c:v>60</c:v>
                </c:pt>
                <c:pt idx="7" formatCode="0_ ">
                  <c:v>67</c:v>
                </c:pt>
                <c:pt idx="8" formatCode="0_ ">
                  <c:v>71</c:v>
                </c:pt>
                <c:pt idx="9" formatCode="0_ ">
                  <c:v>80</c:v>
                </c:pt>
              </c:numCache>
            </c:numRef>
          </c:val>
        </c:ser>
        <c:dLbls>
          <c:showLegendKey val="0"/>
          <c:showVal val="0"/>
          <c:showCatName val="0"/>
          <c:showSerName val="0"/>
          <c:showPercent val="0"/>
          <c:showBubbleSize val="0"/>
        </c:dLbls>
        <c:gapWidth val="150"/>
        <c:axId val="323085312"/>
        <c:axId val="322793984"/>
      </c:barChart>
      <c:lineChart>
        <c:grouping val="standard"/>
        <c:varyColors val="0"/>
        <c:ser>
          <c:idx val="0"/>
          <c:order val="1"/>
          <c:tx>
            <c:strRef>
              <c:f>工作表1!$B$1</c:f>
              <c:strCache>
                <c:ptCount val="1"/>
                <c:pt idx="0">
                  <c:v>總保費收入</c:v>
                </c:pt>
              </c:strCache>
            </c:strRef>
          </c:tx>
          <c:cat>
            <c:strRef>
              <c:f>工作表1!$A$4:$A$13</c:f>
              <c:strCache>
                <c:ptCount val="10"/>
                <c:pt idx="0">
                  <c:v>100年</c:v>
                </c:pt>
                <c:pt idx="1">
                  <c:v>101年</c:v>
                </c:pt>
                <c:pt idx="2">
                  <c:v>102年</c:v>
                </c:pt>
                <c:pt idx="3">
                  <c:v>103年</c:v>
                </c:pt>
                <c:pt idx="4">
                  <c:v>104年</c:v>
                </c:pt>
                <c:pt idx="5">
                  <c:v>105年</c:v>
                </c:pt>
                <c:pt idx="6">
                  <c:v>106年</c:v>
                </c:pt>
                <c:pt idx="7">
                  <c:v>107年</c:v>
                </c:pt>
                <c:pt idx="8">
                  <c:v>108年</c:v>
                </c:pt>
                <c:pt idx="9">
                  <c:v>109年</c:v>
                </c:pt>
              </c:strCache>
            </c:strRef>
          </c:cat>
          <c:val>
            <c:numRef>
              <c:f>工作表1!$B$4:$B$13</c:f>
              <c:numCache>
                <c:formatCode>General</c:formatCode>
                <c:ptCount val="10"/>
                <c:pt idx="0">
                  <c:v>93</c:v>
                </c:pt>
                <c:pt idx="1">
                  <c:v>103</c:v>
                </c:pt>
                <c:pt idx="2">
                  <c:v>118</c:v>
                </c:pt>
                <c:pt idx="3" formatCode="0_ ">
                  <c:v>143.69720000000001</c:v>
                </c:pt>
                <c:pt idx="4" formatCode="0_ ">
                  <c:v>153</c:v>
                </c:pt>
                <c:pt idx="5" formatCode="0_ ">
                  <c:v>161</c:v>
                </c:pt>
                <c:pt idx="6" formatCode="0_ ">
                  <c:v>171</c:v>
                </c:pt>
                <c:pt idx="7" formatCode="0_ ">
                  <c:v>183</c:v>
                </c:pt>
                <c:pt idx="8" formatCode="0_ ">
                  <c:v>199</c:v>
                </c:pt>
                <c:pt idx="9" formatCode="0_ ">
                  <c:v>218</c:v>
                </c:pt>
              </c:numCache>
            </c:numRef>
          </c:val>
          <c:smooth val="0"/>
        </c:ser>
        <c:dLbls>
          <c:showLegendKey val="0"/>
          <c:showVal val="0"/>
          <c:showCatName val="0"/>
          <c:showSerName val="0"/>
          <c:showPercent val="0"/>
          <c:showBubbleSize val="0"/>
        </c:dLbls>
        <c:marker val="1"/>
        <c:smooth val="0"/>
        <c:axId val="323034624"/>
        <c:axId val="322793408"/>
      </c:lineChart>
      <c:catAx>
        <c:axId val="323034624"/>
        <c:scaling>
          <c:orientation val="minMax"/>
        </c:scaling>
        <c:delete val="0"/>
        <c:axPos val="b"/>
        <c:numFmt formatCode="General" sourceLinked="1"/>
        <c:majorTickMark val="none"/>
        <c:minorTickMark val="none"/>
        <c:tickLblPos val="nextTo"/>
        <c:crossAx val="322793408"/>
        <c:crosses val="autoZero"/>
        <c:auto val="1"/>
        <c:lblAlgn val="ctr"/>
        <c:lblOffset val="100"/>
        <c:noMultiLvlLbl val="0"/>
      </c:catAx>
      <c:valAx>
        <c:axId val="322793408"/>
        <c:scaling>
          <c:orientation val="minMax"/>
          <c:min val="0"/>
        </c:scaling>
        <c:delete val="0"/>
        <c:axPos val="l"/>
        <c:numFmt formatCode="General" sourceLinked="1"/>
        <c:majorTickMark val="out"/>
        <c:minorTickMark val="none"/>
        <c:tickLblPos val="nextTo"/>
        <c:txPr>
          <a:bodyPr/>
          <a:lstStyle/>
          <a:p>
            <a:pPr>
              <a:defRPr sz="1100">
                <a:latin typeface="+mn-lt"/>
              </a:defRPr>
            </a:pPr>
            <a:endParaRPr lang="zh-TW"/>
          </a:p>
        </c:txPr>
        <c:crossAx val="323034624"/>
        <c:crosses val="autoZero"/>
        <c:crossBetween val="between"/>
        <c:majorUnit val="50"/>
        <c:minorUnit val="5"/>
      </c:valAx>
      <c:valAx>
        <c:axId val="322793984"/>
        <c:scaling>
          <c:orientation val="minMax"/>
          <c:min val="20"/>
        </c:scaling>
        <c:delete val="0"/>
        <c:axPos val="r"/>
        <c:numFmt formatCode="General" sourceLinked="1"/>
        <c:majorTickMark val="out"/>
        <c:minorTickMark val="none"/>
        <c:tickLblPos val="nextTo"/>
        <c:txPr>
          <a:bodyPr/>
          <a:lstStyle/>
          <a:p>
            <a:pPr>
              <a:defRPr sz="1100">
                <a:latin typeface="+mn-lt"/>
              </a:defRPr>
            </a:pPr>
            <a:endParaRPr lang="zh-TW"/>
          </a:p>
        </c:txPr>
        <c:crossAx val="323085312"/>
        <c:crosses val="max"/>
        <c:crossBetween val="between"/>
      </c:valAx>
      <c:catAx>
        <c:axId val="323085312"/>
        <c:scaling>
          <c:orientation val="minMax"/>
        </c:scaling>
        <c:delete val="1"/>
        <c:axPos val="b"/>
        <c:numFmt formatCode="General" sourceLinked="1"/>
        <c:majorTickMark val="out"/>
        <c:minorTickMark val="none"/>
        <c:tickLblPos val="nextTo"/>
        <c:crossAx val="322793984"/>
        <c:crosses val="autoZero"/>
        <c:auto val="1"/>
        <c:lblAlgn val="ctr"/>
        <c:lblOffset val="100"/>
        <c:noMultiLvlLbl val="0"/>
      </c:catAx>
      <c:dTable>
        <c:showHorzBorder val="1"/>
        <c:showVertBorder val="1"/>
        <c:showOutline val="1"/>
        <c:showKeys val="1"/>
        <c:txPr>
          <a:bodyPr/>
          <a:lstStyle/>
          <a:p>
            <a:pPr rtl="0">
              <a:defRPr sz="1100">
                <a:latin typeface="+mn-lt"/>
              </a:defRPr>
            </a:pPr>
            <a:endParaRPr lang="zh-TW"/>
          </a:p>
        </c:txPr>
      </c:dTable>
    </c:plotArea>
    <c:plotVisOnly val="1"/>
    <c:dispBlanksAs val="gap"/>
    <c:showDLblsOverMax val="0"/>
  </c:chart>
  <c:txPr>
    <a:bodyPr/>
    <a:lstStyle/>
    <a:p>
      <a:pPr>
        <a:defRPr sz="1200"/>
      </a:pPr>
      <a:endParaRPr lang="zh-TW"/>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0.86201</cdr:x>
      <cdr:y>0.02446</cdr:y>
    </cdr:from>
    <cdr:to>
      <cdr:x>1</cdr:x>
      <cdr:y>0.11855</cdr:y>
    </cdr:to>
    <cdr:sp macro="" textlink="">
      <cdr:nvSpPr>
        <cdr:cNvPr id="2" name="文字方塊 1"/>
        <cdr:cNvSpPr txBox="1"/>
      </cdr:nvSpPr>
      <cdr:spPr>
        <a:xfrm xmlns:a="http://schemas.openxmlformats.org/drawingml/2006/main">
          <a:off x="4729332" y="76696"/>
          <a:ext cx="757068" cy="2949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800">
              <a:latin typeface="微軟正黑體" pitchFamily="34" charset="-120"/>
              <a:ea typeface="微軟正黑體" pitchFamily="34" charset="-120"/>
            </a:rPr>
            <a:t>單位：萬人</a:t>
          </a:r>
        </a:p>
      </cdr:txBody>
    </cdr:sp>
  </cdr:relSizeAnchor>
</c:userShapes>
</file>

<file path=word/drawings/drawing10.xml><?xml version="1.0" encoding="utf-8"?>
<c:userShapes xmlns:c="http://schemas.openxmlformats.org/drawingml/2006/chart">
  <cdr:relSizeAnchor xmlns:cdr="http://schemas.openxmlformats.org/drawingml/2006/chartDrawing">
    <cdr:from>
      <cdr:x>0.68994</cdr:x>
      <cdr:y>0.04056</cdr:y>
    </cdr:from>
    <cdr:to>
      <cdr:x>1</cdr:x>
      <cdr:y>0.10847</cdr:y>
    </cdr:to>
    <cdr:sp macro="" textlink="">
      <cdr:nvSpPr>
        <cdr:cNvPr id="2" name="文字方塊 1"/>
        <cdr:cNvSpPr txBox="1"/>
      </cdr:nvSpPr>
      <cdr:spPr>
        <a:xfrm xmlns:a="http://schemas.openxmlformats.org/drawingml/2006/main">
          <a:off x="1758956" y="129196"/>
          <a:ext cx="789511" cy="216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dirty="0" smtClean="0">
              <a:latin typeface="微軟正黑體" pitchFamily="34" charset="-120"/>
              <a:ea typeface="微軟正黑體" pitchFamily="34" charset="-120"/>
            </a:rPr>
            <a:t>(</a:t>
          </a:r>
          <a:r>
            <a:rPr lang="zh-TW" altLang="en-US" sz="800" dirty="0" smtClean="0">
              <a:latin typeface="微軟正黑體" pitchFamily="34" charset="-120"/>
              <a:ea typeface="微軟正黑體" pitchFamily="34" charset="-120"/>
            </a:rPr>
            <a:t>單位：萬元</a:t>
          </a:r>
          <a:r>
            <a:rPr lang="en-US" altLang="zh-TW" sz="800" dirty="0" smtClean="0">
              <a:latin typeface="微軟正黑體" pitchFamily="34" charset="-120"/>
              <a:ea typeface="微軟正黑體" pitchFamily="34" charset="-120"/>
            </a:rPr>
            <a:t>)</a:t>
          </a:r>
          <a:endParaRPr lang="zh-TW" altLang="en-US" sz="800" dirty="0">
            <a:latin typeface="微軟正黑體" pitchFamily="34" charset="-120"/>
            <a:ea typeface="微軟正黑體" pitchFamily="34" charset="-12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0.79445</cdr:x>
      <cdr:y>0.0371</cdr:y>
    </cdr:from>
    <cdr:to>
      <cdr:x>0.95833</cdr:x>
      <cdr:y>0.11344</cdr:y>
    </cdr:to>
    <cdr:sp macro="" textlink="">
      <cdr:nvSpPr>
        <cdr:cNvPr id="2" name="文字方塊 1"/>
        <cdr:cNvSpPr txBox="1"/>
      </cdr:nvSpPr>
      <cdr:spPr>
        <a:xfrm xmlns:a="http://schemas.openxmlformats.org/drawingml/2006/main">
          <a:off x="4358686" y="113264"/>
          <a:ext cx="899115" cy="233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dirty="0" smtClean="0">
              <a:latin typeface="微軟正黑體" pitchFamily="34" charset="-120"/>
              <a:ea typeface="微軟正黑體" pitchFamily="34" charset="-120"/>
            </a:rPr>
            <a:t>(</a:t>
          </a:r>
          <a:r>
            <a:rPr lang="zh-TW" altLang="en-US" sz="800" dirty="0" smtClean="0">
              <a:latin typeface="微軟正黑體" pitchFamily="34" charset="-120"/>
              <a:ea typeface="微軟正黑體" pitchFamily="34" charset="-120"/>
            </a:rPr>
            <a:t>單位：萬人</a:t>
          </a:r>
          <a:r>
            <a:rPr lang="en-US" altLang="zh-TW" sz="800" dirty="0" smtClean="0">
              <a:latin typeface="微軟正黑體" pitchFamily="34" charset="-120"/>
              <a:ea typeface="微軟正黑體" pitchFamily="34" charset="-120"/>
            </a:rPr>
            <a:t>)</a:t>
          </a:r>
          <a:endParaRPr lang="zh-TW" altLang="en-US" sz="800" dirty="0">
            <a:latin typeface="微軟正黑體" pitchFamily="34" charset="-120"/>
            <a:ea typeface="微軟正黑體" pitchFamily="34" charset="-12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0.36335</cdr:x>
      <cdr:y>0</cdr:y>
    </cdr:from>
    <cdr:to>
      <cdr:x>0.7367</cdr:x>
      <cdr:y>0.07287</cdr:y>
    </cdr:to>
    <cdr:sp macro="" textlink="">
      <cdr:nvSpPr>
        <cdr:cNvPr id="2" name="文字方塊 1"/>
        <cdr:cNvSpPr txBox="1"/>
      </cdr:nvSpPr>
      <cdr:spPr>
        <a:xfrm xmlns:a="http://schemas.openxmlformats.org/drawingml/2006/main">
          <a:off x="1158949" y="0"/>
          <a:ext cx="1190846" cy="1526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900" b="1">
              <a:latin typeface="微軟正黑體" pitchFamily="34" charset="-120"/>
              <a:ea typeface="微軟正黑體" pitchFamily="34" charset="-120"/>
            </a:rPr>
            <a:t>勞工退休金</a:t>
          </a:r>
          <a:r>
            <a:rPr lang="en-US" altLang="zh-TW" sz="900" b="1">
              <a:latin typeface="微軟正黑體" pitchFamily="34" charset="-120"/>
              <a:ea typeface="微軟正黑體" pitchFamily="34" charset="-120"/>
            </a:rPr>
            <a:t>(</a:t>
          </a:r>
          <a:r>
            <a:rPr lang="zh-TW" altLang="en-US" sz="900" b="1">
              <a:latin typeface="微軟正黑體" pitchFamily="34" charset="-120"/>
              <a:ea typeface="微軟正黑體" pitchFamily="34" charset="-120"/>
            </a:rPr>
            <a:t>新制</a:t>
          </a:r>
          <a:r>
            <a:rPr lang="en-US" altLang="zh-TW" sz="900" b="1">
              <a:latin typeface="微軟正黑體" pitchFamily="34" charset="-120"/>
              <a:ea typeface="微軟正黑體" pitchFamily="34" charset="-120"/>
            </a:rPr>
            <a:t>)</a:t>
          </a:r>
          <a:endParaRPr lang="zh-TW" altLang="en-US" sz="900" b="1">
            <a:latin typeface="微軟正黑體" pitchFamily="34" charset="-120"/>
            <a:ea typeface="微軟正黑體" pitchFamily="34" charset="-120"/>
          </a:endParaRPr>
        </a:p>
      </cdr:txBody>
    </cdr:sp>
  </cdr:relSizeAnchor>
  <cdr:relSizeAnchor xmlns:cdr="http://schemas.openxmlformats.org/drawingml/2006/chartDrawing">
    <cdr:from>
      <cdr:x>0.7153</cdr:x>
      <cdr:y>0.03554</cdr:y>
    </cdr:from>
    <cdr:to>
      <cdr:x>1</cdr:x>
      <cdr:y>0.14704</cdr:y>
    </cdr:to>
    <cdr:sp macro="" textlink="">
      <cdr:nvSpPr>
        <cdr:cNvPr id="3" name="文字方塊 2"/>
        <cdr:cNvSpPr txBox="1"/>
      </cdr:nvSpPr>
      <cdr:spPr>
        <a:xfrm xmlns:a="http://schemas.openxmlformats.org/drawingml/2006/main">
          <a:off x="2281677" y="74428"/>
          <a:ext cx="908090" cy="2335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800">
              <a:latin typeface="微軟正黑體" pitchFamily="34" charset="-120"/>
              <a:ea typeface="微軟正黑體" pitchFamily="34" charset="-120"/>
            </a:rPr>
            <a:t>(</a:t>
          </a:r>
          <a:r>
            <a:rPr lang="zh-TW" altLang="en-US" sz="800">
              <a:latin typeface="微軟正黑體" pitchFamily="34" charset="-120"/>
              <a:ea typeface="微軟正黑體" pitchFamily="34" charset="-120"/>
            </a:rPr>
            <a:t>單位：人</a:t>
          </a:r>
          <a:r>
            <a:rPr lang="en-US" altLang="zh-TW" sz="800">
              <a:latin typeface="微軟正黑體" pitchFamily="34" charset="-120"/>
              <a:ea typeface="微軟正黑體" pitchFamily="34" charset="-120"/>
            </a:rPr>
            <a:t>)</a:t>
          </a:r>
          <a:endParaRPr lang="zh-TW" altLang="en-US" sz="800">
            <a:latin typeface="微軟正黑體" pitchFamily="34" charset="-120"/>
            <a:ea typeface="微軟正黑體" pitchFamily="34" charset="-12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0.33341</cdr:x>
      <cdr:y>0.01866</cdr:y>
    </cdr:from>
    <cdr:to>
      <cdr:x>0.77585</cdr:x>
      <cdr:y>0.11584</cdr:y>
    </cdr:to>
    <cdr:sp macro="" textlink="">
      <cdr:nvSpPr>
        <cdr:cNvPr id="2" name="文字方塊 1"/>
        <cdr:cNvSpPr txBox="1"/>
      </cdr:nvSpPr>
      <cdr:spPr>
        <a:xfrm xmlns:a="http://schemas.openxmlformats.org/drawingml/2006/main">
          <a:off x="1004594" y="39756"/>
          <a:ext cx="1333089" cy="2070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900" b="1">
              <a:latin typeface="微軟正黑體" pitchFamily="34" charset="-120"/>
              <a:ea typeface="微軟正黑體" pitchFamily="34" charset="-120"/>
            </a:rPr>
            <a:t>公務人員退撫制度</a:t>
          </a:r>
        </a:p>
      </cdr:txBody>
    </cdr:sp>
  </cdr:relSizeAnchor>
  <cdr:relSizeAnchor xmlns:cdr="http://schemas.openxmlformats.org/drawingml/2006/chartDrawing">
    <cdr:from>
      <cdr:x>0.7389</cdr:x>
      <cdr:y>0.05456</cdr:y>
    </cdr:from>
    <cdr:to>
      <cdr:x>1</cdr:x>
      <cdr:y>0.1269</cdr:y>
    </cdr:to>
    <cdr:sp macro="" textlink="">
      <cdr:nvSpPr>
        <cdr:cNvPr id="3" name="文字方塊 2"/>
        <cdr:cNvSpPr txBox="1"/>
      </cdr:nvSpPr>
      <cdr:spPr>
        <a:xfrm xmlns:a="http://schemas.openxmlformats.org/drawingml/2006/main">
          <a:off x="2226365" y="116234"/>
          <a:ext cx="786710" cy="1541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800">
              <a:latin typeface="微軟正黑體" pitchFamily="34" charset="-120"/>
              <a:ea typeface="微軟正黑體" pitchFamily="34" charset="-120"/>
            </a:rPr>
            <a:t>(</a:t>
          </a:r>
          <a:r>
            <a:rPr lang="zh-TW" altLang="en-US" sz="800">
              <a:latin typeface="微軟正黑體" pitchFamily="34" charset="-120"/>
              <a:ea typeface="微軟正黑體" pitchFamily="34" charset="-120"/>
            </a:rPr>
            <a:t>單位： 人</a:t>
          </a:r>
          <a:r>
            <a:rPr lang="en-US" altLang="zh-TW" sz="800">
              <a:latin typeface="微軟正黑體" pitchFamily="34" charset="-120"/>
              <a:ea typeface="微軟正黑體" pitchFamily="34" charset="-120"/>
            </a:rPr>
            <a:t>)</a:t>
          </a:r>
          <a:endParaRPr lang="zh-TW" altLang="en-US" sz="800">
            <a:latin typeface="微軟正黑體" pitchFamily="34" charset="-120"/>
            <a:ea typeface="微軟正黑體" pitchFamily="34" charset="-12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0.32251</cdr:x>
      <cdr:y>0.03732</cdr:y>
    </cdr:from>
    <cdr:to>
      <cdr:x>0.70769</cdr:x>
      <cdr:y>0.10247</cdr:y>
    </cdr:to>
    <cdr:sp macro="" textlink="">
      <cdr:nvSpPr>
        <cdr:cNvPr id="3" name="文字方塊 1"/>
        <cdr:cNvSpPr txBox="1"/>
      </cdr:nvSpPr>
      <cdr:spPr>
        <a:xfrm xmlns:a="http://schemas.openxmlformats.org/drawingml/2006/main">
          <a:off x="981999" y="79513"/>
          <a:ext cx="1172804" cy="1387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900" b="1">
              <a:latin typeface="微軟正黑體" pitchFamily="34" charset="-120"/>
              <a:ea typeface="微軟正黑體" pitchFamily="34" charset="-120"/>
            </a:rPr>
            <a:t>軍職人員退撫制度</a:t>
          </a:r>
        </a:p>
      </cdr:txBody>
    </cdr:sp>
  </cdr:relSizeAnchor>
  <cdr:relSizeAnchor xmlns:cdr="http://schemas.openxmlformats.org/drawingml/2006/chartDrawing">
    <cdr:from>
      <cdr:x>0.72027</cdr:x>
      <cdr:y>0.07413</cdr:y>
    </cdr:from>
    <cdr:to>
      <cdr:x>0.97592</cdr:x>
      <cdr:y>0.15147</cdr:y>
    </cdr:to>
    <cdr:sp macro="" textlink="">
      <cdr:nvSpPr>
        <cdr:cNvPr id="4" name="文字方塊 1"/>
        <cdr:cNvSpPr txBox="1"/>
      </cdr:nvSpPr>
      <cdr:spPr>
        <a:xfrm xmlns:a="http://schemas.openxmlformats.org/drawingml/2006/main">
          <a:off x="2193088" y="157924"/>
          <a:ext cx="778409" cy="1647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800">
              <a:latin typeface="微軟正黑體" pitchFamily="34" charset="-120"/>
              <a:ea typeface="微軟正黑體" pitchFamily="34" charset="-120"/>
            </a:rPr>
            <a:t>(</a:t>
          </a:r>
          <a:r>
            <a:rPr lang="zh-TW" altLang="en-US" sz="800">
              <a:latin typeface="微軟正黑體" pitchFamily="34" charset="-120"/>
              <a:ea typeface="微軟正黑體" pitchFamily="34" charset="-120"/>
            </a:rPr>
            <a:t>單位： 人</a:t>
          </a:r>
          <a:r>
            <a:rPr lang="en-US" altLang="zh-TW" sz="800">
              <a:latin typeface="微軟正黑體" pitchFamily="34" charset="-120"/>
              <a:ea typeface="微軟正黑體" pitchFamily="34" charset="-120"/>
            </a:rPr>
            <a:t>)</a:t>
          </a:r>
          <a:endParaRPr lang="zh-TW" altLang="en-US" sz="800">
            <a:latin typeface="微軟正黑體" pitchFamily="34" charset="-120"/>
            <a:ea typeface="微軟正黑體" pitchFamily="34" charset="-12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0.32521</cdr:x>
      <cdr:y>0.02023</cdr:y>
    </cdr:from>
    <cdr:to>
      <cdr:x>0.66898</cdr:x>
      <cdr:y>0.09189</cdr:y>
    </cdr:to>
    <cdr:sp macro="" textlink="">
      <cdr:nvSpPr>
        <cdr:cNvPr id="2" name="文字方塊 1"/>
        <cdr:cNvSpPr txBox="1"/>
      </cdr:nvSpPr>
      <cdr:spPr>
        <a:xfrm xmlns:a="http://schemas.openxmlformats.org/drawingml/2006/main">
          <a:off x="1057524" y="43104"/>
          <a:ext cx="1117903" cy="1526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900" b="1">
              <a:latin typeface="微軟正黑體" pitchFamily="34" charset="-120"/>
              <a:ea typeface="微軟正黑體" pitchFamily="34" charset="-120"/>
            </a:rPr>
            <a:t>教育人員退撫制度</a:t>
          </a:r>
        </a:p>
      </cdr:txBody>
    </cdr:sp>
  </cdr:relSizeAnchor>
  <cdr:relSizeAnchor xmlns:cdr="http://schemas.openxmlformats.org/drawingml/2006/chartDrawing">
    <cdr:from>
      <cdr:x>0.70591</cdr:x>
      <cdr:y>0.05756</cdr:y>
    </cdr:from>
    <cdr:to>
      <cdr:x>0.96584</cdr:x>
      <cdr:y>0.11029</cdr:y>
    </cdr:to>
    <cdr:sp macro="" textlink="">
      <cdr:nvSpPr>
        <cdr:cNvPr id="3" name="文字方塊 2"/>
        <cdr:cNvSpPr txBox="1"/>
      </cdr:nvSpPr>
      <cdr:spPr>
        <a:xfrm xmlns:a="http://schemas.openxmlformats.org/drawingml/2006/main">
          <a:off x="2295503" y="122627"/>
          <a:ext cx="845249" cy="1123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800">
              <a:latin typeface="微軟正黑體" pitchFamily="34" charset="-120"/>
              <a:ea typeface="微軟正黑體" pitchFamily="34" charset="-120"/>
            </a:rPr>
            <a:t>(</a:t>
          </a:r>
          <a:r>
            <a:rPr lang="zh-TW" altLang="en-US" sz="800">
              <a:latin typeface="微軟正黑體" pitchFamily="34" charset="-120"/>
              <a:ea typeface="微軟正黑體" pitchFamily="34" charset="-120"/>
            </a:rPr>
            <a:t>單位： 人</a:t>
          </a:r>
          <a:r>
            <a:rPr lang="en-US" altLang="zh-TW" sz="800">
              <a:latin typeface="微軟正黑體" pitchFamily="34" charset="-120"/>
              <a:ea typeface="微軟正黑體" pitchFamily="34" charset="-120"/>
            </a:rPr>
            <a:t>)</a:t>
          </a:r>
          <a:endParaRPr lang="zh-TW" altLang="en-US" sz="800">
            <a:latin typeface="微軟正黑體" pitchFamily="34" charset="-120"/>
            <a:ea typeface="微軟正黑體" pitchFamily="34" charset="-12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0.36767</cdr:x>
      <cdr:y>0.02708</cdr:y>
    </cdr:from>
    <cdr:to>
      <cdr:x>0.65924</cdr:x>
      <cdr:y>0.10116</cdr:y>
    </cdr:to>
    <cdr:sp macro="" textlink="">
      <cdr:nvSpPr>
        <cdr:cNvPr id="2" name="文字方塊 1"/>
        <cdr:cNvSpPr txBox="1"/>
      </cdr:nvSpPr>
      <cdr:spPr>
        <a:xfrm xmlns:a="http://schemas.openxmlformats.org/drawingml/2006/main">
          <a:off x="1680968" y="66316"/>
          <a:ext cx="1333058" cy="1813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900" b="1">
              <a:latin typeface="微軟正黑體" pitchFamily="34" charset="-120"/>
              <a:ea typeface="微軟正黑體" pitchFamily="34" charset="-120"/>
            </a:rPr>
            <a:t>私校教職員退撫制度</a:t>
          </a:r>
        </a:p>
      </cdr:txBody>
    </cdr:sp>
  </cdr:relSizeAnchor>
  <cdr:relSizeAnchor xmlns:cdr="http://schemas.openxmlformats.org/drawingml/2006/chartDrawing">
    <cdr:from>
      <cdr:x>0.7531</cdr:x>
      <cdr:y>0.05784</cdr:y>
    </cdr:from>
    <cdr:to>
      <cdr:x>0.92517</cdr:x>
      <cdr:y>0.11298</cdr:y>
    </cdr:to>
    <cdr:sp macro="" textlink="">
      <cdr:nvSpPr>
        <cdr:cNvPr id="3" name="文字方塊 1"/>
        <cdr:cNvSpPr txBox="1"/>
      </cdr:nvSpPr>
      <cdr:spPr>
        <a:xfrm xmlns:a="http://schemas.openxmlformats.org/drawingml/2006/main">
          <a:off x="3443175" y="141635"/>
          <a:ext cx="786704" cy="1350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800">
              <a:latin typeface="微軟正黑體" pitchFamily="34" charset="-120"/>
              <a:ea typeface="微軟正黑體" pitchFamily="34" charset="-120"/>
            </a:rPr>
            <a:t>(</a:t>
          </a:r>
          <a:r>
            <a:rPr lang="zh-TW" altLang="en-US" sz="800">
              <a:latin typeface="微軟正黑體" pitchFamily="34" charset="-120"/>
              <a:ea typeface="微軟正黑體" pitchFamily="34" charset="-120"/>
            </a:rPr>
            <a:t>單位： 人</a:t>
          </a:r>
          <a:r>
            <a:rPr lang="en-US" altLang="zh-TW" sz="800">
              <a:latin typeface="微軟正黑體" pitchFamily="34" charset="-120"/>
              <a:ea typeface="微軟正黑體" pitchFamily="34" charset="-120"/>
            </a:rPr>
            <a:t>)</a:t>
          </a:r>
          <a:endParaRPr lang="zh-TW" altLang="en-US" sz="800">
            <a:latin typeface="微軟正黑體" pitchFamily="34" charset="-120"/>
            <a:ea typeface="微軟正黑體" pitchFamily="34" charset="-12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0.63684</cdr:x>
      <cdr:y>0.00788</cdr:y>
    </cdr:from>
    <cdr:to>
      <cdr:x>0.80934</cdr:x>
      <cdr:y>0.10709</cdr:y>
    </cdr:to>
    <cdr:sp macro="" textlink="">
      <cdr:nvSpPr>
        <cdr:cNvPr id="2" name="文字方塊 1"/>
        <cdr:cNvSpPr txBox="1"/>
      </cdr:nvSpPr>
      <cdr:spPr>
        <a:xfrm xmlns:a="http://schemas.openxmlformats.org/drawingml/2006/main">
          <a:off x="5050904" y="28599"/>
          <a:ext cx="1368152" cy="360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800" dirty="0"/>
        </a:p>
      </cdr:txBody>
    </cdr:sp>
  </cdr:relSizeAnchor>
  <cdr:relSizeAnchor xmlns:cdr="http://schemas.openxmlformats.org/drawingml/2006/chartDrawing">
    <cdr:from>
      <cdr:x>0.81077</cdr:x>
      <cdr:y>0.03044</cdr:y>
    </cdr:from>
    <cdr:to>
      <cdr:x>0.95227</cdr:x>
      <cdr:y>0.11905</cdr:y>
    </cdr:to>
    <cdr:sp macro="" textlink="">
      <cdr:nvSpPr>
        <cdr:cNvPr id="3" name="文字方塊 2"/>
        <cdr:cNvSpPr txBox="1"/>
      </cdr:nvSpPr>
      <cdr:spPr>
        <a:xfrm xmlns:a="http://schemas.openxmlformats.org/drawingml/2006/main">
          <a:off x="4591841" y="76200"/>
          <a:ext cx="801425" cy="2218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dirty="0" smtClean="0">
              <a:latin typeface="微軟正黑體" pitchFamily="34" charset="-120"/>
              <a:ea typeface="微軟正黑體" pitchFamily="34" charset="-120"/>
            </a:rPr>
            <a:t>(</a:t>
          </a:r>
          <a:r>
            <a:rPr lang="zh-TW" altLang="en-US" sz="800" dirty="0" smtClean="0">
              <a:latin typeface="微軟正黑體" pitchFamily="34" charset="-120"/>
              <a:ea typeface="微軟正黑體" pitchFamily="34" charset="-120"/>
            </a:rPr>
            <a:t>單位：萬人</a:t>
          </a:r>
          <a:r>
            <a:rPr lang="en-US" altLang="zh-TW" sz="800" dirty="0" smtClean="0">
              <a:latin typeface="微軟正黑體" pitchFamily="34" charset="-120"/>
              <a:ea typeface="微軟正黑體" pitchFamily="34" charset="-120"/>
            </a:rPr>
            <a:t>)</a:t>
          </a:r>
          <a:endParaRPr lang="zh-TW" altLang="en-US" sz="800" dirty="0">
            <a:latin typeface="微軟正黑體" pitchFamily="34" charset="-120"/>
            <a:ea typeface="微軟正黑體" pitchFamily="34" charset="-12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0.01364</cdr:x>
      <cdr:y>0.06291</cdr:y>
    </cdr:from>
    <cdr:to>
      <cdr:x>0.07094</cdr:x>
      <cdr:y>0.46421</cdr:y>
    </cdr:to>
    <cdr:sp macro="" textlink="">
      <cdr:nvSpPr>
        <cdr:cNvPr id="2" name="文字方塊 1"/>
        <cdr:cNvSpPr txBox="1"/>
      </cdr:nvSpPr>
      <cdr:spPr>
        <a:xfrm xmlns:a="http://schemas.openxmlformats.org/drawingml/2006/main">
          <a:off x="76200" y="220980"/>
          <a:ext cx="320040" cy="14097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000" b="1">
              <a:latin typeface="+mn-ea"/>
              <a:ea typeface="+mn-ea"/>
            </a:rPr>
            <a:t>被保險人人數 </a:t>
          </a:r>
          <a:r>
            <a:rPr lang="en-US" altLang="zh-TW" sz="1000" b="1">
              <a:latin typeface="+mn-ea"/>
              <a:ea typeface="+mn-ea"/>
            </a:rPr>
            <a:t>(</a:t>
          </a:r>
          <a:r>
            <a:rPr lang="zh-TW" altLang="en-US" sz="1000" b="1">
              <a:latin typeface="+mn-ea"/>
              <a:ea typeface="+mn-ea"/>
            </a:rPr>
            <a:t>萬人</a:t>
          </a:r>
          <a:r>
            <a:rPr lang="en-US" altLang="zh-TW" sz="1000" b="1">
              <a:latin typeface="+mn-ea"/>
              <a:ea typeface="+mn-ea"/>
            </a:rPr>
            <a:t>)</a:t>
          </a:r>
          <a:endParaRPr lang="zh-TW" altLang="en-US" sz="1000" b="1">
            <a:latin typeface="+mn-ea"/>
            <a:ea typeface="+mn-ea"/>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0.02775</cdr:x>
      <cdr:y>0.0158</cdr:y>
    </cdr:from>
    <cdr:to>
      <cdr:x>0.10648</cdr:x>
      <cdr:y>0.08814</cdr:y>
    </cdr:to>
    <cdr:sp macro="" textlink="">
      <cdr:nvSpPr>
        <cdr:cNvPr id="3" name="文字方塊 2"/>
        <cdr:cNvSpPr txBox="1"/>
      </cdr:nvSpPr>
      <cdr:spPr>
        <a:xfrm xmlns:a="http://schemas.openxmlformats.org/drawingml/2006/main">
          <a:off x="152490" y="46820"/>
          <a:ext cx="432594" cy="2143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000">
              <a:latin typeface="微軟正黑體" pitchFamily="34" charset="-120"/>
              <a:ea typeface="微軟正黑體" pitchFamily="34" charset="-120"/>
            </a:rPr>
            <a:t>(%)</a:t>
          </a:r>
          <a:endParaRPr lang="zh-TW" altLang="en-US" sz="1000">
            <a:latin typeface="微軟正黑體" pitchFamily="34" charset="-120"/>
            <a:ea typeface="微軟正黑體" pitchFamily="34" charset="-12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0.59625</cdr:x>
      <cdr:y>0.46771</cdr:y>
    </cdr:from>
    <cdr:to>
      <cdr:x>0.78853</cdr:x>
      <cdr:y>0.57686</cdr:y>
    </cdr:to>
    <cdr:sp macro="" textlink="">
      <cdr:nvSpPr>
        <cdr:cNvPr id="2" name="文字方塊 1"/>
        <cdr:cNvSpPr txBox="1"/>
      </cdr:nvSpPr>
      <cdr:spPr>
        <a:xfrm xmlns:a="http://schemas.openxmlformats.org/drawingml/2006/main">
          <a:off x="3271266" y="1411027"/>
          <a:ext cx="1054928" cy="329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zh-TW" altLang="en-US" sz="1000" b="0" dirty="0">
              <a:latin typeface="微軟正黑體" panose="020B0604030504040204" pitchFamily="34" charset="-120"/>
              <a:ea typeface="微軟正黑體" panose="020B0604030504040204" pitchFamily="34" charset="-120"/>
            </a:rPr>
            <a:t>勞工保險</a:t>
          </a:r>
        </a:p>
      </cdr:txBody>
    </cdr:sp>
  </cdr:relSizeAnchor>
  <cdr:relSizeAnchor xmlns:cdr="http://schemas.openxmlformats.org/drawingml/2006/chartDrawing">
    <cdr:from>
      <cdr:x>0.27967</cdr:x>
      <cdr:y>0.79818</cdr:y>
    </cdr:from>
    <cdr:to>
      <cdr:x>0.46342</cdr:x>
      <cdr:y>0.86182</cdr:y>
    </cdr:to>
    <cdr:sp macro="" textlink="">
      <cdr:nvSpPr>
        <cdr:cNvPr id="3" name="文字方塊 1"/>
        <cdr:cNvSpPr txBox="1"/>
      </cdr:nvSpPr>
      <cdr:spPr>
        <a:xfrm xmlns:a="http://schemas.openxmlformats.org/drawingml/2006/main">
          <a:off x="1534373" y="2408003"/>
          <a:ext cx="1008126" cy="19199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000" dirty="0">
              <a:latin typeface="微軟正黑體" panose="020B0604030504040204" pitchFamily="34" charset="-120"/>
              <a:ea typeface="微軟正黑體" panose="020B0604030504040204" pitchFamily="34" charset="-120"/>
            </a:rPr>
            <a:t>公教人員</a:t>
          </a:r>
          <a:r>
            <a:rPr lang="zh-TW" altLang="en-US" sz="1000" b="0" dirty="0" smtClean="0">
              <a:latin typeface="微軟正黑體" panose="020B0604030504040204" pitchFamily="34" charset="-120"/>
              <a:ea typeface="微軟正黑體" panose="020B0604030504040204" pitchFamily="34" charset="-120"/>
            </a:rPr>
            <a:t>保險</a:t>
          </a:r>
          <a:endParaRPr lang="zh-TW" altLang="en-US" sz="1000" b="0" dirty="0">
            <a:latin typeface="微軟正黑體" panose="020B0604030504040204" pitchFamily="34" charset="-120"/>
            <a:ea typeface="微軟正黑體" panose="020B0604030504040204" pitchFamily="34" charset="-120"/>
          </a:endParaRPr>
        </a:p>
      </cdr:txBody>
    </cdr:sp>
  </cdr:relSizeAnchor>
  <cdr:relSizeAnchor xmlns:cdr="http://schemas.openxmlformats.org/drawingml/2006/chartDrawing">
    <cdr:from>
      <cdr:x>0.70124</cdr:x>
      <cdr:y>0.68284</cdr:y>
    </cdr:from>
    <cdr:to>
      <cdr:x>0.85057</cdr:x>
      <cdr:y>0.79693</cdr:y>
    </cdr:to>
    <cdr:sp macro="" textlink="">
      <cdr:nvSpPr>
        <cdr:cNvPr id="4" name="文字方塊 3"/>
        <cdr:cNvSpPr txBox="1"/>
      </cdr:nvSpPr>
      <cdr:spPr>
        <a:xfrm xmlns:a="http://schemas.openxmlformats.org/drawingml/2006/main">
          <a:off x="3847257" y="2060062"/>
          <a:ext cx="819334" cy="3441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zh-TW" altLang="en-US" sz="1000" dirty="0" smtClean="0">
              <a:latin typeface="微軟正黑體" panose="020B0604030504040204" pitchFamily="34" charset="-120"/>
              <a:ea typeface="微軟正黑體" panose="020B0604030504040204" pitchFamily="34" charset="-120"/>
            </a:rPr>
            <a:t>國民年金</a:t>
          </a:r>
          <a:r>
            <a:rPr lang="zh-TW" altLang="en-US" sz="1000" dirty="0" smtClean="0">
              <a:solidFill>
                <a:sysClr val="windowText" lastClr="000000"/>
              </a:solidFill>
              <a:latin typeface="微軟正黑體" panose="020B0604030504040204" pitchFamily="34" charset="-120"/>
              <a:ea typeface="微軟正黑體" panose="020B0604030504040204" pitchFamily="34" charset="-120"/>
            </a:rPr>
            <a:t>保險</a:t>
          </a:r>
          <a:endParaRPr lang="zh-TW" altLang="en-US" sz="1000" dirty="0">
            <a:solidFill>
              <a:sysClr val="windowText" lastClr="000000"/>
            </a:solidFill>
            <a:latin typeface="微軟正黑體" panose="020B0604030504040204" pitchFamily="34" charset="-120"/>
            <a:ea typeface="微軟正黑體" panose="020B0604030504040204" pitchFamily="34" charset="-120"/>
          </a:endParaRPr>
        </a:p>
      </cdr:txBody>
    </cdr:sp>
  </cdr:relSizeAnchor>
  <cdr:relSizeAnchor xmlns:cdr="http://schemas.openxmlformats.org/drawingml/2006/chartDrawing">
    <cdr:from>
      <cdr:x>0.85782</cdr:x>
      <cdr:y>0.75171</cdr:y>
    </cdr:from>
    <cdr:to>
      <cdr:x>0.90086</cdr:x>
      <cdr:y>0.78909</cdr:y>
    </cdr:to>
    <cdr:cxnSp macro="">
      <cdr:nvCxnSpPr>
        <cdr:cNvPr id="9" name="直線單箭頭接點 8"/>
        <cdr:cNvCxnSpPr/>
      </cdr:nvCxnSpPr>
      <cdr:spPr>
        <a:xfrm xmlns:a="http://schemas.openxmlformats.org/drawingml/2006/main">
          <a:off x="4706345" y="2267822"/>
          <a:ext cx="236144" cy="112772"/>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0.00972</cdr:x>
      <cdr:y>0.06603</cdr:y>
    </cdr:from>
    <cdr:to>
      <cdr:x>0.06715</cdr:x>
      <cdr:y>0.52941</cdr:y>
    </cdr:to>
    <cdr:sp macro="" textlink="">
      <cdr:nvSpPr>
        <cdr:cNvPr id="2" name="文字方塊 1"/>
        <cdr:cNvSpPr txBox="1"/>
      </cdr:nvSpPr>
      <cdr:spPr>
        <a:xfrm xmlns:a="http://schemas.openxmlformats.org/drawingml/2006/main">
          <a:off x="53340" y="192119"/>
          <a:ext cx="315084" cy="134823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平均投保薪資</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元</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0.01783</cdr:x>
      <cdr:y>0.06528</cdr:y>
    </cdr:from>
    <cdr:to>
      <cdr:x>0.07132</cdr:x>
      <cdr:y>0.55139</cdr:y>
    </cdr:to>
    <cdr:sp macro="" textlink="">
      <cdr:nvSpPr>
        <cdr:cNvPr id="2" name="文字方塊 1"/>
        <cdr:cNvSpPr txBox="1"/>
      </cdr:nvSpPr>
      <cdr:spPr>
        <a:xfrm xmlns:a="http://schemas.openxmlformats.org/drawingml/2006/main">
          <a:off x="91440" y="179070"/>
          <a:ext cx="274320" cy="13335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平均投保薪資</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元</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0.01308</cdr:x>
      <cdr:y>0.11349</cdr:y>
    </cdr:from>
    <cdr:to>
      <cdr:x>0.07103</cdr:x>
      <cdr:y>0.68016</cdr:y>
    </cdr:to>
    <cdr:sp macro="" textlink="">
      <cdr:nvSpPr>
        <cdr:cNvPr id="2" name="文字方塊 1"/>
        <cdr:cNvSpPr txBox="1"/>
      </cdr:nvSpPr>
      <cdr:spPr>
        <a:xfrm xmlns:a="http://schemas.openxmlformats.org/drawingml/2006/main">
          <a:off x="76168" y="331516"/>
          <a:ext cx="337550" cy="165524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t>保險費負擔金額</a:t>
          </a:r>
          <a:r>
            <a:rPr lang="en-US" altLang="zh-TW" sz="1100" b="1"/>
            <a:t>(</a:t>
          </a:r>
          <a:r>
            <a:rPr lang="zh-TW" altLang="en-US" sz="1100" b="1"/>
            <a:t>億元</a:t>
          </a:r>
          <a:r>
            <a:rPr lang="en-US" altLang="zh-TW" sz="1100" b="1"/>
            <a:t>)</a:t>
          </a:r>
          <a:endParaRPr lang="zh-TW" altLang="en-US" sz="1100" b="1"/>
        </a:p>
      </cdr:txBody>
    </cdr:sp>
  </cdr:relSizeAnchor>
  <cdr:relSizeAnchor xmlns:cdr="http://schemas.openxmlformats.org/drawingml/2006/chartDrawing">
    <cdr:from>
      <cdr:x>0.91108</cdr:x>
      <cdr:y>0.15464</cdr:y>
    </cdr:from>
    <cdr:to>
      <cdr:x>0.99227</cdr:x>
      <cdr:y>0.26575</cdr:y>
    </cdr:to>
    <cdr:sp macro="" textlink="">
      <cdr:nvSpPr>
        <cdr:cNvPr id="3" name="文字方塊 2"/>
        <cdr:cNvSpPr txBox="1"/>
      </cdr:nvSpPr>
      <cdr:spPr>
        <a:xfrm xmlns:a="http://schemas.openxmlformats.org/drawingml/2006/main">
          <a:off x="5306909" y="451703"/>
          <a:ext cx="472920" cy="3245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b="1">
              <a:solidFill>
                <a:schemeClr val="accent6">
                  <a:lumMod val="50000"/>
                </a:schemeClr>
              </a:solidFill>
              <a:latin typeface="微軟正黑體" pitchFamily="34" charset="-120"/>
              <a:ea typeface="微軟正黑體" pitchFamily="34" charset="-120"/>
            </a:rPr>
            <a:t>資方</a:t>
          </a:r>
        </a:p>
      </cdr:txBody>
    </cdr:sp>
  </cdr:relSizeAnchor>
  <cdr:relSizeAnchor xmlns:cdr="http://schemas.openxmlformats.org/drawingml/2006/chartDrawing">
    <cdr:from>
      <cdr:x>0.91881</cdr:x>
      <cdr:y>0.48628</cdr:y>
    </cdr:from>
    <cdr:to>
      <cdr:x>1</cdr:x>
      <cdr:y>0.59739</cdr:y>
    </cdr:to>
    <cdr:sp macro="" textlink="">
      <cdr:nvSpPr>
        <cdr:cNvPr id="4" name="文字方塊 1"/>
        <cdr:cNvSpPr txBox="1"/>
      </cdr:nvSpPr>
      <cdr:spPr>
        <a:xfrm xmlns:a="http://schemas.openxmlformats.org/drawingml/2006/main">
          <a:off x="5352146" y="1420415"/>
          <a:ext cx="472920" cy="3245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100" b="1">
              <a:solidFill>
                <a:schemeClr val="accent1">
                  <a:lumMod val="75000"/>
                </a:schemeClr>
              </a:solidFill>
              <a:latin typeface="微軟正黑體" pitchFamily="34" charset="-120"/>
              <a:ea typeface="微軟正黑體" pitchFamily="34" charset="-120"/>
            </a:rPr>
            <a:t>勞方</a:t>
          </a:r>
        </a:p>
      </cdr:txBody>
    </cdr:sp>
  </cdr:relSizeAnchor>
  <cdr:relSizeAnchor xmlns:cdr="http://schemas.openxmlformats.org/drawingml/2006/chartDrawing">
    <cdr:from>
      <cdr:x>0.91881</cdr:x>
      <cdr:y>0.62504</cdr:y>
    </cdr:from>
    <cdr:to>
      <cdr:x>1</cdr:x>
      <cdr:y>0.73615</cdr:y>
    </cdr:to>
    <cdr:sp macro="" textlink="">
      <cdr:nvSpPr>
        <cdr:cNvPr id="5" name="文字方塊 1"/>
        <cdr:cNvSpPr txBox="1"/>
      </cdr:nvSpPr>
      <cdr:spPr>
        <a:xfrm xmlns:a="http://schemas.openxmlformats.org/drawingml/2006/main">
          <a:off x="5352146" y="1825737"/>
          <a:ext cx="472920" cy="3245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100" b="1">
              <a:solidFill>
                <a:schemeClr val="accent3">
                  <a:lumMod val="75000"/>
                </a:schemeClr>
              </a:solidFill>
              <a:latin typeface="微軟正黑體" pitchFamily="34" charset="-120"/>
              <a:ea typeface="微軟正黑體" pitchFamily="34" charset="-120"/>
            </a:rPr>
            <a:t>政府</a:t>
          </a:r>
        </a:p>
      </cdr:txBody>
    </cdr:sp>
  </cdr:relSizeAnchor>
</c:userShapes>
</file>

<file path=word/drawings/drawing23.xml><?xml version="1.0" encoding="utf-8"?>
<c:userShapes xmlns:c="http://schemas.openxmlformats.org/drawingml/2006/chart">
  <cdr:relSizeAnchor xmlns:cdr="http://schemas.openxmlformats.org/drawingml/2006/chartDrawing">
    <cdr:from>
      <cdr:x>0.01641</cdr:x>
      <cdr:y>0.03704</cdr:y>
    </cdr:from>
    <cdr:to>
      <cdr:x>0.07034</cdr:x>
      <cdr:y>0.53576</cdr:y>
    </cdr:to>
    <cdr:sp macro="" textlink="">
      <cdr:nvSpPr>
        <cdr:cNvPr id="2" name="文字方塊 1"/>
        <cdr:cNvSpPr txBox="1"/>
      </cdr:nvSpPr>
      <cdr:spPr>
        <a:xfrm xmlns:a="http://schemas.openxmlformats.org/drawingml/2006/main">
          <a:off x="94523" y="136794"/>
          <a:ext cx="310641" cy="184184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TW" altLang="zh-TW" sz="1100" b="1">
              <a:effectLst/>
              <a:latin typeface="新細明體" panose="02020500000000000000" pitchFamily="18" charset="-120"/>
              <a:ea typeface="新細明體" panose="02020500000000000000" pitchFamily="18" charset="-120"/>
              <a:cs typeface="+mn-cs"/>
            </a:rPr>
            <a:t>各項現金給付金額</a:t>
          </a:r>
          <a:r>
            <a:rPr lang="en-US" altLang="zh-TW" sz="1100" b="1">
              <a:effectLst/>
              <a:latin typeface="新細明體" panose="02020500000000000000" pitchFamily="18" charset="-120"/>
              <a:ea typeface="新細明體" panose="02020500000000000000" pitchFamily="18" charset="-120"/>
              <a:cs typeface="+mn-cs"/>
            </a:rPr>
            <a:t>(</a:t>
          </a:r>
          <a:r>
            <a:rPr lang="zh-TW" altLang="zh-TW" sz="1100" b="1">
              <a:effectLst/>
              <a:latin typeface="新細明體" panose="02020500000000000000" pitchFamily="18" charset="-120"/>
              <a:ea typeface="新細明體" panose="02020500000000000000" pitchFamily="18" charset="-120"/>
              <a:cs typeface="+mn-cs"/>
            </a:rPr>
            <a:t>億元</a:t>
          </a:r>
          <a:r>
            <a:rPr lang="en-US" altLang="zh-TW" sz="1100">
              <a:effectLst/>
              <a:latin typeface="新細明體" panose="02020500000000000000" pitchFamily="18" charset="-120"/>
              <a:ea typeface="新細明體" panose="02020500000000000000" pitchFamily="18" charset="-120"/>
              <a:cs typeface="+mn-cs"/>
            </a:rPr>
            <a:t>)</a:t>
          </a:r>
          <a:endParaRPr lang="zh-TW" altLang="zh-TW">
            <a:effectLst/>
            <a:latin typeface="新細明體" panose="02020500000000000000" pitchFamily="18" charset="-120"/>
            <a:ea typeface="新細明體" panose="02020500000000000000" pitchFamily="18" charset="-120"/>
          </a:endParaRPr>
        </a:p>
        <a:p xmlns:a="http://schemas.openxmlformats.org/drawingml/2006/main">
          <a:endParaRPr lang="zh-TW" altLang="en-US" sz="1100">
            <a:latin typeface="微軟正黑體" panose="020B0604030504040204" pitchFamily="34" charset="-120"/>
            <a:ea typeface="微軟正黑體" panose="020B0604030504040204" pitchFamily="34" charset="-12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cdr:x>
      <cdr:y>0.1375</cdr:y>
    </cdr:from>
    <cdr:to>
      <cdr:x>0.06152</cdr:x>
      <cdr:y>0.76528</cdr:y>
    </cdr:to>
    <cdr:sp macro="" textlink="">
      <cdr:nvSpPr>
        <cdr:cNvPr id="2" name="文字方塊 1"/>
        <cdr:cNvSpPr txBox="1"/>
      </cdr:nvSpPr>
      <cdr:spPr>
        <a:xfrm xmlns:a="http://schemas.openxmlformats.org/drawingml/2006/main">
          <a:off x="0" y="377199"/>
          <a:ext cx="358140" cy="172212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件數</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千件</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、人數</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千人</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dr:relSizeAnchor xmlns:cdr="http://schemas.openxmlformats.org/drawingml/2006/chartDrawing">
    <cdr:from>
      <cdr:x>0.94634</cdr:x>
      <cdr:y>0.14028</cdr:y>
    </cdr:from>
    <cdr:to>
      <cdr:x>1</cdr:x>
      <cdr:y>0.49028</cdr:y>
    </cdr:to>
    <cdr:sp macro="" textlink="">
      <cdr:nvSpPr>
        <cdr:cNvPr id="3" name="文字方塊 2"/>
        <cdr:cNvSpPr txBox="1"/>
      </cdr:nvSpPr>
      <cdr:spPr>
        <a:xfrm xmlns:a="http://schemas.openxmlformats.org/drawingml/2006/main">
          <a:off x="5509260" y="384807"/>
          <a:ext cx="312420" cy="96012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金額</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億元</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0.01935</cdr:x>
      <cdr:y>0.13449</cdr:y>
    </cdr:from>
    <cdr:to>
      <cdr:x>0.06452</cdr:x>
      <cdr:y>0.60053</cdr:y>
    </cdr:to>
    <cdr:sp macro="" textlink="">
      <cdr:nvSpPr>
        <cdr:cNvPr id="2" name="文字方塊 1"/>
        <cdr:cNvSpPr txBox="1"/>
      </cdr:nvSpPr>
      <cdr:spPr>
        <a:xfrm xmlns:a="http://schemas.openxmlformats.org/drawingml/2006/main">
          <a:off x="114300" y="384810"/>
          <a:ext cx="266700" cy="13335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t>年齡</a:t>
          </a:r>
          <a:r>
            <a:rPr lang="en-US" altLang="zh-TW" sz="1100" b="1"/>
            <a:t>(</a:t>
          </a:r>
          <a:r>
            <a:rPr lang="zh-TW" altLang="en-US" sz="1100" b="1"/>
            <a:t>歲</a:t>
          </a:r>
          <a:r>
            <a:rPr lang="en-US" altLang="zh-TW" sz="1100" b="1"/>
            <a:t>)</a:t>
          </a:r>
          <a:r>
            <a:rPr lang="zh-TW" altLang="en-US" sz="1100" b="1"/>
            <a:t>、年資</a:t>
          </a:r>
          <a:r>
            <a:rPr lang="en-US" altLang="zh-TW" sz="1100" b="1"/>
            <a:t>(</a:t>
          </a:r>
          <a:r>
            <a:rPr lang="zh-TW" altLang="en-US" sz="1100" b="1"/>
            <a:t>年</a:t>
          </a:r>
          <a:r>
            <a:rPr lang="en-US" altLang="zh-TW" sz="1100" b="1"/>
            <a:t>)</a:t>
          </a:r>
          <a:endParaRPr lang="zh-TW" altLang="en-US" sz="1100" b="1"/>
        </a:p>
      </cdr:txBody>
    </cdr:sp>
  </cdr:relSizeAnchor>
  <cdr:relSizeAnchor xmlns:cdr="http://schemas.openxmlformats.org/drawingml/2006/chartDrawing">
    <cdr:from>
      <cdr:x>0.94065</cdr:x>
      <cdr:y>0.13981</cdr:y>
    </cdr:from>
    <cdr:to>
      <cdr:x>0.99613</cdr:x>
      <cdr:y>0.72304</cdr:y>
    </cdr:to>
    <cdr:sp macro="" textlink="">
      <cdr:nvSpPr>
        <cdr:cNvPr id="3" name="文字方塊 2"/>
        <cdr:cNvSpPr txBox="1"/>
      </cdr:nvSpPr>
      <cdr:spPr>
        <a:xfrm xmlns:a="http://schemas.openxmlformats.org/drawingml/2006/main">
          <a:off x="5554980" y="400050"/>
          <a:ext cx="327660" cy="166878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t>投保薪資、給付金額</a:t>
          </a:r>
          <a:r>
            <a:rPr lang="en-US" altLang="zh-TW" sz="1100" b="1"/>
            <a:t>(</a:t>
          </a:r>
          <a:r>
            <a:rPr lang="zh-TW" altLang="en-US" sz="1100" b="1"/>
            <a:t>元</a:t>
          </a:r>
          <a:r>
            <a:rPr lang="en-US" altLang="zh-TW" sz="1100" b="1"/>
            <a:t>)</a:t>
          </a:r>
          <a:endParaRPr lang="zh-TW" altLang="en-US" sz="1100" b="1"/>
        </a:p>
      </cdr:txBody>
    </cdr:sp>
  </cdr:relSizeAnchor>
</c:userShapes>
</file>

<file path=word/drawings/drawing26.xml><?xml version="1.0" encoding="utf-8"?>
<c:userShapes xmlns:c="http://schemas.openxmlformats.org/drawingml/2006/chart">
  <cdr:relSizeAnchor xmlns:cdr="http://schemas.openxmlformats.org/drawingml/2006/chartDrawing">
    <cdr:from>
      <cdr:x>0.0074</cdr:x>
      <cdr:y>0.15935</cdr:y>
    </cdr:from>
    <cdr:to>
      <cdr:x>0.05917</cdr:x>
      <cdr:y>0.64493</cdr:y>
    </cdr:to>
    <cdr:sp macro="" textlink="">
      <cdr:nvSpPr>
        <cdr:cNvPr id="2" name="文字方塊 1"/>
        <cdr:cNvSpPr txBox="1"/>
      </cdr:nvSpPr>
      <cdr:spPr>
        <a:xfrm xmlns:a="http://schemas.openxmlformats.org/drawingml/2006/main">
          <a:off x="42333" y="372362"/>
          <a:ext cx="296293" cy="113470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t>金額</a:t>
          </a:r>
          <a:r>
            <a:rPr lang="en-US" altLang="zh-TW" sz="1100" b="1"/>
            <a:t>(</a:t>
          </a:r>
          <a:r>
            <a:rPr lang="zh-TW" altLang="en-US" sz="1100" b="1"/>
            <a:t>億元</a:t>
          </a:r>
          <a:r>
            <a:rPr lang="en-US" altLang="zh-TW" sz="1100" b="1"/>
            <a:t>)</a:t>
          </a:r>
          <a:endParaRPr lang="zh-TW" altLang="en-US" sz="1100" b="1"/>
        </a:p>
      </cdr:txBody>
    </cdr:sp>
  </cdr:relSizeAnchor>
</c:userShapes>
</file>

<file path=word/drawings/drawing27.xml><?xml version="1.0" encoding="utf-8"?>
<c:userShapes xmlns:c="http://schemas.openxmlformats.org/drawingml/2006/chart">
  <cdr:relSizeAnchor xmlns:cdr="http://schemas.openxmlformats.org/drawingml/2006/chartDrawing">
    <cdr:from>
      <cdr:x>0.00718</cdr:x>
      <cdr:y>0.09723</cdr:y>
    </cdr:from>
    <cdr:to>
      <cdr:x>0.05503</cdr:x>
      <cdr:y>0.48864</cdr:y>
    </cdr:to>
    <cdr:sp macro="" textlink="">
      <cdr:nvSpPr>
        <cdr:cNvPr id="2" name="文字方塊 1"/>
        <cdr:cNvSpPr txBox="1"/>
      </cdr:nvSpPr>
      <cdr:spPr>
        <a:xfrm xmlns:a="http://schemas.openxmlformats.org/drawingml/2006/main">
          <a:off x="41562" y="267398"/>
          <a:ext cx="277109" cy="107642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收益率</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dr:relSizeAnchor xmlns:cdr="http://schemas.openxmlformats.org/drawingml/2006/chartDrawing">
    <cdr:from>
      <cdr:x>0.94258</cdr:x>
      <cdr:y>0.09221</cdr:y>
    </cdr:from>
    <cdr:to>
      <cdr:x>1</cdr:x>
      <cdr:y>0.63736</cdr:y>
    </cdr:to>
    <cdr:sp macro="" textlink="">
      <cdr:nvSpPr>
        <cdr:cNvPr id="3" name="文字方塊 2"/>
        <cdr:cNvSpPr txBox="1"/>
      </cdr:nvSpPr>
      <cdr:spPr>
        <a:xfrm xmlns:a="http://schemas.openxmlformats.org/drawingml/2006/main">
          <a:off x="5394626" y="213134"/>
          <a:ext cx="328629" cy="1260066"/>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收益數</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億元</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cdr:x>
      <cdr:y>0.16285</cdr:y>
    </cdr:from>
    <cdr:to>
      <cdr:x>0.06304</cdr:x>
      <cdr:y>0.58008</cdr:y>
    </cdr:to>
    <cdr:sp macro="" textlink="">
      <cdr:nvSpPr>
        <cdr:cNvPr id="2" name="文字方塊 1"/>
        <cdr:cNvSpPr txBox="1"/>
      </cdr:nvSpPr>
      <cdr:spPr>
        <a:xfrm xmlns:a="http://schemas.openxmlformats.org/drawingml/2006/main">
          <a:off x="0" y="485819"/>
          <a:ext cx="335295" cy="124469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200" b="1">
              <a:latin typeface="+mj-ea"/>
              <a:ea typeface="+mj-ea"/>
            </a:rPr>
            <a:t>被保險人人數</a:t>
          </a:r>
          <a:r>
            <a:rPr lang="en-US" altLang="zh-TW" sz="1200" b="1">
              <a:latin typeface="+mj-ea"/>
              <a:ea typeface="+mj-ea"/>
            </a:rPr>
            <a:t>(</a:t>
          </a:r>
          <a:r>
            <a:rPr lang="zh-TW" altLang="en-US" sz="1200" b="1">
              <a:latin typeface="+mj-ea"/>
              <a:ea typeface="+mj-ea"/>
            </a:rPr>
            <a:t>人</a:t>
          </a:r>
          <a:r>
            <a:rPr lang="en-US" altLang="zh-TW" sz="1200" b="1">
              <a:latin typeface="+mj-ea"/>
              <a:ea typeface="+mj-ea"/>
            </a:rPr>
            <a:t>)</a:t>
          </a:r>
          <a:endParaRPr lang="zh-TW" altLang="en-US" sz="1200" b="1">
            <a:latin typeface="+mj-ea"/>
            <a:ea typeface="+mj-ea"/>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0.00883</cdr:x>
      <cdr:y>0.05965</cdr:y>
    </cdr:from>
    <cdr:to>
      <cdr:x>0.05545</cdr:x>
      <cdr:y>0.57679</cdr:y>
    </cdr:to>
    <cdr:sp macro="" textlink="">
      <cdr:nvSpPr>
        <cdr:cNvPr id="2" name="文字方塊 1"/>
        <cdr:cNvSpPr txBox="1"/>
      </cdr:nvSpPr>
      <cdr:spPr>
        <a:xfrm xmlns:a="http://schemas.openxmlformats.org/drawingml/2006/main">
          <a:off x="53239" y="152221"/>
          <a:ext cx="281235" cy="13197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j-ea"/>
              <a:ea typeface="+mj-ea"/>
            </a:rPr>
            <a:t>被保險人人數</a:t>
          </a:r>
          <a:r>
            <a:rPr lang="en-US" altLang="zh-TW" sz="1100" b="1">
              <a:latin typeface="+mj-ea"/>
              <a:ea typeface="+mj-ea"/>
            </a:rPr>
            <a:t>(</a:t>
          </a:r>
          <a:r>
            <a:rPr lang="zh-TW" altLang="en-US" sz="1100" b="1">
              <a:latin typeface="+mj-ea"/>
              <a:ea typeface="+mj-ea"/>
            </a:rPr>
            <a:t>人</a:t>
          </a:r>
          <a:r>
            <a:rPr lang="en-US" altLang="zh-TW" sz="1100" b="1">
              <a:latin typeface="+mj-ea"/>
              <a:ea typeface="+mj-ea"/>
            </a:rPr>
            <a:t>)</a:t>
          </a:r>
          <a:endParaRPr lang="zh-TW" altLang="en-US" sz="1100" b="1">
            <a:latin typeface="+mj-ea"/>
            <a:ea typeface="+mj-ea"/>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0.80334</cdr:x>
      <cdr:y>0.34519</cdr:y>
    </cdr:from>
    <cdr:to>
      <cdr:x>0.93416</cdr:x>
      <cdr:y>0.50209</cdr:y>
    </cdr:to>
    <cdr:sp macro="" textlink="">
      <cdr:nvSpPr>
        <cdr:cNvPr id="2" name="文字方塊 1"/>
        <cdr:cNvSpPr txBox="1"/>
      </cdr:nvSpPr>
      <cdr:spPr>
        <a:xfrm xmlns:a="http://schemas.openxmlformats.org/drawingml/2006/main">
          <a:off x="4152900" y="523875"/>
          <a:ext cx="6762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000">
              <a:latin typeface="微軟正黑體" pitchFamily="34" charset="-120"/>
              <a:ea typeface="微軟正黑體" pitchFamily="34" charset="-120"/>
            </a:rPr>
            <a:t>151.8</a:t>
          </a:r>
          <a:r>
            <a:rPr lang="zh-TW" altLang="en-US" sz="1000">
              <a:latin typeface="微軟正黑體" pitchFamily="34" charset="-120"/>
              <a:ea typeface="微軟正黑體" pitchFamily="34" charset="-120"/>
            </a:rPr>
            <a:t>萬</a:t>
          </a:r>
        </a:p>
      </cdr:txBody>
    </cdr:sp>
  </cdr:relSizeAnchor>
  <cdr:relSizeAnchor xmlns:cdr="http://schemas.openxmlformats.org/drawingml/2006/chartDrawing">
    <cdr:from>
      <cdr:x>0.77447</cdr:x>
      <cdr:y>0.69874</cdr:y>
    </cdr:from>
    <cdr:to>
      <cdr:x>0.90529</cdr:x>
      <cdr:y>0.85565</cdr:y>
    </cdr:to>
    <cdr:sp macro="" textlink="">
      <cdr:nvSpPr>
        <cdr:cNvPr id="3" name="文字方塊 1"/>
        <cdr:cNvSpPr txBox="1"/>
      </cdr:nvSpPr>
      <cdr:spPr>
        <a:xfrm xmlns:a="http://schemas.openxmlformats.org/drawingml/2006/main">
          <a:off x="4003675" y="1060450"/>
          <a:ext cx="676275" cy="238125"/>
        </a:xfrm>
        <a:prstGeom xmlns:a="http://schemas.openxmlformats.org/drawingml/2006/main" prst="rect">
          <a:avLst/>
        </a:prstGeom>
      </cdr:spPr>
    </cdr:sp>
  </cdr:relSizeAnchor>
  <cdr:relSizeAnchor xmlns:cdr="http://schemas.openxmlformats.org/drawingml/2006/chartDrawing">
    <cdr:from>
      <cdr:x>0.78</cdr:x>
      <cdr:y>0.70502</cdr:y>
    </cdr:from>
    <cdr:to>
      <cdr:x>0.91082</cdr:x>
      <cdr:y>0.86192</cdr:y>
    </cdr:to>
    <cdr:sp macro="" textlink="">
      <cdr:nvSpPr>
        <cdr:cNvPr id="4" name="文字方塊 1"/>
        <cdr:cNvSpPr txBox="1"/>
      </cdr:nvSpPr>
      <cdr:spPr>
        <a:xfrm xmlns:a="http://schemas.openxmlformats.org/drawingml/2006/main">
          <a:off x="4032250" y="1069975"/>
          <a:ext cx="676275" cy="238125"/>
        </a:xfrm>
        <a:prstGeom xmlns:a="http://schemas.openxmlformats.org/drawingml/2006/main" prst="rect">
          <a:avLst/>
        </a:prstGeom>
      </cdr:spPr>
    </cdr:sp>
  </cdr:relSizeAnchor>
  <cdr:relSizeAnchor xmlns:cdr="http://schemas.openxmlformats.org/drawingml/2006/chartDrawing">
    <cdr:from>
      <cdr:x>0.76833</cdr:x>
      <cdr:y>0.6841</cdr:y>
    </cdr:from>
    <cdr:to>
      <cdr:x>0.91389</cdr:x>
      <cdr:y>0.841</cdr:y>
    </cdr:to>
    <cdr:sp macro="" textlink="">
      <cdr:nvSpPr>
        <cdr:cNvPr id="5" name="文字方塊 4"/>
        <cdr:cNvSpPr txBox="1"/>
      </cdr:nvSpPr>
      <cdr:spPr>
        <a:xfrm xmlns:a="http://schemas.openxmlformats.org/drawingml/2006/main">
          <a:off x="3971925" y="1038225"/>
          <a:ext cx="7524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000">
              <a:latin typeface="微軟正黑體" pitchFamily="34" charset="-120"/>
              <a:ea typeface="微軟正黑體" pitchFamily="34" charset="-120"/>
            </a:rPr>
            <a:t>140.4</a:t>
          </a:r>
          <a:r>
            <a:rPr lang="zh-TW" altLang="en-US" sz="1000">
              <a:latin typeface="微軟正黑體" pitchFamily="34" charset="-120"/>
              <a:ea typeface="微軟正黑體" pitchFamily="34" charset="-120"/>
            </a:rPr>
            <a:t>萬</a:t>
          </a:r>
        </a:p>
      </cdr:txBody>
    </cdr:sp>
  </cdr:relSizeAnchor>
</c:userShapes>
</file>

<file path=word/drawings/drawing30.xml><?xml version="1.0" encoding="utf-8"?>
<c:userShapes xmlns:c="http://schemas.openxmlformats.org/drawingml/2006/chart">
  <cdr:relSizeAnchor xmlns:cdr="http://schemas.openxmlformats.org/drawingml/2006/chartDrawing">
    <cdr:from>
      <cdr:x>0.00511</cdr:x>
      <cdr:y>0.09566</cdr:y>
    </cdr:from>
    <cdr:to>
      <cdr:x>0.06244</cdr:x>
      <cdr:y>0.76459</cdr:y>
    </cdr:to>
    <cdr:sp macro="" textlink="">
      <cdr:nvSpPr>
        <cdr:cNvPr id="2" name="文字方塊 1"/>
        <cdr:cNvSpPr txBox="1"/>
      </cdr:nvSpPr>
      <cdr:spPr>
        <a:xfrm xmlns:a="http://schemas.openxmlformats.org/drawingml/2006/main">
          <a:off x="28310" y="215024"/>
          <a:ext cx="317448" cy="150370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j-ea"/>
              <a:ea typeface="+mj-ea"/>
            </a:rPr>
            <a:t>被保險人人數</a:t>
          </a:r>
          <a:r>
            <a:rPr lang="en-US" altLang="zh-TW" sz="1100" b="1">
              <a:latin typeface="+mj-ea"/>
              <a:ea typeface="+mj-ea"/>
            </a:rPr>
            <a:t>(</a:t>
          </a:r>
          <a:r>
            <a:rPr lang="zh-TW" altLang="en-US" sz="1100" b="1">
              <a:latin typeface="+mj-ea"/>
              <a:ea typeface="+mj-ea"/>
            </a:rPr>
            <a:t>人</a:t>
          </a:r>
          <a:r>
            <a:rPr lang="en-US" altLang="zh-TW" sz="1100" b="1">
              <a:latin typeface="+mj-ea"/>
              <a:ea typeface="+mj-ea"/>
            </a:rPr>
            <a:t>)</a:t>
          </a:r>
          <a:endParaRPr lang="zh-TW" altLang="en-US" sz="1100" b="1">
            <a:latin typeface="+mj-ea"/>
            <a:ea typeface="+mj-ea"/>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0.01189</cdr:x>
      <cdr:y>0.06568</cdr:y>
    </cdr:from>
    <cdr:to>
      <cdr:x>0.07264</cdr:x>
      <cdr:y>0.50538</cdr:y>
    </cdr:to>
    <cdr:sp macro="" textlink="">
      <cdr:nvSpPr>
        <cdr:cNvPr id="2" name="文字方塊 1"/>
        <cdr:cNvSpPr txBox="1"/>
      </cdr:nvSpPr>
      <cdr:spPr>
        <a:xfrm xmlns:a="http://schemas.openxmlformats.org/drawingml/2006/main">
          <a:off x="67733" y="184049"/>
          <a:ext cx="346144" cy="1232151"/>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j-ea"/>
              <a:ea typeface="+mj-ea"/>
            </a:rPr>
            <a:t>平均保俸</a:t>
          </a:r>
          <a:r>
            <a:rPr lang="en-US" altLang="zh-TW" sz="1100" b="1">
              <a:latin typeface="+mj-ea"/>
              <a:ea typeface="+mj-ea"/>
            </a:rPr>
            <a:t>(</a:t>
          </a:r>
          <a:r>
            <a:rPr lang="zh-TW" altLang="en-US" sz="1100" b="1">
              <a:latin typeface="+mj-ea"/>
              <a:ea typeface="+mj-ea"/>
            </a:rPr>
            <a:t>元</a:t>
          </a:r>
          <a:r>
            <a:rPr lang="en-US" altLang="zh-TW" sz="1100" b="1">
              <a:latin typeface="+mj-ea"/>
              <a:ea typeface="+mj-ea"/>
            </a:rPr>
            <a:t>)</a:t>
          </a:r>
          <a:endParaRPr lang="zh-TW" altLang="en-US" sz="1100" b="1">
            <a:latin typeface="+mj-ea"/>
            <a:ea typeface="+mj-ea"/>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0.00636</cdr:x>
      <cdr:y>0.06922</cdr:y>
    </cdr:from>
    <cdr:to>
      <cdr:x>0.06762</cdr:x>
      <cdr:y>0.40281</cdr:y>
    </cdr:to>
    <cdr:sp macro="" textlink="">
      <cdr:nvSpPr>
        <cdr:cNvPr id="2" name="文字方塊 1"/>
        <cdr:cNvSpPr txBox="1"/>
      </cdr:nvSpPr>
      <cdr:spPr>
        <a:xfrm xmlns:a="http://schemas.openxmlformats.org/drawingml/2006/main">
          <a:off x="38099" y="351287"/>
          <a:ext cx="366957" cy="1692942"/>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各項給付金額</a:t>
          </a:r>
          <a:r>
            <a:rPr lang="en-US" altLang="zh-TW" sz="1100" b="1">
              <a:latin typeface="+mn-ea"/>
              <a:ea typeface="+mn-ea"/>
            </a:rPr>
            <a:t>(</a:t>
          </a:r>
          <a:r>
            <a:rPr lang="zh-TW" altLang="en-US" sz="1100" b="1">
              <a:latin typeface="+mn-ea"/>
              <a:ea typeface="+mn-ea"/>
            </a:rPr>
            <a:t>億元</a:t>
          </a:r>
          <a:r>
            <a:rPr lang="en-US" altLang="zh-TW" sz="1100" b="1">
              <a:latin typeface="+mn-ea"/>
              <a:ea typeface="+mn-ea"/>
            </a:rPr>
            <a:t>)</a:t>
          </a:r>
          <a:endParaRPr lang="zh-TW" altLang="en-US" sz="1100" b="1">
            <a:latin typeface="+mn-ea"/>
            <a:ea typeface="+mn-ea"/>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0.02123</cdr:x>
      <cdr:y>0.0625</cdr:y>
    </cdr:from>
    <cdr:to>
      <cdr:x>0.06496</cdr:x>
      <cdr:y>0.74444</cdr:y>
    </cdr:to>
    <cdr:sp macro="" textlink="">
      <cdr:nvSpPr>
        <cdr:cNvPr id="2" name="文字方塊 1"/>
        <cdr:cNvSpPr txBox="1"/>
      </cdr:nvSpPr>
      <cdr:spPr>
        <a:xfrm xmlns:a="http://schemas.openxmlformats.org/drawingml/2006/main">
          <a:off x="118984" y="142875"/>
          <a:ext cx="245083" cy="155892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給付領取人數</a:t>
          </a:r>
          <a:r>
            <a:rPr lang="en-US" altLang="zh-TW" sz="1100" b="1">
              <a:latin typeface="+mn-ea"/>
              <a:ea typeface="+mn-ea"/>
            </a:rPr>
            <a:t>(</a:t>
          </a:r>
          <a:r>
            <a:rPr lang="zh-TW" altLang="en-US" sz="1100" b="1">
              <a:latin typeface="+mn-ea"/>
              <a:ea typeface="+mn-ea"/>
            </a:rPr>
            <a:t>人</a:t>
          </a:r>
          <a:r>
            <a:rPr lang="en-US" altLang="zh-TW" sz="1100" b="1">
              <a:latin typeface="+mn-ea"/>
              <a:ea typeface="+mn-ea"/>
            </a:rPr>
            <a:t>)</a:t>
          </a:r>
        </a:p>
      </cdr:txBody>
    </cdr:sp>
  </cdr:relSizeAnchor>
  <cdr:relSizeAnchor xmlns:cdr="http://schemas.openxmlformats.org/drawingml/2006/chartDrawing">
    <cdr:from>
      <cdr:x>0.8793</cdr:x>
      <cdr:y>0.04529</cdr:y>
    </cdr:from>
    <cdr:to>
      <cdr:x>0.9895</cdr:x>
      <cdr:y>0.13827</cdr:y>
    </cdr:to>
    <cdr:sp macro="" textlink="">
      <cdr:nvSpPr>
        <cdr:cNvPr id="7" name="文字方塊 1"/>
        <cdr:cNvSpPr txBox="1"/>
      </cdr:nvSpPr>
      <cdr:spPr>
        <a:xfrm xmlns:a="http://schemas.openxmlformats.org/drawingml/2006/main">
          <a:off x="4928024" y="101600"/>
          <a:ext cx="617643" cy="208597"/>
        </a:xfrm>
        <a:prstGeom xmlns:a="http://schemas.openxmlformats.org/drawingml/2006/main" prst="rect">
          <a:avLst/>
        </a:prstGeom>
        <a:ln xmlns:a="http://schemas.openxmlformats.org/drawingml/2006/main" w="6350">
          <a:solidFill>
            <a:schemeClr val="bg1">
              <a:lumMod val="6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100" b="1"/>
            <a:t> </a:t>
          </a:r>
          <a:r>
            <a:rPr lang="en-US" altLang="zh-TW" sz="1100" b="1"/>
            <a:t>26,544</a:t>
          </a:r>
          <a:endParaRPr lang="zh-TW" altLang="en-US" sz="1100" b="1"/>
        </a:p>
      </cdr:txBody>
    </cdr:sp>
  </cdr:relSizeAnchor>
</c:userShapes>
</file>

<file path=word/drawings/drawing34.xml><?xml version="1.0" encoding="utf-8"?>
<c:userShapes xmlns:c="http://schemas.openxmlformats.org/drawingml/2006/chart">
  <cdr:relSizeAnchor xmlns:cdr="http://schemas.openxmlformats.org/drawingml/2006/chartDrawing">
    <cdr:from>
      <cdr:x>0.00916</cdr:x>
      <cdr:y>0.06855</cdr:y>
    </cdr:from>
    <cdr:to>
      <cdr:x>0.07023</cdr:x>
      <cdr:y>0.86788</cdr:y>
    </cdr:to>
    <cdr:sp macro="" textlink="">
      <cdr:nvSpPr>
        <cdr:cNvPr id="2" name="文字方塊 1"/>
        <cdr:cNvSpPr txBox="1"/>
      </cdr:nvSpPr>
      <cdr:spPr>
        <a:xfrm xmlns:a="http://schemas.openxmlformats.org/drawingml/2006/main">
          <a:off x="50800" y="127061"/>
          <a:ext cx="338667" cy="148161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平均退休年齡</a:t>
          </a:r>
          <a:r>
            <a:rPr lang="en-US" altLang="zh-TW" sz="1100" b="1">
              <a:latin typeface="+mn-ea"/>
              <a:ea typeface="+mn-ea"/>
            </a:rPr>
            <a:t>(</a:t>
          </a:r>
          <a:r>
            <a:rPr lang="zh-TW" altLang="en-US" sz="1100" b="1">
              <a:latin typeface="+mn-ea"/>
              <a:ea typeface="+mn-ea"/>
            </a:rPr>
            <a:t>歲</a:t>
          </a:r>
          <a:r>
            <a:rPr lang="en-US" altLang="zh-TW" sz="1100" b="1">
              <a:latin typeface="+mn-ea"/>
              <a:ea typeface="+mn-ea"/>
            </a:rPr>
            <a:t>)</a:t>
          </a:r>
          <a:endParaRPr lang="zh-TW" altLang="en-US" sz="1100" b="1">
            <a:latin typeface="+mn-ea"/>
            <a:ea typeface="+mn-ea"/>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0.01059</cdr:x>
      <cdr:y>0.09203</cdr:y>
    </cdr:from>
    <cdr:to>
      <cdr:x>0.07596</cdr:x>
      <cdr:y>0.53925</cdr:y>
    </cdr:to>
    <cdr:sp macro="" textlink="">
      <cdr:nvSpPr>
        <cdr:cNvPr id="2" name="文字方塊 1"/>
        <cdr:cNvSpPr txBox="1"/>
      </cdr:nvSpPr>
      <cdr:spPr>
        <a:xfrm xmlns:a="http://schemas.openxmlformats.org/drawingml/2006/main">
          <a:off x="59266" y="242299"/>
          <a:ext cx="365827" cy="11774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給付領取人數</a:t>
          </a:r>
          <a:r>
            <a:rPr lang="en-US" altLang="zh-TW" sz="1100" b="1">
              <a:latin typeface="+mn-ea"/>
              <a:ea typeface="+mn-ea"/>
            </a:rPr>
            <a:t>(</a:t>
          </a:r>
          <a:r>
            <a:rPr lang="zh-TW" altLang="en-US" sz="1100" b="1">
              <a:latin typeface="+mn-ea"/>
              <a:ea typeface="+mn-ea"/>
            </a:rPr>
            <a:t>人</a:t>
          </a:r>
          <a:r>
            <a:rPr lang="en-US" altLang="zh-TW" sz="1100" b="1">
              <a:latin typeface="+mn-ea"/>
              <a:ea typeface="+mn-ea"/>
            </a:rPr>
            <a:t>)</a:t>
          </a:r>
        </a:p>
      </cdr:txBody>
    </cdr:sp>
  </cdr:relSizeAnchor>
  <cdr:relSizeAnchor xmlns:cdr="http://schemas.openxmlformats.org/drawingml/2006/chartDrawing">
    <cdr:from>
      <cdr:x>0.56563</cdr:x>
      <cdr:y>0.05417</cdr:y>
    </cdr:from>
    <cdr:to>
      <cdr:x>0.65359</cdr:x>
      <cdr:y>0.12917</cdr:y>
    </cdr:to>
    <cdr:sp macro="" textlink="">
      <cdr:nvSpPr>
        <cdr:cNvPr id="3" name="文字方塊 2"/>
        <cdr:cNvSpPr txBox="1"/>
      </cdr:nvSpPr>
      <cdr:spPr>
        <a:xfrm xmlns:a="http://schemas.openxmlformats.org/drawingml/2006/main">
          <a:off x="3185160" y="148590"/>
          <a:ext cx="49530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userShapes>
</file>

<file path=word/drawings/drawing36.xml><?xml version="1.0" encoding="utf-8"?>
<c:userShapes xmlns:c="http://schemas.openxmlformats.org/drawingml/2006/chart">
  <cdr:relSizeAnchor xmlns:cdr="http://schemas.openxmlformats.org/drawingml/2006/chartDrawing">
    <cdr:from>
      <cdr:x>0.01016</cdr:x>
      <cdr:y>0.16295</cdr:y>
    </cdr:from>
    <cdr:to>
      <cdr:x>0.07722</cdr:x>
      <cdr:y>0.7785</cdr:y>
    </cdr:to>
    <cdr:sp macro="" textlink="">
      <cdr:nvSpPr>
        <cdr:cNvPr id="2" name="文字方塊 1"/>
        <cdr:cNvSpPr txBox="1"/>
      </cdr:nvSpPr>
      <cdr:spPr>
        <a:xfrm xmlns:a="http://schemas.openxmlformats.org/drawingml/2006/main">
          <a:off x="58670" y="460775"/>
          <a:ext cx="387208" cy="174055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一次金平均保險年資</a:t>
          </a:r>
          <a:r>
            <a:rPr lang="en-US" altLang="zh-TW" sz="1100" b="1">
              <a:latin typeface="+mn-ea"/>
              <a:ea typeface="+mn-ea"/>
            </a:rPr>
            <a:t>(</a:t>
          </a:r>
          <a:r>
            <a:rPr lang="zh-TW" altLang="en-US" sz="1100" b="1">
              <a:latin typeface="+mn-ea"/>
              <a:ea typeface="+mn-ea"/>
            </a:rPr>
            <a:t>年</a:t>
          </a:r>
          <a:r>
            <a:rPr lang="en-US" altLang="zh-TW" sz="1100" b="1">
              <a:latin typeface="+mn-ea"/>
              <a:ea typeface="+mn-ea"/>
            </a:rPr>
            <a:t>)</a:t>
          </a:r>
          <a:endParaRPr lang="zh-TW" altLang="en-US" sz="1100" b="1">
            <a:latin typeface="+mn-ea"/>
            <a:ea typeface="+mn-ea"/>
          </a:endParaRPr>
        </a:p>
      </cdr:txBody>
    </cdr:sp>
  </cdr:relSizeAnchor>
  <cdr:relSizeAnchor xmlns:cdr="http://schemas.openxmlformats.org/drawingml/2006/chartDrawing">
    <cdr:from>
      <cdr:x>0.92416</cdr:x>
      <cdr:y>0.14135</cdr:y>
    </cdr:from>
    <cdr:to>
      <cdr:x>0.99121</cdr:x>
      <cdr:y>0.78573</cdr:y>
    </cdr:to>
    <cdr:sp macro="" textlink="">
      <cdr:nvSpPr>
        <cdr:cNvPr id="3" name="文字方塊 1"/>
        <cdr:cNvSpPr txBox="1"/>
      </cdr:nvSpPr>
      <cdr:spPr>
        <a:xfrm xmlns:a="http://schemas.openxmlformats.org/drawingml/2006/main">
          <a:off x="5336141" y="399694"/>
          <a:ext cx="387151" cy="1822085"/>
        </a:xfrm>
        <a:prstGeom xmlns:a="http://schemas.openxmlformats.org/drawingml/2006/main" prst="rect">
          <a:avLst/>
        </a:prstGeom>
      </cdr:spPr>
      <cdr:txBody>
        <a:bodyPr xmlns:a="http://schemas.openxmlformats.org/drawingml/2006/main" vert="eaVert"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100" b="1">
              <a:latin typeface="+mn-ea"/>
              <a:ea typeface="+mn-ea"/>
            </a:rPr>
            <a:t>一次金平均給付金額</a:t>
          </a:r>
          <a:r>
            <a:rPr lang="en-US" altLang="zh-TW" sz="1100" b="1">
              <a:latin typeface="+mn-ea"/>
              <a:ea typeface="+mn-ea"/>
            </a:rPr>
            <a:t>(</a:t>
          </a:r>
          <a:r>
            <a:rPr lang="zh-TW" altLang="en-US" sz="1100" b="1">
              <a:latin typeface="+mn-ea"/>
              <a:ea typeface="+mn-ea"/>
            </a:rPr>
            <a:t>元</a:t>
          </a:r>
          <a:r>
            <a:rPr lang="en-US" altLang="zh-TW" sz="1100" b="1">
              <a:latin typeface="+mn-ea"/>
              <a:ea typeface="+mn-ea"/>
            </a:rPr>
            <a:t>)</a:t>
          </a:r>
          <a:endParaRPr lang="zh-TW" altLang="en-US" sz="1100" b="1">
            <a:latin typeface="+mn-ea"/>
            <a:ea typeface="+mn-ea"/>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cdr:x>
      <cdr:y>0.20806</cdr:y>
    </cdr:from>
    <cdr:to>
      <cdr:x>0.06284</cdr:x>
      <cdr:y>0.66084</cdr:y>
    </cdr:to>
    <cdr:sp macro="" textlink="">
      <cdr:nvSpPr>
        <cdr:cNvPr id="2" name="文字方塊 1"/>
        <cdr:cNvSpPr txBox="1"/>
      </cdr:nvSpPr>
      <cdr:spPr>
        <a:xfrm xmlns:a="http://schemas.openxmlformats.org/drawingml/2006/main">
          <a:off x="0" y="583042"/>
          <a:ext cx="367630" cy="126880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平均保險年資</a:t>
          </a:r>
          <a:r>
            <a:rPr lang="en-US" altLang="zh-TW" sz="1100" b="1">
              <a:latin typeface="+mn-ea"/>
              <a:ea typeface="+mn-ea"/>
            </a:rPr>
            <a:t>(</a:t>
          </a:r>
          <a:r>
            <a:rPr lang="zh-TW" altLang="en-US" sz="1100" b="1">
              <a:latin typeface="+mn-ea"/>
              <a:ea typeface="+mn-ea"/>
            </a:rPr>
            <a:t>年</a:t>
          </a:r>
          <a:r>
            <a:rPr lang="en-US" altLang="zh-TW" sz="1100" b="1">
              <a:latin typeface="+mn-ea"/>
              <a:ea typeface="+mn-ea"/>
            </a:rPr>
            <a:t>)</a:t>
          </a:r>
          <a:endParaRPr lang="zh-TW" altLang="en-US" sz="1100" b="1">
            <a:latin typeface="+mn-ea"/>
            <a:ea typeface="+mn-ea"/>
          </a:endParaRPr>
        </a:p>
      </cdr:txBody>
    </cdr:sp>
  </cdr:relSizeAnchor>
  <cdr:relSizeAnchor xmlns:cdr="http://schemas.openxmlformats.org/drawingml/2006/chartDrawing">
    <cdr:from>
      <cdr:x>0.93443</cdr:x>
      <cdr:y>0.18993</cdr:y>
    </cdr:from>
    <cdr:to>
      <cdr:x>0.9918</cdr:x>
      <cdr:y>0.71493</cdr:y>
    </cdr:to>
    <cdr:sp macro="" textlink="">
      <cdr:nvSpPr>
        <cdr:cNvPr id="3" name="文字方塊 2"/>
        <cdr:cNvSpPr txBox="1"/>
      </cdr:nvSpPr>
      <cdr:spPr>
        <a:xfrm xmlns:a="http://schemas.openxmlformats.org/drawingml/2006/main">
          <a:off x="5466654" y="532242"/>
          <a:ext cx="335629" cy="147118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平均每月給付金額</a:t>
          </a:r>
          <a:r>
            <a:rPr lang="en-US" altLang="zh-TW" sz="1100" b="1">
              <a:latin typeface="+mn-ea"/>
              <a:ea typeface="+mn-ea"/>
            </a:rPr>
            <a:t>(</a:t>
          </a:r>
          <a:r>
            <a:rPr lang="zh-TW" altLang="en-US" sz="1100" b="1">
              <a:latin typeface="+mn-ea"/>
              <a:ea typeface="+mn-ea"/>
            </a:rPr>
            <a:t>元</a:t>
          </a:r>
          <a:r>
            <a:rPr lang="en-US" altLang="zh-TW" sz="1100" b="1">
              <a:latin typeface="+mn-ea"/>
              <a:ea typeface="+mn-ea"/>
            </a:rPr>
            <a:t>)</a:t>
          </a:r>
          <a:endParaRPr lang="zh-TW" altLang="en-US" sz="1100" b="1">
            <a:latin typeface="+mn-ea"/>
            <a:ea typeface="+mn-ea"/>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0.11208</cdr:x>
      <cdr:y>0.05712</cdr:y>
    </cdr:from>
    <cdr:to>
      <cdr:x>0.16687</cdr:x>
      <cdr:y>0.33398</cdr:y>
    </cdr:to>
    <cdr:sp macro="" textlink="">
      <cdr:nvSpPr>
        <cdr:cNvPr id="3" name="文字方塊 2"/>
        <cdr:cNvSpPr txBox="1"/>
      </cdr:nvSpPr>
      <cdr:spPr>
        <a:xfrm xmlns:a="http://schemas.openxmlformats.org/drawingml/2006/main">
          <a:off x="654700" y="195683"/>
          <a:ext cx="320049" cy="94847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收益率</a:t>
          </a:r>
          <a:r>
            <a:rPr lang="en-US" altLang="zh-TW" sz="1100" b="1">
              <a:latin typeface="+mn-ea"/>
              <a:ea typeface="+mn-ea"/>
            </a:rPr>
            <a:t>(</a:t>
          </a:r>
          <a:r>
            <a:rPr lang="zh-TW" altLang="en-US" sz="1100" b="1">
              <a:latin typeface="+mn-ea"/>
              <a:ea typeface="+mn-ea"/>
            </a:rPr>
            <a:t>％</a:t>
          </a:r>
          <a:r>
            <a:rPr lang="en-US" altLang="zh-TW" sz="1100" b="1">
              <a:latin typeface="+mn-ea"/>
              <a:ea typeface="+mn-ea"/>
            </a:rPr>
            <a:t>)</a:t>
          </a:r>
          <a:endParaRPr lang="zh-TW" altLang="en-US" sz="1100" b="1">
            <a:latin typeface="+mn-ea"/>
            <a:ea typeface="+mn-ea"/>
          </a:endParaRPr>
        </a:p>
      </cdr:txBody>
    </cdr:sp>
  </cdr:relSizeAnchor>
  <cdr:relSizeAnchor xmlns:cdr="http://schemas.openxmlformats.org/drawingml/2006/chartDrawing">
    <cdr:from>
      <cdr:x>0.94135</cdr:x>
      <cdr:y>0.05905</cdr:y>
    </cdr:from>
    <cdr:to>
      <cdr:x>0.99502</cdr:x>
      <cdr:y>0.37657</cdr:y>
    </cdr:to>
    <cdr:sp macro="" textlink="">
      <cdr:nvSpPr>
        <cdr:cNvPr id="4" name="文字方塊 3"/>
        <cdr:cNvSpPr txBox="1"/>
      </cdr:nvSpPr>
      <cdr:spPr>
        <a:xfrm xmlns:a="http://schemas.openxmlformats.org/drawingml/2006/main">
          <a:off x="5367868" y="202295"/>
          <a:ext cx="306036" cy="1087768"/>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收益數</a:t>
          </a:r>
          <a:r>
            <a:rPr lang="en-US" altLang="zh-TW" sz="1100" b="1">
              <a:latin typeface="+mn-ea"/>
              <a:ea typeface="+mn-ea"/>
            </a:rPr>
            <a:t>(</a:t>
          </a:r>
          <a:r>
            <a:rPr lang="zh-TW" altLang="en-US" sz="1100" b="1">
              <a:latin typeface="+mn-ea"/>
              <a:ea typeface="+mn-ea"/>
            </a:rPr>
            <a:t>億元</a:t>
          </a:r>
          <a:r>
            <a:rPr lang="en-US" altLang="zh-TW" sz="1100" b="1">
              <a:latin typeface="+mn-ea"/>
              <a:ea typeface="+mn-ea"/>
            </a:rPr>
            <a:t>)</a:t>
          </a:r>
          <a:endParaRPr lang="zh-TW" altLang="en-US" sz="1100" b="1">
            <a:latin typeface="+mn-ea"/>
            <a:ea typeface="+mn-ea"/>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cdr:x>
      <cdr:y>0.09028</cdr:y>
    </cdr:from>
    <cdr:to>
      <cdr:x>0.06693</cdr:x>
      <cdr:y>0.56806</cdr:y>
    </cdr:to>
    <cdr:sp macro="" textlink="">
      <cdr:nvSpPr>
        <cdr:cNvPr id="2" name="文字方塊 1"/>
        <cdr:cNvSpPr txBox="1"/>
      </cdr:nvSpPr>
      <cdr:spPr>
        <a:xfrm xmlns:a="http://schemas.openxmlformats.org/drawingml/2006/main">
          <a:off x="0" y="247650"/>
          <a:ext cx="381000" cy="131064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被保險人人數</a:t>
          </a:r>
          <a:r>
            <a:rPr lang="en-US" altLang="zh-TW" sz="1100" b="1">
              <a:latin typeface="+mn-ea"/>
              <a:ea typeface="+mn-ea"/>
            </a:rPr>
            <a:t>(</a:t>
          </a:r>
          <a:r>
            <a:rPr lang="zh-TW" altLang="en-US" sz="1100" b="1">
              <a:latin typeface="+mn-ea"/>
              <a:ea typeface="+mn-ea"/>
            </a:rPr>
            <a:t>人</a:t>
          </a:r>
          <a:r>
            <a:rPr lang="en-US" altLang="zh-TW" sz="1100" b="1">
              <a:latin typeface="+mn-ea"/>
              <a:ea typeface="+mn-ea"/>
            </a:rPr>
            <a:t>)</a:t>
          </a:r>
          <a:endParaRPr lang="zh-TW" altLang="en-US" sz="1100" b="1">
            <a:latin typeface="+mn-ea"/>
            <a:ea typeface="+mn-ea"/>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0.85362</cdr:x>
      <cdr:y>0</cdr:y>
    </cdr:from>
    <cdr:to>
      <cdr:x>1</cdr:x>
      <cdr:y>0.0951</cdr:y>
    </cdr:to>
    <cdr:sp macro="" textlink="">
      <cdr:nvSpPr>
        <cdr:cNvPr id="2" name="文字方塊 1"/>
        <cdr:cNvSpPr txBox="1"/>
      </cdr:nvSpPr>
      <cdr:spPr>
        <a:xfrm xmlns:a="http://schemas.openxmlformats.org/drawingml/2006/main">
          <a:off x="4683301" y="0"/>
          <a:ext cx="803099"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a:latin typeface="微軟正黑體" pitchFamily="34" charset="-120"/>
              <a:ea typeface="微軟正黑體" pitchFamily="34" charset="-120"/>
            </a:rPr>
            <a:t>(</a:t>
          </a:r>
          <a:r>
            <a:rPr lang="zh-TW" altLang="en-US" sz="800">
              <a:latin typeface="微軟正黑體" pitchFamily="34" charset="-120"/>
              <a:ea typeface="微軟正黑體" pitchFamily="34" charset="-120"/>
            </a:rPr>
            <a:t>單位：萬人</a:t>
          </a:r>
          <a:r>
            <a:rPr lang="en-US" altLang="zh-TW" sz="800">
              <a:latin typeface="微軟正黑體" pitchFamily="34" charset="-120"/>
              <a:ea typeface="微軟正黑體" pitchFamily="34" charset="-120"/>
            </a:rPr>
            <a:t>)</a:t>
          </a:r>
          <a:endParaRPr lang="zh-TW" altLang="en-US" sz="800">
            <a:latin typeface="微軟正黑體" pitchFamily="34" charset="-120"/>
            <a:ea typeface="微軟正黑體" pitchFamily="34" charset="-120"/>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cdr:x>
      <cdr:y>0.09626</cdr:y>
    </cdr:from>
    <cdr:to>
      <cdr:x>0.04338</cdr:x>
      <cdr:y>0.60974</cdr:y>
    </cdr:to>
    <cdr:sp macro="" textlink="">
      <cdr:nvSpPr>
        <cdr:cNvPr id="2" name="文字方塊 1"/>
        <cdr:cNvSpPr txBox="1"/>
      </cdr:nvSpPr>
      <cdr:spPr>
        <a:xfrm xmlns:a="http://schemas.openxmlformats.org/drawingml/2006/main">
          <a:off x="0" y="281170"/>
          <a:ext cx="265546" cy="149986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000" b="1">
              <a:latin typeface="+mn-ea"/>
              <a:ea typeface="+mn-ea"/>
            </a:rPr>
            <a:t>被保險人人數</a:t>
          </a:r>
          <a:r>
            <a:rPr lang="en-US" altLang="zh-TW" sz="1000" b="1">
              <a:latin typeface="+mn-ea"/>
              <a:ea typeface="+mn-ea"/>
            </a:rPr>
            <a:t>(</a:t>
          </a:r>
          <a:r>
            <a:rPr lang="zh-TW" altLang="en-US" sz="1000" b="1">
              <a:latin typeface="+mn-ea"/>
              <a:ea typeface="+mn-ea"/>
            </a:rPr>
            <a:t>人</a:t>
          </a:r>
          <a:r>
            <a:rPr lang="en-US" altLang="zh-TW" sz="1000" b="1">
              <a:latin typeface="+mn-ea"/>
              <a:ea typeface="+mn-ea"/>
            </a:rPr>
            <a:t>)</a:t>
          </a:r>
          <a:endParaRPr lang="zh-TW" altLang="en-US" sz="1000" b="1">
            <a:latin typeface="+mn-ea"/>
            <a:ea typeface="+mn-ea"/>
          </a:endParaRPr>
        </a:p>
      </cdr:txBody>
    </cdr:sp>
  </cdr:relSizeAnchor>
</c:userShapes>
</file>

<file path=word/drawings/drawing41.xml><?xml version="1.0" encoding="utf-8"?>
<c:userShapes xmlns:c="http://schemas.openxmlformats.org/drawingml/2006/chart">
  <cdr:relSizeAnchor xmlns:cdr="http://schemas.openxmlformats.org/drawingml/2006/chartDrawing">
    <cdr:from>
      <cdr:x>0.00953</cdr:x>
      <cdr:y>0.17586</cdr:y>
    </cdr:from>
    <cdr:to>
      <cdr:x>0.05831</cdr:x>
      <cdr:y>0.52189</cdr:y>
    </cdr:to>
    <cdr:sp macro="" textlink="">
      <cdr:nvSpPr>
        <cdr:cNvPr id="2" name="文字方塊 1"/>
        <cdr:cNvSpPr txBox="1"/>
      </cdr:nvSpPr>
      <cdr:spPr>
        <a:xfrm xmlns:a="http://schemas.openxmlformats.org/drawingml/2006/main">
          <a:off x="54926" y="643209"/>
          <a:ext cx="281256" cy="126563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給付件數</a:t>
          </a:r>
          <a:r>
            <a:rPr lang="en-US" altLang="zh-TW" sz="1100" b="1">
              <a:latin typeface="+mn-ea"/>
              <a:ea typeface="+mn-ea"/>
            </a:rPr>
            <a:t>(</a:t>
          </a:r>
          <a:r>
            <a:rPr lang="zh-TW" altLang="en-US" sz="1100" b="1">
              <a:latin typeface="+mn-ea"/>
              <a:ea typeface="+mn-ea"/>
            </a:rPr>
            <a:t>件</a:t>
          </a:r>
          <a:r>
            <a:rPr lang="en-US" altLang="zh-TW" sz="1100" b="1">
              <a:latin typeface="+mn-ea"/>
              <a:ea typeface="+mn-ea"/>
            </a:rPr>
            <a:t>)</a:t>
          </a:r>
          <a:endParaRPr lang="zh-TW" altLang="en-US" sz="1100" b="1">
            <a:latin typeface="+mn-ea"/>
            <a:ea typeface="+mn-ea"/>
          </a:endParaRPr>
        </a:p>
      </cdr:txBody>
    </cdr:sp>
  </cdr:relSizeAnchor>
  <cdr:relSizeAnchor xmlns:cdr="http://schemas.openxmlformats.org/drawingml/2006/chartDrawing">
    <cdr:from>
      <cdr:x>0.93582</cdr:x>
      <cdr:y>0.16993</cdr:y>
    </cdr:from>
    <cdr:to>
      <cdr:x>0.99615</cdr:x>
      <cdr:y>0.5036</cdr:y>
    </cdr:to>
    <cdr:sp macro="" textlink="">
      <cdr:nvSpPr>
        <cdr:cNvPr id="3" name="文字方塊 2"/>
        <cdr:cNvSpPr txBox="1"/>
      </cdr:nvSpPr>
      <cdr:spPr>
        <a:xfrm xmlns:a="http://schemas.openxmlformats.org/drawingml/2006/main">
          <a:off x="5554980" y="628650"/>
          <a:ext cx="358140" cy="123444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給付金額</a:t>
          </a:r>
          <a:r>
            <a:rPr lang="en-US" altLang="zh-TW" sz="1100" b="1">
              <a:latin typeface="+mn-ea"/>
              <a:ea typeface="+mn-ea"/>
            </a:rPr>
            <a:t>(</a:t>
          </a:r>
          <a:r>
            <a:rPr lang="zh-TW" altLang="en-US" sz="1100" b="1">
              <a:latin typeface="+mn-ea"/>
              <a:ea typeface="+mn-ea"/>
            </a:rPr>
            <a:t>億元</a:t>
          </a:r>
          <a:r>
            <a:rPr lang="en-US" altLang="zh-TW" sz="1100" b="1">
              <a:latin typeface="+mn-ea"/>
              <a:ea typeface="+mn-ea"/>
            </a:rPr>
            <a:t>)</a:t>
          </a:r>
          <a:endParaRPr lang="zh-TW" altLang="en-US" sz="1100" b="1">
            <a:latin typeface="+mn-ea"/>
            <a:ea typeface="+mn-ea"/>
          </a:endParaRPr>
        </a:p>
      </cdr:txBody>
    </cdr:sp>
  </cdr:relSizeAnchor>
</c:userShapes>
</file>

<file path=word/drawings/drawing42.xml><?xml version="1.0" encoding="utf-8"?>
<c:userShapes xmlns:c="http://schemas.openxmlformats.org/drawingml/2006/chart">
  <cdr:relSizeAnchor xmlns:cdr="http://schemas.openxmlformats.org/drawingml/2006/chartDrawing">
    <cdr:from>
      <cdr:x>0.011</cdr:x>
      <cdr:y>0.03994</cdr:y>
    </cdr:from>
    <cdr:to>
      <cdr:x>0.06849</cdr:x>
      <cdr:y>0.51406</cdr:y>
    </cdr:to>
    <cdr:sp macro="" textlink="">
      <cdr:nvSpPr>
        <cdr:cNvPr id="2" name="文字方塊 1"/>
        <cdr:cNvSpPr txBox="1"/>
      </cdr:nvSpPr>
      <cdr:spPr>
        <a:xfrm xmlns:a="http://schemas.openxmlformats.org/drawingml/2006/main">
          <a:off x="61473" y="105077"/>
          <a:ext cx="321442" cy="124731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被保險人人數</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人</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userShapes>
</file>

<file path=word/drawings/drawing43.xml><?xml version="1.0" encoding="utf-8"?>
<c:userShapes xmlns:c="http://schemas.openxmlformats.org/drawingml/2006/chart">
  <cdr:relSizeAnchor xmlns:cdr="http://schemas.openxmlformats.org/drawingml/2006/chartDrawing">
    <cdr:from>
      <cdr:x>0.01231</cdr:x>
      <cdr:y>0.0606</cdr:y>
    </cdr:from>
    <cdr:to>
      <cdr:x>0.06637</cdr:x>
      <cdr:y>0.50682</cdr:y>
    </cdr:to>
    <cdr:sp macro="" textlink="">
      <cdr:nvSpPr>
        <cdr:cNvPr id="2" name="文字方塊 1"/>
        <cdr:cNvSpPr txBox="1"/>
      </cdr:nvSpPr>
      <cdr:spPr>
        <a:xfrm xmlns:a="http://schemas.openxmlformats.org/drawingml/2006/main">
          <a:off x="68580" y="206398"/>
          <a:ext cx="301126" cy="1519887"/>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被保險人人數</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人</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userShapes>
</file>

<file path=word/drawings/drawing44.xml><?xml version="1.0" encoding="utf-8"?>
<c:userShapes xmlns:c="http://schemas.openxmlformats.org/drawingml/2006/chart">
  <cdr:relSizeAnchor xmlns:cdr="http://schemas.openxmlformats.org/drawingml/2006/chartDrawing">
    <cdr:from>
      <cdr:x>0.0073</cdr:x>
      <cdr:y>0.0508</cdr:y>
    </cdr:from>
    <cdr:to>
      <cdr:x>0.0723</cdr:x>
      <cdr:y>0.42442</cdr:y>
    </cdr:to>
    <cdr:sp macro="" textlink="">
      <cdr:nvSpPr>
        <cdr:cNvPr id="2" name="文字方塊 1"/>
        <cdr:cNvSpPr txBox="1"/>
      </cdr:nvSpPr>
      <cdr:spPr>
        <a:xfrm xmlns:a="http://schemas.openxmlformats.org/drawingml/2006/main">
          <a:off x="42334" y="140205"/>
          <a:ext cx="376964" cy="103108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j-ea"/>
              <a:ea typeface="+mj-ea"/>
            </a:rPr>
            <a:t>金額</a:t>
          </a:r>
          <a:r>
            <a:rPr lang="en-US" altLang="zh-TW" sz="1100" b="1">
              <a:latin typeface="+mj-ea"/>
              <a:ea typeface="+mj-ea"/>
            </a:rPr>
            <a:t>(</a:t>
          </a:r>
          <a:r>
            <a:rPr lang="zh-TW" altLang="en-US" sz="1100" b="1">
              <a:latin typeface="+mj-ea"/>
              <a:ea typeface="+mj-ea"/>
            </a:rPr>
            <a:t>億元</a:t>
          </a:r>
          <a:r>
            <a:rPr lang="en-US" altLang="zh-TW" sz="1100" b="1">
              <a:latin typeface="+mj-ea"/>
              <a:ea typeface="+mj-ea"/>
            </a:rPr>
            <a:t>)</a:t>
          </a:r>
          <a:endParaRPr lang="zh-TW" altLang="en-US" sz="1100" b="1">
            <a:latin typeface="+mj-ea"/>
            <a:ea typeface="+mj-ea"/>
          </a:endParaRPr>
        </a:p>
      </cdr:txBody>
    </cdr:sp>
  </cdr:relSizeAnchor>
</c:userShapes>
</file>

<file path=word/drawings/drawing45.xml><?xml version="1.0" encoding="utf-8"?>
<c:userShapes xmlns:c="http://schemas.openxmlformats.org/drawingml/2006/chart">
  <cdr:relSizeAnchor xmlns:cdr="http://schemas.openxmlformats.org/drawingml/2006/chartDrawing">
    <cdr:from>
      <cdr:x>0.01922</cdr:x>
      <cdr:y>0.06839</cdr:y>
    </cdr:from>
    <cdr:to>
      <cdr:x>0.07418</cdr:x>
      <cdr:y>0.37995</cdr:y>
    </cdr:to>
    <cdr:sp macro="" textlink="">
      <cdr:nvSpPr>
        <cdr:cNvPr id="2" name="文字方塊 1"/>
        <cdr:cNvSpPr txBox="1"/>
      </cdr:nvSpPr>
      <cdr:spPr>
        <a:xfrm xmlns:a="http://schemas.openxmlformats.org/drawingml/2006/main">
          <a:off x="112284" y="229849"/>
          <a:ext cx="321077" cy="104717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i="0">
              <a:latin typeface="新細明體" panose="02020500000000000000" pitchFamily="18" charset="-120"/>
              <a:ea typeface="新細明體" panose="02020500000000000000" pitchFamily="18" charset="-120"/>
            </a:rPr>
            <a:t>給付人數</a:t>
          </a:r>
          <a:r>
            <a:rPr lang="en-US" altLang="zh-TW" sz="1100" b="1" i="0">
              <a:latin typeface="新細明體" panose="02020500000000000000" pitchFamily="18" charset="-120"/>
              <a:ea typeface="新細明體" panose="02020500000000000000" pitchFamily="18" charset="-120"/>
            </a:rPr>
            <a:t>(</a:t>
          </a:r>
          <a:r>
            <a:rPr lang="zh-TW" altLang="en-US" sz="1100" b="1" i="0">
              <a:latin typeface="新細明體" panose="02020500000000000000" pitchFamily="18" charset="-120"/>
              <a:ea typeface="新細明體" panose="02020500000000000000" pitchFamily="18" charset="-120"/>
            </a:rPr>
            <a:t>人</a:t>
          </a:r>
          <a:r>
            <a:rPr lang="en-US" altLang="zh-TW" sz="1100" b="1" i="0">
              <a:latin typeface="新細明體" panose="02020500000000000000" pitchFamily="18" charset="-120"/>
              <a:ea typeface="新細明體" panose="02020500000000000000" pitchFamily="18" charset="-120"/>
            </a:rPr>
            <a:t>)</a:t>
          </a:r>
        </a:p>
      </cdr:txBody>
    </cdr:sp>
  </cdr:relSizeAnchor>
</c:userShapes>
</file>

<file path=word/drawings/drawing46.xml><?xml version="1.0" encoding="utf-8"?>
<c:userShapes xmlns:c="http://schemas.openxmlformats.org/drawingml/2006/chart">
  <cdr:relSizeAnchor xmlns:cdr="http://schemas.openxmlformats.org/drawingml/2006/chartDrawing">
    <cdr:from>
      <cdr:x>0.06452</cdr:x>
      <cdr:y>0.06348</cdr:y>
    </cdr:from>
    <cdr:to>
      <cdr:x>0.13348</cdr:x>
      <cdr:y>0.45057</cdr:y>
    </cdr:to>
    <cdr:sp macro="" textlink="">
      <cdr:nvSpPr>
        <cdr:cNvPr id="2" name="文字方塊 1"/>
        <cdr:cNvSpPr txBox="1"/>
      </cdr:nvSpPr>
      <cdr:spPr>
        <a:xfrm xmlns:a="http://schemas.openxmlformats.org/drawingml/2006/main">
          <a:off x="441960" y="232410"/>
          <a:ext cx="472440" cy="141732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給付金額</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億元</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userShapes>
</file>

<file path=word/drawings/drawing47.xml><?xml version="1.0" encoding="utf-8"?>
<c:userShapes xmlns:c="http://schemas.openxmlformats.org/drawingml/2006/chart">
  <cdr:relSizeAnchor xmlns:cdr="http://schemas.openxmlformats.org/drawingml/2006/chartDrawing">
    <cdr:from>
      <cdr:x>0.01304</cdr:x>
      <cdr:y>0.15972</cdr:y>
    </cdr:from>
    <cdr:to>
      <cdr:x>0.07246</cdr:x>
      <cdr:y>0.50972</cdr:y>
    </cdr:to>
    <cdr:sp macro="" textlink="">
      <cdr:nvSpPr>
        <cdr:cNvPr id="2" name="文字方塊 1"/>
        <cdr:cNvSpPr txBox="1"/>
      </cdr:nvSpPr>
      <cdr:spPr>
        <a:xfrm xmlns:a="http://schemas.openxmlformats.org/drawingml/2006/main">
          <a:off x="68580" y="438150"/>
          <a:ext cx="312420" cy="96012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t>收益率</a:t>
          </a:r>
          <a:r>
            <a:rPr lang="en-US" altLang="zh-TW" sz="1100" b="1"/>
            <a:t>(</a:t>
          </a:r>
          <a:r>
            <a:rPr lang="zh-TW" altLang="en-US" sz="1100" b="1"/>
            <a:t>％</a:t>
          </a:r>
          <a:r>
            <a:rPr lang="en-US" altLang="zh-TW" sz="1100" b="1"/>
            <a:t>)</a:t>
          </a:r>
          <a:endParaRPr lang="zh-TW" altLang="en-US" sz="1100" b="1"/>
        </a:p>
      </cdr:txBody>
    </cdr:sp>
  </cdr:relSizeAnchor>
  <cdr:relSizeAnchor xmlns:cdr="http://schemas.openxmlformats.org/drawingml/2006/chartDrawing">
    <cdr:from>
      <cdr:x>0.92059</cdr:x>
      <cdr:y>0.15006</cdr:y>
    </cdr:from>
    <cdr:to>
      <cdr:x>0.98436</cdr:x>
      <cdr:y>0.5584</cdr:y>
    </cdr:to>
    <cdr:sp macro="" textlink="">
      <cdr:nvSpPr>
        <cdr:cNvPr id="3" name="文字方塊 2"/>
        <cdr:cNvSpPr txBox="1"/>
      </cdr:nvSpPr>
      <cdr:spPr>
        <a:xfrm xmlns:a="http://schemas.openxmlformats.org/drawingml/2006/main">
          <a:off x="5394450" y="473385"/>
          <a:ext cx="373678" cy="1288183"/>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新細明體" panose="02020500000000000000" pitchFamily="18" charset="-120"/>
              <a:ea typeface="新細明體" panose="02020500000000000000" pitchFamily="18" charset="-120"/>
            </a:rPr>
            <a:t>收益數</a:t>
          </a:r>
          <a:r>
            <a:rPr lang="en-US" altLang="zh-TW" sz="1100" b="1">
              <a:latin typeface="新細明體" panose="02020500000000000000" pitchFamily="18" charset="-120"/>
              <a:ea typeface="新細明體" panose="02020500000000000000" pitchFamily="18" charset="-120"/>
            </a:rPr>
            <a:t>(</a:t>
          </a:r>
          <a:r>
            <a:rPr lang="zh-TW" altLang="en-US" sz="1100" b="1">
              <a:latin typeface="新細明體" panose="02020500000000000000" pitchFamily="18" charset="-120"/>
              <a:ea typeface="新細明體" panose="02020500000000000000" pitchFamily="18" charset="-120"/>
            </a:rPr>
            <a:t>億元</a:t>
          </a:r>
          <a:r>
            <a:rPr lang="en-US" altLang="zh-TW" sz="1100" b="1">
              <a:latin typeface="新細明體" panose="02020500000000000000" pitchFamily="18" charset="-120"/>
              <a:ea typeface="新細明體" panose="02020500000000000000" pitchFamily="18" charset="-120"/>
            </a:rPr>
            <a:t>)</a:t>
          </a:r>
          <a:endParaRPr lang="zh-TW" altLang="en-US" sz="1100" b="1">
            <a:latin typeface="新細明體" panose="02020500000000000000" pitchFamily="18" charset="-120"/>
            <a:ea typeface="新細明體" panose="02020500000000000000" pitchFamily="18" charset="-120"/>
          </a:endParaRPr>
        </a:p>
      </cdr:txBody>
    </cdr:sp>
  </cdr:relSizeAnchor>
</c:userShapes>
</file>

<file path=word/drawings/drawing48.xml><?xml version="1.0" encoding="utf-8"?>
<c:userShapes xmlns:c="http://schemas.openxmlformats.org/drawingml/2006/chart">
  <cdr:relSizeAnchor xmlns:cdr="http://schemas.openxmlformats.org/drawingml/2006/chartDrawing">
    <cdr:from>
      <cdr:x>0.07553</cdr:x>
      <cdr:y>0</cdr:y>
    </cdr:from>
    <cdr:to>
      <cdr:x>0.40063</cdr:x>
      <cdr:y>0.10233</cdr:y>
    </cdr:to>
    <cdr:sp macro="" textlink="">
      <cdr:nvSpPr>
        <cdr:cNvPr id="2" name="文字方塊 2"/>
        <cdr:cNvSpPr txBox="1">
          <a:spLocks xmlns:a="http://schemas.openxmlformats.org/drawingml/2006/main" noChangeArrowheads="1"/>
        </cdr:cNvSpPr>
      </cdr:nvSpPr>
      <cdr:spPr bwMode="auto">
        <a:xfrm xmlns:a="http://schemas.openxmlformats.org/drawingml/2006/main">
          <a:off x="430971" y="0"/>
          <a:ext cx="1855056" cy="28415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zh-TW" altLang="en-US" sz="1050">
              <a:latin typeface="微軟正黑體" pitchFamily="34" charset="-120"/>
              <a:ea typeface="微軟正黑體" pitchFamily="34" charset="-120"/>
            </a:rPr>
            <a:t> 委託經營       </a:t>
          </a:r>
          <a:r>
            <a:rPr lang="zh-TW" altLang="en-US" sz="1050" baseline="0">
              <a:latin typeface="微軟正黑體" pitchFamily="34" charset="-120"/>
              <a:ea typeface="微軟正黑體" pitchFamily="34" charset="-120"/>
            </a:rPr>
            <a:t>    自</a:t>
          </a:r>
          <a:r>
            <a:rPr lang="zh-TW" altLang="en-US" sz="1050">
              <a:latin typeface="微軟正黑體" pitchFamily="34" charset="-120"/>
              <a:ea typeface="微軟正黑體" pitchFamily="34" charset="-120"/>
            </a:rPr>
            <a:t>行運用</a:t>
          </a:r>
        </a:p>
      </cdr:txBody>
    </cdr:sp>
  </cdr:relSizeAnchor>
  <cdr:relSizeAnchor xmlns:cdr="http://schemas.openxmlformats.org/drawingml/2006/chartDrawing">
    <cdr:from>
      <cdr:x>0.06573</cdr:x>
      <cdr:y>0.03357</cdr:y>
    </cdr:from>
    <cdr:to>
      <cdr:x>0.08499</cdr:x>
      <cdr:y>0.06631</cdr:y>
    </cdr:to>
    <cdr:sp macro="" textlink="">
      <cdr:nvSpPr>
        <cdr:cNvPr id="3" name="矩形 2"/>
        <cdr:cNvSpPr/>
      </cdr:nvSpPr>
      <cdr:spPr>
        <a:xfrm xmlns:a="http://schemas.openxmlformats.org/drawingml/2006/main">
          <a:off x="375051" y="93219"/>
          <a:ext cx="109900" cy="90914"/>
        </a:xfrm>
        <a:prstGeom xmlns:a="http://schemas.openxmlformats.org/drawingml/2006/main" prst="rect">
          <a:avLst/>
        </a:prstGeom>
        <a:solidFill xmlns:a="http://schemas.openxmlformats.org/drawingml/2006/main">
          <a:schemeClr val="accent6"/>
        </a:solidFill>
        <a:ln xmlns:a="http://schemas.openxmlformats.org/drawingml/2006/main">
          <a:solidFill>
            <a:schemeClr val="accent6"/>
          </a:solid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sp>
  </cdr:relSizeAnchor>
  <cdr:relSizeAnchor xmlns:cdr="http://schemas.openxmlformats.org/drawingml/2006/chartDrawing">
    <cdr:from>
      <cdr:x>0.21152</cdr:x>
      <cdr:y>0.03438</cdr:y>
    </cdr:from>
    <cdr:to>
      <cdr:x>0.23077</cdr:x>
      <cdr:y>0.06713</cdr:y>
    </cdr:to>
    <cdr:sp macro="" textlink="">
      <cdr:nvSpPr>
        <cdr:cNvPr id="4" name="矩形 3"/>
        <cdr:cNvSpPr/>
      </cdr:nvSpPr>
      <cdr:spPr>
        <a:xfrm xmlns:a="http://schemas.openxmlformats.org/drawingml/2006/main">
          <a:off x="1206945" y="95468"/>
          <a:ext cx="109843" cy="90942"/>
        </a:xfrm>
        <a:prstGeom xmlns:a="http://schemas.openxmlformats.org/drawingml/2006/main" prst="rect">
          <a:avLst/>
        </a:prstGeom>
        <a:solidFill xmlns:a="http://schemas.openxmlformats.org/drawingml/2006/main">
          <a:schemeClr val="accent6">
            <a:lumMod val="40000"/>
            <a:lumOff val="60000"/>
          </a:schemeClr>
        </a:solidFill>
        <a:ln xmlns:a="http://schemas.openxmlformats.org/drawingml/2006/main">
          <a:solidFill>
            <a:schemeClr val="accent6">
              <a:lumMod val="40000"/>
              <a:lumOff val="60000"/>
            </a:schemeClr>
          </a:solidFill>
        </a:ln>
      </cdr:spPr>
      <cdr:style>
        <a:lnRef xmlns:a="http://schemas.openxmlformats.org/drawingml/2006/main" idx="2">
          <a:schemeClr val="accent6">
            <a:shade val="50000"/>
          </a:schemeClr>
        </a:lnRef>
        <a:fillRef xmlns:a="http://schemas.openxmlformats.org/drawingml/2006/main" idx="1">
          <a:schemeClr val="accent6"/>
        </a:fillRef>
        <a:effectRef xmlns:a="http://schemas.openxmlformats.org/drawingml/2006/main" idx="0">
          <a:schemeClr val="accent6"/>
        </a:effectRef>
        <a:fontRef xmlns:a="http://schemas.openxmlformats.org/drawingml/2006/main" idx="minor">
          <a:schemeClr val="lt1"/>
        </a:fontRef>
      </cdr:style>
    </cdr:sp>
  </cdr:relSizeAnchor>
</c:userShapes>
</file>

<file path=word/drawings/drawing49.xml><?xml version="1.0" encoding="utf-8"?>
<c:userShapes xmlns:c="http://schemas.openxmlformats.org/drawingml/2006/chart">
  <cdr:relSizeAnchor xmlns:cdr="http://schemas.openxmlformats.org/drawingml/2006/chartDrawing">
    <cdr:from>
      <cdr:x>0.06517</cdr:x>
      <cdr:y>0.24028</cdr:y>
    </cdr:from>
    <cdr:to>
      <cdr:x>0.0719</cdr:x>
      <cdr:y>0.25694</cdr:y>
    </cdr:to>
    <cdr:sp macro="" textlink="">
      <cdr:nvSpPr>
        <cdr:cNvPr id="2" name="文字方塊 1"/>
        <cdr:cNvSpPr txBox="1"/>
      </cdr:nvSpPr>
      <cdr:spPr>
        <a:xfrm xmlns:a="http://schemas.openxmlformats.org/drawingml/2006/main">
          <a:off x="442915" y="659131"/>
          <a:ext cx="45719" cy="4571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0.05616</cdr:x>
      <cdr:y>0.06597</cdr:y>
    </cdr:from>
    <cdr:to>
      <cdr:x>0.0702</cdr:x>
      <cdr:y>0.39236</cdr:y>
    </cdr:to>
    <cdr:sp macro="" textlink="">
      <cdr:nvSpPr>
        <cdr:cNvPr id="3" name="文字方塊 2"/>
        <cdr:cNvSpPr txBox="1"/>
      </cdr:nvSpPr>
      <cdr:spPr>
        <a:xfrm xmlns:a="http://schemas.openxmlformats.org/drawingml/2006/main">
          <a:off x="342900" y="180975"/>
          <a:ext cx="85725" cy="89535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TW" altLang="en-US" sz="1100">
            <a:latin typeface="新細明體" panose="02020500000000000000" pitchFamily="18" charset="-120"/>
            <a:ea typeface="新細明體" panose="02020500000000000000" pitchFamily="18" charset="-120"/>
          </a:endParaRPr>
        </a:p>
      </cdr:txBody>
    </cdr:sp>
  </cdr:relSizeAnchor>
  <cdr:relSizeAnchor xmlns:cdr="http://schemas.openxmlformats.org/drawingml/2006/chartDrawing">
    <cdr:from>
      <cdr:x>0.01404</cdr:x>
      <cdr:y>0.03472</cdr:y>
    </cdr:from>
    <cdr:to>
      <cdr:x>0.06552</cdr:x>
      <cdr:y>0.56944</cdr:y>
    </cdr:to>
    <cdr:sp macro="" textlink="">
      <cdr:nvSpPr>
        <cdr:cNvPr id="4" name="文字方塊 3"/>
        <cdr:cNvSpPr txBox="1"/>
      </cdr:nvSpPr>
      <cdr:spPr>
        <a:xfrm xmlns:a="http://schemas.openxmlformats.org/drawingml/2006/main">
          <a:off x="85719" y="95253"/>
          <a:ext cx="314312" cy="1466844"/>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000" b="1">
              <a:latin typeface="+mn-ea"/>
              <a:ea typeface="+mn-ea"/>
            </a:rPr>
            <a:t>退休</a:t>
          </a:r>
          <a:r>
            <a:rPr lang="en-US" altLang="zh-TW" sz="1000" b="1">
              <a:latin typeface="+mn-ea"/>
              <a:ea typeface="+mn-ea"/>
            </a:rPr>
            <a:t>(</a:t>
          </a:r>
          <a:r>
            <a:rPr lang="zh-TW" altLang="en-US" sz="1000" b="1">
              <a:latin typeface="+mn-ea"/>
              <a:ea typeface="+mn-ea"/>
            </a:rPr>
            <a:t>伍</a:t>
          </a:r>
          <a:r>
            <a:rPr lang="en-US" altLang="zh-TW" sz="1000" b="1">
              <a:latin typeface="+mn-ea"/>
              <a:ea typeface="+mn-ea"/>
            </a:rPr>
            <a:t>)</a:t>
          </a:r>
          <a:r>
            <a:rPr lang="zh-TW" altLang="en-US" sz="1000" b="1">
              <a:latin typeface="+mn-ea"/>
              <a:ea typeface="+mn-ea"/>
            </a:rPr>
            <a:t>人數</a:t>
          </a:r>
          <a:r>
            <a:rPr lang="en-US" altLang="zh-TW" sz="1000" b="1">
              <a:latin typeface="+mn-ea"/>
              <a:ea typeface="+mn-ea"/>
            </a:rPr>
            <a:t>(</a:t>
          </a:r>
          <a:r>
            <a:rPr lang="zh-TW" altLang="en-US" sz="1000" b="1">
              <a:latin typeface="+mn-ea"/>
              <a:ea typeface="+mn-ea"/>
            </a:rPr>
            <a:t>人</a:t>
          </a:r>
          <a:r>
            <a:rPr lang="en-US" altLang="zh-TW" sz="1000" b="1">
              <a:latin typeface="+mn-ea"/>
              <a:ea typeface="+mn-ea"/>
            </a:rPr>
            <a:t>)</a:t>
          </a:r>
          <a:endParaRPr lang="zh-TW" altLang="en-US" sz="1000" b="1">
            <a:latin typeface="+mn-ea"/>
            <a:ea typeface="+mn-ea"/>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0.76077</cdr:x>
      <cdr:y>0.02772</cdr:y>
    </cdr:from>
    <cdr:to>
      <cdr:x>0.93907</cdr:x>
      <cdr:y>0.10943</cdr:y>
    </cdr:to>
    <cdr:sp macro="" textlink="">
      <cdr:nvSpPr>
        <cdr:cNvPr id="2" name="文字方塊 1"/>
        <cdr:cNvSpPr txBox="1"/>
      </cdr:nvSpPr>
      <cdr:spPr>
        <a:xfrm xmlns:a="http://schemas.openxmlformats.org/drawingml/2006/main">
          <a:off x="4173889" y="79703"/>
          <a:ext cx="978214" cy="234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900" dirty="0" smtClean="0">
              <a:latin typeface="微軟正黑體" pitchFamily="34" charset="-120"/>
              <a:ea typeface="微軟正黑體" pitchFamily="34" charset="-120"/>
            </a:rPr>
            <a:t>(</a:t>
          </a:r>
          <a:r>
            <a:rPr lang="zh-TW" altLang="en-US" sz="900" dirty="0" smtClean="0">
              <a:latin typeface="微軟正黑體" pitchFamily="34" charset="-120"/>
              <a:ea typeface="微軟正黑體" pitchFamily="34" charset="-120"/>
            </a:rPr>
            <a:t>單位：萬人</a:t>
          </a:r>
          <a:r>
            <a:rPr lang="en-US" altLang="zh-TW" sz="900" dirty="0" smtClean="0">
              <a:latin typeface="微軟正黑體" pitchFamily="34" charset="-120"/>
              <a:ea typeface="微軟正黑體" pitchFamily="34" charset="-120"/>
            </a:rPr>
            <a:t>)</a:t>
          </a:r>
          <a:endParaRPr lang="zh-TW" altLang="en-US" sz="900" dirty="0">
            <a:latin typeface="微軟正黑體" pitchFamily="34" charset="-120"/>
            <a:ea typeface="微軟正黑體" pitchFamily="34" charset="-120"/>
          </a:endParaRPr>
        </a:p>
      </cdr:txBody>
    </cdr:sp>
  </cdr:relSizeAnchor>
</c:userShapes>
</file>

<file path=word/drawings/drawing50.xml><?xml version="1.0" encoding="utf-8"?>
<c:userShapes xmlns:c="http://schemas.openxmlformats.org/drawingml/2006/chart">
  <cdr:relSizeAnchor xmlns:cdr="http://schemas.openxmlformats.org/drawingml/2006/chartDrawing">
    <cdr:from>
      <cdr:x>0.87507</cdr:x>
      <cdr:y>0.09513</cdr:y>
    </cdr:from>
    <cdr:to>
      <cdr:x>0.99116</cdr:x>
      <cdr:y>0.19318</cdr:y>
    </cdr:to>
    <cdr:sp macro="" textlink="">
      <cdr:nvSpPr>
        <cdr:cNvPr id="2" name="文字方塊 1"/>
        <cdr:cNvSpPr txBox="1"/>
      </cdr:nvSpPr>
      <cdr:spPr>
        <a:xfrm xmlns:a="http://schemas.openxmlformats.org/drawingml/2006/main">
          <a:off x="5026003" y="277285"/>
          <a:ext cx="666772" cy="2857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b="1">
              <a:solidFill>
                <a:schemeClr val="accent6"/>
              </a:solidFill>
              <a:latin typeface="微軟正黑體" pitchFamily="34" charset="-120"/>
              <a:ea typeface="微軟正黑體" pitchFamily="34" charset="-120"/>
            </a:rPr>
            <a:t>積極型</a:t>
          </a:r>
        </a:p>
      </cdr:txBody>
    </cdr:sp>
  </cdr:relSizeAnchor>
  <cdr:relSizeAnchor xmlns:cdr="http://schemas.openxmlformats.org/drawingml/2006/chartDrawing">
    <cdr:from>
      <cdr:x>0.88391</cdr:x>
      <cdr:y>0.33115</cdr:y>
    </cdr:from>
    <cdr:to>
      <cdr:x>1</cdr:x>
      <cdr:y>0.42919</cdr:y>
    </cdr:to>
    <cdr:sp macro="" textlink="">
      <cdr:nvSpPr>
        <cdr:cNvPr id="3" name="文字方塊 1"/>
        <cdr:cNvSpPr txBox="1"/>
      </cdr:nvSpPr>
      <cdr:spPr>
        <a:xfrm xmlns:a="http://schemas.openxmlformats.org/drawingml/2006/main">
          <a:off x="5076825" y="965200"/>
          <a:ext cx="666750" cy="285750"/>
        </a:xfrm>
        <a:prstGeom xmlns:a="http://schemas.openxmlformats.org/drawingml/2006/main" prst="rect">
          <a:avLst/>
        </a:prstGeom>
      </cdr:spPr>
    </cdr:sp>
  </cdr:relSizeAnchor>
  <cdr:relSizeAnchor xmlns:cdr="http://schemas.openxmlformats.org/drawingml/2006/chartDrawing">
    <cdr:from>
      <cdr:x>0.87452</cdr:x>
      <cdr:y>0.31481</cdr:y>
    </cdr:from>
    <cdr:to>
      <cdr:x>0.9906</cdr:x>
      <cdr:y>0.41285</cdr:y>
    </cdr:to>
    <cdr:sp macro="" textlink="">
      <cdr:nvSpPr>
        <cdr:cNvPr id="4" name="文字方塊 1"/>
        <cdr:cNvSpPr txBox="1"/>
      </cdr:nvSpPr>
      <cdr:spPr>
        <a:xfrm xmlns:a="http://schemas.openxmlformats.org/drawingml/2006/main">
          <a:off x="5022850" y="917575"/>
          <a:ext cx="666750" cy="285750"/>
        </a:xfrm>
        <a:prstGeom xmlns:a="http://schemas.openxmlformats.org/drawingml/2006/main" prst="rect">
          <a:avLst/>
        </a:prstGeom>
      </cdr:spPr>
    </cdr:sp>
  </cdr:relSizeAnchor>
  <cdr:relSizeAnchor xmlns:cdr="http://schemas.openxmlformats.org/drawingml/2006/chartDrawing">
    <cdr:from>
      <cdr:x>0.88391</cdr:x>
      <cdr:y>0.31808</cdr:y>
    </cdr:from>
    <cdr:to>
      <cdr:x>1</cdr:x>
      <cdr:y>0.41612</cdr:y>
    </cdr:to>
    <cdr:sp macro="" textlink="">
      <cdr:nvSpPr>
        <cdr:cNvPr id="5" name="文字方塊 1"/>
        <cdr:cNvSpPr txBox="1"/>
      </cdr:nvSpPr>
      <cdr:spPr>
        <a:xfrm xmlns:a="http://schemas.openxmlformats.org/drawingml/2006/main">
          <a:off x="5076825" y="927100"/>
          <a:ext cx="666750" cy="285750"/>
        </a:xfrm>
        <a:prstGeom xmlns:a="http://schemas.openxmlformats.org/drawingml/2006/main" prst="rect">
          <a:avLst/>
        </a:prstGeom>
      </cdr:spPr>
    </cdr:sp>
  </cdr:relSizeAnchor>
  <cdr:relSizeAnchor xmlns:cdr="http://schemas.openxmlformats.org/drawingml/2006/chartDrawing">
    <cdr:from>
      <cdr:x>0.88391</cdr:x>
      <cdr:y>0.20697</cdr:y>
    </cdr:from>
    <cdr:to>
      <cdr:x>1</cdr:x>
      <cdr:y>0.30501</cdr:y>
    </cdr:to>
    <cdr:sp macro="" textlink="">
      <cdr:nvSpPr>
        <cdr:cNvPr id="6" name="文字方塊 1"/>
        <cdr:cNvSpPr txBox="1"/>
      </cdr:nvSpPr>
      <cdr:spPr>
        <a:xfrm xmlns:a="http://schemas.openxmlformats.org/drawingml/2006/main">
          <a:off x="5076825" y="603250"/>
          <a:ext cx="666750" cy="285750"/>
        </a:xfrm>
        <a:prstGeom xmlns:a="http://schemas.openxmlformats.org/drawingml/2006/main" prst="rect">
          <a:avLst/>
        </a:prstGeom>
      </cdr:spPr>
    </cdr:sp>
  </cdr:relSizeAnchor>
  <cdr:relSizeAnchor xmlns:cdr="http://schemas.openxmlformats.org/drawingml/2006/chartDrawing">
    <cdr:from>
      <cdr:x>0.87728</cdr:x>
      <cdr:y>0.34314</cdr:y>
    </cdr:from>
    <cdr:to>
      <cdr:x>0.99171</cdr:x>
      <cdr:y>0.4281</cdr:y>
    </cdr:to>
    <cdr:sp macro="" textlink="">
      <cdr:nvSpPr>
        <cdr:cNvPr id="7" name="文字方塊 6"/>
        <cdr:cNvSpPr txBox="1"/>
      </cdr:nvSpPr>
      <cdr:spPr>
        <a:xfrm xmlns:a="http://schemas.openxmlformats.org/drawingml/2006/main">
          <a:off x="5038725" y="1000125"/>
          <a:ext cx="6572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b="1">
              <a:solidFill>
                <a:schemeClr val="bg2">
                  <a:lumMod val="25000"/>
                </a:schemeClr>
              </a:solidFill>
              <a:latin typeface="微軟正黑體" pitchFamily="34" charset="-120"/>
              <a:ea typeface="微軟正黑體" pitchFamily="34" charset="-120"/>
            </a:rPr>
            <a:t>穩健型</a:t>
          </a:r>
        </a:p>
      </cdr:txBody>
    </cdr:sp>
  </cdr:relSizeAnchor>
  <cdr:relSizeAnchor xmlns:cdr="http://schemas.openxmlformats.org/drawingml/2006/chartDrawing">
    <cdr:from>
      <cdr:x>0.87654</cdr:x>
      <cdr:y>0.65976</cdr:y>
    </cdr:from>
    <cdr:to>
      <cdr:x>0.99263</cdr:x>
      <cdr:y>0.7578</cdr:y>
    </cdr:to>
    <cdr:sp macro="" textlink="">
      <cdr:nvSpPr>
        <cdr:cNvPr id="9" name="文字方塊 8"/>
        <cdr:cNvSpPr txBox="1"/>
      </cdr:nvSpPr>
      <cdr:spPr>
        <a:xfrm xmlns:a="http://schemas.openxmlformats.org/drawingml/2006/main">
          <a:off x="5034469" y="1922984"/>
          <a:ext cx="666772" cy="2857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b="1">
              <a:solidFill>
                <a:srgbClr val="7030A0"/>
              </a:solidFill>
              <a:latin typeface="微軟正黑體" pitchFamily="34" charset="-120"/>
              <a:ea typeface="微軟正黑體" pitchFamily="34" charset="-120"/>
            </a:rPr>
            <a:t>保守型</a:t>
          </a:r>
        </a:p>
      </cdr:txBody>
    </cdr:sp>
  </cdr:relSizeAnchor>
</c:userShapes>
</file>

<file path=word/drawings/drawing51.xml><?xml version="1.0" encoding="utf-8"?>
<c:userShapes xmlns:c="http://schemas.openxmlformats.org/drawingml/2006/chart">
  <cdr:relSizeAnchor xmlns:cdr="http://schemas.openxmlformats.org/drawingml/2006/chartDrawing">
    <cdr:from>
      <cdr:x>0.95009</cdr:x>
      <cdr:y>0.83531</cdr:y>
    </cdr:from>
    <cdr:to>
      <cdr:x>0.99484</cdr:x>
      <cdr:y>0.98132</cdr:y>
    </cdr:to>
    <cdr:sp macro="" textlink="">
      <cdr:nvSpPr>
        <cdr:cNvPr id="3" name="文字方塊 2"/>
        <cdr:cNvSpPr txBox="1"/>
      </cdr:nvSpPr>
      <cdr:spPr>
        <a:xfrm xmlns:a="http://schemas.openxmlformats.org/drawingml/2006/main">
          <a:off x="5257802" y="2343150"/>
          <a:ext cx="247650" cy="40957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0.94701</cdr:x>
      <cdr:y>0.11149</cdr:y>
    </cdr:from>
    <cdr:to>
      <cdr:x>1</cdr:x>
      <cdr:y>0.71289</cdr:y>
    </cdr:to>
    <cdr:sp macro="" textlink="">
      <cdr:nvSpPr>
        <cdr:cNvPr id="5" name="文字方塊 4"/>
        <cdr:cNvSpPr txBox="1"/>
      </cdr:nvSpPr>
      <cdr:spPr>
        <a:xfrm xmlns:a="http://schemas.openxmlformats.org/drawingml/2006/main">
          <a:off x="5436216" y="282194"/>
          <a:ext cx="304184" cy="1522209"/>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200" b="1">
              <a:latin typeface="+mj-ea"/>
              <a:ea typeface="+mj-ea"/>
            </a:rPr>
            <a:t>有效契約件數</a:t>
          </a:r>
          <a:r>
            <a:rPr lang="en-US" altLang="zh-TW" sz="1200" b="1">
              <a:latin typeface="+mj-ea"/>
              <a:ea typeface="+mj-ea"/>
            </a:rPr>
            <a:t>(</a:t>
          </a:r>
          <a:r>
            <a:rPr lang="zh-TW" altLang="en-US" sz="1200" b="1">
              <a:latin typeface="+mj-ea"/>
              <a:ea typeface="+mj-ea"/>
            </a:rPr>
            <a:t>萬件</a:t>
          </a:r>
          <a:r>
            <a:rPr lang="en-US" altLang="zh-TW" sz="1200" b="1">
              <a:latin typeface="+mj-ea"/>
              <a:ea typeface="+mj-ea"/>
            </a:rPr>
            <a:t>)</a:t>
          </a:r>
          <a:endParaRPr lang="zh-TW" altLang="en-US" sz="1200" b="1">
            <a:latin typeface="+mj-ea"/>
            <a:ea typeface="+mj-ea"/>
          </a:endParaRPr>
        </a:p>
      </cdr:txBody>
    </cdr:sp>
  </cdr:relSizeAnchor>
  <cdr:relSizeAnchor xmlns:cdr="http://schemas.openxmlformats.org/drawingml/2006/chartDrawing">
    <cdr:from>
      <cdr:x>0.13492</cdr:x>
      <cdr:y>0.10464</cdr:y>
    </cdr:from>
    <cdr:to>
      <cdr:x>0.18112</cdr:x>
      <cdr:y>0.65709</cdr:y>
    </cdr:to>
    <cdr:sp macro="" textlink="">
      <cdr:nvSpPr>
        <cdr:cNvPr id="6" name="文字方塊 1"/>
        <cdr:cNvSpPr txBox="1"/>
      </cdr:nvSpPr>
      <cdr:spPr>
        <a:xfrm xmlns:a="http://schemas.openxmlformats.org/drawingml/2006/main">
          <a:off x="774488" y="264868"/>
          <a:ext cx="265206" cy="1398311"/>
        </a:xfrm>
        <a:prstGeom xmlns:a="http://schemas.openxmlformats.org/drawingml/2006/main" prst="rect">
          <a:avLst/>
        </a:prstGeom>
      </cdr:spPr>
      <cdr:txBody>
        <a:bodyPr xmlns:a="http://schemas.openxmlformats.org/drawingml/2006/main" vert="eaVert"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b="1">
              <a:latin typeface="+mj-ea"/>
              <a:ea typeface="+mj-ea"/>
            </a:rPr>
            <a:t>總保費收入</a:t>
          </a:r>
          <a:r>
            <a:rPr lang="en-US" altLang="zh-TW" sz="1200" b="1">
              <a:latin typeface="+mj-ea"/>
              <a:ea typeface="+mj-ea"/>
            </a:rPr>
            <a:t>(</a:t>
          </a:r>
          <a:r>
            <a:rPr lang="zh-TW" altLang="en-US" sz="1200" b="1">
              <a:latin typeface="+mj-ea"/>
              <a:ea typeface="+mj-ea"/>
            </a:rPr>
            <a:t>億元</a:t>
          </a:r>
          <a:r>
            <a:rPr lang="en-US" altLang="zh-TW" sz="1200" b="1">
              <a:latin typeface="+mj-ea"/>
              <a:ea typeface="+mj-ea"/>
            </a:rPr>
            <a:t>)</a:t>
          </a:r>
          <a:endParaRPr lang="zh-TW" altLang="en-US" sz="1200" b="1">
            <a:latin typeface="+mj-ea"/>
            <a:ea typeface="+mj-ea"/>
          </a:endParaRPr>
        </a:p>
      </cdr:txBody>
    </cdr:sp>
  </cdr:relSizeAnchor>
</c:userShapes>
</file>

<file path=word/drawings/drawing52.xml><?xml version="1.0" encoding="utf-8"?>
<c:userShapes xmlns:c="http://schemas.openxmlformats.org/drawingml/2006/chart">
  <cdr:relSizeAnchor xmlns:cdr="http://schemas.openxmlformats.org/drawingml/2006/chartDrawing">
    <cdr:from>
      <cdr:x>0.01176</cdr:x>
      <cdr:y>0.08723</cdr:y>
    </cdr:from>
    <cdr:to>
      <cdr:x>0.06555</cdr:x>
      <cdr:y>0.34835</cdr:y>
    </cdr:to>
    <cdr:sp macro="" textlink="">
      <cdr:nvSpPr>
        <cdr:cNvPr id="3" name="文字方塊 2"/>
        <cdr:cNvSpPr txBox="1"/>
      </cdr:nvSpPr>
      <cdr:spPr>
        <a:xfrm xmlns:a="http://schemas.openxmlformats.org/drawingml/2006/main">
          <a:off x="66676" y="287656"/>
          <a:ext cx="304800" cy="86106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zh-TW" altLang="en-US" sz="1100" b="1">
              <a:latin typeface="+mn-ea"/>
              <a:ea typeface="+mn-ea"/>
            </a:rPr>
            <a:t>投保率</a:t>
          </a:r>
          <a:r>
            <a:rPr lang="en-US" altLang="zh-TW" sz="1100" b="1">
              <a:latin typeface="+mn-ea"/>
              <a:ea typeface="+mn-ea"/>
            </a:rPr>
            <a:t>(</a:t>
          </a:r>
          <a:r>
            <a:rPr lang="zh-TW" altLang="en-US" sz="1100" b="1">
              <a:latin typeface="+mn-ea"/>
              <a:ea typeface="+mn-ea"/>
            </a:rPr>
            <a:t>％</a:t>
          </a:r>
          <a:r>
            <a:rPr lang="en-US" altLang="zh-TW" sz="1100" b="1">
              <a:latin typeface="+mn-ea"/>
              <a:ea typeface="+mn-ea"/>
            </a:rPr>
            <a:t>)</a:t>
          </a:r>
          <a:endParaRPr lang="zh-TW" altLang="en-US" sz="1100" b="1">
            <a:latin typeface="+mn-ea"/>
            <a:ea typeface="+mn-ea"/>
          </a:endParaRPr>
        </a:p>
      </cdr:txBody>
    </cdr:sp>
  </cdr:relSizeAnchor>
</c:userShapes>
</file>

<file path=word/drawings/drawing53.xml><?xml version="1.0" encoding="utf-8"?>
<c:userShapes xmlns:c="http://schemas.openxmlformats.org/drawingml/2006/chart">
  <cdr:relSizeAnchor xmlns:cdr="http://schemas.openxmlformats.org/drawingml/2006/chartDrawing">
    <cdr:from>
      <cdr:x>0.00582</cdr:x>
      <cdr:y>0.08748</cdr:y>
    </cdr:from>
    <cdr:to>
      <cdr:x>0.06508</cdr:x>
      <cdr:y>0.54035</cdr:y>
    </cdr:to>
    <cdr:sp macro="" textlink="">
      <cdr:nvSpPr>
        <cdr:cNvPr id="3" name="文字方塊 2"/>
        <cdr:cNvSpPr txBox="1"/>
      </cdr:nvSpPr>
      <cdr:spPr>
        <a:xfrm xmlns:a="http://schemas.openxmlformats.org/drawingml/2006/main">
          <a:off x="33867" y="211089"/>
          <a:ext cx="344692" cy="1092778"/>
        </a:xfrm>
        <a:prstGeom xmlns:a="http://schemas.openxmlformats.org/drawingml/2006/main" prst="rect">
          <a:avLst/>
        </a:prstGeom>
      </cdr:spPr>
      <cdr:txBody>
        <a:bodyPr xmlns:a="http://schemas.openxmlformats.org/drawingml/2006/main" vertOverflow="clip" vert="eaVert" wrap="square" rtlCol="0" anchor="ct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zh-TW" altLang="en-US" sz="1100" b="1">
              <a:effectLst/>
              <a:latin typeface="+mn-lt"/>
              <a:ea typeface="+mn-ea"/>
              <a:cs typeface="+mn-cs"/>
            </a:rPr>
            <a:t>投保率</a:t>
          </a:r>
          <a:r>
            <a:rPr lang="en-US" altLang="zh-TW" sz="1100" b="1">
              <a:effectLst/>
              <a:latin typeface="+mn-lt"/>
              <a:ea typeface="+mn-ea"/>
              <a:cs typeface="+mn-cs"/>
            </a:rPr>
            <a:t>(</a:t>
          </a:r>
          <a:r>
            <a:rPr lang="zh-TW" altLang="zh-TW" sz="1100" b="1">
              <a:effectLst/>
              <a:latin typeface="+mn-lt"/>
              <a:ea typeface="+mn-ea"/>
              <a:cs typeface="+mn-cs"/>
            </a:rPr>
            <a:t>％</a:t>
          </a:r>
          <a:r>
            <a:rPr lang="en-US" altLang="zh-TW" sz="1100" b="1">
              <a:effectLst/>
              <a:latin typeface="+mn-lt"/>
              <a:ea typeface="+mn-ea"/>
              <a:cs typeface="+mn-cs"/>
            </a:rPr>
            <a:t>)</a:t>
          </a:r>
          <a:endParaRPr lang="zh-TW" alt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0.41269</cdr:x>
      <cdr:y>0.00906</cdr:y>
    </cdr:from>
    <cdr:to>
      <cdr:x>0.57971</cdr:x>
      <cdr:y>0.07833</cdr:y>
    </cdr:to>
    <cdr:sp macro="" textlink="">
      <cdr:nvSpPr>
        <cdr:cNvPr id="2" name="文字方塊 1"/>
        <cdr:cNvSpPr txBox="1"/>
      </cdr:nvSpPr>
      <cdr:spPr>
        <a:xfrm xmlns:a="http://schemas.openxmlformats.org/drawingml/2006/main">
          <a:off x="2264182" y="25820"/>
          <a:ext cx="916339" cy="1974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b="1">
              <a:latin typeface="微軟正黑體" pitchFamily="34" charset="-120"/>
              <a:ea typeface="微軟正黑體" pitchFamily="34" charset="-120"/>
            </a:rPr>
            <a:t>勞工保險</a:t>
          </a:r>
        </a:p>
      </cdr:txBody>
    </cdr:sp>
  </cdr:relSizeAnchor>
  <cdr:relSizeAnchor xmlns:cdr="http://schemas.openxmlformats.org/drawingml/2006/chartDrawing">
    <cdr:from>
      <cdr:x>0.81932</cdr:x>
      <cdr:y>0.03299</cdr:y>
    </cdr:from>
    <cdr:to>
      <cdr:x>0.9913</cdr:x>
      <cdr:y>0.07254</cdr:y>
    </cdr:to>
    <cdr:sp macro="" textlink="">
      <cdr:nvSpPr>
        <cdr:cNvPr id="3" name="文字方塊 2"/>
        <cdr:cNvSpPr txBox="1"/>
      </cdr:nvSpPr>
      <cdr:spPr>
        <a:xfrm xmlns:a="http://schemas.openxmlformats.org/drawingml/2006/main">
          <a:off x="4495134" y="94018"/>
          <a:ext cx="943558" cy="1127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900">
              <a:latin typeface="微軟正黑體" pitchFamily="34" charset="-120"/>
              <a:ea typeface="微軟正黑體" pitchFamily="34" charset="-120"/>
            </a:rPr>
            <a:t>(</a:t>
          </a:r>
          <a:r>
            <a:rPr lang="zh-TW" altLang="en-US" sz="900">
              <a:latin typeface="微軟正黑體" pitchFamily="34" charset="-120"/>
              <a:ea typeface="微軟正黑體" pitchFamily="34" charset="-120"/>
            </a:rPr>
            <a:t>單位：人</a:t>
          </a:r>
          <a:r>
            <a:rPr lang="en-US" altLang="zh-TW" sz="900">
              <a:latin typeface="微軟正黑體" pitchFamily="34" charset="-120"/>
              <a:ea typeface="微軟正黑體" pitchFamily="34" charset="-120"/>
            </a:rPr>
            <a:t>)</a:t>
          </a:r>
          <a:endParaRPr lang="zh-TW" altLang="en-US" sz="900">
            <a:latin typeface="微軟正黑體" pitchFamily="34" charset="-120"/>
            <a:ea typeface="微軟正黑體" pitchFamily="34" charset="-12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0.3789</cdr:x>
      <cdr:y>0.03097</cdr:y>
    </cdr:from>
    <cdr:to>
      <cdr:x>0.60141</cdr:x>
      <cdr:y>0.12987</cdr:y>
    </cdr:to>
    <cdr:sp macro="" textlink="">
      <cdr:nvSpPr>
        <cdr:cNvPr id="2" name="文字方塊 1"/>
        <cdr:cNvSpPr txBox="1"/>
      </cdr:nvSpPr>
      <cdr:spPr>
        <a:xfrm xmlns:a="http://schemas.openxmlformats.org/drawingml/2006/main">
          <a:off x="2078789" y="82962"/>
          <a:ext cx="1220779" cy="2649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TW" altLang="en-US" sz="1200" b="1">
              <a:latin typeface="微軟正黑體" pitchFamily="34" charset="-120"/>
              <a:ea typeface="微軟正黑體" pitchFamily="34" charset="-120"/>
            </a:rPr>
            <a:t>公教人員保險</a:t>
          </a:r>
        </a:p>
      </cdr:txBody>
    </cdr:sp>
  </cdr:relSizeAnchor>
  <cdr:relSizeAnchor xmlns:cdr="http://schemas.openxmlformats.org/drawingml/2006/chartDrawing">
    <cdr:from>
      <cdr:x>0.81466</cdr:x>
      <cdr:y>0.06514</cdr:y>
    </cdr:from>
    <cdr:to>
      <cdr:x>0.94563</cdr:x>
      <cdr:y>0.14699</cdr:y>
    </cdr:to>
    <cdr:sp macro="" textlink="">
      <cdr:nvSpPr>
        <cdr:cNvPr id="3" name="文字方塊 2"/>
        <cdr:cNvSpPr txBox="1"/>
      </cdr:nvSpPr>
      <cdr:spPr>
        <a:xfrm xmlns:a="http://schemas.openxmlformats.org/drawingml/2006/main">
          <a:off x="4469575" y="174502"/>
          <a:ext cx="718554" cy="2192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900">
              <a:latin typeface="微軟正黑體" pitchFamily="34" charset="-120"/>
              <a:ea typeface="微軟正黑體" pitchFamily="34" charset="-120"/>
            </a:rPr>
            <a:t>(</a:t>
          </a:r>
          <a:r>
            <a:rPr lang="zh-TW" altLang="en-US" sz="900">
              <a:latin typeface="微軟正黑體" pitchFamily="34" charset="-120"/>
              <a:ea typeface="微軟正黑體" pitchFamily="34" charset="-120"/>
            </a:rPr>
            <a:t>單位：人</a:t>
          </a:r>
          <a:r>
            <a:rPr lang="en-US" altLang="zh-TW" sz="900">
              <a:latin typeface="微軟正黑體" pitchFamily="34" charset="-120"/>
              <a:ea typeface="微軟正黑體" pitchFamily="34" charset="-120"/>
            </a:rPr>
            <a:t>)</a:t>
          </a:r>
          <a:endParaRPr lang="zh-TW" altLang="en-US" sz="900">
            <a:latin typeface="微軟正黑體" pitchFamily="34" charset="-120"/>
            <a:ea typeface="微軟正黑體" pitchFamily="34" charset="-12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0.77003</cdr:x>
      <cdr:y>0.04117</cdr:y>
    </cdr:from>
    <cdr:to>
      <cdr:x>0.94833</cdr:x>
      <cdr:y>0.11528</cdr:y>
    </cdr:to>
    <cdr:sp macro="" textlink="">
      <cdr:nvSpPr>
        <cdr:cNvPr id="2" name="文字方塊 1"/>
        <cdr:cNvSpPr txBox="1"/>
      </cdr:nvSpPr>
      <cdr:spPr>
        <a:xfrm xmlns:a="http://schemas.openxmlformats.org/drawingml/2006/main">
          <a:off x="4224689" y="130503"/>
          <a:ext cx="978225" cy="234939"/>
        </a:xfrm>
        <a:prstGeom xmlns:a="http://schemas.openxmlformats.org/drawingml/2006/main" prst="rect">
          <a:avLst/>
        </a:prstGeom>
      </cdr:spPr>
    </cdr:sp>
  </cdr:relSizeAnchor>
  <cdr:relSizeAnchor xmlns:cdr="http://schemas.openxmlformats.org/drawingml/2006/chartDrawing">
    <cdr:from>
      <cdr:x>0.8028</cdr:x>
      <cdr:y>0.04006</cdr:y>
    </cdr:from>
    <cdr:to>
      <cdr:x>0.97222</cdr:x>
      <cdr:y>0.12553</cdr:y>
    </cdr:to>
    <cdr:sp macro="" textlink="">
      <cdr:nvSpPr>
        <cdr:cNvPr id="3" name="文字方塊 2"/>
        <cdr:cNvSpPr txBox="1"/>
      </cdr:nvSpPr>
      <cdr:spPr>
        <a:xfrm xmlns:a="http://schemas.openxmlformats.org/drawingml/2006/main">
          <a:off x="4404478" y="127000"/>
          <a:ext cx="929524" cy="2709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900">
              <a:latin typeface="微軟正黑體" pitchFamily="34" charset="-120"/>
              <a:ea typeface="微軟正黑體" pitchFamily="34" charset="-120"/>
            </a:rPr>
            <a:t>(</a:t>
          </a:r>
          <a:r>
            <a:rPr lang="zh-TW" altLang="en-US" sz="900">
              <a:latin typeface="微軟正黑體" pitchFamily="34" charset="-120"/>
              <a:ea typeface="微軟正黑體" pitchFamily="34" charset="-120"/>
            </a:rPr>
            <a:t>單位：萬人</a:t>
          </a:r>
          <a:r>
            <a:rPr lang="en-US" altLang="zh-TW" sz="900">
              <a:latin typeface="微軟正黑體" pitchFamily="34" charset="-120"/>
              <a:ea typeface="微軟正黑體" pitchFamily="34" charset="-120"/>
            </a:rPr>
            <a:t>)</a:t>
          </a:r>
          <a:endParaRPr lang="zh-TW" altLang="en-US" sz="900">
            <a:latin typeface="微軟正黑體" pitchFamily="34" charset="-120"/>
            <a:ea typeface="微軟正黑體" pitchFamily="34" charset="-12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0.67676</cdr:x>
      <cdr:y>0.04587</cdr:y>
    </cdr:from>
    <cdr:to>
      <cdr:x>0.93414</cdr:x>
      <cdr:y>0.11389</cdr:y>
    </cdr:to>
    <cdr:sp macro="" textlink="">
      <cdr:nvSpPr>
        <cdr:cNvPr id="2" name="文字方塊 1"/>
        <cdr:cNvSpPr txBox="1"/>
      </cdr:nvSpPr>
      <cdr:spPr>
        <a:xfrm xmlns:a="http://schemas.openxmlformats.org/drawingml/2006/main">
          <a:off x="1910206" y="146598"/>
          <a:ext cx="726462" cy="217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800" dirty="0" smtClean="0">
              <a:latin typeface="微軟正黑體" pitchFamily="34" charset="-120"/>
              <a:ea typeface="微軟正黑體" pitchFamily="34" charset="-120"/>
            </a:rPr>
            <a:t>(</a:t>
          </a:r>
          <a:r>
            <a:rPr lang="zh-TW" altLang="en-US" sz="800" dirty="0" smtClean="0">
              <a:latin typeface="微軟正黑體" pitchFamily="34" charset="-120"/>
              <a:ea typeface="微軟正黑體" pitchFamily="34" charset="-120"/>
            </a:rPr>
            <a:t>單位：元</a:t>
          </a:r>
          <a:r>
            <a:rPr lang="en-US" altLang="zh-TW" sz="800" dirty="0" smtClean="0">
              <a:latin typeface="微軟正黑體" pitchFamily="34" charset="-120"/>
              <a:ea typeface="微軟正黑體" pitchFamily="34" charset="-120"/>
            </a:rPr>
            <a:t>)</a:t>
          </a:r>
          <a:endParaRPr lang="zh-TW" altLang="en-US" sz="800" dirty="0">
            <a:latin typeface="微軟正黑體" pitchFamily="34" charset="-120"/>
            <a:ea typeface="微軟正黑體" pitchFamily="34" charset="-12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06C9C-58BB-476F-84D3-FEE1F78F7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211</Pages>
  <Words>24624</Words>
  <Characters>140357</Characters>
  <Application>Microsoft Office Word</Application>
  <DocSecurity>0</DocSecurity>
  <Lines>1169</Lines>
  <Paragraphs>329</Paragraphs>
  <ScaleCrop>false</ScaleCrop>
  <Company/>
  <LinksUpToDate>false</LinksUpToDate>
  <CharactersWithSpaces>164652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賴宜櫻</dc:creator>
  <cp:lastModifiedBy>賴宜櫻</cp:lastModifiedBy>
  <cp:revision>15</cp:revision>
  <cp:lastPrinted>2021-12-28T08:43:00Z</cp:lastPrinted>
  <dcterms:created xsi:type="dcterms:W3CDTF">2021-12-28T07:37:00Z</dcterms:created>
  <dcterms:modified xsi:type="dcterms:W3CDTF">2021-12-30T02:10:00Z</dcterms:modified>
</cp:coreProperties>
</file>