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C1F70" w:rsidP="00625FF7">
      <w:pPr>
        <w:spacing w:before="200" w:line="320" w:lineRule="exact"/>
        <w:jc w:val="both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內政部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:rsidR="00A77B3E" w:rsidRDefault="00A77B3E" w:rsidP="00625FF7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CC1F70" w:rsidP="00625FF7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為營造安定、安居、安心的生活環境，本部積極從「維護社會安定，守護人民安全」、「完備防救災機制，強化空中救援量能」、「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建構永續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國土，均衡城鄉發展」、「營造安居家園，加速都市更新」、「促進公民參與，落實民主精神」及「精進便民服務，加強人權維護」等6大面向，推動各項福國利民之政策措施，務實回應民眾需求，以落實「安居樂業」的施政願景。</w:t>
      </w:r>
    </w:p>
    <w:p w:rsidR="00A77B3E" w:rsidRDefault="00CC1F70" w:rsidP="00625FF7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本部依據行政院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年度施政方針，配合核定預算額度，並針對經社情勢變化及本部未來發展需要，編定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:rsidR="00A77B3E" w:rsidRDefault="00A77B3E" w:rsidP="00625FF7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CC1F70" w:rsidP="00625FF7">
      <w:pPr>
        <w:spacing w:before="200" w:line="320" w:lineRule="exact"/>
        <w:jc w:val="both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CC1F70" w:rsidP="00625FF7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一、維護社會安定，守護人民安全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（一）加強防制毒品犯罪，持續推動安居緝毒專案，抑制毒品新生人口；擴大跨部會合作，遏阻詐欺及賭博案件；掃蕩非法槍彈，打擊黑道幫派及暴力犯罪；深化跨國（境）合作，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阻絕跨境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犯罪；強化科技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防，提升打擊犯罪量能。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（二）保障員警權益及安全，充實員警人力設備；保護婦幼兒少安全，落實脆弱家庭通報；結合民眾參與力量，維護社區及校園治安；嚴正交通執法，積極取締重大交通違規。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（三）提升國境安全維護量能，運用資訊科技加強旅客入出境及防檢疫管理；落實防制人口販運及消除種族歧視，整合各相關部會力量與資源，建構保障人權之現代法制。</w:t>
      </w:r>
    </w:p>
    <w:p w:rsidR="00A77B3E" w:rsidRDefault="00CC1F70" w:rsidP="00625FF7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二、完備防救災機制，強化空中救援量能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（一）健全災害防救制度，整合防災資源網絡；保障消防人員權益，提升災害防救量能；打造韌性社區，加強易成孤島地區防救災整備；強化防救災資通訊系統，完備災害應變與通報機制。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（二）精進火災預防制度，加強火災調查鑑定技術；落實消防安全管理，健全危險物品管理機制；提升緊急救護品質，強化災害搶救效能；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充實志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工協勤量能，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完善協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勤民力系統韌性，發揮民間救災合作綜效。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（三）精進空中救災、救難、救護、運輸、觀測及偵巡等工作，提升空中救援效能；整備國家空中救災基地，落實機隊訓練與飛安管理，建立專業飛行團隊，保障民眾生命財產安全。</w:t>
      </w:r>
    </w:p>
    <w:p w:rsidR="00A77B3E" w:rsidRDefault="00CC1F70" w:rsidP="00625FF7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建構永續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國土，均衡城鄉發展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落實國土計畫法，督導國土功能分區圖繪製，健全國土管理；精進土地開發審議程序，促進國家重大建設及經濟發展；推動海域用地區位許可機制，通盤檢討整體海岸管理計畫，確保海域資源保育及明智利用；維護國家公園及濕地生態，營造永續發展環境。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（二）提升城鎮生活機能，強化景觀治理，推動地方創生，打造魅力城鎮；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建構人本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無障礙環境，完善生活圈與防災道路系統，提升整體道路品質；加速污水下水道建設，落實都市總合治水，促進下水資源再生循環；推動新市鎮開發，促進人口及產業合理分布。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（三）精進土地徵收及重劃制度，促進土地有效利用；落實土地登記及地籍管理，保障人民財產權益；強化國家底圖空間資訊基礎建設，提升智能測繪研發技術。</w:t>
      </w:r>
    </w:p>
    <w:p w:rsidR="00A77B3E" w:rsidRDefault="00CC1F70" w:rsidP="00625FF7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四、營造安居家園，加速都市更新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（一）積極推動社會住宅，結合國家住宅及都市更新中心與地方政府提升社會住宅興辦能量，營造友善社區生活環境；提供多元居住協助措施，擴大住宅補貼對象及戶數，加強保障民眾居住權益。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（二）完備租賃住宅制度，推動包租代管專業服務，促進租屋市場健全發展；落實不動產交易實價登錄，促進交易資訊公開透明；精進不動產交易定型化契約規範，保障交易雙方權益。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（三）加速推動都市更新，促進危老屋重建；辦理建物耐震安檢及重建補強措施，加強保障居住安全；引進公正第三方審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機制，落實建築物安全管理；精進建築科技技術研發，打造永續智慧居住環境。</w:t>
      </w:r>
    </w:p>
    <w:p w:rsidR="00A77B3E" w:rsidRDefault="00CC1F70" w:rsidP="00625FF7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五、促進公民參與，落實民主精神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（一）輔導政黨正常運作，促進政黨政治健全發展；精進地方制度，提升地方治理效能；完善公民參政法制，建立公平選舉環境；強化政治獻金管理，落實陽光政治。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健全人民團體相關法規，營造自由公民社會；扶植合作事業推動地方創生，促進城鄉均衡發展。精進宗教法制，保障宗教信仰自由；輔導宗教財團法人財務管理，健全宗教財團法人組織運作；完備榮典制度，推廣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合宜禮制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:rsidR="00A77B3E" w:rsidRDefault="00CC1F70" w:rsidP="00625FF7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六、精進便民服務，加強人權維護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 xml:space="preserve">（一）檢討不合時宜法規，提升行政效能；健全戶籍管理制度，完備戶籍法規；推動戶（地）政創新服務，落實簡政便民；配合數位身分識別證（New </w:t>
      </w:r>
      <w:proofErr w:type="spellStart"/>
      <w:r>
        <w:rPr>
          <w:rFonts w:ascii="新細明體" w:eastAsia="新細明體" w:hAnsi="新細明體" w:cs="新細明體"/>
          <w:color w:val="000000"/>
          <w:lang w:eastAsia="zh-TW"/>
        </w:rPr>
        <w:t>eID</w:t>
      </w:r>
      <w:proofErr w:type="spellEnd"/>
      <w:r>
        <w:rPr>
          <w:rFonts w:ascii="新細明體" w:eastAsia="新細明體" w:hAnsi="新細明體" w:cs="新細明體"/>
          <w:color w:val="000000"/>
          <w:lang w:eastAsia="zh-TW"/>
        </w:rPr>
        <w:t>）專法推動換發作業，打造智慧政府基礎架構。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（二）協助兵役制度轉型，執行募兵配套措施；推動役政革新，落實徵兵管理；有效運用役男人力資源，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挹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注產業研發需求，提升公共服務效能。</w:t>
      </w:r>
    </w:p>
    <w:p w:rsidR="00A77B3E" w:rsidRDefault="00CC1F70" w:rsidP="00625FF7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（三）加強新住民照顧服務，營造友善新住民環境；推動新住民二代培力，豐富我國多元文化；促進國際及兩岸有序交流，強化移民人權保障。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CC1F70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3D02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民政業務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殯葬設施量能提升計畫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一、辦理火化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場爐具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設施增設及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換工作。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二、辦理殯儀館空間、設施及設備設置及改善工作。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環保葬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園區增設工作。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四、協助原住民族地區公墓改善工作。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戶政業務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數位身分識別</w:t>
            </w:r>
            <w:r w:rsidRPr="00625FF7">
              <w:rPr>
                <w:rFonts w:ascii="新細明體" w:eastAsia="新細明體" w:hAnsi="新細明體" w:cs="新細明體"/>
                <w:color w:val="000000"/>
                <w:spacing w:val="-4"/>
                <w:lang w:eastAsia="zh-TW"/>
              </w:rPr>
              <w:t>證</w:t>
            </w:r>
            <w:r w:rsidR="00625FF7" w:rsidRPr="00280EAB">
              <w:rPr>
                <w:rFonts w:ascii="新細明體" w:eastAsia="新細明體" w:hAnsi="新細明體" w:cs="新細明體" w:hint="eastAsia"/>
                <w:color w:val="000000"/>
                <w:spacing w:val="-4"/>
                <w:lang w:eastAsia="zh-TW"/>
              </w:rPr>
              <w:t>（</w:t>
            </w:r>
            <w:r w:rsidRPr="00280EAB">
              <w:rPr>
                <w:rFonts w:ascii="新細明體" w:eastAsia="新細明體" w:hAnsi="新細明體" w:cs="新細明體"/>
                <w:color w:val="000000"/>
                <w:spacing w:val="-4"/>
                <w:lang w:eastAsia="zh-TW"/>
              </w:rPr>
              <w:t xml:space="preserve">New </w:t>
            </w:r>
            <w:proofErr w:type="spellStart"/>
            <w:r w:rsidRPr="00280EAB">
              <w:rPr>
                <w:rFonts w:ascii="新細明體" w:eastAsia="新細明體" w:hAnsi="新細明體" w:cs="新細明體"/>
                <w:color w:val="000000"/>
                <w:lang w:eastAsia="zh-TW"/>
              </w:rPr>
              <w:t>eID</w:t>
            </w:r>
            <w:proofErr w:type="spellEnd"/>
            <w:r w:rsidR="00625FF7" w:rsidRPr="00280EAB">
              <w:rPr>
                <w:rFonts w:ascii="新細明體" w:eastAsia="新細明體" w:hAnsi="新細明體" w:cs="新細明體" w:hint="eastAsia"/>
                <w:color w:val="000000"/>
                <w:spacing w:val="-4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－新一代國民身分證換發計畫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一、維護身分識別證相關作業系統及製卡設備，並配合數位身分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識別證專法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進行系統及製卡設備功能調整。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二、配合數位身分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識別證專法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制定，辦理社會溝通、蒐集意見等相關事宜。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測量及方域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邁向3D智慧國土－國家底圖空間資料基礎建設計畫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一、辦理臺灣通用電子地圖更新維護工作。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二、辦理基本地形圖修測工作。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圖解數化地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籍圖整合建置及都市計畫地形圖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套疊等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四、建置及更新三維國家底圖系統。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五、辦理智慧國土測繪資料整合及流通服務。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六、辦理非都市計畫地區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圖解數化地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籍圖整合建置工作。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七、辦理全國數值地形模型產製更新及整合流通服務。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八、辦理三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維地籍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建物整合建置工作。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九、深化地籍資料管理及資料開放服務。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測量及方域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海域測繪與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多維圖資應用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一、辦理海域測繪與島礁管理工作。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二、辦理電子航行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圖測製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與維運工作。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三、辦理三維海圖研發及系統建置工作。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海域圖資應用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及測繪創新工作。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五、辦理海洋法政與海域劃界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六、辦理海事技術交流與成果宣導工作。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測量及方域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自駕車用高精地圖與導航安全關鍵技術整合研發計畫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一、建立高精地圖標準、圖資格式自動化轉換等工作。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二、精進高精地圖製圖技術，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擬聯合第三方認證作業模式。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三、管理試驗場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域高精圖資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 xml:space="preserve">四、建立高精地圖整合訓練資料庫。 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五、發展DMIT高精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圖資車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用導航標竿系統。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測量及方域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無人載具高精地圖實證運用計畫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一、辦理高精地圖資料採集、產製、檢核及品質管控工作。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辦理圖資運用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諮詢服務工作。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測量及方域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智能測繪科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一、辦理智慧室內外製圖技術發展工作。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二、辦理三維地形製圖自動化萃取技術研發工作。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三、辦理自動化快速產製數值地形模型技術研發工作。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四、辦理我國測繪基準系統架構精進工作。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地籍及不動產管理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地價查估技術精進與實價登錄資料應用發展計畫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一、維護不動產估價資料庫及查核系統。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二、建置全國電腦大量估價模型。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三、維護電腦大量估價模型及系統。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四、辦理電腦大量估價教育訓練。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五、定期發布不動產統計資訊。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地籍及不動產管理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推動智慧不動產登記計畫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一、擴大推動不動產登記案件非全程網路申辦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及免臨櫃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申請。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二、優化跨機關系統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接或查詢，減少網路申辦案件檢附文件作業。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平均地權及土地利用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土城司法園區整體開發興辦事業計畫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北看守所、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北女子看守所、臺灣新北地方法院及臺灣新北地方檢察署之遷建用地取得作業。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二、辦理北土城交流道工程用地取得作業，紓解國道3號中和及土城交流道交通壅塞問題。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三、辦理土城彈藥庫原址解禁後用地納入都市計畫管制作業，提升土地利用效益。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土地測量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地籍圖重測後續計畫第2期計畫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一、辦理加密控制測量及圖根測量、都市計畫樁清理、補建及聯測工作。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二、辦理地籍調查、界址測量及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協助指界工作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三、辦理重測結果公告及通知、異議處理工作。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四、辦理土地標示變更登記作業。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五、辦理地籍圖重測相關法規制度研究、人力資源管理及前瞻技術應用推動工作。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六、辦理新北市等17個直轄市、縣（市）土地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籍圖重測工作。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土地測量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多元測繪科技整合應用計畫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一、精進高程現代化技術發展作業。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二、發展基本控制框架維護作業。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三、精進控制測量技術發展作業。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四、發展空中及地面移動測繪技術。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五、建立三維雷射掃描儀校正系統。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社會行政業務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合作事業推動地方創生輔導試辦計畫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一、辦理合作事業推廣及育成輔導 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二、提供合作事業資金融通協助。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三、辦理合作事業國際交流工作。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內政資訊業務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邁向3D智慧國土－內政地理資訊3D化推動計畫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一、辦理深化GIS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圖資管理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及開放工作（含「內政地理資訊整合服務應用推廣計畫」及「國土資訊系統標準制度審議及推動計畫」）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 xml:space="preserve">二、辦理發展GIS決策模式與擴大應用工作（含「空間統計基礎資料管理及應用計畫」）。 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三、辦理建置3D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基礎圖資資料庫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含「公共設施管線資料庫暨管理系統整合應用計畫」及「推動建置數值式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BIM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3D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建物圖資計畫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」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內政資訊業務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自然人憑證創新應用服務計畫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一、建置AI智慧型自動化客服系統。</w:t>
            </w:r>
          </w:p>
          <w:p w:rsidR="00A77B3E" w:rsidRDefault="00471B97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強化</w:t>
            </w:r>
            <w:r w:rsidR="00CC1F70">
              <w:rPr>
                <w:rFonts w:ascii="新細明體" w:eastAsia="新細明體" w:hAnsi="新細明體" w:cs="新細明體"/>
                <w:color w:val="000000"/>
                <w:lang w:eastAsia="zh-TW"/>
              </w:rPr>
              <w:t>行動自然人憑證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服務</w:t>
            </w:r>
            <w:r w:rsidR="00CC1F70">
              <w:rPr>
                <w:rFonts w:ascii="新細明體" w:eastAsia="新細明體" w:hAnsi="新細明體" w:cs="新細明體"/>
                <w:color w:val="000000"/>
                <w:lang w:eastAsia="zh-TW"/>
              </w:rPr>
              <w:t>平</w:t>
            </w:r>
            <w:proofErr w:type="gramStart"/>
            <w:r w:rsidR="00CC1F70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="00CC1F70"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</w:t>
            </w:r>
            <w:r w:rsidR="00471B97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建置CRL遠端差分壓縮平</w:t>
            </w:r>
            <w:proofErr w:type="gramStart"/>
            <w:r w:rsidR="00471B97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臺</w:t>
            </w:r>
            <w:proofErr w:type="gramEnd"/>
            <w:r w:rsidR="00471B97" w:rsidRPr="00471B97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，</w:t>
            </w:r>
            <w:bookmarkStart w:id="0" w:name="_Hlk78465240"/>
            <w:r w:rsidR="00471B97" w:rsidRPr="00471B97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提升網路傳輸效能</w:t>
            </w:r>
            <w:bookmarkEnd w:id="0"/>
            <w:r w:rsidR="00471B97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四、辦理網路快</w:t>
            </w:r>
            <w:bookmarkStart w:id="1" w:name="_GoBack"/>
            <w:bookmarkEnd w:id="1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速傳輸空間租用工作。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內政資訊業務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智慧內政服務整合計畫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一、推動內政跨機關資料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接與整合平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建置及擴充。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二、完善行動身分識別服務，推廣政府機關資訊服務導入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接應用。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三、推動內政一站式申辦，強化內政整合服務。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四、辦理內政大數據連結應用，建置資料倉儲系統及高維度巨量資料運算平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內政資訊業務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內政部資訊服務大樓重建工程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辦理本部資訊服務大樓重建工程之委託代辦工程、建築師遴選、簽訂委託技術服務契約、規劃設計等相關事宜。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刑事警察業務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警察執法設備及效能提升方案（涉案車輛行車紀錄雲端創新應用發展計畫）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一、完成東部地區（宜蘭縣、花蓮縣、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東縣）無線射頻辨識（RFID）外碼讀取器裝設工作。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二、完成涉案車輛行車紀錄雲端系統開發及整合服務，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接各機關行車紀錄資料庫，擴大資料平臺大數據應用功能。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刑事警察業務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警察執法設備及效能提升方案（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識及防爆效能推升計畫）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一、辦理新世代DNA型別分析系統建置工作。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二、辦理高效能混合物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鑑識氣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層析質譜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分析儀（GC-MS）建置工作。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刑事警察業務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識科技進階發展計畫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一、辦理警察機關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識專業培訓工作。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二、研究新興類型槍彈物證系統化鑑定方法。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三、辦理參考實驗室維持與新興毒品及其代謝物分析認證工作。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</w:t>
            </w:r>
            <w:r>
              <w:rPr>
                <w:rFonts w:ascii="新細明體" w:eastAsia="新細明體" w:hAnsi="新細明體" w:cs="新細明體"/>
                <w:color w:val="000000"/>
              </w:rPr>
              <w:t>δ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18O元素分析－穩定同位素比值質譜法（EAIRMS）在真偽酒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鑑識上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之應用，以及真偽酒現場簡易檢測技術之開發推廣。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五、辦理刑事生物物證體液類別鑑別方法之研究。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六、應用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識統計進行物證分析之研究。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警務管理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警察執法設備及效能提升方案（警通網路效能提升計畫）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強化警用有線通訊系統，辦理屏東縣政府警察局與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東縣警察局局級交換機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換。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警務管理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警用無線電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換更新中程計畫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一、建置無線電通訊系統、系統跨區通訊、系統加密及定位功能。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換無線電終端通訊設備。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警用交通及運輸設備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警察執法設備及效能提升方案（精實警用車輛計畫）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換老舊性能不佳之警用汽機車，提高警用車輛性能及安全性。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初級警察教育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臺灣警察專科學校學生宿舍大樓新建工程中程個案計畫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辦理臺灣警察專科學校學生宿舍大樓建築工程施工等相關事宜。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保安警察業務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維安特勤隊武器裝備精進改善中程計畫第二期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辦理維安特勤隊防護類、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槍枝類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、槍枝輔助類、車輛類、破門器材類、戰術輔助類、被服類、彈藥類、勤務偵察類等裝備採購事宜。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警政管理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警政科技躍升</w:t>
            </w: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科技</w:t>
            </w: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導入前瞻（AI）科技於警政運用，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包括情資再造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AI辦案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及AI影像分析等。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警政管理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內政部警政署基隆港務警察總隊辦公廳舍新建工程中長程計畫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辦理基隆港務警察總隊辦公廳舍新建工程施工等相關事宜。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其他警政設備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5G智慧警察行動服務計畫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利用5G技術結合AI、AR、VR與高清影音即時傳輸等前瞻科技技術，發展創新警政科技應用系統，包含建置5G M-Police行動影音系統、智慧XR警勤訓練、智慧化交通事故處理系統等三大項警務應用領域；並建置本部警政署資料中心基礎環境，提升警政應用系統效能。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其他警政設備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警消微波網路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系統移頻計畫</w:t>
            </w:r>
            <w:proofErr w:type="gram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一、辦理警消微波通訊系統建置案招標作業。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二、完成警消機關網管中心與微波站臺所含設備試運轉作業。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營建業務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社會住宅興辦計畫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一、積極協助地方政府與國家住宅及都市更新中心興辦社會住宅。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續推動社會住宅包租代管相關工作。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營建業務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整合住宅補貼資源實施方案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提供租金補貼、自購住宅貸款利息補貼及修繕住宅貸款利息補貼，協助國民居住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於適居住宅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營建業務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全國建築物耐震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安檢暨輔導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重建補強計畫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一、推動建築物耐震安檢措施，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擬特定建築物強制辦理耐震評估及改善機制，補助辦理結構安全性能初步評估、詳細評估及老舊危險建築物階段性補強措施。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二、加速危險老舊建築物重建，補助擬訂重建計畫、籌組重建輔導團費用及重建工程貸款利息補貼，提供重建工程融資貸款信用保證。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營建業務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淡海及高雄新市鎮開發計畫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一、辦理淡海及高雄新市鎮都市設計案件審核。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二、辦理新市鎮開發計畫、都市計畫之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擬與推動。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三、辦理淡海輕軌運輸系統補助、淡海港平營區舊址工程施作、高雄橋頭科學園區土地徵收及工程施作。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營建業務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林口新市鎮機場捷運A7站區開發計畫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辦理林口新市鎮機場捷運A7站區開發工程施作、污水處理廠補助、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公共設施維管及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其他相關事項等工作。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營建業務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公共服務據點整備－公有危險建築補強重建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各級政府機關之公有建築物耐震能力評估、補強或拆除重建工程，提升公有建築物耐震能力。其中中央機關公有建築物部分，由各該機關編列公務預算執行；地方機關公有建築物部分，由本部民政司、警政署、消防署、經濟部、衛生福利部統籌地方政府需求補助辦理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營建業務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都市更新發展計畫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一、強化政府主導都市更新機制。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二、透過專責機構協助擴大都市更新量能。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三、鼓勵民間自主實施更新。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四、厚植都市更新產業人才。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營建業務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城鎮風貌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及創生環境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營造計畫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一、補助地方政府辦理公園綠地、開放空間及公共設施整建與更新。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二、配合地方創生計畫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推動創生事業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據點周邊環境整備工作。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營建業務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營建事業廢棄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物資源再利用計畫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科技</w:t>
            </w: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再生粒料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循環利用技術、品質掌控配套措施、流向掌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握管理、應用推廣案例建立及相關法規精進等工作，落實營建瀝青刨除料及廢棄混凝土塊有效循環利用。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營建業務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建築管理數位轉型計畫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一、訂定建築管理資料格式標準、詮釋資料及流通管理規定。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二、訂定My Data整合服務系統資料集及交換標準定義。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三、彙集建築管理相關數據、文字、圖像、影像等資料，檢討建築管理開放資料內容。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四、分析建築物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降設備、管理人員、維修人員數量等資訊，精進建築管理工作。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道路建設及養護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提升道路品質計畫2.0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一、補助地方政府「提升道路品質2.0」規劃設計與示範工程案。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二、協助地方政府辦理相關教育宣導作業。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三、辦理社區人本規劃師推動機制與相關培訓課程規劃。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道路建設及養護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國家生技研究園區聯外道路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一、協助臺北市政府辦理國家</w:t>
            </w:r>
            <w:r w:rsidR="00F72D8D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生</w:t>
            </w:r>
            <w:r w:rsidR="00471B97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技研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究園區聯外道路之規劃設計等相關作業。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二、督導臺北市政府辦理國家生技研究園區聯外道路工程相關作業。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道路建設及養護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生活圈道路交通</w:t>
            </w:r>
            <w:r w:rsidRPr="00280EAB">
              <w:rPr>
                <w:rFonts w:ascii="新細明體" w:eastAsia="新細明體" w:hAnsi="新細明體" w:cs="新細明體"/>
                <w:color w:val="000000"/>
                <w:lang w:eastAsia="zh-TW"/>
              </w:rPr>
              <w:t>系統建設計畫</w:t>
            </w:r>
            <w:r w:rsidR="000C6502" w:rsidRPr="00280EAB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（</w:t>
            </w:r>
            <w:r w:rsidRPr="00280EAB">
              <w:rPr>
                <w:rFonts w:ascii="新細明體" w:eastAsia="新細明體" w:hAnsi="新細明體" w:cs="新細明體"/>
                <w:color w:val="000000"/>
                <w:lang w:eastAsia="zh-TW"/>
              </w:rPr>
              <w:t>市區道路</w:t>
            </w:r>
            <w:r w:rsidR="000C6502" w:rsidRPr="00280EAB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一、辦理全國各生活圈及離島地區道路工程，建構都會區快速道路系統。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二、協助地方政府建構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完善路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網，提升區域產業運輸與防災安全道路效能，並落實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節能減碳目標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下水道管理業務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縣市管河川及區域排水整體改善計畫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續補助各地方政府建設雨水下水道、設置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滯洪池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、更新改善抽水站等事宜。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二、推動本計畫相關防災輔助措施。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下水道管理業務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全國水環境改善計畫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利用污水處理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廠餘裕量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設置污水截流設施、污水處理廠功能提升等下水道系統改善項目，營造水岸優良水質，落實環境優化作為。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下水道管理業務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污水下水道第六期建設計畫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續辦理污水下水道系統建設，提升全國公共污水下水道普及率，增進整體環境品質。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二、推動下水資源再利用，提升下水道運作效能及延壽。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下水道管理業務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公共污水處理廠再生水推動計畫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一、因應國內水資源需求，辦理公共污水處理廠再生水建設。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二、確保再生水水質設施，並提升再生水處理技術。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下水道管理業務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都市總合治水建設計畫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一、精進總合治水創新防災管理，辦理相關政策法規調適。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二、強化智慧警戒系統及都市水情監測，辦理淡水河流域抽水站維護管理作業。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公園規劃業務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國家公園中程計畫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一、保育完整生態系統，維護國家珍貴資源。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二、強化環境教育與生態美學體驗。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三、促進住民參與管理，強化夥伴關係。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四、加強國際合作交流，提升國家保育形象。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五、辦理濕地保育、復育、利用及經營管理等工作。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六、促進海岸地區保護，管理海岸地區資源，防治海岸災害及環境破壞。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消防救災業務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內政部消防署訓練中心充實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建置中程計畫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一、辦理訓練設備及器材之購置與充實工作。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二、辦理消防戰技訓練館、倉儲室及救災車輛、機具停車庫、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各式搶救訓練場模擬情境擴充及搶救腹地強化工程。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全區機水電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、道路整合及其他建管工作。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消防救災業務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災害防救深耕第3期計畫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一、提升地方政府防災能力。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二、強化地區災害韌性及培訓防災士。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三、推廣與促進民間團體（組織）參與災害防救工作。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消防救災業務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提升我國人道救援能力5年中程計畫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一、購置救助器材車。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二、購置團體及個人救災裝備。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三、規劃辦理搜救專業訓練及演練工作。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消防救災業務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建構安全化學環境計畫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一、提升地方政府環境事故救災應變能力。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二、優化本部消防署訓練中心設施及強化相關人員職能訓練。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消防救災業務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強化災害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防救志工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救災協勤量能中程計畫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一、建置協勤民力智慧系統。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二、辦理強化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複合式防救災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專業訓練。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三、補助各直轄市、縣（市）政府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换老舊裝備器材，並增購新式高科技裝備器材。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消防救災業務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擴大災害警報訊息傳遞民眾服務計畫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一、持續擴大防救災資訊服務平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媒體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二、強化訊息服務平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安全登入與檢核。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三、進行訊息服務平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發布介面更新及基礎服務平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營運管理等工作。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四、補助國家災害防救科技中心辦理細胞廣播服務（CBS）管理及物聯網（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IoT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）技術研究。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消防救災業務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消防5G場域計畫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一、建構AR、VR或MR之防災、搶救互動課程系統，提升訓練成效。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二、建置5G數位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Insarag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救援平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，強化救災效能。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三、推動消防一路通，提升消防救災行車安全。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消防救災業務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緊急醫療救護智能平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臺－救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急救難一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站通計畫</w:t>
            </w:r>
            <w:proofErr w:type="gram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一、精進電子救護紀錄表系統及資料交換作業。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二、建置志願者（含第一反應者）資料庫系統（APP），完善緊急動員平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功能。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三、建置大量傷病患救護管理系統、119指揮派遣系統整合與指導醫師資訊整合系統，建構智慧化救護網絡。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消防救災業務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救災雲精進計畫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一、提升防救災雲端服務系統效能，增加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接服務應用，提供便民之救災一站式服務。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二、持續優化防救災系統資料庫效能；強化資訊安全縱深防禦機制。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入出國及移民管理業務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內政部移民署南區事務大隊大隊部及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高雄市專勤隊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辦公廳舍新建工程中長程計畫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辦理本部移民署南區事務大隊大隊部及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高雄市專勤隊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辦公廳舍之地下室開挖及地下結構體施工等相關事宜。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入出國及移民管理業務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邁向數位平權推動計畫－新住民數位應用資訊計畫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一、辦理新住民實體及數位課程教育訓練，培訓新住民講師及助教。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二、維運新住民數位學習平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，提供新住民族群多元學習管道。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入出國及移民管理業務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提升國境安全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資訊建置計畫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科技</w:t>
            </w: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一、辦理入出境相關資料大數據分析。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二、改造本部移民署所屬桃園機場資訊機房為綠色環保雲端資料中心。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入出國及移民管理業務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旅客訂位及行程分析系統第2期建置計畫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一、辦理旅客訂位及行程分析系統精進作業，強化入出境及檢疫管理等工作。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二、辦理國境安全系統設計開發、跨應用系統資訊通報與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接、航空公司資料蒐集與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接等工作。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建築研究業務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智慧化居住空間整合應用人工智慧科技發展推廣計畫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一、持續運作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AIoT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工作小組及主題網站。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二、培育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AIoT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產業人才。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三、修訂智慧建築評估手冊導入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AIoT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應用。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四、推動智慧化居住空間導入AI展示 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建築研究業務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創新循環綠建築環境科技計畫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建構綠建築節能減碳環境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基礎，研發創新循環綠建築節能科技。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二、以本土化氣候條件建立都市綠資源評估架構。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三、整合建築實驗設施進行創新循環建築材料技術研發。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四、擴大循環綠建築節能技術應用並加強宣導，建立優良永續環境品質。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建築研究業務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建築工程技術發展與整合應用計畫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修建築物整建相關法規制度，研發建築物環保修復材料與技術。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二、精進建築物耐震性能，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修相關法令規範，辦理建築耐震評估補強技術推廣工作。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三、執行風雨風洞試驗驗證，確保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建築物耐風性能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四、辦理風工程研究，應用資通技術跨領域開發智慧風場。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建築研究業務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前瞻建築防火避難及結構防火科技研發整合應用計畫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一、落實可靠性安全研究，發展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智慧物聯網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科技等前瞻防火技術。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二、強化有效性避難研究，確保建築空間通用避難效能 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三、發展永續性調和研究，促進防火安全與永續設計技術。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四、深化多重性災害下建築結構耐火性能研究 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五、提升檢測專業能力、加強國際交流，落實應用推廣及科普宣導。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建築研究業務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建築與城鄉安全防災韌性科技發展計畫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一、配合國土計畫研發建築與城鄉災害韌性規劃技術。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二、研發因應氣候變遷之建築與城鄉洪災調適空間發展策略與減災技術。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三、推動坡地住宅社區減災營造與研發智慧預警技術。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四、建構防災智慧都市及辦理高齡社會防災因應工作。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建築研究業務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建築資訊整合應用躍升計畫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一、充實建築資訊建模BIM作業指南，提高BIM模型產出效能與品質。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二、研究BIM輔助建築管理行政及建管資料庫。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三、結合BIM資訊精進建築營運維護作業效能。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訂我國建築資訊數位表述規範，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橫向跨域聯結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5G、AI、GIS、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IoT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、VR、AR、大數據等資訊技術，加速我國營建產業數位轉型，建構數位居住環境。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建築研究業務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高齡者安居敬老環境科技發展中程個案計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一、推動安居敬老環境規劃，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完善照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護服務及療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癒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環境。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二、強化社會住宅環境設計，照顧高齡者生活便利需求。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三、精進高齡社會環境法令，提出在地老化環境趨勢。</w:t>
            </w:r>
          </w:p>
          <w:p w:rsidR="00A77B3E" w:rsidRDefault="00CC1F7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四、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析高齡者移動與環境，確保生活安全無障礙。</w:t>
            </w:r>
          </w:p>
        </w:tc>
      </w:tr>
      <w:tr w:rsidR="003D02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空中勤務總隊業務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內政部空中勤務總隊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東駐地直升機棚廠興建工程中程計畫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辦理本部空中勤務總隊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東駐地直升機棚廠之室內裝修、洗機坪、停機坪及滑行道等工程施作。</w:t>
            </w:r>
          </w:p>
        </w:tc>
      </w:tr>
      <w:tr w:rsidR="003D02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空中勤務總隊業務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內政部空中勤務總隊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北松山駐地直升機棚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廠暨代拆代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建空軍司令部松山基地指揮部飛機棚廠等興建工程中程計畫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1F70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辦理本部空中勤務總隊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北松山駐地直升機棚廠及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代拆代建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空軍司令部松山基地指揮部飛機棚廠等工程發包、假設工程、地質改良等相關作業。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79" w:rsidRDefault="002A1479">
      <w:r>
        <w:separator/>
      </w:r>
    </w:p>
  </w:endnote>
  <w:endnote w:type="continuationSeparator" w:id="0">
    <w:p w:rsidR="002A1479" w:rsidRDefault="002A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77" w:rsidRDefault="00CC1F70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2-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7E69B9">
      <w:rPr>
        <w:rFonts w:ascii="新細明體" w:eastAsia="新細明體" w:hAnsi="新細明體" w:cs="新細明體"/>
        <w:noProof/>
        <w:sz w:val="20"/>
      </w:rPr>
      <w:t>7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79" w:rsidRDefault="002A1479">
      <w:r>
        <w:separator/>
      </w:r>
    </w:p>
  </w:footnote>
  <w:footnote w:type="continuationSeparator" w:id="0">
    <w:p w:rsidR="002A1479" w:rsidRDefault="002A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C6502"/>
    <w:rsid w:val="00280EAB"/>
    <w:rsid w:val="002A1479"/>
    <w:rsid w:val="003D0277"/>
    <w:rsid w:val="00471B97"/>
    <w:rsid w:val="00625FF7"/>
    <w:rsid w:val="007E69B9"/>
    <w:rsid w:val="009102EA"/>
    <w:rsid w:val="00A77B3E"/>
    <w:rsid w:val="00CA2A55"/>
    <w:rsid w:val="00CA4155"/>
    <w:rsid w:val="00CC1F70"/>
    <w:rsid w:val="00D95AD9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5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5FF7"/>
  </w:style>
  <w:style w:type="paragraph" w:styleId="a5">
    <w:name w:val="footer"/>
    <w:basedOn w:val="a"/>
    <w:link w:val="a6"/>
    <w:unhideWhenUsed/>
    <w:rsid w:val="00625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5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5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5FF7"/>
  </w:style>
  <w:style w:type="paragraph" w:styleId="a5">
    <w:name w:val="footer"/>
    <w:basedOn w:val="a"/>
    <w:link w:val="a6"/>
    <w:unhideWhenUsed/>
    <w:rsid w:val="00625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9099</Words>
  <Characters>646</Characters>
  <Application>Microsoft Office Word</Application>
  <DocSecurity>0</DocSecurity>
  <Lines>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5</cp:revision>
  <dcterms:created xsi:type="dcterms:W3CDTF">2021-07-27T06:25:00Z</dcterms:created>
  <dcterms:modified xsi:type="dcterms:W3CDTF">2021-07-29T08:44:00Z</dcterms:modified>
</cp:coreProperties>
</file>