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73668" w:rsidP="00485E26">
      <w:pPr>
        <w:spacing w:before="200" w:line="320" w:lineRule="exact"/>
        <w:jc w:val="both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公平交易委員會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73668" w:rsidP="00485E26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為我國公平交易法及多層次傳銷管理法之主管機關，負責擬訂公平交易政策與法規，調查處理事業反競爭行為。為建立自由、公平的市場交易環境，以及符合時代需求的經濟秩序規則，111年本會將以健全競爭法令規章、強化案件查處效能、落實傳銷管理機制、倡議競爭理念及推動國際交流合作為施政重點，維護市場交易秩序與民眾權益，使各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產業均能在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良好的競爭體制下蓬勃發展。</w:t>
      </w:r>
    </w:p>
    <w:p w:rsidR="00A77B3E" w:rsidRDefault="00F73668" w:rsidP="00485E26">
      <w:pPr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本會依據行政院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年度施政方針，配合核定預算額度，並針對經社情勢變化及本會未來發展需要，編定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111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73668" w:rsidP="00485E26">
      <w:pPr>
        <w:spacing w:before="200" w:line="320" w:lineRule="exact"/>
        <w:jc w:val="both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F73668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一、查處妨礙市場競爭行為，匡正事業不當競爭行為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（一）積極查處事業違反公平交易法及多層次傳銷管理法行為，確實維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謢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市場及多層次傳銷交易秩序，保障消費者及傳銷商權益。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（二）有效審議事業結合申報及聯合行為申請許可案件，防範市場結構惡化與市場力量濫用。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（三）密切關注民生物資市場變化情形，持續運作本會「防制人為操縱物價專案小組」並參與行政院穩定物價小組會議，避免事業藉機從事違反公平交易法之行為。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（四）充實競爭法產業資料並完備產業資訊系統，強化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析產業結構與市場競爭，提升競爭法案件審議品質與執法效能。</w:t>
      </w:r>
    </w:p>
    <w:p w:rsidR="00A77B3E" w:rsidRDefault="00F73668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規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制產業競爭行為，建構良好競爭環境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（一）關注重點產業市場競爭行為，持續辦理產業重點督導計畫，促進業者自律與產業發展。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（二）與時俱進採取有效行政措施管理多層次傳銷，促進傳銷產業良性發展。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（三）與目的事業主管機關協調分工，調和競爭政策與產業政策，凝聚執法共識，確保市場自由競爭。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（四）委請專家學者進行公平交易法重點議題研究，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俾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蒐集國內外先進國家執法經驗，精進本會執法品質。</w:t>
      </w:r>
    </w:p>
    <w:p w:rsidR="00A77B3E" w:rsidRDefault="00F73668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三、完備市場競爭法規，維護良好競爭環境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（一）檢討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修公平交易法、多層次傳銷管理法等相關法令及行政規則，完備法規制度，維護競爭秩序。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（二）提升訴訟論辯專業知能，維持行政處分效力。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（三）積極辦理處分案件之罰鍰收繳及行政執行移送作業，提高罰鍰執行收繳成效。</w:t>
      </w:r>
    </w:p>
    <w:p w:rsidR="00A77B3E" w:rsidRDefault="00F73668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四、多元倡議競爭理念，形塑優質競爭文化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（一）運用多元管道倡議競爭，建構自由公平競爭環境。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（二）擴大政策宣導層面，深化公平交易理念。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（三）建置數位經濟競爭執法分析量能，完備競爭政策專業資料庫。</w:t>
      </w:r>
    </w:p>
    <w:p w:rsidR="00A77B3E" w:rsidRDefault="00F73668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五、掌握全球競爭政策發展脈動，建構跨境執法合作網絡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（一）積極參與OECD、APEC、ICN等國際競爭法組織及會議，接軌國際競爭法執法脈動。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（二）增進與其他國家競爭法主管機關之雙邊交流合作。</w:t>
      </w:r>
    </w:p>
    <w:p w:rsidR="00A77B3E" w:rsidRDefault="00F73668" w:rsidP="00485E26">
      <w:pPr>
        <w:spacing w:line="320" w:lineRule="exact"/>
        <w:ind w:left="960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（三）提供競爭法技術援助及交流平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，協助增進新興競爭法主管機關執法能力。</w:t>
      </w:r>
    </w:p>
    <w:p w:rsidR="00A77B3E" w:rsidRDefault="00A77B3E" w:rsidP="00485E26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73668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C97878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C97878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查處事業限制競爭行為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一、積極查處事業獨占、結合、聯合、限制競爭及影響交易秩序之欺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或顯失公平行為。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二、有效審議事業聯合行為申請許可案件及結合申報案件。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三、與目的事業主管機關協調合作，凝聚執法共識。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四、辦理檢舉獎金發放事宜。</w:t>
            </w:r>
          </w:p>
        </w:tc>
      </w:tr>
      <w:tr w:rsidR="00C97878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限制競爭行為調查處理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制產業競爭行為，建構良好競爭環境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一、密切關注市場競爭動態，與產業主管機關進行分工合作、協調溝通，共同維護市場交易秩序。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二、積極配合行政院「穩定物價小組」，掌握重要民生物資市場供需概況。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三、擇定特定產業進行重點督導計畫。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四、委請專家學者進行「競爭法與競爭政策在金融產業之角色」、「數位平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產業現況、發展趨勢及競爭規範」、「我國乳品產業競爭議題與競爭法規範之研究」、「跨國科技巨擘與在地市場競爭秩序之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研究－以廣告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資源為例」、「以跨國性卡特爾案件論競爭法寬恕政策之運用與精進」、「競爭法多邊平</w:t>
            </w:r>
            <w:proofErr w:type="gramStart"/>
            <w:r w:rsidR="00DA7AF3">
              <w:rPr>
                <w:rFonts w:ascii="新細明體" w:eastAsia="新細明體" w:hAnsi="新細明體" w:cs="新細明體" w:hint="eastAsia"/>
                <w:color w:val="000000"/>
                <w:lang w:eastAsia="zh-TW"/>
              </w:rPr>
              <w:t>臺</w:t>
            </w:r>
            <w:bookmarkStart w:id="0" w:name="_GoBack"/>
            <w:bookmarkEnd w:id="0"/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經濟分析之研究」等研究。</w:t>
            </w:r>
          </w:p>
        </w:tc>
      </w:tr>
      <w:tr w:rsidR="00C97878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查處不公平競爭行為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一、查處虛偽不實或引人錯誤之廣告行為等不公平競爭行為。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二、宣導公平交易法有關不公平競爭行為之規範。</w:t>
            </w:r>
          </w:p>
        </w:tc>
      </w:tr>
      <w:tr w:rsidR="00C97878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不公平競爭行為調查處理及多層次傳銷管理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管理多層次傳銷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一、查處違法多層次傳銷行為。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二、辦理多層次傳銷事業報備案件。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三、實施多層次傳銷事業業務檢查。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四、辦理多層次傳銷事業經營發展狀況調查。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五、宣導多層次傳銷相關法令。</w:t>
            </w:r>
          </w:p>
        </w:tc>
      </w:tr>
      <w:tr w:rsidR="00C97878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法務及行政救濟業務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修公平交易法規與多層次傳銷法規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擬及修訂本會主管法令。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二、辦理公平交易法、多層次傳銷管理法行政救濟業務。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三、辦理行政執行案件及移送涉及刑事違法案件。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四、編印本會主管法令之彙編及書籍。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五、蒐集國內外公平交易法規資料並加以整理與分析。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六、辦理法制及相關業務研討會。</w:t>
            </w:r>
          </w:p>
        </w:tc>
      </w:tr>
      <w:tr w:rsidR="00C97878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倡議公平交易法及多層次傳銷管理法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一、自行舉辦或請縣市政府協辦宣導活動。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二、運用各式文宣進行政策宣導。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三、辦理競爭法、檢舉獎金、反托拉斯基金倡議活動。</w:t>
            </w:r>
          </w:p>
        </w:tc>
      </w:tr>
      <w:tr w:rsidR="00C97878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聯繫協調地方機關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規劃舉辦與地方機關協調聯繫會議。</w:t>
            </w:r>
          </w:p>
        </w:tc>
      </w:tr>
      <w:tr w:rsidR="00C97878">
        <w:trPr>
          <w:trHeight w:val="159"/>
        </w:trPr>
        <w:tc>
          <w:tcPr>
            <w:tcW w:w="750" w:type="pct"/>
            <w:vMerge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綜合規劃及宣導業務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完備國際競爭政策與競爭法專業資料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一、委外辦理數位經濟競爭執法分析與產業動態資料建置計畫，擇定產業進行市場動態資料之建置、追蹤與分析，並持續關注國際法制政策趨勢及發展脈動。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二、蒐集各國競爭政策與競爭法相關專業圖書及期刊等資料，提供專業查詢服務，推廣競爭政策理念，提升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遵法知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能及素養。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三、建置並維護「APEC競爭政策資料庫」21個會員體之競爭政策、組織架構、重要案例等12項資料，提供競爭政策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資料國際交流平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四、彙編公平交易法、多層次傳銷管理法相關執法實務等資料，提供競爭政策專業研究園地。</w:t>
            </w:r>
          </w:p>
        </w:tc>
      </w:tr>
      <w:tr w:rsidR="00C97878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lastRenderedPageBreak/>
              <w:t>政策擬訂及國際交流業務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積極參與競爭法國際活動，建構跨境執法合作網絡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一、持續參與競爭法國際組織相關會議與活動，掌握國際執法脈絡，深化與國際競爭法執法機關之交流合作。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二、提供競爭法能力建置及交流活動平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臺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，調和區域競爭法制，回饋國際競爭社群。</w:t>
            </w:r>
          </w:p>
        </w:tc>
      </w:tr>
      <w:tr w:rsidR="00C97878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產業調查經濟分析及資訊管理</w:t>
            </w:r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強化產業資訊體系，建立有效執法之決策支援系統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一、辦理市場結構及產業活動調查，整合相關機關產業資料，完備產業資訊系統，供釐定公平交易政策及執行業務參考。</w:t>
            </w:r>
          </w:p>
          <w:p w:rsidR="00A77B3E" w:rsidRDefault="00F73668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二、配合業務需求增修應用系統功能，及辧理多層次傳銷營運發展狀況線上查報系統改版作業，強化系統資安強度、改善作業流程，並提升各項資訊服務設施，以增進電腦作業品質及行政效率。</w:t>
            </w:r>
          </w:p>
        </w:tc>
      </w:tr>
    </w:tbl>
    <w:p w:rsidR="00A77B3E" w:rsidRDefault="00A77B3E" w:rsidP="000718E4">
      <w:pPr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7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68" w:rsidRDefault="00F73668">
      <w:r>
        <w:separator/>
      </w:r>
    </w:p>
  </w:endnote>
  <w:endnote w:type="continuationSeparator" w:id="0">
    <w:p w:rsidR="00F73668" w:rsidRDefault="00F7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78" w:rsidRDefault="00F73668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26-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DA7AF3">
      <w:rPr>
        <w:rFonts w:ascii="新細明體" w:eastAsia="新細明體" w:hAnsi="新細明體" w:cs="新細明體"/>
        <w:noProof/>
        <w:sz w:val="20"/>
      </w:rPr>
      <w:t>3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68" w:rsidRDefault="00F73668">
      <w:r>
        <w:separator/>
      </w:r>
    </w:p>
  </w:footnote>
  <w:footnote w:type="continuationSeparator" w:id="0">
    <w:p w:rsidR="00F73668" w:rsidRDefault="00F7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18E4"/>
    <w:rsid w:val="00485E26"/>
    <w:rsid w:val="00684C96"/>
    <w:rsid w:val="00962E24"/>
    <w:rsid w:val="00A77B3E"/>
    <w:rsid w:val="00C97878"/>
    <w:rsid w:val="00CA2A55"/>
    <w:rsid w:val="00D73BAF"/>
    <w:rsid w:val="00DA7AF3"/>
    <w:rsid w:val="00F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曾偌豪</cp:lastModifiedBy>
  <cp:revision>2</cp:revision>
  <dcterms:created xsi:type="dcterms:W3CDTF">2021-07-27T08:48:00Z</dcterms:created>
  <dcterms:modified xsi:type="dcterms:W3CDTF">2021-07-27T08:48:00Z</dcterms:modified>
</cp:coreProperties>
</file>