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5B" w:rsidRDefault="00ED4E09">
      <w:pPr>
        <w:pStyle w:val="Web"/>
        <w:spacing w:before="0" w:beforeAutospacing="0" w:after="0" w:afterAutospacing="0" w:line="320" w:lineRule="exact"/>
        <w:jc w:val="center"/>
        <w:divId w:val="624241065"/>
        <w:rPr>
          <w:sz w:val="32"/>
          <w:szCs w:val="32"/>
        </w:rPr>
      </w:pPr>
      <w:r>
        <w:rPr>
          <w:rFonts w:hint="eastAsia"/>
          <w:b/>
          <w:bCs/>
          <w:sz w:val="32"/>
          <w:szCs w:val="32"/>
        </w:rPr>
        <w:t>行政院人事行政總處中程施政計畫（106至109年</w:t>
      </w:r>
      <w:r w:rsidR="002A5A1E">
        <w:rPr>
          <w:rFonts w:hint="eastAsia"/>
          <w:b/>
          <w:bCs/>
          <w:sz w:val="32"/>
          <w:szCs w:val="32"/>
        </w:rPr>
        <w:t>度</w:t>
      </w:r>
      <w:r>
        <w:rPr>
          <w:rFonts w:hint="eastAsia"/>
          <w:b/>
          <w:bCs/>
          <w:sz w:val="32"/>
          <w:szCs w:val="32"/>
        </w:rPr>
        <w:t>）</w:t>
      </w:r>
    </w:p>
    <w:p w:rsidR="0043695B" w:rsidRDefault="0043695B">
      <w:pPr>
        <w:jc w:val="right"/>
        <w:divId w:val="624241065"/>
      </w:pPr>
    </w:p>
    <w:p w:rsidR="0043695B" w:rsidRDefault="00ED4E09" w:rsidP="002A5A1E">
      <w:pPr>
        <w:pStyle w:val="Web"/>
        <w:spacing w:beforeLines="100" w:before="240" w:beforeAutospacing="0" w:after="0" w:afterAutospacing="0" w:line="320" w:lineRule="exact"/>
        <w:divId w:val="624241065"/>
      </w:pPr>
      <w:r>
        <w:rPr>
          <w:rFonts w:hint="eastAsia"/>
          <w:b/>
          <w:bCs/>
        </w:rPr>
        <w:t>壹、施政綱要</w:t>
      </w:r>
    </w:p>
    <w:p w:rsidR="0043695B" w:rsidRDefault="00ED4E09">
      <w:pPr>
        <w:pStyle w:val="Web"/>
        <w:spacing w:before="0" w:beforeAutospacing="0" w:after="0" w:afterAutospacing="0" w:line="320" w:lineRule="exact"/>
        <w:divId w:val="624241065"/>
      </w:pPr>
      <w:r>
        <w:rPr>
          <w:rFonts w:hint="eastAsia"/>
        </w:rPr>
        <w:t>一、打造效能導向的公部門人力資源管理架構</w:t>
      </w:r>
    </w:p>
    <w:p w:rsidR="0043695B" w:rsidRDefault="00C9578F" w:rsidP="00C9578F">
      <w:pPr>
        <w:pStyle w:val="Web"/>
        <w:spacing w:before="0" w:beforeAutospacing="0" w:after="0" w:afterAutospacing="0"/>
        <w:ind w:left="238" w:hanging="238"/>
        <w:jc w:val="both"/>
        <w:divId w:val="624241065"/>
      </w:pPr>
      <w:r>
        <w:t>（</w:t>
      </w:r>
      <w:r w:rsidR="00ED4E09">
        <w:t>一</w:t>
      </w:r>
      <w:r>
        <w:t>）</w:t>
      </w:r>
      <w:r w:rsidR="00ED4E09">
        <w:t>有效管理中央政府總員額</w:t>
      </w:r>
    </w:p>
    <w:p w:rsidR="0043695B" w:rsidRDefault="00ED4E09" w:rsidP="00C9578F">
      <w:pPr>
        <w:pStyle w:val="Web"/>
        <w:spacing w:before="0" w:beforeAutospacing="0" w:after="0" w:afterAutospacing="0"/>
        <w:ind w:left="1191" w:hanging="482"/>
        <w:jc w:val="both"/>
        <w:divId w:val="624241065"/>
      </w:pPr>
      <w:r>
        <w:t>１、為有效因應整體環境變遷趨勢、國家施政重點及各機關業務消長情形，</w:t>
      </w:r>
      <w:proofErr w:type="gramStart"/>
      <w:r>
        <w:t>本總處</w:t>
      </w:r>
      <w:proofErr w:type="gramEnd"/>
      <w:r>
        <w:t>將</w:t>
      </w:r>
      <w:proofErr w:type="gramStart"/>
      <w:r>
        <w:t>採</w:t>
      </w:r>
      <w:proofErr w:type="gramEnd"/>
      <w:r>
        <w:t>更</w:t>
      </w:r>
      <w:r w:rsidRPr="00D23042">
        <w:rPr>
          <w:spacing w:val="4"/>
        </w:rPr>
        <w:t>積極之員額管理方式，評估各機關人力運用效能，於中央政府總員額零成長之前提下，</w:t>
      </w:r>
      <w:r>
        <w:t>確保各機關將有限人力配置於重要施政推動及涉及國民權益福祉之核心業務。</w:t>
      </w:r>
    </w:p>
    <w:p w:rsidR="0043695B" w:rsidRDefault="00ED4E09" w:rsidP="00C9578F">
      <w:pPr>
        <w:pStyle w:val="Web"/>
        <w:spacing w:before="0" w:beforeAutospacing="0" w:after="0" w:afterAutospacing="0"/>
        <w:ind w:left="1191" w:hanging="482"/>
        <w:jc w:val="both"/>
        <w:divId w:val="624241065"/>
      </w:pPr>
      <w:r>
        <w:t>２、為使各機關落實定期員額評鑑，核實依職掌業務之實際需要及消長情形，於員額總量</w:t>
      </w:r>
      <w:r w:rsidRPr="00D23042">
        <w:rPr>
          <w:spacing w:val="-4"/>
        </w:rPr>
        <w:t>內進行彈性調整配置，使各機關人力運用更契合國家施政需要，將透過員額評鑑作業，</w:t>
      </w:r>
      <w:r>
        <w:t>針對各機關員額配置及人力運用情形，提出具體評鑑結論，並要求各機關於一定</w:t>
      </w:r>
      <w:proofErr w:type="gramStart"/>
      <w:r>
        <w:t>期限</w:t>
      </w:r>
      <w:r w:rsidRPr="00D23042">
        <w:rPr>
          <w:spacing w:val="-4"/>
        </w:rPr>
        <w:t>內據以</w:t>
      </w:r>
      <w:proofErr w:type="gramEnd"/>
      <w:r w:rsidRPr="00D23042">
        <w:rPr>
          <w:spacing w:val="-4"/>
        </w:rPr>
        <w:t>調整員額配置，</w:t>
      </w:r>
      <w:proofErr w:type="gramStart"/>
      <w:r w:rsidRPr="00D23042">
        <w:rPr>
          <w:spacing w:val="-4"/>
        </w:rPr>
        <w:t>俾</w:t>
      </w:r>
      <w:proofErr w:type="gramEnd"/>
      <w:r w:rsidRPr="00D23042">
        <w:rPr>
          <w:spacing w:val="-4"/>
        </w:rPr>
        <w:t>使政府人力集中配置核心業務，有效提升政府人力運用效能。</w:t>
      </w:r>
    </w:p>
    <w:p w:rsidR="0043695B" w:rsidRDefault="00C9578F" w:rsidP="00C9578F">
      <w:pPr>
        <w:pStyle w:val="Web"/>
        <w:spacing w:before="0" w:beforeAutospacing="0" w:after="0" w:afterAutospacing="0"/>
        <w:ind w:left="238" w:hanging="238"/>
        <w:jc w:val="both"/>
        <w:divId w:val="624241065"/>
      </w:pPr>
      <w:r>
        <w:t>（</w:t>
      </w:r>
      <w:r w:rsidR="00ED4E09">
        <w:t>二</w:t>
      </w:r>
      <w:r>
        <w:t>）</w:t>
      </w:r>
      <w:r w:rsidR="00ED4E09">
        <w:t>增進公務人力培育訓練成效</w:t>
      </w:r>
    </w:p>
    <w:p w:rsidR="0043695B" w:rsidRDefault="00ED4E09" w:rsidP="00C9578F">
      <w:pPr>
        <w:pStyle w:val="Web"/>
        <w:spacing w:before="0" w:beforeAutospacing="0" w:after="0" w:afterAutospacing="0"/>
        <w:ind w:left="1191" w:hanging="482"/>
        <w:jc w:val="both"/>
        <w:divId w:val="624241065"/>
      </w:pPr>
      <w:r>
        <w:t>１、為強化簡任第11職等高階文官之領導及管理能力，將</w:t>
      </w:r>
      <w:proofErr w:type="gramStart"/>
      <w:r>
        <w:t>賡</w:t>
      </w:r>
      <w:proofErr w:type="gramEnd"/>
      <w:r>
        <w:t>續辦理高階主管培訓，並適時納入因應治理環境變動所需之新興管理能力相關培訓課程，且</w:t>
      </w:r>
      <w:proofErr w:type="gramStart"/>
      <w:r>
        <w:t>將參訓學員</w:t>
      </w:r>
      <w:proofErr w:type="gramEnd"/>
      <w:r>
        <w:t>情形回饋機關首長瞭解，以提升培訓成效。又為提升各官等公務人員管理核心能力，將因應各核心能力項目內涵，強化相關課程之設計，並提升訓練普及性。</w:t>
      </w:r>
    </w:p>
    <w:p w:rsidR="0043695B" w:rsidRDefault="00ED4E09" w:rsidP="00C9578F">
      <w:pPr>
        <w:pStyle w:val="Web"/>
        <w:spacing w:before="0" w:beforeAutospacing="0" w:after="0" w:afterAutospacing="0"/>
        <w:ind w:left="1191" w:hanging="482"/>
        <w:jc w:val="both"/>
        <w:divId w:val="624241065"/>
      </w:pPr>
      <w:r>
        <w:t>２、為使行政院所屬公務同仁深刻瞭解民主治理價值，將規劃辦理人權兩公約、性別主流化、公民參與、網路治理等實體課程之相關研習班別。又為因應數位學習發展趨勢，增進數位學習資源運用效益，將持續鼓勵各機關人員踴躍</w:t>
      </w:r>
      <w:proofErr w:type="gramStart"/>
      <w:r>
        <w:t>選讀本總處</w:t>
      </w:r>
      <w:proofErr w:type="gramEnd"/>
      <w:r>
        <w:t>所屬兩中心建置之數位學習課程，並積極運用數位學習管道，提升各機關相關訓練之參與度。</w:t>
      </w:r>
    </w:p>
    <w:p w:rsidR="0043695B" w:rsidRDefault="00C9578F" w:rsidP="00C9578F">
      <w:pPr>
        <w:pStyle w:val="Web"/>
        <w:spacing w:before="0" w:beforeAutospacing="0" w:after="0" w:afterAutospacing="0"/>
        <w:ind w:left="238" w:hanging="238"/>
        <w:jc w:val="both"/>
        <w:divId w:val="624241065"/>
      </w:pPr>
      <w:r>
        <w:t>（</w:t>
      </w:r>
      <w:r w:rsidR="00ED4E09">
        <w:t>三</w:t>
      </w:r>
      <w:r>
        <w:t>）</w:t>
      </w:r>
      <w:r w:rsidR="00ED4E09">
        <w:t>提升整體待遇管理及福利之運用價值</w:t>
      </w:r>
    </w:p>
    <w:p w:rsidR="0043695B" w:rsidRDefault="00ED4E09" w:rsidP="00C9578F">
      <w:pPr>
        <w:pStyle w:val="Web"/>
        <w:spacing w:before="0" w:beforeAutospacing="0" w:after="0" w:afterAutospacing="0"/>
        <w:ind w:left="1191" w:hanging="482"/>
        <w:jc w:val="both"/>
        <w:divId w:val="624241065"/>
      </w:pPr>
      <w:r>
        <w:t>１、為強化各級政府用人成本概念，以利財政支出之管控及提升人力效能，透過用人成本</w:t>
      </w:r>
      <w:r w:rsidRPr="00D23042">
        <w:rPr>
          <w:spacing w:val="4"/>
        </w:rPr>
        <w:t>分析作業系統之建置，逐步推動各級人事機構編製用人成本分析報告，呈現各級政府、</w:t>
      </w:r>
      <w:r>
        <w:t>各類型機關單位用人成本變動情形，並提出分析及建議供機關首長作為用人決策</w:t>
      </w:r>
      <w:proofErr w:type="gramStart"/>
      <w:r>
        <w:t>之參據</w:t>
      </w:r>
      <w:proofErr w:type="gramEnd"/>
      <w:r>
        <w:t>。</w:t>
      </w:r>
    </w:p>
    <w:p w:rsidR="0043695B" w:rsidRDefault="00ED4E09" w:rsidP="00C9578F">
      <w:pPr>
        <w:pStyle w:val="Web"/>
        <w:spacing w:before="0" w:beforeAutospacing="0" w:after="0" w:afterAutospacing="0"/>
        <w:ind w:left="1191" w:hanging="482"/>
        <w:jc w:val="both"/>
        <w:divId w:val="624241065"/>
      </w:pPr>
      <w:r>
        <w:t>２、運用策略性待遇思維，鼓勵員工提升機關（構）績效及行政效能，檢討目前行政院核定之個別性獎金，彰顯依員工具體貢獻給予獎金之績效待遇精神。</w:t>
      </w:r>
    </w:p>
    <w:p w:rsidR="0043695B" w:rsidRDefault="00ED4E09" w:rsidP="00C9578F">
      <w:pPr>
        <w:pStyle w:val="Web"/>
        <w:spacing w:before="0" w:beforeAutospacing="0" w:after="0" w:afterAutospacing="0"/>
        <w:ind w:left="1191" w:hanging="482"/>
        <w:jc w:val="both"/>
        <w:divId w:val="624241065"/>
      </w:pPr>
      <w:r>
        <w:t>３、為發現並協助公務同仁解決可能影響工作效能的相關問題，使其以健康的身心投入工作，將</w:t>
      </w:r>
      <w:proofErr w:type="gramStart"/>
      <w:r>
        <w:t>賡</w:t>
      </w:r>
      <w:proofErr w:type="gramEnd"/>
      <w:r>
        <w:t>續推動員工協助方案，並規劃透過蒐集機關內外部意見，從使用者角度瞭解公務同仁對員工協助方案之評價，及引進專家學者建議，增進員工協助方案推動成效及品質，進而營造健康優質職場環境。</w:t>
      </w:r>
    </w:p>
    <w:p w:rsidR="0043695B" w:rsidRDefault="00ED4E09">
      <w:pPr>
        <w:pStyle w:val="Web"/>
        <w:spacing w:before="0" w:beforeAutospacing="0" w:after="0" w:afterAutospacing="0" w:line="320" w:lineRule="exact"/>
        <w:divId w:val="624241065"/>
      </w:pPr>
      <w:r>
        <w:rPr>
          <w:rFonts w:hint="eastAsia"/>
        </w:rPr>
        <w:t>二、協助人事體系扮演機關功績化人事管理之夥伴角色</w:t>
      </w:r>
    </w:p>
    <w:p w:rsidR="0043695B" w:rsidRDefault="00C9578F" w:rsidP="00C9578F">
      <w:pPr>
        <w:pStyle w:val="Web"/>
        <w:spacing w:before="0" w:beforeAutospacing="0" w:after="0" w:afterAutospacing="0"/>
        <w:ind w:left="238" w:hanging="238"/>
        <w:jc w:val="both"/>
        <w:divId w:val="624241065"/>
      </w:pPr>
      <w:r>
        <w:t>（</w:t>
      </w:r>
      <w:r w:rsidR="00ED4E09">
        <w:t>一</w:t>
      </w:r>
      <w:r>
        <w:t>）</w:t>
      </w:r>
      <w:r w:rsidR="00ED4E09">
        <w:t>增進人力資源管理功績化</w:t>
      </w:r>
    </w:p>
    <w:p w:rsidR="0043695B" w:rsidRDefault="00ED4E09" w:rsidP="00C9578F">
      <w:pPr>
        <w:pStyle w:val="Web"/>
        <w:spacing w:before="0" w:beforeAutospacing="0" w:after="0" w:afterAutospacing="0"/>
        <w:ind w:left="1191" w:hanging="482"/>
        <w:jc w:val="both"/>
        <w:divId w:val="624241065"/>
      </w:pPr>
      <w:r>
        <w:t>１、為積極提升機關公務職場性別友善度，達成性別平權之目標，</w:t>
      </w:r>
      <w:proofErr w:type="gramStart"/>
      <w:r>
        <w:t>爰</w:t>
      </w:r>
      <w:proofErr w:type="gramEnd"/>
      <w:r>
        <w:t>規劃透過機關落實法定性別友善事項</w:t>
      </w:r>
      <w:proofErr w:type="gramStart"/>
      <w:r>
        <w:t>（</w:t>
      </w:r>
      <w:proofErr w:type="gramEnd"/>
      <w:r>
        <w:t>包括性騷擾防治措施訂定、設置哺</w:t>
      </w:r>
      <w:proofErr w:type="gramStart"/>
      <w:r>
        <w:t>（</w:t>
      </w:r>
      <w:proofErr w:type="gramEnd"/>
      <w:r>
        <w:t>集</w:t>
      </w:r>
      <w:proofErr w:type="gramStart"/>
      <w:r>
        <w:t>）乳室並</w:t>
      </w:r>
      <w:proofErr w:type="gramEnd"/>
      <w:r>
        <w:t>給予哺乳時間、提供適當托兒措施及</w:t>
      </w:r>
      <w:proofErr w:type="gramStart"/>
      <w:r>
        <w:t>甄</w:t>
      </w:r>
      <w:proofErr w:type="gramEnd"/>
      <w:r>
        <w:t>審、考績委員會委員任一性別比例不得低於1/3</w:t>
      </w:r>
      <w:proofErr w:type="gramStart"/>
      <w:r>
        <w:t>）</w:t>
      </w:r>
      <w:proofErr w:type="gramEnd"/>
      <w:r>
        <w:t>之情形，及提升機關簡任官等女性人數與104年底相較之增加比例，從法制面及女性決策參與等2個層面推動各機關性別主流化。</w:t>
      </w:r>
    </w:p>
    <w:p w:rsidR="0043695B" w:rsidRDefault="00ED4E09" w:rsidP="00C9578F">
      <w:pPr>
        <w:pStyle w:val="Web"/>
        <w:spacing w:before="0" w:beforeAutospacing="0" w:after="0" w:afterAutospacing="0"/>
        <w:ind w:left="1191" w:hanging="482"/>
        <w:jc w:val="both"/>
        <w:divId w:val="624241065"/>
      </w:pPr>
      <w:r>
        <w:t>２、為落實機關人事管理措施的功績導向程度，規劃辦理公務人員職場評價調查，以瞭解公務人員對於服務機關重要人事管理措施功績導向程度及機關服務環境之評價，調查結果將適時提供機關首長並定期公布，作為公務人力資源管理政策擬定之參考，及各機關運用調整內部管理相關作法之依循。</w:t>
      </w:r>
    </w:p>
    <w:p w:rsidR="0043695B" w:rsidRDefault="00ED4E09" w:rsidP="00C9578F">
      <w:pPr>
        <w:pStyle w:val="Web"/>
        <w:spacing w:before="0" w:beforeAutospacing="0" w:after="0" w:afterAutospacing="0"/>
        <w:ind w:left="1191" w:hanging="482"/>
        <w:jc w:val="both"/>
        <w:divId w:val="624241065"/>
      </w:pPr>
      <w:r>
        <w:t>３、為促進原住民及身心障礙者就業，保障其工作權及經濟生活，將貫徹公務機關進用原住民及身心障礙人員執行力，藉由檢討及督促各機關進用原住民及身心障礙人員，掌握進用情形，落實政府照護原住民及身心障礙者之政策。</w:t>
      </w:r>
    </w:p>
    <w:p w:rsidR="0043695B" w:rsidRDefault="00C9578F" w:rsidP="00C9578F">
      <w:pPr>
        <w:pStyle w:val="Web"/>
        <w:spacing w:before="0" w:beforeAutospacing="0" w:after="0" w:afterAutospacing="0"/>
        <w:ind w:left="238" w:hanging="238"/>
        <w:jc w:val="both"/>
        <w:divId w:val="624241065"/>
      </w:pPr>
      <w:r>
        <w:t>（</w:t>
      </w:r>
      <w:r w:rsidR="00ED4E09">
        <w:t>二</w:t>
      </w:r>
      <w:r>
        <w:t>）</w:t>
      </w:r>
      <w:r w:rsidR="00ED4E09">
        <w:t>提升人事人員服務效能</w:t>
      </w:r>
    </w:p>
    <w:p w:rsidR="0043695B" w:rsidRDefault="00ED4E09" w:rsidP="00C9578F">
      <w:pPr>
        <w:pStyle w:val="Web"/>
        <w:spacing w:before="0" w:beforeAutospacing="0" w:after="0" w:afterAutospacing="0"/>
        <w:ind w:left="1191" w:hanging="482"/>
        <w:jc w:val="both"/>
        <w:divId w:val="624241065"/>
      </w:pPr>
      <w:r>
        <w:lastRenderedPageBreak/>
        <w:t>１、為瞭解人事人員協助服務機關解決問題的能力及人事服務品質，將規劃辦理人事人員服務評價調查，由內部顧客及機關首長的意見回饋中，掌握人事人員服務品質現況，作為人事機構服務績效改進之方向；並請各人事機構運用統計數據及相關調查結果，撰擬機關年度人力資源報告，提供機關首長人力運用評估之參考。</w:t>
      </w:r>
    </w:p>
    <w:p w:rsidR="0043695B" w:rsidRDefault="00ED4E09" w:rsidP="00C9578F">
      <w:pPr>
        <w:pStyle w:val="Web"/>
        <w:spacing w:before="0" w:beforeAutospacing="0" w:after="0" w:afterAutospacing="0"/>
        <w:ind w:left="1191" w:hanging="482"/>
        <w:jc w:val="both"/>
        <w:divId w:val="624241065"/>
      </w:pPr>
      <w:r>
        <w:t>２、為使各機關員額配置能更著重於機關優先施政核心項目，並配合員額評鑑內容重點之調整，適當精簡行政輔助人力比例，</w:t>
      </w:r>
      <w:proofErr w:type="gramStart"/>
      <w:r>
        <w:t>本總處</w:t>
      </w:r>
      <w:proofErr w:type="gramEnd"/>
      <w:r>
        <w:t>將規劃行政院所屬中央機關人事</w:t>
      </w:r>
      <w:proofErr w:type="gramStart"/>
      <w:r>
        <w:t>人員數零成長</w:t>
      </w:r>
      <w:proofErr w:type="gramEnd"/>
      <w:r>
        <w:t>相關措施，有效控管人事人員數目，並適時檢討人事人員員額設置標準規定，加強人事機構組織與功能。</w:t>
      </w:r>
    </w:p>
    <w:p w:rsidR="0043695B" w:rsidRDefault="00ED4E09">
      <w:pPr>
        <w:pStyle w:val="Web"/>
        <w:spacing w:before="0" w:beforeAutospacing="0" w:after="0" w:afterAutospacing="0" w:line="320" w:lineRule="exact"/>
        <w:divId w:val="624241065"/>
      </w:pPr>
      <w:r>
        <w:rPr>
          <w:rFonts w:hint="eastAsia"/>
        </w:rPr>
        <w:t>三、提升資源配置效率</w:t>
      </w:r>
    </w:p>
    <w:p w:rsidR="0043695B" w:rsidRDefault="00ED4E09" w:rsidP="00C9578F">
      <w:pPr>
        <w:pStyle w:val="Web"/>
        <w:spacing w:before="0" w:beforeAutospacing="0" w:after="0" w:afterAutospacing="0"/>
        <w:ind w:leftChars="290" w:left="696"/>
        <w:jc w:val="both"/>
        <w:divId w:val="624241065"/>
      </w:pPr>
      <w:r>
        <w:t>妥善配置預算資源，提升預算執行效率</w:t>
      </w:r>
    </w:p>
    <w:p w:rsidR="0043695B" w:rsidRDefault="00C9578F" w:rsidP="00C9578F">
      <w:pPr>
        <w:pStyle w:val="Web"/>
        <w:spacing w:before="0" w:beforeAutospacing="0" w:after="0" w:afterAutospacing="0"/>
        <w:ind w:leftChars="290" w:left="936" w:hangingChars="100" w:hanging="240"/>
        <w:jc w:val="both"/>
        <w:divId w:val="624241065"/>
      </w:pPr>
      <w:r>
        <w:t>－</w:t>
      </w:r>
      <w:r w:rsidR="00ED4E09">
        <w:t>提升資本門預算執行率，並減少歲出概算編報數與</w:t>
      </w:r>
      <w:proofErr w:type="gramStart"/>
      <w:r w:rsidR="00ED4E09">
        <w:t>中程歲</w:t>
      </w:r>
      <w:proofErr w:type="gramEnd"/>
      <w:r w:rsidR="00ED4E09">
        <w:t>出概算額度核列數之差距，以達提升資產效益，妥適配置政府資源之目標</w:t>
      </w:r>
      <w:r w:rsidR="003E728B">
        <w:t>。</w:t>
      </w:r>
    </w:p>
    <w:p w:rsidR="00C9578F" w:rsidRDefault="00C9578F">
      <w:pPr>
        <w:rPr>
          <w:b/>
          <w:bCs/>
        </w:rPr>
      </w:pPr>
      <w:r>
        <w:rPr>
          <w:b/>
          <w:bCs/>
        </w:rPr>
        <w:br w:type="page"/>
      </w:r>
    </w:p>
    <w:p w:rsidR="0043695B" w:rsidRDefault="00ED4E09" w:rsidP="002A5A1E">
      <w:pPr>
        <w:pStyle w:val="Web"/>
        <w:spacing w:beforeLines="100" w:before="240" w:beforeAutospacing="0" w:after="0" w:afterAutospacing="0" w:line="320" w:lineRule="exact"/>
        <w:divId w:val="624241065"/>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C9578F" w:rsidTr="00C9578F">
        <w:trPr>
          <w:divId w:val="624241065"/>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C9578F" w:rsidRDefault="00C9578F">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C9578F" w:rsidRDefault="00C9578F">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78F" w:rsidRDefault="00C9578F">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578F" w:rsidRDefault="00C9578F">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C9578F" w:rsidRDefault="00C9578F">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C9578F" w:rsidRDefault="00C9578F" w:rsidP="00C9578F">
            <w:pPr>
              <w:wordWrap w:val="0"/>
              <w:spacing w:line="320" w:lineRule="exact"/>
              <w:jc w:val="center"/>
            </w:pPr>
            <w:proofErr w:type="gramStart"/>
            <w:r>
              <w:rPr>
                <w:rFonts w:hint="eastAsia"/>
                <w:b/>
                <w:bCs/>
              </w:rPr>
              <w:t>109</w:t>
            </w:r>
            <w:proofErr w:type="gramEnd"/>
            <w:r>
              <w:rPr>
                <w:rFonts w:hint="eastAsia"/>
                <w:b/>
                <w:bCs/>
              </w:rPr>
              <w:t>年度</w:t>
            </w:r>
            <w:r>
              <w:rPr>
                <w:b/>
                <w:bCs/>
              </w:rPr>
              <w:br/>
            </w:r>
            <w:r>
              <w:rPr>
                <w:rFonts w:hint="eastAsia"/>
                <w:b/>
                <w:bCs/>
              </w:rPr>
              <w:t>目標值</w:t>
            </w:r>
          </w:p>
        </w:tc>
      </w:tr>
      <w:tr w:rsidR="0043695B" w:rsidTr="00C9578F">
        <w:trPr>
          <w:divId w:val="62424106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有效管理中央政府總員額</w:t>
            </w:r>
          </w:p>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總員額年度成長率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（當年度總員額法預算員額總數－</w:t>
            </w:r>
            <w:proofErr w:type="gramStart"/>
            <w:r>
              <w:rPr>
                <w:rFonts w:hint="eastAsia"/>
              </w:rPr>
              <w:t>105</w:t>
            </w:r>
            <w:proofErr w:type="gramEnd"/>
            <w:r>
              <w:rPr>
                <w:rFonts w:hint="eastAsia"/>
              </w:rPr>
              <w:t>年度總員額法預算員額總數）÷（</w:t>
            </w:r>
            <w:proofErr w:type="gramStart"/>
            <w:r>
              <w:rPr>
                <w:rFonts w:hint="eastAsia"/>
              </w:rPr>
              <w:t>105</w:t>
            </w:r>
            <w:proofErr w:type="gramEnd"/>
            <w:r>
              <w:rPr>
                <w:rFonts w:hint="eastAsia"/>
              </w:rPr>
              <w:t>年度總員額法預算員額總數）×100%</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F77E99" w:rsidP="00F77E99">
            <w:pPr>
              <w:wordWrap w:val="0"/>
              <w:spacing w:line="320" w:lineRule="exact"/>
              <w:jc w:val="center"/>
            </w:pPr>
            <w:r>
              <w:rPr>
                <w:rFonts w:hint="eastAsia"/>
              </w:rPr>
              <w:t>-0.1</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普通基金總人力年度成長率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（當年底中央機關普通基金項下總人力數[以下簡稱總人力數</w:t>
            </w:r>
            <w:r w:rsidR="00C95894">
              <w:rPr>
                <w:rFonts w:hint="eastAsia"/>
              </w:rPr>
              <w:t>]</w:t>
            </w:r>
            <w:r>
              <w:rPr>
                <w:rFonts w:hint="eastAsia"/>
              </w:rPr>
              <w:t>－105年底總人力數）÷105年底總人力數×100%</w:t>
            </w:r>
            <w:proofErr w:type="gramStart"/>
            <w:r>
              <w:rPr>
                <w:rFonts w:hint="eastAsia"/>
              </w:rPr>
              <w:t>（</w:t>
            </w:r>
            <w:proofErr w:type="gramEnd"/>
            <w:r>
              <w:rPr>
                <w:rFonts w:hint="eastAsia"/>
              </w:rPr>
              <w:t>按：包括臨時人員及派遣勞工</w:t>
            </w:r>
            <w:proofErr w:type="gramStart"/>
            <w:r>
              <w:rPr>
                <w:rFonts w:hint="eastAsia"/>
              </w:rPr>
              <w:t>）</w:t>
            </w:r>
            <w:proofErr w:type="gramEnd"/>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0</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員額評鑑結果實際使用比率</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依員額評鑑結果辦理員額調整人力配置案件數÷員額評鑑總案件數×100%</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50</w:t>
            </w:r>
            <w:r w:rsidR="00C9578F">
              <w:rPr>
                <w:rFonts w:hint="eastAsia"/>
              </w:rPr>
              <w:t>%</w:t>
            </w:r>
          </w:p>
        </w:tc>
      </w:tr>
      <w:tr w:rsidR="0043695B" w:rsidTr="00C9578F">
        <w:trPr>
          <w:divId w:val="62424106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增進公務人力培育訓練成效</w:t>
            </w:r>
          </w:p>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高階主管培訓成效力</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（培訓活動滿意度比率×0.3）＋（考評成績達85分以上者比率×0.3）＋（完訓後3年內累計</w:t>
            </w:r>
            <w:proofErr w:type="gramStart"/>
            <w:r>
              <w:rPr>
                <w:rFonts w:hint="eastAsia"/>
              </w:rPr>
              <w:t>陞</w:t>
            </w:r>
            <w:proofErr w:type="gramEnd"/>
            <w:r>
              <w:rPr>
                <w:rFonts w:hint="eastAsia"/>
              </w:rPr>
              <w:t>遷比率×0.4）</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51</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管理核心能力訓練成效力</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（參與人數涵蓋比率×0.3）＋（課程測驗成績達75分以上者比率×0.3）＋（整體滿意度比率×0.4）</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59</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民主治理價值課程學習成效力</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（高參與機關之比率×0.4）＋（課程測驗成績達75分以上者比率×0.3）＋（課程內容滿意度比率×0.3）</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75</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4</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自建數位課程使用成效力</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（本總處所屬兩中心自建之數位課程使用比率×0.5）＋（課程內容滿意度比率×0.5）</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75</w:t>
            </w:r>
            <w:r w:rsidR="00C9578F">
              <w:rPr>
                <w:rFonts w:hint="eastAsia"/>
              </w:rPr>
              <w:t>%</w:t>
            </w:r>
          </w:p>
        </w:tc>
      </w:tr>
      <w:tr w:rsidR="0043695B" w:rsidTr="00C9578F">
        <w:trPr>
          <w:divId w:val="62424106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提升整體待遇管理及福利之運用價值</w:t>
            </w:r>
          </w:p>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機關用人費用報告成效力</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proofErr w:type="gramStart"/>
            <w:r>
              <w:rPr>
                <w:rFonts w:hint="eastAsia"/>
              </w:rPr>
              <w:t>106</w:t>
            </w:r>
            <w:proofErr w:type="gramEnd"/>
            <w:r>
              <w:rPr>
                <w:rFonts w:hint="eastAsia"/>
              </w:rPr>
              <w:t>年度：建構機關用人費用盤點分析機制</w:t>
            </w:r>
            <w:r w:rsidRPr="00C9578F">
              <w:rPr>
                <w:rFonts w:hint="eastAsia"/>
                <w:spacing w:val="-6"/>
              </w:rPr>
              <w:t>107－</w:t>
            </w:r>
            <w:proofErr w:type="gramStart"/>
            <w:r w:rsidRPr="00C9578F">
              <w:rPr>
                <w:rFonts w:hint="eastAsia"/>
                <w:spacing w:val="-6"/>
              </w:rPr>
              <w:t>109</w:t>
            </w:r>
            <w:proofErr w:type="gramEnd"/>
            <w:r w:rsidRPr="00C9578F">
              <w:rPr>
                <w:rFonts w:hint="eastAsia"/>
                <w:spacing w:val="-6"/>
              </w:rPr>
              <w:t>年度：〔（實際編製報告機關數÷應編製報告機關總數）×0.7〕</w:t>
            </w:r>
            <w:r>
              <w:rPr>
                <w:rFonts w:hint="eastAsia"/>
              </w:rPr>
              <w:t>＋（服務機關首長滿意度×0.3）</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80</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（當年底軍公教員工個別性獎金具績效化數目－前一年底數目）</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1增加數</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員工協助方案推動成效力</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（機關同仁滿意度比率×0.7）＋（機關推動成效良好比率×0.3）</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80</w:t>
            </w:r>
            <w:r w:rsidR="00C9578F">
              <w:rPr>
                <w:rFonts w:hint="eastAsia"/>
              </w:rPr>
              <w:t>%</w:t>
            </w:r>
          </w:p>
        </w:tc>
      </w:tr>
      <w:tr w:rsidR="0043695B" w:rsidTr="00C9578F">
        <w:trPr>
          <w:divId w:val="62424106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4</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增進人力資源管理功績化</w:t>
            </w:r>
          </w:p>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公務職場性別友善度之比率</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（機關落實法定性別友善事項之比率×0.5）＋（行政機關簡任官等女性人數增加比率×0.5）</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45.6</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管理措施功績化滿意度</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proofErr w:type="gramStart"/>
            <w:r>
              <w:rPr>
                <w:rFonts w:hint="eastAsia"/>
              </w:rPr>
              <w:t>106</w:t>
            </w:r>
            <w:proofErr w:type="gramEnd"/>
            <w:r>
              <w:rPr>
                <w:rFonts w:hint="eastAsia"/>
              </w:rPr>
              <w:t>年度：建構公務人員職場評價調查107－</w:t>
            </w:r>
            <w:proofErr w:type="gramStart"/>
            <w:r>
              <w:rPr>
                <w:rFonts w:hint="eastAsia"/>
              </w:rPr>
              <w:t>109</w:t>
            </w:r>
            <w:proofErr w:type="gramEnd"/>
            <w:r>
              <w:rPr>
                <w:rFonts w:hint="eastAsia"/>
              </w:rPr>
              <w:t>年度：公務人員職場評價調查滿意度比率</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55</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公務機關未符合法定進用原住民及身心障礙人員比率</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rsidP="006A6596">
            <w:pPr>
              <w:wordWrap w:val="0"/>
              <w:spacing w:line="320" w:lineRule="exact"/>
              <w:jc w:val="both"/>
            </w:pPr>
            <w:r>
              <w:rPr>
                <w:rFonts w:hint="eastAsia"/>
              </w:rPr>
              <w:t>（未足額進用原住民機關數比率×0.5）＋（未足額進用身心障礙人員機關數比率×0.5</w:t>
            </w:r>
            <w:r w:rsidR="006A6596">
              <w:rPr>
                <w:rFonts w:hint="eastAsia"/>
              </w:rPr>
              <w:t>）</w:t>
            </w:r>
            <w:bookmarkStart w:id="0" w:name="_GoBack"/>
            <w:bookmarkEnd w:id="0"/>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0.7</w:t>
            </w:r>
            <w:r w:rsidR="00C9578F">
              <w:rPr>
                <w:rFonts w:hint="eastAsia"/>
              </w:rPr>
              <w:t>%</w:t>
            </w:r>
          </w:p>
        </w:tc>
      </w:tr>
      <w:tr w:rsidR="0043695B" w:rsidTr="00C9578F">
        <w:trPr>
          <w:divId w:val="62424106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提升人事人員服務效能</w:t>
            </w:r>
          </w:p>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人事人員數年度成長率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[（當年底中央機關人事人員總數－前一年底總人力數）÷前一年底總人力數]×100%</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0</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年度人資報告成效力</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（各機關人事機構提交報告比率×0.7）＋（服務機關首長就報告內容滿意比率）×0.3</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85</w:t>
            </w:r>
            <w:r w:rsidR="00C9578F">
              <w:rPr>
                <w:rFonts w:hint="eastAsia"/>
              </w:rPr>
              <w:t>%</w:t>
            </w:r>
          </w:p>
        </w:tc>
      </w:tr>
      <w:tr w:rsidR="0043695B" w:rsidTr="00C9578F">
        <w:trPr>
          <w:divId w:val="62424106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6</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妥善配置預算資源，提升預算執行效率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（本年度資本門實支數＋資本門應付未付數＋資本門賸餘數）÷（資本門預算數）×100</w:t>
            </w:r>
            <w:r w:rsidR="00C9578F">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97.6</w:t>
            </w:r>
            <w:r w:rsidR="00C9578F">
              <w:rPr>
                <w:rFonts w:hint="eastAsia"/>
              </w:rPr>
              <w:t>%</w:t>
            </w:r>
          </w:p>
        </w:tc>
      </w:tr>
      <w:tr w:rsidR="0043695B" w:rsidTr="00C9578F">
        <w:trPr>
          <w:divId w:val="6242410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15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both"/>
            </w:pPr>
            <w:r>
              <w:rPr>
                <w:rFonts w:hint="eastAsia"/>
              </w:rPr>
              <w:t>【（本年度歲出概算編報數－本年度中程歲出概算額度核列數）÷本年度中程歲出概算額度核列數】×100</w:t>
            </w:r>
            <w:r w:rsidR="00C9578F">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3.2</w:t>
            </w:r>
            <w:r w:rsidR="00C9578F">
              <w:rPr>
                <w:rFonts w:hint="eastAsia"/>
              </w:rPr>
              <w:t>%</w:t>
            </w:r>
          </w:p>
        </w:tc>
      </w:tr>
    </w:tbl>
    <w:p w:rsidR="0043695B" w:rsidRDefault="00ED4E09">
      <w:pPr>
        <w:pStyle w:val="Web"/>
        <w:spacing w:before="0" w:beforeAutospacing="0" w:after="0" w:afterAutospacing="0" w:line="320" w:lineRule="exact"/>
        <w:divId w:val="624241065"/>
        <w:rPr>
          <w:sz w:val="18"/>
          <w:szCs w:val="18"/>
        </w:rPr>
      </w:pPr>
      <w:proofErr w:type="gramStart"/>
      <w:r>
        <w:rPr>
          <w:rFonts w:hint="eastAsia"/>
          <w:sz w:val="18"/>
          <w:szCs w:val="18"/>
        </w:rPr>
        <w:t>註</w:t>
      </w:r>
      <w:proofErr w:type="gramEnd"/>
      <w:r>
        <w:rPr>
          <w:rFonts w:hint="eastAsia"/>
          <w:sz w:val="18"/>
          <w:szCs w:val="18"/>
        </w:rPr>
        <w:t>：</w:t>
      </w:r>
    </w:p>
    <w:p w:rsidR="0043695B" w:rsidRDefault="00ED4E09">
      <w:pPr>
        <w:pStyle w:val="Web"/>
        <w:spacing w:before="0" w:beforeAutospacing="0" w:after="0" w:afterAutospacing="0" w:line="320" w:lineRule="exact"/>
        <w:divId w:val="624241065"/>
        <w:rPr>
          <w:sz w:val="18"/>
          <w:szCs w:val="18"/>
        </w:rPr>
      </w:pPr>
      <w:r>
        <w:rPr>
          <w:rFonts w:hint="eastAsia"/>
          <w:sz w:val="18"/>
          <w:szCs w:val="18"/>
        </w:rPr>
        <w:t>評估體制之數字代號意義如下：</w:t>
      </w:r>
    </w:p>
    <w:p w:rsidR="0043695B" w:rsidRDefault="00ED4E09">
      <w:pPr>
        <w:pStyle w:val="Web"/>
        <w:spacing w:before="0" w:beforeAutospacing="0" w:after="0" w:afterAutospacing="0" w:line="320" w:lineRule="exact"/>
        <w:divId w:val="624241065"/>
        <w:rPr>
          <w:sz w:val="18"/>
          <w:szCs w:val="18"/>
        </w:rPr>
      </w:pPr>
      <w:r>
        <w:rPr>
          <w:rFonts w:hint="eastAsia"/>
          <w:sz w:val="18"/>
          <w:szCs w:val="18"/>
        </w:rPr>
        <w:t xml:space="preserve">　　1.指實際評估作業係運用既有之組織架構進行。</w:t>
      </w:r>
    </w:p>
    <w:p w:rsidR="0043695B" w:rsidRDefault="00ED4E09">
      <w:pPr>
        <w:pStyle w:val="Web"/>
        <w:spacing w:before="0" w:beforeAutospacing="0" w:after="0" w:afterAutospacing="0" w:line="320" w:lineRule="exact"/>
        <w:divId w:val="624241065"/>
        <w:rPr>
          <w:sz w:val="18"/>
          <w:szCs w:val="18"/>
        </w:rPr>
      </w:pPr>
      <w:r>
        <w:rPr>
          <w:rFonts w:hint="eastAsia"/>
          <w:sz w:val="18"/>
          <w:szCs w:val="18"/>
        </w:rPr>
        <w:t xml:space="preserve">　　2.指實際評估作業係由特定之任務編組進行。</w:t>
      </w:r>
    </w:p>
    <w:p w:rsidR="0043695B" w:rsidRDefault="00ED4E09">
      <w:pPr>
        <w:pStyle w:val="Web"/>
        <w:spacing w:before="0" w:beforeAutospacing="0" w:after="0" w:afterAutospacing="0" w:line="320" w:lineRule="exact"/>
        <w:divId w:val="624241065"/>
        <w:rPr>
          <w:sz w:val="18"/>
          <w:szCs w:val="18"/>
        </w:rPr>
      </w:pPr>
      <w:r>
        <w:rPr>
          <w:rFonts w:hint="eastAsia"/>
          <w:sz w:val="18"/>
          <w:szCs w:val="18"/>
        </w:rPr>
        <w:t xml:space="preserve">　　3.指實際評估作業係透過第三者方式（如由專家學者）進行。</w:t>
      </w:r>
    </w:p>
    <w:p w:rsidR="0043695B" w:rsidRDefault="00ED4E09">
      <w:pPr>
        <w:pStyle w:val="Web"/>
        <w:spacing w:before="0" w:beforeAutospacing="0" w:after="0" w:afterAutospacing="0" w:line="320" w:lineRule="exact"/>
        <w:divId w:val="624241065"/>
        <w:rPr>
          <w:sz w:val="18"/>
          <w:szCs w:val="18"/>
        </w:rPr>
      </w:pPr>
      <w:r>
        <w:rPr>
          <w:rFonts w:hint="eastAsia"/>
          <w:sz w:val="18"/>
          <w:szCs w:val="18"/>
        </w:rPr>
        <w:t xml:space="preserve">　　4.指實際評估作業係運用既有之組織架構並邀請第三者共同參與進行。</w:t>
      </w:r>
    </w:p>
    <w:p w:rsidR="0043695B" w:rsidRDefault="00ED4E09">
      <w:pPr>
        <w:pStyle w:val="Web"/>
        <w:spacing w:before="0" w:beforeAutospacing="0" w:after="0" w:afterAutospacing="0" w:line="320" w:lineRule="exact"/>
        <w:divId w:val="624241065"/>
        <w:rPr>
          <w:sz w:val="18"/>
          <w:szCs w:val="18"/>
        </w:rPr>
      </w:pPr>
      <w:r>
        <w:rPr>
          <w:rFonts w:hint="eastAsia"/>
          <w:sz w:val="18"/>
          <w:szCs w:val="18"/>
        </w:rPr>
        <w:t xml:space="preserve">　　5.其它。</w:t>
      </w:r>
    </w:p>
    <w:p w:rsidR="00C9578F" w:rsidRDefault="00C9578F">
      <w:pPr>
        <w:rPr>
          <w:b/>
          <w:bCs/>
        </w:rPr>
      </w:pPr>
      <w:r>
        <w:rPr>
          <w:b/>
          <w:bCs/>
        </w:rPr>
        <w:br w:type="page"/>
      </w:r>
    </w:p>
    <w:p w:rsidR="0043695B" w:rsidRDefault="00ED4E09" w:rsidP="002A5A1E">
      <w:pPr>
        <w:pStyle w:val="Web"/>
        <w:spacing w:beforeLines="100" w:before="240" w:beforeAutospacing="0" w:after="0" w:afterAutospacing="0" w:line="320" w:lineRule="exact"/>
        <w:divId w:val="624241065"/>
      </w:pPr>
      <w:r>
        <w:rPr>
          <w:rFonts w:hint="eastAsia"/>
          <w:b/>
          <w:bCs/>
        </w:rPr>
        <w:t>參、未來四年重要計畫</w:t>
      </w:r>
    </w:p>
    <w:tbl>
      <w:tblPr>
        <w:tblW w:w="498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2"/>
        <w:gridCol w:w="4251"/>
        <w:gridCol w:w="1128"/>
        <w:gridCol w:w="1130"/>
        <w:gridCol w:w="2437"/>
      </w:tblGrid>
      <w:tr w:rsidR="00C9578F" w:rsidTr="00C9578F">
        <w:trPr>
          <w:divId w:val="624241065"/>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43695B" w:rsidRDefault="00ED4E09">
            <w:pPr>
              <w:wordWrap w:val="0"/>
              <w:spacing w:line="320" w:lineRule="exact"/>
              <w:jc w:val="center"/>
            </w:pPr>
            <w:r>
              <w:rPr>
                <w:rFonts w:hint="eastAsia"/>
                <w:b/>
                <w:bCs/>
              </w:rPr>
              <w:t>施政綱要</w:t>
            </w:r>
          </w:p>
        </w:tc>
        <w:tc>
          <w:tcPr>
            <w:tcW w:w="2084" w:type="pct"/>
            <w:tcBorders>
              <w:top w:val="outset" w:sz="6" w:space="0" w:color="000000"/>
              <w:left w:val="outset" w:sz="6" w:space="0" w:color="000000"/>
              <w:bottom w:val="outset" w:sz="6" w:space="0" w:color="000000"/>
              <w:right w:val="outset" w:sz="6" w:space="0" w:color="000000"/>
            </w:tcBorders>
            <w:vAlign w:val="center"/>
            <w:hideMark/>
          </w:tcPr>
          <w:p w:rsidR="0043695B" w:rsidRDefault="00ED4E09">
            <w:pPr>
              <w:wordWrap w:val="0"/>
              <w:spacing w:line="320" w:lineRule="exact"/>
              <w:jc w:val="center"/>
            </w:pPr>
            <w:r>
              <w:rPr>
                <w:rFonts w:hint="eastAsia"/>
                <w:b/>
                <w:bCs/>
              </w:rPr>
              <w:t>重要計畫項目</w:t>
            </w:r>
          </w:p>
        </w:tc>
        <w:tc>
          <w:tcPr>
            <w:tcW w:w="553" w:type="pct"/>
            <w:tcBorders>
              <w:top w:val="outset" w:sz="6" w:space="0" w:color="000000"/>
              <w:left w:val="outset" w:sz="6" w:space="0" w:color="000000"/>
              <w:bottom w:val="outset" w:sz="6" w:space="0" w:color="000000"/>
              <w:right w:val="outset" w:sz="6" w:space="0" w:color="000000"/>
            </w:tcBorders>
            <w:vAlign w:val="center"/>
            <w:hideMark/>
          </w:tcPr>
          <w:p w:rsidR="0043695B" w:rsidRDefault="00ED4E09">
            <w:pPr>
              <w:wordWrap w:val="0"/>
              <w:spacing w:line="320" w:lineRule="exact"/>
              <w:jc w:val="center"/>
            </w:pPr>
            <w:r>
              <w:rPr>
                <w:rFonts w:hint="eastAsia"/>
                <w:b/>
                <w:bCs/>
              </w:rPr>
              <w:t>計畫期程</w:t>
            </w:r>
          </w:p>
        </w:tc>
        <w:tc>
          <w:tcPr>
            <w:tcW w:w="554" w:type="pct"/>
            <w:tcBorders>
              <w:top w:val="outset" w:sz="6" w:space="0" w:color="000000"/>
              <w:left w:val="outset" w:sz="6" w:space="0" w:color="000000"/>
              <w:bottom w:val="outset" w:sz="6" w:space="0" w:color="000000"/>
              <w:right w:val="outset" w:sz="6" w:space="0" w:color="000000"/>
            </w:tcBorders>
            <w:vAlign w:val="center"/>
            <w:hideMark/>
          </w:tcPr>
          <w:p w:rsidR="0043695B" w:rsidRDefault="00ED4E09">
            <w:pPr>
              <w:wordWrap w:val="0"/>
              <w:spacing w:line="320" w:lineRule="exact"/>
              <w:jc w:val="center"/>
            </w:pPr>
            <w:r>
              <w:rPr>
                <w:rFonts w:hint="eastAsia"/>
                <w:b/>
                <w:bCs/>
              </w:rPr>
              <w:t>計畫類別</w:t>
            </w:r>
          </w:p>
        </w:tc>
        <w:tc>
          <w:tcPr>
            <w:tcW w:w="1195" w:type="pct"/>
            <w:tcBorders>
              <w:top w:val="outset" w:sz="6" w:space="0" w:color="000000"/>
              <w:left w:val="outset" w:sz="6" w:space="0" w:color="000000"/>
              <w:bottom w:val="outset" w:sz="6" w:space="0" w:color="000000"/>
              <w:right w:val="outset" w:sz="6" w:space="0" w:color="000000"/>
            </w:tcBorders>
            <w:vAlign w:val="center"/>
            <w:hideMark/>
          </w:tcPr>
          <w:p w:rsidR="0043695B" w:rsidRDefault="00ED4E09">
            <w:pPr>
              <w:wordWrap w:val="0"/>
              <w:spacing w:line="320" w:lineRule="exact"/>
              <w:jc w:val="center"/>
            </w:pPr>
            <w:r>
              <w:rPr>
                <w:rFonts w:hint="eastAsia"/>
                <w:b/>
                <w:bCs/>
              </w:rPr>
              <w:t>與KPI關聯</w:t>
            </w:r>
          </w:p>
        </w:tc>
      </w:tr>
      <w:tr w:rsidR="00C9578F" w:rsidTr="00C9578F">
        <w:trPr>
          <w:divId w:val="62424106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打造效能導向的公部門人力資源管理架構</w:t>
            </w:r>
          </w:p>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落實管控中央政府總員額配置，推動精進員額評鑑</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106-109</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其它</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總員額年度成長率、普通基金總人力年度成長率、員額評鑑結果實際使用比率</w:t>
            </w:r>
          </w:p>
        </w:tc>
      </w:tr>
      <w:tr w:rsidR="00C9578F" w:rsidTr="00C9578F">
        <w:trPr>
          <w:divId w:val="62424106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行政院跨領域科技管理與談判人才培育計畫</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106-106</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科技發展</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高階主管培訓成效力</w:t>
            </w:r>
          </w:p>
        </w:tc>
      </w:tr>
      <w:tr w:rsidR="00C9578F" w:rsidTr="00C9578F">
        <w:trPr>
          <w:divId w:val="62424106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行政院所屬中高階公務人員培訓進修</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106-109</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其它</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高階主管培訓成效力</w:t>
            </w:r>
          </w:p>
        </w:tc>
      </w:tr>
      <w:tr w:rsidR="00C9578F" w:rsidTr="00C9578F">
        <w:trPr>
          <w:divId w:val="62424106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機關編製用人費用報告比率</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106-109</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其它</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機關用人費用報告成效力</w:t>
            </w:r>
          </w:p>
        </w:tc>
      </w:tr>
      <w:tr w:rsidR="00C9578F" w:rsidTr="00C9578F">
        <w:trPr>
          <w:divId w:val="62424106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個別性獎金績效化增加數</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106-109</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其它</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個別性獎金績效化增加數</w:t>
            </w:r>
          </w:p>
        </w:tc>
      </w:tr>
      <w:tr w:rsidR="00C9578F" w:rsidTr="00C9578F">
        <w:trPr>
          <w:divId w:val="62424106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協助人事體系扮演機關功績化人事管理之夥伴角色</w:t>
            </w:r>
          </w:p>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公務人員職場評價調查計畫</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106-109</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其它</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管理措施功績化滿意度</w:t>
            </w:r>
          </w:p>
        </w:tc>
      </w:tr>
      <w:tr w:rsidR="00C9578F" w:rsidTr="00C9578F">
        <w:trPr>
          <w:divId w:val="62424106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策略性</w:t>
            </w:r>
            <w:proofErr w:type="gramStart"/>
            <w:r>
              <w:rPr>
                <w:rFonts w:hint="eastAsia"/>
              </w:rPr>
              <w:t>人力資源跨域整合</w:t>
            </w:r>
            <w:proofErr w:type="gramEnd"/>
            <w:r>
              <w:rPr>
                <w:rFonts w:hint="eastAsia"/>
              </w:rPr>
              <w:t>計畫</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106-109</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科技發展</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無</w:t>
            </w:r>
          </w:p>
        </w:tc>
      </w:tr>
      <w:tr w:rsidR="00C9578F" w:rsidTr="00C9578F">
        <w:trPr>
          <w:divId w:val="62424106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43695B" w:rsidRDefault="0043695B"/>
        </w:tc>
        <w:tc>
          <w:tcPr>
            <w:tcW w:w="208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營造健康優質職場環境</w:t>
            </w:r>
          </w:p>
        </w:tc>
        <w:tc>
          <w:tcPr>
            <w:tcW w:w="553"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106-109</w:t>
            </w:r>
          </w:p>
        </w:tc>
        <w:tc>
          <w:tcPr>
            <w:tcW w:w="554"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jc w:val="center"/>
            </w:pPr>
            <w:r>
              <w:rPr>
                <w:rFonts w:hint="eastAsia"/>
              </w:rPr>
              <w:t>其它</w:t>
            </w:r>
          </w:p>
        </w:tc>
        <w:tc>
          <w:tcPr>
            <w:tcW w:w="1195" w:type="pct"/>
            <w:tcBorders>
              <w:top w:val="outset" w:sz="6" w:space="0" w:color="000000"/>
              <w:left w:val="outset" w:sz="6" w:space="0" w:color="000000"/>
              <w:bottom w:val="outset" w:sz="6" w:space="0" w:color="000000"/>
              <w:right w:val="outset" w:sz="6" w:space="0" w:color="000000"/>
            </w:tcBorders>
            <w:hideMark/>
          </w:tcPr>
          <w:p w:rsidR="0043695B" w:rsidRDefault="00ED4E09">
            <w:pPr>
              <w:wordWrap w:val="0"/>
              <w:spacing w:line="320" w:lineRule="exact"/>
            </w:pPr>
            <w:r>
              <w:rPr>
                <w:rFonts w:hint="eastAsia"/>
              </w:rPr>
              <w:t>員工協助方案推動成效力</w:t>
            </w:r>
          </w:p>
        </w:tc>
      </w:tr>
    </w:tbl>
    <w:p w:rsidR="00ED4E09" w:rsidRDefault="00ED4E09">
      <w:pPr>
        <w:divId w:val="624241065"/>
      </w:pPr>
    </w:p>
    <w:sectPr w:rsidR="00ED4E09">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9F" w:rsidRDefault="000E419F">
      <w:r>
        <w:separator/>
      </w:r>
    </w:p>
  </w:endnote>
  <w:endnote w:type="continuationSeparator" w:id="0">
    <w:p w:rsidR="000E419F" w:rsidRDefault="000E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5B" w:rsidRDefault="00C9578F" w:rsidP="00C9578F">
    <w:pPr>
      <w:pStyle w:val="a3"/>
      <w:framePr w:w="539" w:wrap="around" w:vAnchor="text" w:hAnchor="margin" w:xAlign="center" w:y="1"/>
      <w:jc w:val="center"/>
      <w:rPr>
        <w:rStyle w:val="a5"/>
        <w:sz w:val="20"/>
        <w:szCs w:val="20"/>
      </w:rPr>
    </w:pPr>
    <w:r>
      <w:rPr>
        <w:rStyle w:val="a5"/>
        <w:rFonts w:hint="eastAsia"/>
        <w:sz w:val="20"/>
        <w:szCs w:val="20"/>
      </w:rPr>
      <w:t>1</w:t>
    </w:r>
    <w:r w:rsidR="00FA08AC">
      <w:rPr>
        <w:rStyle w:val="a5"/>
        <w:rFonts w:hint="eastAsia"/>
        <w:sz w:val="20"/>
        <w:szCs w:val="20"/>
      </w:rPr>
      <w:t>7</w:t>
    </w:r>
    <w:r>
      <w:rPr>
        <w:rStyle w:val="a5"/>
        <w:rFonts w:hint="eastAsia"/>
        <w:sz w:val="20"/>
        <w:szCs w:val="20"/>
      </w:rPr>
      <w:t>-</w:t>
    </w:r>
    <w:r w:rsidR="00ED4E09">
      <w:rPr>
        <w:rStyle w:val="a5"/>
        <w:rFonts w:hint="eastAsia"/>
        <w:sz w:val="20"/>
        <w:szCs w:val="20"/>
      </w:rPr>
      <w:fldChar w:fldCharType="begin"/>
    </w:r>
    <w:r w:rsidR="00ED4E09">
      <w:rPr>
        <w:rStyle w:val="a5"/>
        <w:rFonts w:hint="eastAsia"/>
        <w:sz w:val="20"/>
        <w:szCs w:val="20"/>
      </w:rPr>
      <w:instrText xml:space="preserve">PAGE  </w:instrText>
    </w:r>
    <w:r w:rsidR="00ED4E09">
      <w:rPr>
        <w:rStyle w:val="a5"/>
        <w:rFonts w:hint="eastAsia"/>
        <w:sz w:val="20"/>
        <w:szCs w:val="20"/>
      </w:rPr>
      <w:fldChar w:fldCharType="separate"/>
    </w:r>
    <w:r w:rsidR="006A6596">
      <w:rPr>
        <w:rStyle w:val="a5"/>
        <w:noProof/>
        <w:sz w:val="20"/>
        <w:szCs w:val="20"/>
      </w:rPr>
      <w:t>4</w:t>
    </w:r>
    <w:r w:rsidR="00ED4E09">
      <w:rPr>
        <w:rStyle w:val="a5"/>
        <w:rFonts w:hint="eastAsia"/>
        <w:sz w:val="20"/>
        <w:szCs w:val="20"/>
      </w:rPr>
      <w:fldChar w:fldCharType="end"/>
    </w:r>
  </w:p>
  <w:p w:rsidR="0043695B" w:rsidRDefault="004369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9F" w:rsidRDefault="000E419F">
      <w:r>
        <w:separator/>
      </w:r>
    </w:p>
  </w:footnote>
  <w:footnote w:type="continuationSeparator" w:id="0">
    <w:p w:rsidR="000E419F" w:rsidRDefault="000E4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A5A1E"/>
    <w:rsid w:val="000E419F"/>
    <w:rsid w:val="001068BE"/>
    <w:rsid w:val="001842F1"/>
    <w:rsid w:val="001E4757"/>
    <w:rsid w:val="002A5A1E"/>
    <w:rsid w:val="003E728B"/>
    <w:rsid w:val="0043695B"/>
    <w:rsid w:val="004D3F8D"/>
    <w:rsid w:val="00631ACB"/>
    <w:rsid w:val="006A6596"/>
    <w:rsid w:val="00713090"/>
    <w:rsid w:val="00723320"/>
    <w:rsid w:val="00950FE2"/>
    <w:rsid w:val="00C9578F"/>
    <w:rsid w:val="00C95894"/>
    <w:rsid w:val="00D23042"/>
    <w:rsid w:val="00DC1278"/>
    <w:rsid w:val="00EA1BFF"/>
    <w:rsid w:val="00ED4E09"/>
    <w:rsid w:val="00EF0E27"/>
    <w:rsid w:val="00F77E99"/>
    <w:rsid w:val="00FA0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578F"/>
    <w:pPr>
      <w:tabs>
        <w:tab w:val="center" w:pos="4153"/>
        <w:tab w:val="right" w:pos="8306"/>
      </w:tabs>
      <w:snapToGrid w:val="0"/>
    </w:pPr>
    <w:rPr>
      <w:sz w:val="20"/>
      <w:szCs w:val="20"/>
    </w:rPr>
  </w:style>
  <w:style w:type="character" w:customStyle="1" w:styleId="a7">
    <w:name w:val="頁首 字元"/>
    <w:basedOn w:val="a0"/>
    <w:link w:val="a6"/>
    <w:uiPriority w:val="99"/>
    <w:rsid w:val="00C9578F"/>
    <w:rPr>
      <w:rFonts w:ascii="新細明體" w:eastAsia="新細明體" w:hAnsi="新細明體" w:cs="新細明體"/>
    </w:rPr>
  </w:style>
  <w:style w:type="paragraph" w:styleId="a8">
    <w:name w:val="Balloon Text"/>
    <w:basedOn w:val="a"/>
    <w:link w:val="a9"/>
    <w:uiPriority w:val="99"/>
    <w:semiHidden/>
    <w:unhideWhenUsed/>
    <w:rsid w:val="00950FE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0F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578F"/>
    <w:pPr>
      <w:tabs>
        <w:tab w:val="center" w:pos="4153"/>
        <w:tab w:val="right" w:pos="8306"/>
      </w:tabs>
      <w:snapToGrid w:val="0"/>
    </w:pPr>
    <w:rPr>
      <w:sz w:val="20"/>
      <w:szCs w:val="20"/>
    </w:rPr>
  </w:style>
  <w:style w:type="character" w:customStyle="1" w:styleId="a7">
    <w:name w:val="頁首 字元"/>
    <w:basedOn w:val="a0"/>
    <w:link w:val="a6"/>
    <w:uiPriority w:val="99"/>
    <w:rsid w:val="00C9578F"/>
    <w:rPr>
      <w:rFonts w:ascii="新細明體" w:eastAsia="新細明體" w:hAnsi="新細明體" w:cs="新細明體"/>
    </w:rPr>
  </w:style>
  <w:style w:type="paragraph" w:styleId="a8">
    <w:name w:val="Balloon Text"/>
    <w:basedOn w:val="a"/>
    <w:link w:val="a9"/>
    <w:uiPriority w:val="99"/>
    <w:semiHidden/>
    <w:unhideWhenUsed/>
    <w:rsid w:val="00950FE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0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4106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3335</Words>
  <Characters>451</Characters>
  <Application>Microsoft Office Word</Application>
  <DocSecurity>0</DocSecurity>
  <Lines>3</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cp:lastPrinted>2016-08-12T01:16:00Z</cp:lastPrinted>
  <dcterms:created xsi:type="dcterms:W3CDTF">2016-07-29T01:48:00Z</dcterms:created>
  <dcterms:modified xsi:type="dcterms:W3CDTF">2016-08-12T01:42:00Z</dcterms:modified>
</cp:coreProperties>
</file>