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AA" w:rsidRDefault="00E61AD5">
      <w:pPr>
        <w:pStyle w:val="Web"/>
        <w:spacing w:before="0" w:beforeAutospacing="0" w:after="0" w:afterAutospacing="0" w:line="320" w:lineRule="exact"/>
        <w:jc w:val="center"/>
        <w:divId w:val="1181163678"/>
        <w:rPr>
          <w:sz w:val="32"/>
          <w:szCs w:val="32"/>
        </w:rPr>
      </w:pPr>
      <w:bookmarkStart w:id="0" w:name="_GoBack"/>
      <w:bookmarkEnd w:id="0"/>
      <w:r>
        <w:rPr>
          <w:rFonts w:hint="eastAsia"/>
          <w:b/>
          <w:bCs/>
          <w:sz w:val="32"/>
          <w:szCs w:val="32"/>
        </w:rPr>
        <w:t>行政院原子能委員會中程施政計畫（106至109年</w:t>
      </w:r>
      <w:r w:rsidR="00F61A38">
        <w:rPr>
          <w:rFonts w:hint="eastAsia"/>
          <w:b/>
          <w:bCs/>
          <w:sz w:val="32"/>
          <w:szCs w:val="32"/>
        </w:rPr>
        <w:t>度</w:t>
      </w:r>
      <w:r>
        <w:rPr>
          <w:rFonts w:hint="eastAsia"/>
          <w:b/>
          <w:bCs/>
          <w:sz w:val="32"/>
          <w:szCs w:val="32"/>
        </w:rPr>
        <w:t>）</w:t>
      </w:r>
    </w:p>
    <w:p w:rsidR="00FE05F2" w:rsidRPr="00D06D98" w:rsidRDefault="00FE05F2" w:rsidP="00FE05F2">
      <w:pPr>
        <w:jc w:val="right"/>
        <w:divId w:val="1181163678"/>
      </w:pPr>
    </w:p>
    <w:p w:rsidR="00FE05F2" w:rsidRPr="00FE05F2" w:rsidRDefault="00FE05F2" w:rsidP="00FE05F2">
      <w:pPr>
        <w:pStyle w:val="Web"/>
        <w:spacing w:beforeLines="100" w:before="240" w:beforeAutospacing="0" w:after="0" w:afterAutospacing="0" w:line="320" w:lineRule="exact"/>
        <w:divId w:val="1181163678"/>
        <w:rPr>
          <w:b/>
          <w:bCs/>
        </w:rPr>
      </w:pPr>
      <w:r w:rsidRPr="00FE05F2">
        <w:rPr>
          <w:rFonts w:hint="eastAsia"/>
          <w:b/>
          <w:bCs/>
        </w:rPr>
        <w:t>壹、施政綱要</w:t>
      </w:r>
    </w:p>
    <w:p w:rsidR="006459AA" w:rsidRDefault="00E61AD5">
      <w:pPr>
        <w:pStyle w:val="Web"/>
        <w:spacing w:before="0" w:beforeAutospacing="0" w:after="0" w:afterAutospacing="0" w:line="320" w:lineRule="exact"/>
        <w:divId w:val="1181163678"/>
      </w:pPr>
      <w:r>
        <w:rPr>
          <w:rFonts w:hint="eastAsia"/>
        </w:rPr>
        <w:t>一、確保核能電廠及廢料安全</w:t>
      </w:r>
    </w:p>
    <w:p w:rsidR="006459AA" w:rsidRDefault="00FE05F2" w:rsidP="00FE05F2">
      <w:pPr>
        <w:pStyle w:val="Web"/>
        <w:spacing w:before="0" w:beforeAutospacing="0" w:after="0" w:afterAutospacing="0"/>
        <w:jc w:val="both"/>
        <w:divId w:val="1181163678"/>
      </w:pPr>
      <w:r>
        <w:t>（</w:t>
      </w:r>
      <w:r w:rsidR="00E61AD5">
        <w:t>一</w:t>
      </w:r>
      <w:r>
        <w:t>）</w:t>
      </w:r>
      <w:r w:rsidR="00E61AD5">
        <w:t>切實監督核能電廠安全</w:t>
      </w:r>
    </w:p>
    <w:p w:rsidR="006459AA" w:rsidRDefault="00E61AD5" w:rsidP="00FE05F2">
      <w:pPr>
        <w:pStyle w:val="Web"/>
        <w:spacing w:before="0" w:beforeAutospacing="0" w:after="0" w:afterAutospacing="0"/>
        <w:ind w:left="1191" w:hanging="482"/>
        <w:jc w:val="both"/>
        <w:divId w:val="1181163678"/>
      </w:pPr>
      <w:r>
        <w:t>１、確保運轉中核能電廠之安全性與可靠性。</w:t>
      </w:r>
    </w:p>
    <w:p w:rsidR="006459AA" w:rsidRDefault="00E61AD5" w:rsidP="00FE05F2">
      <w:pPr>
        <w:pStyle w:val="Web"/>
        <w:spacing w:before="0" w:beforeAutospacing="0" w:after="0" w:afterAutospacing="0"/>
        <w:ind w:left="1191" w:hanging="482"/>
        <w:jc w:val="both"/>
        <w:divId w:val="1181163678"/>
      </w:pPr>
      <w:r>
        <w:t>２、落實封存中核能電廠之品保管制及查核。</w:t>
      </w:r>
    </w:p>
    <w:p w:rsidR="006459AA" w:rsidRDefault="00E61AD5" w:rsidP="00FE05F2">
      <w:pPr>
        <w:pStyle w:val="Web"/>
        <w:spacing w:before="0" w:beforeAutospacing="0" w:after="0" w:afterAutospacing="0"/>
        <w:ind w:left="1191" w:hanging="482"/>
        <w:jc w:val="both"/>
        <w:divId w:val="1181163678"/>
      </w:pPr>
      <w:r>
        <w:t>３、持續核安總體檢及壓力測試後續各項具體強化措施之管制。</w:t>
      </w:r>
    </w:p>
    <w:p w:rsidR="006459AA" w:rsidRDefault="00FE05F2" w:rsidP="00FE05F2">
      <w:pPr>
        <w:pStyle w:val="Web"/>
        <w:spacing w:before="0" w:beforeAutospacing="0" w:after="0" w:afterAutospacing="0"/>
        <w:jc w:val="both"/>
        <w:divId w:val="1181163678"/>
      </w:pPr>
      <w:r>
        <w:t>（</w:t>
      </w:r>
      <w:r w:rsidR="00E61AD5">
        <w:t>二</w:t>
      </w:r>
      <w:r>
        <w:t>）</w:t>
      </w:r>
      <w:r w:rsidR="00E61AD5">
        <w:t>穩妥放射性廢棄物管理</w:t>
      </w:r>
    </w:p>
    <w:p w:rsidR="006459AA" w:rsidRDefault="00E61AD5" w:rsidP="00FE05F2">
      <w:pPr>
        <w:pStyle w:val="Web"/>
        <w:spacing w:before="0" w:beforeAutospacing="0" w:after="0" w:afterAutospacing="0"/>
        <w:ind w:left="1191" w:hanging="482"/>
        <w:jc w:val="both"/>
        <w:divId w:val="1181163678"/>
      </w:pPr>
      <w:r>
        <w:t>１、嚴格管制用過核子燃料乾式貯存設施之建造品質，確保乾式貯存設施安全營運。</w:t>
      </w:r>
    </w:p>
    <w:p w:rsidR="006459AA" w:rsidRDefault="00E61AD5" w:rsidP="00FE05F2">
      <w:pPr>
        <w:pStyle w:val="Web"/>
        <w:spacing w:before="0" w:beforeAutospacing="0" w:after="0" w:afterAutospacing="0"/>
        <w:ind w:left="1191" w:hanging="482"/>
        <w:jc w:val="both"/>
        <w:divId w:val="1181163678"/>
      </w:pPr>
      <w:r>
        <w:t>２、嚴密管制低放射性廢棄物處置設施之選址及建造，積極督促業者依據最終處置計畫執行最終處置作業。</w:t>
      </w:r>
    </w:p>
    <w:p w:rsidR="006459AA" w:rsidRDefault="00E61AD5" w:rsidP="00FE05F2">
      <w:pPr>
        <w:pStyle w:val="Web"/>
        <w:spacing w:before="0" w:beforeAutospacing="0" w:after="0" w:afterAutospacing="0"/>
        <w:ind w:left="1191" w:hanging="482"/>
        <w:jc w:val="both"/>
        <w:divId w:val="1181163678"/>
      </w:pPr>
      <w:r>
        <w:t>３、精進低放射性廢棄物及核設施除役安全管制與技術，持續推動廢棄物之減量，提升管理效能與安全。</w:t>
      </w:r>
    </w:p>
    <w:p w:rsidR="006459AA" w:rsidRDefault="00E61AD5" w:rsidP="00FE05F2">
      <w:pPr>
        <w:pStyle w:val="Web"/>
        <w:spacing w:before="0" w:beforeAutospacing="0" w:after="0" w:afterAutospacing="0"/>
        <w:ind w:left="1191" w:hanging="482"/>
        <w:jc w:val="both"/>
        <w:divId w:val="1181163678"/>
      </w:pPr>
      <w:r>
        <w:t>４、精進放射性物料管制法規，結合技術研發與實務需求，落實放射性物料管制。</w:t>
      </w:r>
    </w:p>
    <w:p w:rsidR="006459AA" w:rsidRDefault="00E61AD5">
      <w:pPr>
        <w:pStyle w:val="Web"/>
        <w:spacing w:before="0" w:beforeAutospacing="0" w:after="0" w:afterAutospacing="0" w:line="320" w:lineRule="exact"/>
        <w:divId w:val="1181163678"/>
      </w:pPr>
      <w:r>
        <w:rPr>
          <w:rFonts w:hint="eastAsia"/>
        </w:rPr>
        <w:t>二、保障環境及民生輻射安全</w:t>
      </w:r>
    </w:p>
    <w:p w:rsidR="006459AA" w:rsidRDefault="00FE05F2" w:rsidP="00FE05F2">
      <w:pPr>
        <w:pStyle w:val="Web"/>
        <w:spacing w:before="0" w:beforeAutospacing="0" w:after="0" w:afterAutospacing="0"/>
        <w:jc w:val="both"/>
        <w:divId w:val="1181163678"/>
      </w:pPr>
      <w:r>
        <w:t>（</w:t>
      </w:r>
      <w:r w:rsidR="00E61AD5">
        <w:t>一</w:t>
      </w:r>
      <w:r>
        <w:t>）</w:t>
      </w:r>
      <w:r w:rsidR="00E61AD5">
        <w:t>嚴密輻射防護安全管理</w:t>
      </w:r>
    </w:p>
    <w:p w:rsidR="006459AA" w:rsidRDefault="00E61AD5" w:rsidP="00FE05F2">
      <w:pPr>
        <w:pStyle w:val="Web"/>
        <w:spacing w:before="0" w:beforeAutospacing="0" w:after="0" w:afterAutospacing="0"/>
        <w:ind w:left="1191" w:hanging="482"/>
        <w:jc w:val="both"/>
        <w:divId w:val="1181163678"/>
      </w:pPr>
      <w:r>
        <w:t>１、執行核能電廠運轉及除役之輻射安全管制，保障民眾輻射安全。</w:t>
      </w:r>
    </w:p>
    <w:p w:rsidR="006459AA" w:rsidRDefault="00E61AD5" w:rsidP="00FE05F2">
      <w:pPr>
        <w:pStyle w:val="Web"/>
        <w:spacing w:before="0" w:beforeAutospacing="0" w:after="0" w:afterAutospacing="0"/>
        <w:ind w:left="1191" w:hanging="482"/>
        <w:jc w:val="both"/>
        <w:divId w:val="1181163678"/>
      </w:pPr>
      <w:r>
        <w:t>２、推動輻射醫療曝露品質保證制度，維護民眾接受放射診斷與治療之安全及品質。</w:t>
      </w:r>
    </w:p>
    <w:p w:rsidR="006459AA" w:rsidRDefault="00E61AD5" w:rsidP="00FE05F2">
      <w:pPr>
        <w:pStyle w:val="Web"/>
        <w:spacing w:before="0" w:beforeAutospacing="0" w:after="0" w:afterAutospacing="0"/>
        <w:ind w:left="1191" w:hanging="482"/>
        <w:jc w:val="both"/>
        <w:divId w:val="1181163678"/>
      </w:pPr>
      <w:r>
        <w:t>３、嚴密監督高強度或高風險輻射源作業場所之輻射安全檢查與輔導，確保輻射源之妥善使用。</w:t>
      </w:r>
    </w:p>
    <w:p w:rsidR="006459AA" w:rsidRDefault="00FE05F2" w:rsidP="00FE05F2">
      <w:pPr>
        <w:pStyle w:val="Web"/>
        <w:spacing w:before="0" w:beforeAutospacing="0" w:after="0" w:afterAutospacing="0"/>
        <w:jc w:val="both"/>
        <w:divId w:val="1181163678"/>
      </w:pPr>
      <w:r>
        <w:t>（</w:t>
      </w:r>
      <w:r w:rsidR="00E61AD5">
        <w:t>二</w:t>
      </w:r>
      <w:r>
        <w:t>）</w:t>
      </w:r>
      <w:r w:rsidR="00E61AD5">
        <w:t>強化核</w:t>
      </w:r>
      <w:r>
        <w:t>（</w:t>
      </w:r>
      <w:r w:rsidR="00E61AD5">
        <w:t>輻射</w:t>
      </w:r>
      <w:r>
        <w:t>）</w:t>
      </w:r>
      <w:r w:rsidR="00E61AD5">
        <w:t>災害防救能量</w:t>
      </w:r>
    </w:p>
    <w:p w:rsidR="006459AA" w:rsidRDefault="00E61AD5" w:rsidP="00FE05F2">
      <w:pPr>
        <w:pStyle w:val="Web"/>
        <w:spacing w:before="0" w:beforeAutospacing="0" w:after="0" w:afterAutospacing="0"/>
        <w:ind w:left="1191" w:hanging="482"/>
        <w:jc w:val="both"/>
        <w:divId w:val="1181163678"/>
      </w:pPr>
      <w:r>
        <w:t>１、執行核能電廠保安與緊急應變整備稽查，累積事故應變經驗及能力。</w:t>
      </w:r>
    </w:p>
    <w:p w:rsidR="006459AA" w:rsidRDefault="00E61AD5" w:rsidP="00FE05F2">
      <w:pPr>
        <w:pStyle w:val="Web"/>
        <w:spacing w:before="0" w:beforeAutospacing="0" w:after="0" w:afterAutospacing="0"/>
        <w:ind w:left="1191" w:hanging="482"/>
        <w:jc w:val="both"/>
        <w:divId w:val="1181163678"/>
      </w:pPr>
      <w:r>
        <w:t>２、建立輻射災害鑑識分析能力，提升輻災防救管制技術。</w:t>
      </w:r>
    </w:p>
    <w:p w:rsidR="006459AA" w:rsidRDefault="00FE05F2" w:rsidP="00FE05F2">
      <w:pPr>
        <w:pStyle w:val="Web"/>
        <w:spacing w:before="0" w:beforeAutospacing="0" w:after="0" w:afterAutospacing="0"/>
        <w:jc w:val="both"/>
        <w:divId w:val="1181163678"/>
      </w:pPr>
      <w:r>
        <w:t>（</w:t>
      </w:r>
      <w:r w:rsidR="00E61AD5">
        <w:t>三</w:t>
      </w:r>
      <w:r>
        <w:t>）</w:t>
      </w:r>
      <w:r w:rsidR="00E61AD5">
        <w:t>提升環境輻射監測機制</w:t>
      </w:r>
    </w:p>
    <w:p w:rsidR="006459AA" w:rsidRDefault="00E61AD5" w:rsidP="00FE05F2">
      <w:pPr>
        <w:pStyle w:val="Web"/>
        <w:spacing w:before="0" w:beforeAutospacing="0" w:after="0" w:afterAutospacing="0"/>
        <w:ind w:left="1191" w:hanging="482"/>
        <w:jc w:val="both"/>
        <w:divId w:val="1181163678"/>
      </w:pPr>
      <w:r>
        <w:t>１、執行臺灣地區環境輻射監測及採樣分析，評估民眾可能接受之輻射劑量。</w:t>
      </w:r>
    </w:p>
    <w:p w:rsidR="006459AA" w:rsidRDefault="00E61AD5" w:rsidP="00FE05F2">
      <w:pPr>
        <w:pStyle w:val="Web"/>
        <w:spacing w:before="0" w:beforeAutospacing="0" w:after="0" w:afterAutospacing="0"/>
        <w:ind w:left="1191" w:hanging="482"/>
        <w:jc w:val="both"/>
        <w:divId w:val="1181163678"/>
      </w:pPr>
      <w:r>
        <w:t>２、建立境外核災大氣輻射預報機制，精進輻射偵測技術與監測設備，落實境內外核災預警及防護。</w:t>
      </w:r>
    </w:p>
    <w:p w:rsidR="006459AA" w:rsidRDefault="00E61AD5">
      <w:pPr>
        <w:pStyle w:val="Web"/>
        <w:spacing w:before="0" w:beforeAutospacing="0" w:after="0" w:afterAutospacing="0" w:line="320" w:lineRule="exact"/>
        <w:divId w:val="1181163678"/>
      </w:pPr>
      <w:r>
        <w:rPr>
          <w:rFonts w:hint="eastAsia"/>
        </w:rPr>
        <w:t>三、原子能科技應用研究發展</w:t>
      </w:r>
    </w:p>
    <w:p w:rsidR="006459AA" w:rsidRDefault="00FE05F2" w:rsidP="00FE05F2">
      <w:pPr>
        <w:pStyle w:val="Web"/>
        <w:spacing w:before="0" w:beforeAutospacing="0" w:after="0" w:afterAutospacing="0"/>
        <w:jc w:val="both"/>
        <w:divId w:val="1181163678"/>
      </w:pPr>
      <w:r>
        <w:t>（</w:t>
      </w:r>
      <w:r w:rsidR="00E61AD5">
        <w:t>一</w:t>
      </w:r>
      <w:r>
        <w:t>）</w:t>
      </w:r>
      <w:r w:rsidR="00E61AD5">
        <w:t>推動民生應用基礎研究</w:t>
      </w:r>
    </w:p>
    <w:p w:rsidR="006459AA" w:rsidRDefault="00E61AD5" w:rsidP="00FE05F2">
      <w:pPr>
        <w:pStyle w:val="Web"/>
        <w:spacing w:before="0" w:beforeAutospacing="0" w:after="0" w:afterAutospacing="0"/>
        <w:ind w:left="1191" w:hanging="482"/>
        <w:jc w:val="both"/>
        <w:divId w:val="1181163678"/>
      </w:pPr>
      <w:r>
        <w:t>１、結合學術機構創新原子能科技於民生應用之基礎研究。</w:t>
      </w:r>
    </w:p>
    <w:p w:rsidR="006459AA" w:rsidRDefault="00E61AD5" w:rsidP="00FE05F2">
      <w:pPr>
        <w:pStyle w:val="Web"/>
        <w:spacing w:before="0" w:beforeAutospacing="0" w:after="0" w:afterAutospacing="0"/>
        <w:ind w:left="1191" w:hanging="482"/>
        <w:jc w:val="both"/>
        <w:divId w:val="1181163678"/>
      </w:pPr>
      <w:r>
        <w:t>２、推動政策規劃與安全管制相關之任務導向式合作研究。</w:t>
      </w:r>
    </w:p>
    <w:p w:rsidR="006459AA" w:rsidRDefault="00FE05F2" w:rsidP="00FE05F2">
      <w:pPr>
        <w:pStyle w:val="Web"/>
        <w:spacing w:before="0" w:beforeAutospacing="0" w:after="0" w:afterAutospacing="0"/>
        <w:jc w:val="both"/>
        <w:divId w:val="1181163678"/>
      </w:pPr>
      <w:r>
        <w:t>（</w:t>
      </w:r>
      <w:r w:rsidR="00E61AD5">
        <w:t>二</w:t>
      </w:r>
      <w:r>
        <w:t>）</w:t>
      </w:r>
      <w:r w:rsidR="00E61AD5">
        <w:t>發展工程跨域整合技術</w:t>
      </w:r>
    </w:p>
    <w:p w:rsidR="006459AA" w:rsidRDefault="00E61AD5" w:rsidP="00FE05F2">
      <w:pPr>
        <w:pStyle w:val="Web"/>
        <w:spacing w:before="0" w:beforeAutospacing="0" w:after="0" w:afterAutospacing="0"/>
        <w:ind w:left="1191" w:hanging="482"/>
        <w:jc w:val="both"/>
        <w:divId w:val="1181163678"/>
      </w:pPr>
      <w:r>
        <w:t>１、確保核能電廠停役前運轉安全技術之發展。</w:t>
      </w:r>
    </w:p>
    <w:p w:rsidR="006459AA" w:rsidRDefault="00E61AD5" w:rsidP="00FE05F2">
      <w:pPr>
        <w:pStyle w:val="Web"/>
        <w:spacing w:before="0" w:beforeAutospacing="0" w:after="0" w:afterAutospacing="0"/>
        <w:ind w:left="1191" w:hanging="482"/>
        <w:jc w:val="both"/>
        <w:divId w:val="1181163678"/>
      </w:pPr>
      <w:r>
        <w:t>２、發展核設施除役與放射性廢棄物處理技術。</w:t>
      </w:r>
    </w:p>
    <w:p w:rsidR="006459AA" w:rsidRDefault="00E61AD5" w:rsidP="00FE05F2">
      <w:pPr>
        <w:pStyle w:val="Web"/>
        <w:spacing w:before="0" w:beforeAutospacing="0" w:after="0" w:afterAutospacing="0"/>
        <w:ind w:left="1191" w:hanging="482"/>
        <w:jc w:val="both"/>
        <w:divId w:val="1181163678"/>
      </w:pPr>
      <w:r>
        <w:t>３、拓展核醫藥物與醫材產品開發及產業應用。</w:t>
      </w:r>
    </w:p>
    <w:p w:rsidR="006459AA" w:rsidRDefault="00E61AD5" w:rsidP="00FE05F2">
      <w:pPr>
        <w:pStyle w:val="Web"/>
        <w:spacing w:before="0" w:beforeAutospacing="0" w:after="0" w:afterAutospacing="0"/>
        <w:ind w:left="1191" w:hanging="482"/>
        <w:jc w:val="both"/>
        <w:divId w:val="1181163678"/>
      </w:pPr>
      <w:r>
        <w:t>４、發展電漿節能技術與帶動節能產業升級。</w:t>
      </w:r>
    </w:p>
    <w:p w:rsidR="006459AA" w:rsidRDefault="00E61AD5">
      <w:pPr>
        <w:pStyle w:val="Web"/>
        <w:spacing w:before="0" w:beforeAutospacing="0" w:after="0" w:afterAutospacing="0" w:line="320" w:lineRule="exact"/>
        <w:divId w:val="1181163678"/>
      </w:pPr>
      <w:r>
        <w:rPr>
          <w:rFonts w:hint="eastAsia"/>
        </w:rPr>
        <w:t>四、永續能源技術與策略研究</w:t>
      </w:r>
    </w:p>
    <w:p w:rsidR="006459AA" w:rsidRDefault="00E61AD5" w:rsidP="00FE05F2">
      <w:pPr>
        <w:pStyle w:val="Web"/>
        <w:spacing w:before="0" w:beforeAutospacing="0" w:after="0" w:afterAutospacing="0"/>
        <w:ind w:leftChars="290" w:left="696"/>
        <w:jc w:val="both"/>
        <w:divId w:val="1181163678"/>
      </w:pPr>
      <w:r>
        <w:t>發展綠色能源產業技術</w:t>
      </w:r>
    </w:p>
    <w:p w:rsidR="006459AA" w:rsidRDefault="00E61AD5" w:rsidP="00FE05F2">
      <w:pPr>
        <w:pStyle w:val="Web"/>
        <w:spacing w:before="0" w:beforeAutospacing="0" w:after="0" w:afterAutospacing="0"/>
        <w:ind w:left="1191" w:hanging="482"/>
        <w:jc w:val="both"/>
        <w:divId w:val="1181163678"/>
      </w:pPr>
      <w:r>
        <w:t>１、發展節能減碳、替代能源、風力發電等關鍵技術與產業應用。</w:t>
      </w:r>
    </w:p>
    <w:p w:rsidR="006459AA" w:rsidRDefault="00E61AD5" w:rsidP="00FE05F2">
      <w:pPr>
        <w:pStyle w:val="Web"/>
        <w:spacing w:before="0" w:beforeAutospacing="0" w:after="0" w:afterAutospacing="0"/>
        <w:ind w:left="1191" w:hanging="482"/>
        <w:jc w:val="both"/>
        <w:divId w:val="1181163678"/>
      </w:pPr>
      <w:r>
        <w:t>２、發展自主式區域電網調控技術與高效能電能管理系統。</w:t>
      </w:r>
    </w:p>
    <w:p w:rsidR="006459AA" w:rsidRDefault="00E61AD5" w:rsidP="00FE05F2">
      <w:pPr>
        <w:pStyle w:val="Web"/>
        <w:spacing w:before="0" w:beforeAutospacing="0" w:after="0" w:afterAutospacing="0"/>
        <w:ind w:left="1191" w:hanging="482"/>
        <w:jc w:val="both"/>
        <w:divId w:val="1181163678"/>
      </w:pPr>
      <w:r>
        <w:t>３、強化能源安全策略與指標評估系統，精進模型與分析應用。</w:t>
      </w:r>
    </w:p>
    <w:p w:rsidR="006459AA" w:rsidRDefault="00E61AD5">
      <w:pPr>
        <w:pStyle w:val="Web"/>
        <w:spacing w:before="0" w:beforeAutospacing="0" w:after="0" w:afterAutospacing="0" w:line="320" w:lineRule="exact"/>
        <w:divId w:val="1181163678"/>
      </w:pPr>
      <w:r>
        <w:rPr>
          <w:rFonts w:hint="eastAsia"/>
        </w:rPr>
        <w:t>五、提升資源配置效率</w:t>
      </w:r>
    </w:p>
    <w:p w:rsidR="006459AA" w:rsidRDefault="00E61AD5" w:rsidP="00FE05F2">
      <w:pPr>
        <w:pStyle w:val="Web"/>
        <w:spacing w:before="0" w:beforeAutospacing="0" w:after="0" w:afterAutospacing="0"/>
        <w:ind w:leftChars="290" w:left="696"/>
        <w:jc w:val="both"/>
        <w:divId w:val="1181163678"/>
      </w:pPr>
      <w:r>
        <w:t>妥適配置預算資源，提升預算執行效率</w:t>
      </w:r>
    </w:p>
    <w:p w:rsidR="006459AA" w:rsidRDefault="00E61AD5" w:rsidP="00FE05F2">
      <w:pPr>
        <w:pStyle w:val="Web"/>
        <w:spacing w:before="0" w:beforeAutospacing="0" w:after="0" w:afterAutospacing="0"/>
        <w:ind w:left="1191" w:hanging="482"/>
        <w:jc w:val="both"/>
        <w:divId w:val="1181163678"/>
      </w:pPr>
      <w:r>
        <w:t>１、強化資本支出預算執行，提升資產效益。</w:t>
      </w:r>
    </w:p>
    <w:p w:rsidR="006459AA" w:rsidRDefault="00E61AD5" w:rsidP="00FE05F2">
      <w:pPr>
        <w:pStyle w:val="Web"/>
        <w:spacing w:before="0" w:beforeAutospacing="0" w:after="0" w:afterAutospacing="0"/>
        <w:ind w:left="1191" w:hanging="482"/>
        <w:jc w:val="both"/>
        <w:divId w:val="1181163678"/>
      </w:pPr>
      <w:r>
        <w:t>２、衡酌計畫執行能力，覈實編列各項計畫之經費需求；落實零基預算精神，檢討停辦不</w:t>
      </w:r>
      <w:r>
        <w:lastRenderedPageBreak/>
        <w:t>具經濟效益計畫，以妥適分配資源。</w:t>
      </w:r>
    </w:p>
    <w:p w:rsidR="00F61A38" w:rsidRPr="00F61A38" w:rsidRDefault="00F61A38">
      <w:pPr>
        <w:pStyle w:val="Web"/>
        <w:spacing w:before="0" w:beforeAutospacing="0" w:after="0" w:afterAutospacing="0"/>
        <w:ind w:left="1200" w:hanging="480"/>
        <w:jc w:val="both"/>
        <w:divId w:val="1181163678"/>
      </w:pPr>
    </w:p>
    <w:p w:rsidR="00D06D98" w:rsidRDefault="00D06D98">
      <w:pPr>
        <w:rPr>
          <w:b/>
          <w:bCs/>
        </w:rPr>
      </w:pPr>
      <w:r>
        <w:rPr>
          <w:b/>
          <w:bCs/>
        </w:rPr>
        <w:br w:type="page"/>
      </w:r>
    </w:p>
    <w:p w:rsidR="006459AA" w:rsidRDefault="00E61AD5" w:rsidP="00F61A38">
      <w:pPr>
        <w:pStyle w:val="Web"/>
        <w:spacing w:beforeLines="100" w:before="240" w:beforeAutospacing="0" w:after="0" w:afterAutospacing="0" w:line="320" w:lineRule="exact"/>
        <w:divId w:val="1181163678"/>
      </w:pPr>
      <w:r>
        <w:rPr>
          <w:rFonts w:hint="eastAsia"/>
          <w:b/>
          <w:bCs/>
        </w:rPr>
        <w:lastRenderedPageBreak/>
        <w:t>貳、關鍵績效指標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6"/>
        <w:gridCol w:w="1533"/>
        <w:gridCol w:w="307"/>
        <w:gridCol w:w="1431"/>
        <w:gridCol w:w="511"/>
        <w:gridCol w:w="511"/>
        <w:gridCol w:w="4055"/>
        <w:gridCol w:w="1566"/>
      </w:tblGrid>
      <w:tr w:rsidR="00D06D98" w:rsidTr="00D06D98">
        <w:trPr>
          <w:divId w:val="1181163678"/>
          <w:trHeight w:val="655"/>
          <w:tblHeader/>
        </w:trPr>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rsidR="00D06D98" w:rsidRDefault="00D06D98">
            <w:pPr>
              <w:wordWrap w:val="0"/>
              <w:spacing w:line="320" w:lineRule="exact"/>
              <w:jc w:val="center"/>
            </w:pPr>
            <w:r>
              <w:rPr>
                <w:rFonts w:hint="eastAsia"/>
                <w:b/>
                <w:bCs/>
              </w:rPr>
              <w:t>關鍵策略目標</w:t>
            </w:r>
          </w:p>
        </w:tc>
        <w:tc>
          <w:tcPr>
            <w:tcW w:w="850" w:type="pct"/>
            <w:gridSpan w:val="2"/>
            <w:tcBorders>
              <w:top w:val="outset" w:sz="6" w:space="0" w:color="000000"/>
              <w:left w:val="outset" w:sz="6" w:space="0" w:color="000000"/>
              <w:bottom w:val="outset" w:sz="6" w:space="0" w:color="000000"/>
              <w:right w:val="outset" w:sz="6" w:space="0" w:color="000000"/>
            </w:tcBorders>
            <w:vAlign w:val="center"/>
            <w:hideMark/>
          </w:tcPr>
          <w:p w:rsidR="00D06D98" w:rsidRDefault="00D06D98">
            <w:pPr>
              <w:wordWrap w:val="0"/>
              <w:spacing w:line="320" w:lineRule="exact"/>
              <w:jc w:val="center"/>
            </w:pPr>
            <w:r>
              <w:rPr>
                <w:rFonts w:hint="eastAsia"/>
                <w:b/>
                <w:bCs/>
              </w:rPr>
              <w:t>關鍵績效指標</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6D98" w:rsidRDefault="00D06D98">
            <w:pPr>
              <w:wordWrap w:val="0"/>
              <w:spacing w:line="320" w:lineRule="exact"/>
              <w:jc w:val="center"/>
            </w:pPr>
            <w:r>
              <w:rPr>
                <w:rFonts w:hint="eastAsia"/>
                <w:b/>
                <w:bCs/>
              </w:rPr>
              <w:t>評估體制</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06D98" w:rsidRDefault="00D06D98">
            <w:pPr>
              <w:wordWrap w:val="0"/>
              <w:spacing w:line="320" w:lineRule="exact"/>
              <w:jc w:val="center"/>
            </w:pPr>
            <w:r>
              <w:rPr>
                <w:rFonts w:hint="eastAsia"/>
                <w:b/>
                <w:bCs/>
              </w:rPr>
              <w:t>評估方式</w:t>
            </w:r>
          </w:p>
        </w:tc>
        <w:tc>
          <w:tcPr>
            <w:tcW w:w="1984" w:type="pct"/>
            <w:tcBorders>
              <w:top w:val="outset" w:sz="6" w:space="0" w:color="000000"/>
              <w:left w:val="outset" w:sz="6" w:space="0" w:color="000000"/>
              <w:bottom w:val="outset" w:sz="6" w:space="0" w:color="000000"/>
              <w:right w:val="outset" w:sz="6" w:space="0" w:color="000000"/>
            </w:tcBorders>
            <w:vAlign w:val="center"/>
            <w:hideMark/>
          </w:tcPr>
          <w:p w:rsidR="00D06D98" w:rsidRDefault="00D06D98">
            <w:pPr>
              <w:wordWrap w:val="0"/>
              <w:spacing w:line="320" w:lineRule="exact"/>
              <w:jc w:val="center"/>
            </w:pPr>
            <w:r>
              <w:rPr>
                <w:rFonts w:hint="eastAsia"/>
                <w:b/>
                <w:bCs/>
              </w:rPr>
              <w:t>衡量標準</w:t>
            </w:r>
          </w:p>
        </w:tc>
        <w:tc>
          <w:tcPr>
            <w:tcW w:w="766" w:type="pct"/>
            <w:tcBorders>
              <w:top w:val="outset" w:sz="6" w:space="0" w:color="000000"/>
              <w:left w:val="outset" w:sz="6" w:space="0" w:color="000000"/>
              <w:right w:val="outset" w:sz="6" w:space="0" w:color="000000"/>
            </w:tcBorders>
            <w:vAlign w:val="center"/>
            <w:hideMark/>
          </w:tcPr>
          <w:p w:rsidR="00D06D98" w:rsidRDefault="00D06D98" w:rsidP="00D06D98">
            <w:pPr>
              <w:wordWrap w:val="0"/>
              <w:spacing w:line="320" w:lineRule="exact"/>
              <w:jc w:val="center"/>
            </w:pPr>
            <w:r>
              <w:rPr>
                <w:rFonts w:hint="eastAsia"/>
                <w:b/>
                <w:bCs/>
              </w:rPr>
              <w:t>109年度</w:t>
            </w:r>
            <w:r>
              <w:rPr>
                <w:b/>
                <w:bCs/>
              </w:rPr>
              <w:br/>
            </w:r>
            <w:r>
              <w:rPr>
                <w:rFonts w:hint="eastAsia"/>
                <w:b/>
                <w:bCs/>
              </w:rPr>
              <w:t>目標值</w:t>
            </w:r>
          </w:p>
        </w:tc>
      </w:tr>
      <w:tr w:rsidR="006459AA" w:rsidTr="00D06D98">
        <w:trPr>
          <w:divId w:val="1181163678"/>
        </w:trPr>
        <w:tc>
          <w:tcPr>
            <w:tcW w:w="1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w:t>
            </w:r>
          </w:p>
        </w:tc>
        <w:tc>
          <w:tcPr>
            <w:tcW w:w="7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切實監督核能電廠安全</w:t>
            </w:r>
          </w:p>
        </w:tc>
        <w:tc>
          <w:tcPr>
            <w:tcW w:w="1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核安管制紅綠燈指標燈號</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459AA" w:rsidRDefault="00E61AD5" w:rsidP="00D06D98">
            <w:pPr>
              <w:wordWrap w:val="0"/>
              <w:spacing w:line="320" w:lineRule="exact"/>
              <w:jc w:val="both"/>
            </w:pPr>
            <w:r>
              <w:rPr>
                <w:rFonts w:hint="eastAsia"/>
              </w:rPr>
              <w:t>運轉中核能機組年度內核安管制紅綠燈號（每部機組每年52號次）之白燈轉換值不超過年度目標設定值。燈號轉換之計算方式為：1個黃燈燈號採計2個白燈燈號；1個紅燈燈號採計3個白燈燈號。年度內白燈轉換值小於目</w:t>
            </w:r>
            <w:r w:rsidRPr="00D06D98">
              <w:rPr>
                <w:rFonts w:hint="eastAsia"/>
                <w:spacing w:val="6"/>
              </w:rPr>
              <w:t>標設定值時，不予扣分；若白燈轉換值超過目標設定值時，計分算式為：</w:t>
            </w:r>
            <w:r>
              <w:rPr>
                <w:rFonts w:hint="eastAsia"/>
              </w:rPr>
              <w:t>100－【白燈轉換值－目標值】</w:t>
            </w:r>
            <w:r w:rsidR="00FE05F2">
              <w:rPr>
                <w:rFonts w:hint="eastAsia"/>
              </w:rPr>
              <w:t>×</w:t>
            </w:r>
            <w:r>
              <w:rPr>
                <w:rFonts w:hint="eastAsia"/>
              </w:rPr>
              <w:t>0.2</w:t>
            </w:r>
          </w:p>
        </w:tc>
        <w:tc>
          <w:tcPr>
            <w:tcW w:w="76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6白燈轉換值</w:t>
            </w:r>
          </w:p>
        </w:tc>
      </w:tr>
      <w:tr w:rsidR="006459AA" w:rsidTr="00D06D98">
        <w:trPr>
          <w:divId w:val="1181163678"/>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2</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穩妥放射性廢棄物管理</w:t>
            </w:r>
          </w:p>
        </w:tc>
        <w:tc>
          <w:tcPr>
            <w:tcW w:w="1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嚴密管制設施與運轉安全，防範輻射異常事件發生</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實際完成放射性廢棄物設施安全檢查人日）÷（預計完成放射性廢棄物設施安全檢查80人日）】×40%＋【（實際完成放射性物料設施安全檢查人日）÷（預計完成放射性物料設施安全檢查40人日）】×40%＋【（實際完成設施年度營運檢查次數）÷（預計完成各設施年度營運檢查各乙次）】×20%－【（每發生乙次輻射異常事件扣1%，若為管制疏失，屬可防範而未能防範者，每次扣3%）】</w:t>
            </w:r>
          </w:p>
        </w:tc>
        <w:tc>
          <w:tcPr>
            <w:tcW w:w="76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100%</w:t>
            </w:r>
          </w:p>
        </w:tc>
      </w:tr>
      <w:tr w:rsidR="006459AA" w:rsidTr="00D06D98">
        <w:trPr>
          <w:divId w:val="118116367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59AA" w:rsidRDefault="006459A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59AA" w:rsidRDefault="006459AA"/>
        </w:tc>
        <w:tc>
          <w:tcPr>
            <w:tcW w:w="1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核能電廠放射性廢液處理設施管制紅綠燈評鑑燈號</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核能電廠放射性廢液處理設施年度內管制紅綠燈號（每一廠每一年4次）之白燈轉算值不超過年度目標設定值（0個白燈）。</w:t>
            </w:r>
          </w:p>
        </w:tc>
        <w:tc>
          <w:tcPr>
            <w:tcW w:w="76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0個</w:t>
            </w:r>
          </w:p>
        </w:tc>
      </w:tr>
      <w:tr w:rsidR="006459AA" w:rsidTr="00D06D98">
        <w:trPr>
          <w:divId w:val="1181163678"/>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3</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嚴密輻射防護安全管理</w:t>
            </w:r>
          </w:p>
        </w:tc>
        <w:tc>
          <w:tcPr>
            <w:tcW w:w="1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嚴密核設施運轉及除役之輻射安全管制績效分數</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管制績效分數=100－（白燈數×2）－（黃燈數×5）≧98分</w:t>
            </w:r>
          </w:p>
        </w:tc>
        <w:tc>
          <w:tcPr>
            <w:tcW w:w="76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98分</w:t>
            </w:r>
          </w:p>
        </w:tc>
      </w:tr>
      <w:tr w:rsidR="006459AA" w:rsidTr="00D06D98">
        <w:trPr>
          <w:divId w:val="118116367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59AA" w:rsidRDefault="006459A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59AA" w:rsidRDefault="006459AA"/>
        </w:tc>
        <w:tc>
          <w:tcPr>
            <w:tcW w:w="1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確保應實施輻射醫療曝露品保設備及高強度或高風險輻射源之妥善率</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妥善率=[（當年度輻射醫療曝露品保設備檢查合格設備數量＋完成改善設備數量）÷（當年度檢查設備數量－停用及報廢設備數量）]×50%＋[（當年度高強度或高風險輻射源檢查合格證照數＋完成改善證照數）÷（當年度檢查證照數－停用及報廢證照數）]×50%</w:t>
            </w:r>
          </w:p>
        </w:tc>
        <w:tc>
          <w:tcPr>
            <w:tcW w:w="76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100%</w:t>
            </w:r>
          </w:p>
        </w:tc>
      </w:tr>
      <w:tr w:rsidR="006459AA" w:rsidTr="00D06D98">
        <w:trPr>
          <w:divId w:val="1181163678"/>
        </w:trPr>
        <w:tc>
          <w:tcPr>
            <w:tcW w:w="1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4</w:t>
            </w:r>
          </w:p>
        </w:tc>
        <w:tc>
          <w:tcPr>
            <w:tcW w:w="7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強化核</w:t>
            </w:r>
            <w:r w:rsidR="00FE05F2">
              <w:rPr>
                <w:rFonts w:hint="eastAsia"/>
              </w:rPr>
              <w:t>（</w:t>
            </w:r>
            <w:r>
              <w:rPr>
                <w:rFonts w:hint="eastAsia"/>
              </w:rPr>
              <w:t>輻射</w:t>
            </w:r>
            <w:r w:rsidR="00FE05F2">
              <w:rPr>
                <w:rFonts w:hint="eastAsia"/>
              </w:rPr>
              <w:t>）</w:t>
            </w:r>
            <w:r>
              <w:rPr>
                <w:rFonts w:hint="eastAsia"/>
              </w:rPr>
              <w:t>災害防救能量</w:t>
            </w:r>
          </w:p>
        </w:tc>
        <w:tc>
          <w:tcPr>
            <w:tcW w:w="1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核能電廠緊急應變整備及核子保安紅綠燈管制作業</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運轉中核能機組年度內緊急應變整備及核子保安管制紅綠燈號共72個號次，年度目標值：白燈發生次數≦2。1個黃燈採計2個白燈，1個紅燈採計3個白燈。</w:t>
            </w:r>
          </w:p>
        </w:tc>
        <w:tc>
          <w:tcPr>
            <w:tcW w:w="76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2白燈轉換值</w:t>
            </w:r>
          </w:p>
        </w:tc>
      </w:tr>
      <w:tr w:rsidR="006459AA" w:rsidTr="00D06D98">
        <w:trPr>
          <w:divId w:val="1181163678"/>
        </w:trPr>
        <w:tc>
          <w:tcPr>
            <w:tcW w:w="1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lastRenderedPageBreak/>
              <w:t>5</w:t>
            </w:r>
          </w:p>
        </w:tc>
        <w:tc>
          <w:tcPr>
            <w:tcW w:w="7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提升環境輻射監測機制</w:t>
            </w:r>
          </w:p>
        </w:tc>
        <w:tc>
          <w:tcPr>
            <w:tcW w:w="1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落實環境輻射監測以確保國人健康與環境安全</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[（實際完成年度環境輻射偵測及檢測樣品數量）÷（預計完成年度環境輻射偵測及檢測樣品數量）]×100%</w:t>
            </w:r>
          </w:p>
        </w:tc>
        <w:tc>
          <w:tcPr>
            <w:tcW w:w="76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100%</w:t>
            </w:r>
          </w:p>
        </w:tc>
      </w:tr>
      <w:tr w:rsidR="006459AA" w:rsidTr="00D06D98">
        <w:trPr>
          <w:divId w:val="1181163678"/>
        </w:trPr>
        <w:tc>
          <w:tcPr>
            <w:tcW w:w="1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6</w:t>
            </w:r>
          </w:p>
        </w:tc>
        <w:tc>
          <w:tcPr>
            <w:tcW w:w="7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推動民生應用基礎研究</w:t>
            </w:r>
          </w:p>
        </w:tc>
        <w:tc>
          <w:tcPr>
            <w:tcW w:w="1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政策輔助或民生應用效益</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研究成果具民生應用或政策輔助效益案件數</w:t>
            </w:r>
          </w:p>
        </w:tc>
        <w:tc>
          <w:tcPr>
            <w:tcW w:w="76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32件</w:t>
            </w:r>
          </w:p>
        </w:tc>
      </w:tr>
      <w:tr w:rsidR="006459AA" w:rsidTr="00D06D98">
        <w:trPr>
          <w:divId w:val="1181163678"/>
        </w:trPr>
        <w:tc>
          <w:tcPr>
            <w:tcW w:w="1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7</w:t>
            </w:r>
          </w:p>
        </w:tc>
        <w:tc>
          <w:tcPr>
            <w:tcW w:w="7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發展工程跨域整合技術</w:t>
            </w:r>
          </w:p>
        </w:tc>
        <w:tc>
          <w:tcPr>
            <w:tcW w:w="1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產業應用成效</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（技術服務、技術移轉及促成投資等總額÷計畫年度法定預算總額）×100%</w:t>
            </w:r>
          </w:p>
        </w:tc>
        <w:tc>
          <w:tcPr>
            <w:tcW w:w="76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32%</w:t>
            </w:r>
          </w:p>
        </w:tc>
      </w:tr>
      <w:tr w:rsidR="006459AA" w:rsidTr="00D06D98">
        <w:trPr>
          <w:divId w:val="1181163678"/>
        </w:trPr>
        <w:tc>
          <w:tcPr>
            <w:tcW w:w="1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8</w:t>
            </w:r>
          </w:p>
        </w:tc>
        <w:tc>
          <w:tcPr>
            <w:tcW w:w="7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發展綠色能源產業技術</w:t>
            </w:r>
          </w:p>
        </w:tc>
        <w:tc>
          <w:tcPr>
            <w:tcW w:w="1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產業應用成效</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（技術服務、技術移轉及促成投資等總額÷計畫年度法定預算總額）×100%</w:t>
            </w:r>
          </w:p>
        </w:tc>
        <w:tc>
          <w:tcPr>
            <w:tcW w:w="76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30%</w:t>
            </w:r>
          </w:p>
        </w:tc>
      </w:tr>
      <w:tr w:rsidR="006459AA" w:rsidTr="00D06D98">
        <w:trPr>
          <w:divId w:val="1181163678"/>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9</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妥適配置預算資源，提升預算執行效率</w:t>
            </w:r>
          </w:p>
        </w:tc>
        <w:tc>
          <w:tcPr>
            <w:tcW w:w="1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機關年度資本預算執行率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（本年度資本門實支數＋資本門應付未付數＋資本門賸餘數）÷（資本預算數）×100%（以上各數均含本年度原預算、追加預算及以前年度保留數）</w:t>
            </w:r>
          </w:p>
        </w:tc>
        <w:tc>
          <w:tcPr>
            <w:tcW w:w="76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90%</w:t>
            </w:r>
          </w:p>
        </w:tc>
      </w:tr>
      <w:tr w:rsidR="006459AA" w:rsidTr="00D06D98">
        <w:trPr>
          <w:divId w:val="118116367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59AA" w:rsidRDefault="006459A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59AA" w:rsidRDefault="006459AA"/>
        </w:tc>
        <w:tc>
          <w:tcPr>
            <w:tcW w:w="15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both"/>
            </w:pPr>
            <w:r>
              <w:rPr>
                <w:rFonts w:hint="eastAsia"/>
              </w:rPr>
              <w:t>【（本年度歲出概算編報數－本年度中程歲出概算額度核列數÷本年度中程歲出概算額度核列數】×100%</w:t>
            </w:r>
          </w:p>
        </w:tc>
        <w:tc>
          <w:tcPr>
            <w:tcW w:w="76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5%</w:t>
            </w:r>
          </w:p>
        </w:tc>
      </w:tr>
    </w:tbl>
    <w:p w:rsidR="006459AA" w:rsidRDefault="00E61AD5">
      <w:pPr>
        <w:pStyle w:val="Web"/>
        <w:spacing w:before="0" w:beforeAutospacing="0" w:after="0" w:afterAutospacing="0" w:line="320" w:lineRule="exact"/>
        <w:divId w:val="1181163678"/>
        <w:rPr>
          <w:sz w:val="18"/>
          <w:szCs w:val="18"/>
        </w:rPr>
      </w:pPr>
      <w:r>
        <w:rPr>
          <w:rFonts w:hint="eastAsia"/>
          <w:sz w:val="18"/>
          <w:szCs w:val="18"/>
        </w:rPr>
        <w:t>註：</w:t>
      </w:r>
    </w:p>
    <w:p w:rsidR="006459AA" w:rsidRDefault="00E61AD5">
      <w:pPr>
        <w:pStyle w:val="Web"/>
        <w:spacing w:before="0" w:beforeAutospacing="0" w:after="0" w:afterAutospacing="0" w:line="320" w:lineRule="exact"/>
        <w:divId w:val="1181163678"/>
        <w:rPr>
          <w:sz w:val="18"/>
          <w:szCs w:val="18"/>
        </w:rPr>
      </w:pPr>
      <w:r>
        <w:rPr>
          <w:rFonts w:hint="eastAsia"/>
          <w:sz w:val="18"/>
          <w:szCs w:val="18"/>
        </w:rPr>
        <w:t>評估體制之數字代號意義如下：</w:t>
      </w:r>
    </w:p>
    <w:p w:rsidR="006459AA" w:rsidRDefault="00E61AD5">
      <w:pPr>
        <w:pStyle w:val="Web"/>
        <w:spacing w:before="0" w:beforeAutospacing="0" w:after="0" w:afterAutospacing="0" w:line="320" w:lineRule="exact"/>
        <w:divId w:val="1181163678"/>
        <w:rPr>
          <w:sz w:val="18"/>
          <w:szCs w:val="18"/>
        </w:rPr>
      </w:pPr>
      <w:r>
        <w:rPr>
          <w:rFonts w:hint="eastAsia"/>
          <w:sz w:val="18"/>
          <w:szCs w:val="18"/>
        </w:rPr>
        <w:t xml:space="preserve">　　1.指實際評估作業係運用既有之組織架構進行。</w:t>
      </w:r>
    </w:p>
    <w:p w:rsidR="006459AA" w:rsidRDefault="00E61AD5">
      <w:pPr>
        <w:pStyle w:val="Web"/>
        <w:spacing w:before="0" w:beforeAutospacing="0" w:after="0" w:afterAutospacing="0" w:line="320" w:lineRule="exact"/>
        <w:divId w:val="1181163678"/>
        <w:rPr>
          <w:sz w:val="18"/>
          <w:szCs w:val="18"/>
        </w:rPr>
      </w:pPr>
      <w:r>
        <w:rPr>
          <w:rFonts w:hint="eastAsia"/>
          <w:sz w:val="18"/>
          <w:szCs w:val="18"/>
        </w:rPr>
        <w:t xml:space="preserve">　　2.指實際評估作業係由特定之任務編組進行。</w:t>
      </w:r>
    </w:p>
    <w:p w:rsidR="006459AA" w:rsidRDefault="00E61AD5">
      <w:pPr>
        <w:pStyle w:val="Web"/>
        <w:spacing w:before="0" w:beforeAutospacing="0" w:after="0" w:afterAutospacing="0" w:line="320" w:lineRule="exact"/>
        <w:divId w:val="1181163678"/>
        <w:rPr>
          <w:sz w:val="18"/>
          <w:szCs w:val="18"/>
        </w:rPr>
      </w:pPr>
      <w:r>
        <w:rPr>
          <w:rFonts w:hint="eastAsia"/>
          <w:sz w:val="18"/>
          <w:szCs w:val="18"/>
        </w:rPr>
        <w:t xml:space="preserve">　　3.指實際評估作業係透過第三者方式（如由專家學者）進行。</w:t>
      </w:r>
    </w:p>
    <w:p w:rsidR="006459AA" w:rsidRDefault="00E61AD5">
      <w:pPr>
        <w:pStyle w:val="Web"/>
        <w:spacing w:before="0" w:beforeAutospacing="0" w:after="0" w:afterAutospacing="0" w:line="320" w:lineRule="exact"/>
        <w:divId w:val="1181163678"/>
        <w:rPr>
          <w:sz w:val="18"/>
          <w:szCs w:val="18"/>
        </w:rPr>
      </w:pPr>
      <w:r>
        <w:rPr>
          <w:rFonts w:hint="eastAsia"/>
          <w:sz w:val="18"/>
          <w:szCs w:val="18"/>
        </w:rPr>
        <w:t xml:space="preserve">　　4.指實際評估作業係運用既有之組織架構並邀請第三者共同參與進行。</w:t>
      </w:r>
    </w:p>
    <w:p w:rsidR="006459AA" w:rsidRDefault="00E61AD5">
      <w:pPr>
        <w:pStyle w:val="Web"/>
        <w:spacing w:before="0" w:beforeAutospacing="0" w:after="0" w:afterAutospacing="0" w:line="320" w:lineRule="exact"/>
        <w:divId w:val="1181163678"/>
        <w:rPr>
          <w:sz w:val="18"/>
          <w:szCs w:val="18"/>
        </w:rPr>
      </w:pPr>
      <w:r>
        <w:rPr>
          <w:rFonts w:hint="eastAsia"/>
          <w:sz w:val="18"/>
          <w:szCs w:val="18"/>
        </w:rPr>
        <w:t xml:space="preserve">　　5.其它。</w:t>
      </w:r>
    </w:p>
    <w:p w:rsidR="00D06D98" w:rsidRDefault="00D06D98">
      <w:pPr>
        <w:rPr>
          <w:b/>
          <w:bCs/>
        </w:rPr>
      </w:pPr>
      <w:r>
        <w:rPr>
          <w:b/>
          <w:bCs/>
        </w:rPr>
        <w:br w:type="page"/>
      </w:r>
    </w:p>
    <w:p w:rsidR="006459AA" w:rsidRDefault="00E61AD5" w:rsidP="00F61A38">
      <w:pPr>
        <w:pStyle w:val="Web"/>
        <w:spacing w:beforeLines="100" w:before="240" w:beforeAutospacing="0" w:after="0" w:afterAutospacing="0" w:line="320" w:lineRule="exact"/>
        <w:divId w:val="1181163678"/>
      </w:pPr>
      <w:r>
        <w:rPr>
          <w:rFonts w:hint="eastAsia"/>
          <w:b/>
          <w:bCs/>
        </w:rPr>
        <w:lastRenderedPageBreak/>
        <w:t>參、未來四年重要計畫</w:t>
      </w:r>
    </w:p>
    <w:tbl>
      <w:tblPr>
        <w:tblW w:w="4997"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54"/>
        <w:gridCol w:w="4249"/>
        <w:gridCol w:w="1136"/>
        <w:gridCol w:w="1138"/>
        <w:gridCol w:w="2437"/>
      </w:tblGrid>
      <w:tr w:rsidR="00D06D98" w:rsidTr="00D06D98">
        <w:trPr>
          <w:divId w:val="1181163678"/>
          <w:tblHeader/>
        </w:trPr>
        <w:tc>
          <w:tcPr>
            <w:tcW w:w="614" w:type="pct"/>
            <w:tcBorders>
              <w:top w:val="outset" w:sz="6" w:space="0" w:color="000000"/>
              <w:left w:val="outset" w:sz="6" w:space="0" w:color="000000"/>
              <w:bottom w:val="outset" w:sz="6" w:space="0" w:color="000000"/>
              <w:right w:val="outset" w:sz="6" w:space="0" w:color="000000"/>
            </w:tcBorders>
            <w:vAlign w:val="center"/>
            <w:hideMark/>
          </w:tcPr>
          <w:p w:rsidR="006459AA" w:rsidRDefault="00E61AD5">
            <w:pPr>
              <w:wordWrap w:val="0"/>
              <w:spacing w:line="320" w:lineRule="exact"/>
              <w:jc w:val="center"/>
            </w:pPr>
            <w:r>
              <w:rPr>
                <w:rFonts w:hint="eastAsia"/>
                <w:b/>
                <w:bCs/>
              </w:rPr>
              <w:t>施政綱要</w:t>
            </w:r>
          </w:p>
        </w:tc>
        <w:tc>
          <w:tcPr>
            <w:tcW w:w="2080" w:type="pct"/>
            <w:tcBorders>
              <w:top w:val="outset" w:sz="6" w:space="0" w:color="000000"/>
              <w:left w:val="outset" w:sz="6" w:space="0" w:color="000000"/>
              <w:bottom w:val="outset" w:sz="6" w:space="0" w:color="000000"/>
              <w:right w:val="outset" w:sz="6" w:space="0" w:color="000000"/>
            </w:tcBorders>
            <w:vAlign w:val="center"/>
            <w:hideMark/>
          </w:tcPr>
          <w:p w:rsidR="006459AA" w:rsidRDefault="00E61AD5">
            <w:pPr>
              <w:wordWrap w:val="0"/>
              <w:spacing w:line="320" w:lineRule="exact"/>
              <w:jc w:val="center"/>
            </w:pPr>
            <w:r>
              <w:rPr>
                <w:rFonts w:hint="eastAsia"/>
                <w:b/>
                <w:bCs/>
              </w:rPr>
              <w:t>重要計畫項目</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6459AA" w:rsidRDefault="00E61AD5">
            <w:pPr>
              <w:wordWrap w:val="0"/>
              <w:spacing w:line="320" w:lineRule="exact"/>
              <w:jc w:val="center"/>
            </w:pPr>
            <w:r>
              <w:rPr>
                <w:rFonts w:hint="eastAsia"/>
                <w:b/>
                <w:bCs/>
              </w:rPr>
              <w:t>計畫期程</w:t>
            </w:r>
          </w:p>
        </w:tc>
        <w:tc>
          <w:tcPr>
            <w:tcW w:w="557" w:type="pct"/>
            <w:tcBorders>
              <w:top w:val="outset" w:sz="6" w:space="0" w:color="000000"/>
              <w:left w:val="outset" w:sz="6" w:space="0" w:color="000000"/>
              <w:bottom w:val="outset" w:sz="6" w:space="0" w:color="000000"/>
              <w:right w:val="outset" w:sz="6" w:space="0" w:color="000000"/>
            </w:tcBorders>
            <w:vAlign w:val="center"/>
            <w:hideMark/>
          </w:tcPr>
          <w:p w:rsidR="006459AA" w:rsidRDefault="00E61AD5">
            <w:pPr>
              <w:wordWrap w:val="0"/>
              <w:spacing w:line="320" w:lineRule="exact"/>
              <w:jc w:val="center"/>
            </w:pPr>
            <w:r>
              <w:rPr>
                <w:rFonts w:hint="eastAsia"/>
                <w:b/>
                <w:bCs/>
              </w:rPr>
              <w:t>計畫類別</w:t>
            </w:r>
          </w:p>
        </w:tc>
        <w:tc>
          <w:tcPr>
            <w:tcW w:w="1194" w:type="pct"/>
            <w:tcBorders>
              <w:top w:val="outset" w:sz="6" w:space="0" w:color="000000"/>
              <w:left w:val="outset" w:sz="6" w:space="0" w:color="000000"/>
              <w:bottom w:val="outset" w:sz="6" w:space="0" w:color="000000"/>
              <w:right w:val="outset" w:sz="6" w:space="0" w:color="000000"/>
            </w:tcBorders>
            <w:vAlign w:val="center"/>
            <w:hideMark/>
          </w:tcPr>
          <w:p w:rsidR="006459AA" w:rsidRDefault="00E61AD5">
            <w:pPr>
              <w:wordWrap w:val="0"/>
              <w:spacing w:line="320" w:lineRule="exact"/>
              <w:jc w:val="center"/>
            </w:pPr>
            <w:r>
              <w:rPr>
                <w:rFonts w:hint="eastAsia"/>
                <w:b/>
                <w:bCs/>
              </w:rPr>
              <w:t>與KPI關聯</w:t>
            </w:r>
          </w:p>
        </w:tc>
      </w:tr>
      <w:tr w:rsidR="00D06D98" w:rsidTr="00D06D98">
        <w:trPr>
          <w:divId w:val="1181163678"/>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確保核能電廠及廢料安全</w:t>
            </w:r>
          </w:p>
        </w:tc>
        <w:tc>
          <w:tcPr>
            <w:tcW w:w="208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核能電廠安全管制法規與技術研究計畫</w:t>
            </w:r>
          </w:p>
        </w:tc>
        <w:tc>
          <w:tcPr>
            <w:tcW w:w="55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105-108</w:t>
            </w:r>
          </w:p>
        </w:tc>
        <w:tc>
          <w:tcPr>
            <w:tcW w:w="557"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無</w:t>
            </w:r>
          </w:p>
        </w:tc>
      </w:tr>
      <w:tr w:rsidR="00D06D98" w:rsidTr="00D06D98">
        <w:trPr>
          <w:divId w:val="1181163678"/>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459AA" w:rsidRDefault="006459AA"/>
        </w:tc>
        <w:tc>
          <w:tcPr>
            <w:tcW w:w="208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放射性廢棄物貯存與處置安全管制技術發展</w:t>
            </w:r>
          </w:p>
        </w:tc>
        <w:tc>
          <w:tcPr>
            <w:tcW w:w="55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105-108</w:t>
            </w:r>
          </w:p>
        </w:tc>
        <w:tc>
          <w:tcPr>
            <w:tcW w:w="557"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無</w:t>
            </w:r>
          </w:p>
        </w:tc>
      </w:tr>
      <w:tr w:rsidR="00D06D98" w:rsidTr="00D06D98">
        <w:trPr>
          <w:divId w:val="1181163678"/>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459AA" w:rsidRDefault="006459AA"/>
        </w:tc>
        <w:tc>
          <w:tcPr>
            <w:tcW w:w="208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核能技術及核電廠除役之安全強化研究</w:t>
            </w:r>
          </w:p>
        </w:tc>
        <w:tc>
          <w:tcPr>
            <w:tcW w:w="55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104-107</w:t>
            </w:r>
          </w:p>
        </w:tc>
        <w:tc>
          <w:tcPr>
            <w:tcW w:w="557"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無</w:t>
            </w:r>
          </w:p>
        </w:tc>
      </w:tr>
      <w:tr w:rsidR="00D06D98" w:rsidTr="00D06D98">
        <w:trPr>
          <w:divId w:val="1181163678"/>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保障環境及民生輻射安全</w:t>
            </w:r>
          </w:p>
        </w:tc>
        <w:tc>
          <w:tcPr>
            <w:tcW w:w="208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強化輻射安全與輻射醫療品質技術之研究計畫</w:t>
            </w:r>
          </w:p>
        </w:tc>
        <w:tc>
          <w:tcPr>
            <w:tcW w:w="55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105-108</w:t>
            </w:r>
          </w:p>
        </w:tc>
        <w:tc>
          <w:tcPr>
            <w:tcW w:w="557"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確保應實施輻射醫療曝露品保設備及高強度或高風險輻射源之妥善率</w:t>
            </w:r>
          </w:p>
        </w:tc>
      </w:tr>
      <w:tr w:rsidR="00D06D98" w:rsidTr="00D06D98">
        <w:trPr>
          <w:divId w:val="1181163678"/>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459AA" w:rsidRDefault="006459AA"/>
        </w:tc>
        <w:tc>
          <w:tcPr>
            <w:tcW w:w="208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核設施除役之輻射安全與人員生物劑量評估技術研究計畫</w:t>
            </w:r>
          </w:p>
        </w:tc>
        <w:tc>
          <w:tcPr>
            <w:tcW w:w="55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嚴密核設施運轉及除役之輻射安全管制績效分數</w:t>
            </w:r>
          </w:p>
        </w:tc>
      </w:tr>
      <w:tr w:rsidR="00D06D98" w:rsidTr="00D06D98">
        <w:trPr>
          <w:divId w:val="1181163678"/>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459AA" w:rsidRDefault="006459AA"/>
        </w:tc>
        <w:tc>
          <w:tcPr>
            <w:tcW w:w="208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輻射災害防救與應變技術之研究發展</w:t>
            </w:r>
          </w:p>
        </w:tc>
        <w:tc>
          <w:tcPr>
            <w:tcW w:w="55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105-108</w:t>
            </w:r>
          </w:p>
        </w:tc>
        <w:tc>
          <w:tcPr>
            <w:tcW w:w="557"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核能電廠緊急應變整備及核子保安紅綠燈管制作業</w:t>
            </w:r>
          </w:p>
        </w:tc>
      </w:tr>
      <w:tr w:rsidR="00D06D98" w:rsidTr="00D06D98">
        <w:trPr>
          <w:divId w:val="1181163678"/>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原子能科技應用研究發展</w:t>
            </w:r>
          </w:p>
        </w:tc>
        <w:tc>
          <w:tcPr>
            <w:tcW w:w="208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原子能科技學術合作研究計畫</w:t>
            </w:r>
          </w:p>
        </w:tc>
        <w:tc>
          <w:tcPr>
            <w:tcW w:w="55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106-106</w:t>
            </w:r>
          </w:p>
        </w:tc>
        <w:tc>
          <w:tcPr>
            <w:tcW w:w="557"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政策輔助或民生應用效益</w:t>
            </w:r>
          </w:p>
        </w:tc>
      </w:tr>
      <w:tr w:rsidR="00D06D98" w:rsidTr="00D06D98">
        <w:trPr>
          <w:divId w:val="1181163678"/>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459AA" w:rsidRDefault="006459AA"/>
        </w:tc>
        <w:tc>
          <w:tcPr>
            <w:tcW w:w="208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原子能系統工程跨域整合發展計畫</w:t>
            </w:r>
          </w:p>
        </w:tc>
        <w:tc>
          <w:tcPr>
            <w:tcW w:w="55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產業應用成效</w:t>
            </w:r>
          </w:p>
        </w:tc>
      </w:tr>
      <w:tr w:rsidR="00D06D98" w:rsidTr="00D06D98">
        <w:trPr>
          <w:divId w:val="1181163678"/>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459AA" w:rsidRDefault="006459AA"/>
        </w:tc>
        <w:tc>
          <w:tcPr>
            <w:tcW w:w="208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加速肝功能量化正子造影劑之產業化</w:t>
            </w:r>
          </w:p>
        </w:tc>
        <w:tc>
          <w:tcPr>
            <w:tcW w:w="55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104-107</w:t>
            </w:r>
          </w:p>
        </w:tc>
        <w:tc>
          <w:tcPr>
            <w:tcW w:w="557"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產業應用成效</w:t>
            </w:r>
          </w:p>
        </w:tc>
      </w:tr>
      <w:tr w:rsidR="00D06D98" w:rsidTr="00D06D98">
        <w:trPr>
          <w:divId w:val="1181163678"/>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459AA" w:rsidRDefault="006459AA"/>
        </w:tc>
        <w:tc>
          <w:tcPr>
            <w:tcW w:w="208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次世代醫用3D放射造影儀技術開發及應用</w:t>
            </w:r>
          </w:p>
        </w:tc>
        <w:tc>
          <w:tcPr>
            <w:tcW w:w="55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103-106</w:t>
            </w:r>
          </w:p>
        </w:tc>
        <w:tc>
          <w:tcPr>
            <w:tcW w:w="557"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產業應用成效</w:t>
            </w:r>
          </w:p>
        </w:tc>
      </w:tr>
      <w:tr w:rsidR="00D06D98" w:rsidTr="00D06D98">
        <w:trPr>
          <w:divId w:val="1181163678"/>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459AA" w:rsidRDefault="006459AA"/>
        </w:tc>
        <w:tc>
          <w:tcPr>
            <w:tcW w:w="208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輻射管制區設施與環境安全強化改善</w:t>
            </w:r>
          </w:p>
        </w:tc>
        <w:tc>
          <w:tcPr>
            <w:tcW w:w="55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無</w:t>
            </w:r>
          </w:p>
        </w:tc>
      </w:tr>
      <w:tr w:rsidR="00D06D98" w:rsidTr="00D06D98">
        <w:trPr>
          <w:divId w:val="1181163678"/>
        </w:trPr>
        <w:tc>
          <w:tcPr>
            <w:tcW w:w="61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永續能源技術與策略研究</w:t>
            </w:r>
          </w:p>
        </w:tc>
        <w:tc>
          <w:tcPr>
            <w:tcW w:w="2080"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永續能源技術與策略發展應用計畫</w:t>
            </w:r>
          </w:p>
        </w:tc>
        <w:tc>
          <w:tcPr>
            <w:tcW w:w="556"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106-107</w:t>
            </w:r>
          </w:p>
        </w:tc>
        <w:tc>
          <w:tcPr>
            <w:tcW w:w="557"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6459AA" w:rsidRDefault="00E61AD5">
            <w:pPr>
              <w:wordWrap w:val="0"/>
              <w:spacing w:line="320" w:lineRule="exact"/>
            </w:pPr>
            <w:r>
              <w:rPr>
                <w:rFonts w:hint="eastAsia"/>
              </w:rPr>
              <w:t>產業應用成效</w:t>
            </w:r>
          </w:p>
        </w:tc>
      </w:tr>
    </w:tbl>
    <w:p w:rsidR="00E61AD5" w:rsidRDefault="00E61AD5">
      <w:pPr>
        <w:divId w:val="1181163678"/>
      </w:pPr>
    </w:p>
    <w:sectPr w:rsidR="00E61AD5">
      <w:footerReference w:type="default" r:id="rId7"/>
      <w:pgSz w:w="11906" w:h="16838"/>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81" w:rsidRDefault="001F1881">
      <w:r>
        <w:separator/>
      </w:r>
    </w:p>
  </w:endnote>
  <w:endnote w:type="continuationSeparator" w:id="0">
    <w:p w:rsidR="001F1881" w:rsidRDefault="001F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AA" w:rsidRDefault="00BF2FD6" w:rsidP="00E55250">
    <w:pPr>
      <w:pStyle w:val="a3"/>
      <w:framePr w:w="539" w:wrap="around" w:vAnchor="text" w:hAnchor="page" w:x="5711" w:yAlign="inside"/>
      <w:jc w:val="center"/>
      <w:rPr>
        <w:rStyle w:val="a5"/>
        <w:sz w:val="20"/>
        <w:szCs w:val="20"/>
      </w:rPr>
    </w:pPr>
    <w:r>
      <w:rPr>
        <w:rStyle w:val="a5"/>
        <w:rFonts w:hint="eastAsia"/>
        <w:sz w:val="20"/>
        <w:szCs w:val="20"/>
      </w:rPr>
      <w:t>24</w:t>
    </w:r>
    <w:r w:rsidR="00FE05F2">
      <w:rPr>
        <w:rStyle w:val="a5"/>
        <w:rFonts w:hint="eastAsia"/>
        <w:sz w:val="20"/>
        <w:szCs w:val="20"/>
      </w:rPr>
      <w:t>-</w:t>
    </w:r>
    <w:r w:rsidR="00E61AD5">
      <w:rPr>
        <w:rStyle w:val="a5"/>
        <w:rFonts w:hint="eastAsia"/>
        <w:sz w:val="20"/>
        <w:szCs w:val="20"/>
      </w:rPr>
      <w:fldChar w:fldCharType="begin"/>
    </w:r>
    <w:r w:rsidR="00E61AD5">
      <w:rPr>
        <w:rStyle w:val="a5"/>
        <w:rFonts w:hint="eastAsia"/>
        <w:sz w:val="20"/>
        <w:szCs w:val="20"/>
      </w:rPr>
      <w:instrText xml:space="preserve">PAGE  </w:instrText>
    </w:r>
    <w:r w:rsidR="00E61AD5">
      <w:rPr>
        <w:rStyle w:val="a5"/>
        <w:rFonts w:hint="eastAsia"/>
        <w:sz w:val="20"/>
        <w:szCs w:val="20"/>
      </w:rPr>
      <w:fldChar w:fldCharType="separate"/>
    </w:r>
    <w:r>
      <w:rPr>
        <w:rStyle w:val="a5"/>
        <w:noProof/>
        <w:sz w:val="20"/>
        <w:szCs w:val="20"/>
      </w:rPr>
      <w:t>5</w:t>
    </w:r>
    <w:r w:rsidR="00E61AD5">
      <w:rPr>
        <w:rStyle w:val="a5"/>
        <w:rFonts w:hint="eastAsia"/>
        <w:sz w:val="20"/>
        <w:szCs w:val="20"/>
      </w:rPr>
      <w:fldChar w:fldCharType="end"/>
    </w:r>
  </w:p>
  <w:p w:rsidR="006459AA" w:rsidRDefault="006459A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81" w:rsidRDefault="001F1881">
      <w:r>
        <w:separator/>
      </w:r>
    </w:p>
  </w:footnote>
  <w:footnote w:type="continuationSeparator" w:id="0">
    <w:p w:rsidR="001F1881" w:rsidRDefault="001F1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F61A38"/>
    <w:rsid w:val="000F5361"/>
    <w:rsid w:val="001F1881"/>
    <w:rsid w:val="00333D49"/>
    <w:rsid w:val="006459AA"/>
    <w:rsid w:val="008E3DFD"/>
    <w:rsid w:val="009512CA"/>
    <w:rsid w:val="00B43AF6"/>
    <w:rsid w:val="00BF2FD6"/>
    <w:rsid w:val="00D06D98"/>
    <w:rsid w:val="00E55250"/>
    <w:rsid w:val="00E61AD5"/>
    <w:rsid w:val="00F61A38"/>
    <w:rsid w:val="00FE05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E05F2"/>
    <w:pPr>
      <w:tabs>
        <w:tab w:val="center" w:pos="4153"/>
        <w:tab w:val="right" w:pos="8306"/>
      </w:tabs>
      <w:snapToGrid w:val="0"/>
    </w:pPr>
    <w:rPr>
      <w:sz w:val="20"/>
      <w:szCs w:val="20"/>
    </w:rPr>
  </w:style>
  <w:style w:type="character" w:customStyle="1" w:styleId="a7">
    <w:name w:val="頁首 字元"/>
    <w:basedOn w:val="a0"/>
    <w:link w:val="a6"/>
    <w:uiPriority w:val="99"/>
    <w:rsid w:val="00FE05F2"/>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E05F2"/>
    <w:pPr>
      <w:tabs>
        <w:tab w:val="center" w:pos="4153"/>
        <w:tab w:val="right" w:pos="8306"/>
      </w:tabs>
      <w:snapToGrid w:val="0"/>
    </w:pPr>
    <w:rPr>
      <w:sz w:val="20"/>
      <w:szCs w:val="20"/>
    </w:rPr>
  </w:style>
  <w:style w:type="character" w:customStyle="1" w:styleId="a7">
    <w:name w:val="頁首 字元"/>
    <w:basedOn w:val="a0"/>
    <w:link w:val="a6"/>
    <w:uiPriority w:val="99"/>
    <w:rsid w:val="00FE05F2"/>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63678">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8</cp:revision>
  <dcterms:created xsi:type="dcterms:W3CDTF">2016-07-28T03:37:00Z</dcterms:created>
  <dcterms:modified xsi:type="dcterms:W3CDTF">2016-08-04T01:35:00Z</dcterms:modified>
</cp:coreProperties>
</file>