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B3E" w:rsidRDefault="00143D81">
      <w:pPr>
        <w:spacing w:before="200" w:line="320" w:lineRule="exact"/>
        <w:rPr>
          <w:rFonts w:ascii="新細明體" w:eastAsia="新細明體" w:hAnsi="新細明體" w:cs="新細明體"/>
          <w:b/>
          <w:sz w:val="28"/>
          <w:lang w:eastAsia="zh-TW"/>
        </w:rPr>
      </w:pPr>
      <w:r>
        <w:rPr>
          <w:rFonts w:ascii="新細明體" w:eastAsia="新細明體" w:hAnsi="新細明體" w:cs="新細明體"/>
          <w:b/>
          <w:sz w:val="28"/>
          <w:lang w:eastAsia="zh-TW"/>
        </w:rPr>
        <w:t>行政院人事行政總處110年度施政計畫</w:t>
      </w:r>
    </w:p>
    <w:p w:rsidR="00A77B3E" w:rsidRDefault="00A77B3E">
      <w:pPr>
        <w:spacing w:line="320" w:lineRule="exact"/>
        <w:jc w:val="both"/>
        <w:rPr>
          <w:rFonts w:ascii="新細明體" w:eastAsia="新細明體" w:hAnsi="新細明體" w:cs="新細明體"/>
          <w:color w:val="000000"/>
          <w:lang w:eastAsia="zh-TW"/>
        </w:rPr>
      </w:pPr>
    </w:p>
    <w:p w:rsidR="00A77B3E" w:rsidRDefault="00143D81" w:rsidP="00884D89">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行政院人事行政總處（以下簡稱本總處）為行政院人事政策幕僚機關，亦為行政院人事行政主管機關，並設公務人力發展學院，統籌行政院所屬機關及地方機關人事行政事項，主要負責員額管理、組織設置、人力培育、給與制度和人事人員管理等業務，藉由合理員額配置與政府組設規劃、培育高階領導與管理人力、強化公務人員多元化訓練、精進公務人力待遇給與制度、深化友善健康之公務職場、推動人事數位化及智慧創新服務等面向，運用積極創新之人事作為及開創之人力資源管理措施，成為各機關最堅實的策略性人力資源管理後盾，進而使政府治理貼近國家發展之需求。</w:t>
      </w:r>
    </w:p>
    <w:p w:rsidR="00A77B3E" w:rsidRDefault="00143D81" w:rsidP="00884D89">
      <w:pPr>
        <w:overflowPunct w:val="0"/>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本總處依據行政院110年度施政方針，配合核定預算額度，並針對經社情勢變化及本總處未來發展需要，編定110年度施政計畫。</w:t>
      </w:r>
    </w:p>
    <w:p w:rsidR="00A77B3E" w:rsidRDefault="00A77B3E" w:rsidP="00884D89">
      <w:pPr>
        <w:overflowPunct w:val="0"/>
        <w:spacing w:line="320" w:lineRule="exact"/>
        <w:jc w:val="both"/>
        <w:rPr>
          <w:rFonts w:ascii="新細明體" w:eastAsia="新細明體" w:hAnsi="新細明體" w:cs="新細明體"/>
          <w:color w:val="000000"/>
          <w:lang w:eastAsia="zh-TW"/>
        </w:rPr>
      </w:pPr>
    </w:p>
    <w:p w:rsidR="00A77B3E" w:rsidRDefault="00143D81" w:rsidP="00884D89">
      <w:pPr>
        <w:overflowPunct w:val="0"/>
        <w:spacing w:before="200" w:line="320" w:lineRule="exact"/>
        <w:rPr>
          <w:rFonts w:ascii="新細明體" w:eastAsia="新細明體" w:hAnsi="新細明體" w:cs="新細明體"/>
          <w:b/>
          <w:color w:val="000000"/>
          <w:sz w:val="28"/>
          <w:lang w:eastAsia="zh-TW"/>
        </w:rPr>
      </w:pPr>
      <w:r>
        <w:rPr>
          <w:rFonts w:ascii="新細明體" w:eastAsia="新細明體" w:hAnsi="新細明體" w:cs="新細明體"/>
          <w:b/>
          <w:color w:val="000000"/>
          <w:sz w:val="28"/>
          <w:lang w:eastAsia="zh-TW"/>
        </w:rPr>
        <w:t>壹、年度施政目標及策略</w:t>
      </w:r>
    </w:p>
    <w:p w:rsidR="00A77B3E" w:rsidRDefault="00143D81" w:rsidP="00884D8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一、提升政府組設及員額運用效益</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（一）總員額年度管控：合理管控中央政府總員額規模。</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（二）普通基金總人力年度運用：合理運用普通基金總人力。</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（三）員額評鑑結果實際使用比率：協助各機關落實員額評鑑結論，促使機關員額配置契合業務所需。</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（四）健全契約人力法制事項：穩健研訂（修）政府契約人員法制，完備是類人員管理規範。</w:t>
      </w:r>
    </w:p>
    <w:p w:rsidR="00A77B3E" w:rsidRDefault="00143D81" w:rsidP="00884D8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二、推動創新公務培力</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（一）高階主管培訓成效力：精進推動高階人員之培育，鏈結專業領域，規劃多元訓練課程，逐步提升培訓活動滿意度，強化訓用合一。</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（二）管理核心能力訓練成效力：優化管理核心能力訓練課程，提升中高階人員領導管理知能。</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（三）訓練內容與施政結合力：聚焦提升業務處理能力之培訓，強化民主治理價值訓練，增進公務人員業務創新能力及民主治理價值思維。</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（四）全面提升英語溝通力：整合「e等公務園</w:t>
      </w:r>
      <w:r w:rsidRPr="00143D81">
        <w:rPr>
          <w:rFonts w:ascii="新細明體" w:eastAsia="新細明體" w:hAnsi="新細明體" w:cs="新細明體"/>
          <w:color w:val="000000"/>
          <w:sz w:val="28"/>
          <w:vertAlign w:val="superscript"/>
          <w:lang w:eastAsia="zh-TW"/>
        </w:rPr>
        <w:t>+</w:t>
      </w:r>
      <w:r>
        <w:rPr>
          <w:rFonts w:ascii="新細明體" w:eastAsia="新細明體" w:hAnsi="新細明體" w:cs="新細明體"/>
          <w:color w:val="000000"/>
          <w:lang w:eastAsia="zh-TW"/>
        </w:rPr>
        <w:t>學習平臺」英語課程學習資源及辦理英語實體訓練，提升公務同仁英語溝通能力。</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（五）精進跨域數位能力：培養公部門數位治理生態及公務人員數位創新能力，積極養成政府數位人才。</w:t>
      </w:r>
    </w:p>
    <w:p w:rsidR="00A77B3E" w:rsidRDefault="00143D81" w:rsidP="00884D8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三、精進員工待遇支給之合理性</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（一）研議年度軍公教員工待遇調整：配合國家整體發展及總體資源合理配置，研提軍公教員工年度待遇調整之政策性建議。</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（二）持續研議專業加給簡併事宜：配合軍公教員工待遇調整，併同評估公務人員專業加給類別簡併可行性及相關配套措施，以提高支給合理性。</w:t>
      </w:r>
    </w:p>
    <w:p w:rsidR="00A77B3E" w:rsidRDefault="00143D81" w:rsidP="00884D8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四、深化友善健康之公務職場</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（一）提升公務職場性別友善度：滾動檢討機關落實法定性別友善事項及加強女性參與決策之比率，持續關注機關公務職場性別友善度。</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（二）深植員工協助方案推動成效：運用員工協助方案滿意度調查、專業人員教育訓練、引進外部精進觀點等多元措施，協助各機關將員工協助方案深化為常態性作為。</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（三）擴大公部門員工托育服務：配合各機關員工子女托育需求情形，擇定機關評估設置托育設施，以協助員工就近於職場獲取育兒相關資源。</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（四）貫徹公務機關進用原住民及身心障礙人員執行力：藉由檢討及督促各機關進用原住民及身心障礙人員，掌握進用情形，落實政府照護原住民及身心障礙者之政策。</w:t>
      </w:r>
    </w:p>
    <w:p w:rsidR="00A77B3E" w:rsidRDefault="00143D81" w:rsidP="00884D89">
      <w:pPr>
        <w:overflowPunct w:val="0"/>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五、推動人事數位化及智慧創新服務</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lastRenderedPageBreak/>
        <w:t>（一）差勤數位化增加數：訂定補助實施計畫，協助各地方政府將尚未差勤數位化之所屬學校集中建置共用性差勤系統，以簡化地方政府人事作業及提升差勤管理效能。</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（二）人事智慧客服成效力：提升智慧客服品質及能量，提供即時且正確服務。</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（三）公務人員服務成效力：透過主動通知、個人MyData管理、文件線上查驗、跨系統整合等，提供多元公務人員個人服務。</w:t>
      </w:r>
    </w:p>
    <w:p w:rsidR="00A77B3E" w:rsidRDefault="00143D81" w:rsidP="00884D89">
      <w:pPr>
        <w:overflowPunct w:val="0"/>
        <w:spacing w:line="320" w:lineRule="exact"/>
        <w:ind w:left="960" w:hanging="72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（四）人事業務線上申辦成效力：建置人事線上申辦系統並透過業務及資訊整合，推動線上化、無紙化、免檢證之人事服務。</w:t>
      </w:r>
    </w:p>
    <w:p w:rsidR="00A77B3E" w:rsidRDefault="00A77B3E">
      <w:pPr>
        <w:spacing w:line="320" w:lineRule="exact"/>
        <w:jc w:val="both"/>
        <w:rPr>
          <w:rFonts w:ascii="新細明體" w:eastAsia="新細明體" w:hAnsi="新細明體" w:cs="新細明體"/>
          <w:color w:val="000000"/>
          <w:lang w:eastAsia="zh-TW"/>
        </w:rPr>
      </w:pPr>
    </w:p>
    <w:p w:rsidR="00A77B3E" w:rsidRDefault="00143D81">
      <w:pPr>
        <w:spacing w:before="200" w:line="320" w:lineRule="exact"/>
        <w:rPr>
          <w:rFonts w:ascii="新細明體" w:eastAsia="新細明體" w:hAnsi="新細明體" w:cs="新細明體"/>
          <w:b/>
          <w:color w:val="000000"/>
          <w:sz w:val="28"/>
        </w:rPr>
      </w:pPr>
      <w:r>
        <w:rPr>
          <w:rFonts w:ascii="新細明體" w:eastAsia="新細明體" w:hAnsi="新細明體" w:cs="新細明體"/>
          <w:color w:val="000000"/>
          <w:lang w:eastAsia="zh-TW"/>
        </w:rPr>
        <w:br w:type="page"/>
      </w:r>
      <w:proofErr w:type="spellStart"/>
      <w:r>
        <w:rPr>
          <w:rFonts w:ascii="新細明體" w:eastAsia="新細明體" w:hAnsi="新細明體" w:cs="新細明體"/>
          <w:b/>
          <w:color w:val="000000"/>
          <w:sz w:val="28"/>
        </w:rPr>
        <w:lastRenderedPageBreak/>
        <w:t>貳、年度重要計畫</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3"/>
        <w:gridCol w:w="1532"/>
        <w:gridCol w:w="562"/>
        <w:gridCol w:w="6589"/>
      </w:tblGrid>
      <w:tr w:rsidR="003840C3">
        <w:trPr>
          <w:trHeight w:val="159"/>
          <w:tblHeader/>
        </w:trPr>
        <w:tc>
          <w:tcPr>
            <w:tcW w:w="750" w:type="pct"/>
            <w:shd w:val="clear" w:color="FFFFFF" w:fill="FFFFFF"/>
            <w:tcMar>
              <w:top w:w="0" w:type="dxa"/>
              <w:left w:w="0" w:type="dxa"/>
              <w:bottom w:w="0" w:type="dxa"/>
              <w:right w:w="0" w:type="dxa"/>
            </w:tcMar>
            <w:vAlign w:val="center"/>
          </w:tcPr>
          <w:p w:rsidR="00A77B3E" w:rsidRDefault="00143D8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工作計畫名稱</w:t>
            </w:r>
            <w:proofErr w:type="spellEnd"/>
          </w:p>
        </w:tc>
        <w:tc>
          <w:tcPr>
            <w:tcW w:w="750" w:type="pct"/>
            <w:shd w:val="clear" w:color="FFFFFF" w:fill="FFFFFF"/>
            <w:tcMar>
              <w:top w:w="0" w:type="dxa"/>
              <w:left w:w="0" w:type="dxa"/>
              <w:bottom w:w="0" w:type="dxa"/>
              <w:right w:w="0" w:type="dxa"/>
            </w:tcMar>
            <w:vAlign w:val="center"/>
          </w:tcPr>
          <w:p w:rsidR="00A77B3E" w:rsidRDefault="00143D8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重要計畫項目</w:t>
            </w:r>
            <w:proofErr w:type="spellEnd"/>
          </w:p>
        </w:tc>
        <w:tc>
          <w:tcPr>
            <w:tcW w:w="275" w:type="pct"/>
            <w:shd w:val="clear" w:color="FFFFFF" w:fill="FFFFFF"/>
            <w:tcMar>
              <w:top w:w="0" w:type="dxa"/>
              <w:left w:w="0" w:type="dxa"/>
              <w:bottom w:w="0" w:type="dxa"/>
              <w:right w:w="0" w:type="dxa"/>
            </w:tcMar>
            <w:vAlign w:val="center"/>
          </w:tcPr>
          <w:p w:rsidR="00A77B3E" w:rsidRDefault="00143D8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計畫類別</w:t>
            </w:r>
            <w:proofErr w:type="spellEnd"/>
          </w:p>
        </w:tc>
        <w:tc>
          <w:tcPr>
            <w:tcW w:w="3225" w:type="pct"/>
            <w:shd w:val="clear" w:color="FFFFFF" w:fill="FFFFFF"/>
            <w:tcMar>
              <w:top w:w="0" w:type="dxa"/>
              <w:left w:w="0" w:type="dxa"/>
              <w:bottom w:w="0" w:type="dxa"/>
              <w:right w:w="0" w:type="dxa"/>
            </w:tcMar>
            <w:vAlign w:val="center"/>
          </w:tcPr>
          <w:p w:rsidR="00A77B3E" w:rsidRDefault="00143D81">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實施內容</w:t>
            </w:r>
            <w:proofErr w:type="spellEnd"/>
          </w:p>
        </w:tc>
      </w:tr>
      <w:tr w:rsidR="00AF648F">
        <w:trPr>
          <w:trHeight w:val="159"/>
        </w:trPr>
        <w:tc>
          <w:tcPr>
            <w:tcW w:w="750" w:type="pct"/>
            <w:vMerge w:val="restar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人事行政之政策規劃執行及發展</w:t>
            </w:r>
            <w:bookmarkStart w:id="0" w:name="_GoBack"/>
            <w:bookmarkEnd w:id="0"/>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建構積極及服務導向之公務職場</w:t>
            </w:r>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一、辦理人事業務績效考核。</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二、表揚績優人事人員。</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三、辦理人事專業獎章。</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四、推動員工協助方案，協助各機關落實辦理。</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五、提升女性公務職場代表性，落實性別友善職場，展現多元價值。</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合理配置組設人力</w:t>
            </w:r>
            <w:proofErr w:type="spellEnd"/>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一、合理管控中央政府總員額規模。</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二、合理運用普通基金總人力。</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三、促使各機關依員額評鑑建議調整員額配置，俾機關人力配置更契業務需要。</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rPr>
            </w:pPr>
            <w:proofErr w:type="spellStart"/>
            <w:r>
              <w:rPr>
                <w:rFonts w:ascii="新細明體" w:eastAsia="新細明體" w:hAnsi="新細明體" w:cs="新細明體"/>
                <w:color w:val="000000"/>
              </w:rPr>
              <w:t>規劃訓練進修</w:t>
            </w:r>
            <w:proofErr w:type="spellEnd"/>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社會發展</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一、辦理中高階公務人員領導管理培訓。</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二、規劃辦理業務知能培訓課程。</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精進員工待遇支給之合理性</w:t>
            </w:r>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firstLine="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彙整綜評社會財經指標，研具軍公教員工待遇調整方案，以及併同評估公務人員專業加給類別簡併可行性及相關配套措施，提軍公教員工待遇審議委員會討論後，送陳行政院做成政策決定。</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擴大公部門員工托育服務</w:t>
            </w:r>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一、調查公教員工子女托育需求及擇定機關辦理職場托育設施設置評估作業。</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二、依評估結果，請相關機關據以推動設置托育設施，並追蹤辦理情形。</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智慧創新人事服務計畫</w:t>
            </w:r>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科技發展</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一、運用創新技術，提供人事資料驗證服務。</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二、推動人事業務線上申辦、無紙化、免檢證服務。</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三、推動公務人員My Data管理及服務。</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四、透過循證分析，提供全國人事政策輔助及各機關人事業務分析。</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五、推動人事資訊系統支援行動裝置。</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六、推動智慧客服並擴大服務能量。</w:t>
            </w:r>
          </w:p>
        </w:tc>
      </w:tr>
      <w:tr w:rsidR="00AF648F">
        <w:trPr>
          <w:trHeight w:val="159"/>
        </w:trPr>
        <w:tc>
          <w:tcPr>
            <w:tcW w:w="750" w:type="pct"/>
            <w:vMerge/>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p>
        </w:tc>
        <w:tc>
          <w:tcPr>
            <w:tcW w:w="750" w:type="pct"/>
            <w:shd w:val="clear" w:color="FFFFFF" w:fill="FFFFFF"/>
            <w:tcMar>
              <w:top w:w="0" w:type="dxa"/>
              <w:left w:w="0" w:type="dxa"/>
              <w:bottom w:w="0" w:type="dxa"/>
              <w:right w:w="0" w:type="dxa"/>
            </w:tcMar>
          </w:tcPr>
          <w:p w:rsidR="00AF648F" w:rsidRDefault="00AF648F">
            <w:pPr>
              <w:spacing w:line="320" w:lineRule="exact"/>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擴大地方政府差勤作業電子化計畫</w:t>
            </w:r>
          </w:p>
        </w:tc>
        <w:tc>
          <w:tcPr>
            <w:tcW w:w="275" w:type="pct"/>
            <w:shd w:val="clear" w:color="FFFFFF" w:fill="FFFFFF"/>
            <w:tcMar>
              <w:top w:w="0" w:type="dxa"/>
              <w:left w:w="0" w:type="dxa"/>
              <w:bottom w:w="0" w:type="dxa"/>
              <w:right w:w="0" w:type="dxa"/>
            </w:tcMar>
          </w:tcPr>
          <w:p w:rsidR="00AF648F" w:rsidRDefault="00AF648F">
            <w:pPr>
              <w:spacing w:line="320" w:lineRule="exact"/>
              <w:jc w:val="center"/>
              <w:rPr>
                <w:rFonts w:ascii="新細明體" w:eastAsia="新細明體" w:hAnsi="新細明體" w:cs="新細明體"/>
                <w:color w:val="000000"/>
              </w:rPr>
            </w:pPr>
            <w:proofErr w:type="spellStart"/>
            <w:r>
              <w:rPr>
                <w:rFonts w:ascii="新細明體" w:eastAsia="新細明體" w:hAnsi="新細明體" w:cs="新細明體"/>
                <w:color w:val="000000"/>
              </w:rPr>
              <w:t>其他</w:t>
            </w:r>
            <w:proofErr w:type="spellEnd"/>
          </w:p>
        </w:tc>
        <w:tc>
          <w:tcPr>
            <w:tcW w:w="3225" w:type="pct"/>
            <w:shd w:val="clear" w:color="FFFFFF" w:fill="FFFFFF"/>
            <w:tcMar>
              <w:top w:w="0" w:type="dxa"/>
              <w:left w:w="0" w:type="dxa"/>
              <w:bottom w:w="0" w:type="dxa"/>
              <w:right w:w="0" w:type="dxa"/>
            </w:tcMar>
          </w:tcPr>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一、本總處訂定補助實施計畫，由地方政府提報計畫書送本總處辦理審查，審查通過後由地方政府將補助經費編入110年度經費，再由各地方政府將尚未導入差勤數位化之所屬學校集中建置共用性差勤系統。</w:t>
            </w:r>
          </w:p>
          <w:p w:rsidR="00AF648F" w:rsidRDefault="00AF648F">
            <w:pPr>
              <w:spacing w:line="320" w:lineRule="exact"/>
              <w:ind w:left="480" w:hanging="480"/>
              <w:jc w:val="both"/>
              <w:rPr>
                <w:rFonts w:ascii="新細明體" w:eastAsia="新細明體" w:hAnsi="新細明體" w:cs="新細明體"/>
                <w:color w:val="000000"/>
                <w:lang w:eastAsia="zh-TW"/>
              </w:rPr>
            </w:pPr>
            <w:r>
              <w:rPr>
                <w:rFonts w:ascii="新細明體" w:eastAsia="新細明體" w:hAnsi="新細明體" w:cs="新細明體"/>
                <w:color w:val="000000"/>
                <w:lang w:eastAsia="zh-TW"/>
              </w:rPr>
              <w:t>二、補助範圍包含共用性差勤系統之建置及導入、建置共用性差勤系統所需之軟體授權及硬體設備、共用性差勤系統與內部系統之介接及整合等。</w:t>
            </w:r>
          </w:p>
        </w:tc>
      </w:tr>
    </w:tbl>
    <w:p w:rsidR="00A77B3E" w:rsidRDefault="00A77B3E">
      <w:pPr>
        <w:spacing w:line="320" w:lineRule="exact"/>
        <w:jc w:val="both"/>
        <w:rPr>
          <w:rFonts w:ascii="新細明體" w:eastAsia="新細明體" w:hAnsi="新細明體" w:cs="新細明體"/>
          <w:color w:val="000000"/>
          <w:lang w:eastAsia="zh-TW"/>
        </w:rPr>
      </w:pPr>
    </w:p>
    <w:p w:rsidR="00A77B3E" w:rsidRDefault="00A77B3E">
      <w:pPr>
        <w:spacing w:line="320" w:lineRule="exact"/>
        <w:jc w:val="both"/>
        <w:rPr>
          <w:rFonts w:ascii="新細明體" w:eastAsia="新細明體" w:hAnsi="新細明體" w:cs="新細明體"/>
          <w:color w:val="000000"/>
          <w:lang w:eastAsia="zh-TW"/>
        </w:rPr>
      </w:pPr>
    </w:p>
    <w:sectPr w:rsidR="00A77B3E">
      <w:footerReference w:type="default" r:id="rId7"/>
      <w:pgSz w:w="11906" w:h="16838"/>
      <w:pgMar w:top="850" w:right="850" w:bottom="850" w:left="85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49A9" w:rsidRDefault="00143D81">
      <w:r>
        <w:separator/>
      </w:r>
    </w:p>
  </w:endnote>
  <w:endnote w:type="continuationSeparator" w:id="0">
    <w:p w:rsidR="00B549A9" w:rsidRDefault="00143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2398460"/>
      <w:docPartObj>
        <w:docPartGallery w:val="Page Numbers (Bottom of Page)"/>
        <w:docPartUnique/>
      </w:docPartObj>
    </w:sdtPr>
    <w:sdtEndPr>
      <w:rPr>
        <w:rFonts w:ascii="新細明體" w:eastAsia="新細明體" w:hAnsi="新細明體"/>
      </w:rPr>
    </w:sdtEndPr>
    <w:sdtContent>
      <w:p w:rsidR="00DC50BC" w:rsidRPr="00DC50BC" w:rsidRDefault="00DC50BC">
        <w:pPr>
          <w:pStyle w:val="a5"/>
          <w:jc w:val="center"/>
          <w:rPr>
            <w:rFonts w:ascii="新細明體" w:eastAsia="新細明體" w:hAnsi="新細明體"/>
          </w:rPr>
        </w:pPr>
        <w:r w:rsidRPr="00DC50BC">
          <w:rPr>
            <w:rFonts w:ascii="新細明體" w:eastAsia="新細明體" w:hAnsi="新細明體"/>
          </w:rPr>
          <w:t>17-</w:t>
        </w:r>
        <w:r w:rsidRPr="00DC50BC">
          <w:rPr>
            <w:rFonts w:ascii="新細明體" w:eastAsia="新細明體" w:hAnsi="新細明體"/>
          </w:rPr>
          <w:fldChar w:fldCharType="begin"/>
        </w:r>
        <w:r w:rsidRPr="00DC50BC">
          <w:rPr>
            <w:rFonts w:ascii="新細明體" w:eastAsia="新細明體" w:hAnsi="新細明體"/>
          </w:rPr>
          <w:instrText>PAGE   \* MERGEFORMAT</w:instrText>
        </w:r>
        <w:r w:rsidRPr="00DC50BC">
          <w:rPr>
            <w:rFonts w:ascii="新細明體" w:eastAsia="新細明體" w:hAnsi="新細明體"/>
          </w:rPr>
          <w:fldChar w:fldCharType="separate"/>
        </w:r>
        <w:r w:rsidR="00AF648F" w:rsidRPr="00AF648F">
          <w:rPr>
            <w:rFonts w:ascii="新細明體" w:eastAsia="新細明體" w:hAnsi="新細明體"/>
            <w:noProof/>
            <w:lang w:val="zh-TW" w:eastAsia="zh-TW"/>
          </w:rPr>
          <w:t>3</w:t>
        </w:r>
        <w:r w:rsidRPr="00DC50BC">
          <w:rPr>
            <w:rFonts w:ascii="新細明體" w:eastAsia="新細明體" w:hAnsi="新細明體"/>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49A9" w:rsidRDefault="00143D81">
      <w:r>
        <w:separator/>
      </w:r>
    </w:p>
  </w:footnote>
  <w:footnote w:type="continuationSeparator" w:id="0">
    <w:p w:rsidR="00B549A9" w:rsidRDefault="00143D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143D81"/>
    <w:rsid w:val="003840C3"/>
    <w:rsid w:val="00884D89"/>
    <w:rsid w:val="00A77B3E"/>
    <w:rsid w:val="00AF648F"/>
    <w:rsid w:val="00B549A9"/>
    <w:rsid w:val="00CA2A55"/>
    <w:rsid w:val="00DC50B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C50BC"/>
    <w:pPr>
      <w:tabs>
        <w:tab w:val="center" w:pos="4153"/>
        <w:tab w:val="right" w:pos="8306"/>
      </w:tabs>
      <w:snapToGrid w:val="0"/>
    </w:pPr>
    <w:rPr>
      <w:sz w:val="20"/>
      <w:szCs w:val="20"/>
    </w:rPr>
  </w:style>
  <w:style w:type="character" w:customStyle="1" w:styleId="a4">
    <w:name w:val="頁首 字元"/>
    <w:basedOn w:val="a0"/>
    <w:link w:val="a3"/>
    <w:rsid w:val="00DC50BC"/>
  </w:style>
  <w:style w:type="paragraph" w:styleId="a5">
    <w:name w:val="footer"/>
    <w:basedOn w:val="a"/>
    <w:link w:val="a6"/>
    <w:uiPriority w:val="99"/>
    <w:rsid w:val="00DC50BC"/>
    <w:pPr>
      <w:tabs>
        <w:tab w:val="center" w:pos="4153"/>
        <w:tab w:val="right" w:pos="8306"/>
      </w:tabs>
      <w:snapToGrid w:val="0"/>
    </w:pPr>
    <w:rPr>
      <w:sz w:val="20"/>
      <w:szCs w:val="20"/>
    </w:rPr>
  </w:style>
  <w:style w:type="character" w:customStyle="1" w:styleId="a6">
    <w:name w:val="頁尾 字元"/>
    <w:basedOn w:val="a0"/>
    <w:link w:val="a5"/>
    <w:uiPriority w:val="99"/>
    <w:rsid w:val="00DC50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2163</Words>
  <Characters>107</Characters>
  <Application>Microsoft Office Word</Application>
  <DocSecurity>0</DocSecurity>
  <Lines>1</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曾偌豪</cp:lastModifiedBy>
  <cp:revision>5</cp:revision>
  <dcterms:created xsi:type="dcterms:W3CDTF">2021-03-08T03:54:00Z</dcterms:created>
  <dcterms:modified xsi:type="dcterms:W3CDTF">2021-03-15T07:07:00Z</dcterms:modified>
</cp:coreProperties>
</file>