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F5544F" w:rsidP="00F5544F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sz w:val="28"/>
          <w:lang w:eastAsia="zh-TW"/>
        </w:rPr>
      </w:pPr>
      <w:r>
        <w:rPr>
          <w:rFonts w:ascii="新細明體" w:eastAsia="新細明體" w:hAnsi="新細明體" w:cs="新細明體"/>
          <w:b/>
          <w:sz w:val="28"/>
          <w:lang w:eastAsia="zh-TW"/>
        </w:rPr>
        <w:t>國防部</w:t>
      </w:r>
      <w:proofErr w:type="gramStart"/>
      <w:r>
        <w:rPr>
          <w:rFonts w:ascii="新細明體" w:eastAsia="新細明體" w:hAnsi="新細明體" w:cs="新細明體"/>
          <w:b/>
          <w:sz w:val="28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b/>
          <w:sz w:val="28"/>
          <w:lang w:eastAsia="zh-TW"/>
        </w:rPr>
        <w:t>年度施政計畫</w:t>
      </w:r>
    </w:p>
    <w:p w:rsidR="00A77B3E" w:rsidRDefault="00A77B3E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5544F" w:rsidP="00F5544F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依總統國家安全理念及行政院國防政策指導，評估國內外戰略環境與趨勢，審視國防安全威脅與挑戰，擘劃國防戰略及軍事戰略，並依快速提升戰力需求規劃，制定建軍構想及兵力整建計畫，納入年度施政計畫及預算，置重點於厚植國防自主研發能量、籌購先進武器系統、提升裝備妥善、強化三軍聯合作戰能力及全民防衛總體戰力等，提高整體國防施政效能。另配合政府外交政策，鞏固友我國家之夥伴關係，積極尋求共同戰略利益國家，拓展戰略對話與安全合作機會，進而維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海安全與亞太和平穩定。</w:t>
      </w:r>
    </w:p>
    <w:p w:rsidR="00A77B3E" w:rsidRDefault="00F5544F" w:rsidP="00F5544F">
      <w:pPr>
        <w:overflowPunct w:val="0"/>
        <w:spacing w:line="320" w:lineRule="exact"/>
        <w:ind w:firstLine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本部依據行政院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年度施政方針，配合核定預算額度，並針對經社情勢變化及本部未來發展需要，編定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110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年度施政計畫。</w:t>
      </w:r>
    </w:p>
    <w:p w:rsidR="00A77B3E" w:rsidRDefault="00A77B3E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5544F" w:rsidP="00F5544F">
      <w:pPr>
        <w:overflowPunct w:val="0"/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z w:val="28"/>
          <w:lang w:eastAsia="zh-TW"/>
        </w:rPr>
        <w:t>壹、年度施政目標及策略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一、整合三軍武器系統作戰能力，提升聯合作戰效能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（一）依據「國軍兵力整建計畫」，逐步達成建軍目標。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（二）透過三軍聯合演訓，整合三軍兵、火力，確保防衛作戰任務遂行。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二、勤訓精練，提升官兵基礎戰力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（一）國軍部隊訓練以達成「戰力防護、濱海決勝、灘岸殲敵」之整體防衛構想，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以仿真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戰場景況，實戰化對抗訓練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方式施訓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，落實聯合戰力整備。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（二）體能為戰鬥之基礎，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每季持恆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辦理三軍部隊體能抽測驗證，並以年度合格率85%為目標，有效提升國軍整體戰力。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三、爭取高素質人力，穩定留營成效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（一）藉由推動募兵制配套措施及相關執行作為，召開管制會議瞭解各單位志願役人力成長情形。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（二）強化留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營續服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誘因，激發青年從軍長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留久用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意願。</w:t>
      </w:r>
    </w:p>
    <w:p w:rsidR="00A77B3E" w:rsidRDefault="00F5544F" w:rsidP="00DD3D4E">
      <w:pPr>
        <w:overflowPunct w:val="0"/>
        <w:spacing w:line="320" w:lineRule="exact"/>
        <w:ind w:left="480" w:hangingChars="200" w:hanging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四、鼓勵官兵進修，以滿足各職類專業需求：辦理學位、證照培育，軍事深造教育，提升國軍本職學能。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五、弘揚國軍光榮歷史，凝聚全民愛國意志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持續推動全民國防教育，廣納各部會及直轄市、縣（市）政府建議，務實規劃學校教育、政府機關（構）在職教育、社會教育及國防文物保護、宣導教育，透過多元宣傳，凝聚全民愛國共識，落實「全民關注、全民支持、全民參與」的全民國防理念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（二）落實國軍眷村文化保存、活化及永續發展，彰顯國軍眷村之特殊歷史意義與人文活動，深化全民國防教育。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六、厚植科技能量，帶動國防產業升級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為符政府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施政目標及國防科技發展趨勢，統整各類國防科技先期研究計畫提案需求，整合跨部會預算資源及運用國內產、學、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單位能量，執行國防科技基礎及應用研究，奠基武器系統研發能量。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（二）針對高科技、非高機敏性、關鍵性及國外不易獲得國防科技武器系統，自立發展高性能、高精度武器裝備，同時執行軍民通用科技計畫，將成熟國防科技轉化為民生用途，以藉由提升產學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研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之國防科技研發及產製能量，促進國防科技自主及產業發展。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七、完備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各項災防整備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，持續精進救災能量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（一）強化救災能力，第一時間投入災區執行災害搶救工作。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廣儲救災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師資，參與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國內災防訓練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課程，厚植部隊救災技能與專業能力。</w:t>
      </w:r>
    </w:p>
    <w:p w:rsidR="00A77B3E" w:rsidRDefault="00F5544F" w:rsidP="00F5544F">
      <w:pPr>
        <w:overflowPunct w:val="0"/>
        <w:spacing w:line="320" w:lineRule="exact"/>
        <w:ind w:left="480" w:hangingChars="200" w:hanging="48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八、持續拓展友我國家軍事合作，鞏固夥伴關係：配合國家整體外交政策，以「平等、互惠、務實」原則，透過「高層互訪」、「戰略對話」等管道，持續推動友我國家間之軍事交流及安全合作。</w:t>
      </w:r>
    </w:p>
    <w:p w:rsidR="00A77B3E" w:rsidRDefault="00F5544F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lastRenderedPageBreak/>
        <w:t>九、改善官兵生活環境，持恆推動各項官兵照護措施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（一）積極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整建老舊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營區，提供完整生活機能之居住環境。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（二）優化部隊衛勤作業，提升醫院醫療品質。</w:t>
      </w:r>
    </w:p>
    <w:p w:rsidR="00A77B3E" w:rsidRDefault="00F5544F" w:rsidP="00DD3D4E">
      <w:pPr>
        <w:overflowPunct w:val="0"/>
        <w:spacing w:line="320" w:lineRule="exact"/>
        <w:ind w:left="958" w:hanging="720"/>
        <w:jc w:val="both"/>
        <w:rPr>
          <w:rFonts w:ascii="新細明體" w:eastAsia="新細明體" w:hAnsi="新細明體" w:cs="新細明體"/>
          <w:color w:val="000000"/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（三）提供官兵優質法律服務，積極協處涉法事件，提供適法意見與諮詢。</w:t>
      </w:r>
    </w:p>
    <w:p w:rsidR="00A77B3E" w:rsidRDefault="00A77B3E" w:rsidP="00F5544F">
      <w:pPr>
        <w:overflowPunct w:val="0"/>
        <w:spacing w:line="32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p w:rsidR="00A77B3E" w:rsidRDefault="00F5544F">
      <w:pPr>
        <w:spacing w:before="200" w:line="320" w:lineRule="exact"/>
        <w:rPr>
          <w:rFonts w:ascii="新細明體" w:eastAsia="新細明體" w:hAnsi="新細明體" w:cs="新細明體"/>
          <w:b/>
          <w:color w:val="000000"/>
          <w:sz w:val="28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br w:type="page"/>
      </w:r>
      <w:proofErr w:type="spellStart"/>
      <w:r>
        <w:rPr>
          <w:rFonts w:ascii="新細明體" w:eastAsia="新細明體" w:hAnsi="新細明體" w:cs="新細明體"/>
          <w:b/>
          <w:color w:val="000000"/>
          <w:sz w:val="28"/>
        </w:rPr>
        <w:lastRenderedPageBreak/>
        <w:t>貳、年度重要計畫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1532"/>
        <w:gridCol w:w="562"/>
        <w:gridCol w:w="6589"/>
      </w:tblGrid>
      <w:tr w:rsidR="00556E71">
        <w:trPr>
          <w:trHeight w:val="159"/>
          <w:tblHeader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5544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工作計畫名稱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5544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重要計畫項目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5544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計畫類別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F5544F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實施內容</w:t>
            </w:r>
            <w:proofErr w:type="spellEnd"/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bookmarkStart w:id="0" w:name="_GoBack" w:colFirst="0" w:colLast="3"/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建構可恃戰力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兵力整建計畫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「防衛固守、重層嚇阻」軍事戰略及「戰力防護、濱海決勝、灘岸殲敵」之整體防衛構想，依快速提升戰力需求規劃，制定建軍構想及兵力整建計畫，並納入年度施政計畫及預算，逐步強化戰力防護並充實基本戰力及建置不對稱戰力。</w:t>
            </w:r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強化訓練作為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部隊訓練訓令</w:t>
            </w:r>
            <w:proofErr w:type="spellEnd"/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達成國軍「戰力防護、濱海決勝、灘岸殲敵」整體防衛作戰之目的，各級部隊本「作戰任務在那裡，部隊就在那裡訓練，貫徹實戰化訓練」作法。部隊訓練環繞在防衛作戰任務，逐級訂定訓練項目與標準，置重點於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一專多能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、狙擊手、新興兵力，及海、空軍聯訓，並將聯合作戰訓練貫穿上下各層級，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以仿真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戰場景況，實戰化對抗訓練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方式施訓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，落實聯合戰力整備。</w:t>
            </w:r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優化募兵機制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國軍留營成效獎勵作業要點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為鼓勵基層優秀預備役人力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續簽留營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，以「獎由下起」、「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獎當其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功」激勵單位團體士氣，並於適當時機與場合妥善規劃表揚活動，有效塑造優良模範，以提升募兵制之推動成效。</w:t>
            </w:r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優化人才培育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國軍營區教學點獎勵作業要點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透過評比教學點執行成效，促進國軍營區（陸軍司令部等單位）教學點發展，鼓勵官兵從事學習活動，進而提升國軍人力素質，協助推動「募兵制」政策。</w:t>
            </w:r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落實國防自主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運用國內學校、廠商及研究機構，整合產、學、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單位技術資源，執行學術合作及軍民通用研究計畫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一、廣徵學術界參與國防科技基礎、應用及前瞻等研究，持恆推動學術合作發展。</w:t>
            </w:r>
          </w:p>
          <w:p w:rsidR="00A77B3E" w:rsidRDefault="00F5544F" w:rsidP="005A489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二、辦理評鑑作業評選優質學術合作計畫，運用成果發表會促進研發成果推廣與應用。</w:t>
            </w:r>
          </w:p>
          <w:p w:rsidR="00A77B3E" w:rsidRDefault="00F5544F" w:rsidP="005A489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三、運用國內學校、廠商及研究機構，就技術研發、智慧財產運用及廠商育成等方面，發展軍民通用科技計畫，持恆推動產業技術研究發展。</w:t>
            </w:r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精進災害防救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每年度配合各地方政府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辦理災防示範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演習計畫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國軍為落實災害防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救及戰訓本務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工作，依行政院政策指導，按災害潛勢地區分布狀況及災害類型，先期預置人員、機具，第一時間投入災害緊急救援，協助中央及地方政府執行災害防救工作，期減少國人因災害所造成之損失。</w:t>
            </w:r>
          </w:p>
        </w:tc>
      </w:tr>
      <w:tr w:rsidR="00556E71">
        <w:trPr>
          <w:trHeight w:val="159"/>
        </w:trPr>
        <w:tc>
          <w:tcPr>
            <w:tcW w:w="750" w:type="pct"/>
            <w:vMerge w:val="restar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拓展軍事交流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友我國家軍事交流（高層互訪、戰訓、智庫、教育訓練等）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一、推動友我國家軍事交流與合作，汲取先進軍事科技、建軍規劃理念、作戰經驗及教育訓練等新知，做為制定國防政策及強化建軍備戰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之參據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F5544F" w:rsidP="005A489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二、經由軍事高層互訪、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戰訓交流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及教育訓練等方式，與友我國家保持良好關係，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鞏固軍誼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。</w:t>
            </w:r>
          </w:p>
          <w:p w:rsidR="00A77B3E" w:rsidRDefault="00F5544F" w:rsidP="005A489C">
            <w:pPr>
              <w:spacing w:line="320" w:lineRule="exact"/>
              <w:ind w:left="480" w:hanging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三、持續與國際知名智庫交流及舉辦區域安全國防論壇等機制，爭取對我國防安全立場之認同與支持，促進與友我國家戰略安全關係。</w:t>
            </w:r>
          </w:p>
        </w:tc>
      </w:tr>
      <w:tr w:rsidR="00556E71">
        <w:trPr>
          <w:trHeight w:val="159"/>
        </w:trPr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落實官兵照顧</w:t>
            </w:r>
            <w:proofErr w:type="spellEnd"/>
          </w:p>
        </w:tc>
        <w:tc>
          <w:tcPr>
            <w:tcW w:w="750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推動老舊營區整建計畫</w:t>
            </w:r>
          </w:p>
        </w:tc>
        <w:tc>
          <w:tcPr>
            <w:tcW w:w="27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jc w:val="center"/>
              <w:rPr>
                <w:rFonts w:ascii="新細明體" w:eastAsia="新細明體" w:hAnsi="新細明體" w:cs="新細明體"/>
                <w:color w:val="000000"/>
              </w:rPr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</w:rPr>
              <w:t>其他</w:t>
            </w:r>
            <w:proofErr w:type="spellEnd"/>
          </w:p>
        </w:tc>
        <w:tc>
          <w:tcPr>
            <w:tcW w:w="3225" w:type="pct"/>
            <w:shd w:val="clear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5544F" w:rsidP="005A489C">
            <w:pPr>
              <w:spacing w:line="320" w:lineRule="exact"/>
              <w:ind w:firstLine="480"/>
              <w:jc w:val="both"/>
              <w:rPr>
                <w:rFonts w:ascii="新細明體" w:eastAsia="新細明體" w:hAnsi="新細明體" w:cs="新細明體"/>
                <w:color w:val="000000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以整體規劃、集中預算、重點投資及戰力發揮之思維，整建大型及群聚型營區與基地，設置完善之行政辦公、休閒運動及職務宿舍等多元性服務設施。另充分運用整體財務資源，擴大營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繕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工程預算規模，加速老舊營舍整建進度，改善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官兵住用品質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，推動老舊營區整建。</w:t>
            </w:r>
          </w:p>
        </w:tc>
      </w:tr>
      <w:bookmarkEnd w:id="0"/>
    </w:tbl>
    <w:p w:rsidR="00A77B3E" w:rsidRDefault="00A77B3E" w:rsidP="005A489C">
      <w:pPr>
        <w:spacing w:line="100" w:lineRule="exact"/>
        <w:jc w:val="both"/>
        <w:rPr>
          <w:rFonts w:ascii="新細明體" w:eastAsia="新細明體" w:hAnsi="新細明體" w:cs="新細明體"/>
          <w:color w:val="000000"/>
          <w:lang w:eastAsia="zh-TW"/>
        </w:rPr>
      </w:pPr>
    </w:p>
    <w:sectPr w:rsidR="00A77B3E">
      <w:footerReference w:type="default" r:id="rId8"/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C3" w:rsidRDefault="00DF49C3">
      <w:r>
        <w:separator/>
      </w:r>
    </w:p>
  </w:endnote>
  <w:endnote w:type="continuationSeparator" w:id="0">
    <w:p w:rsidR="00DF49C3" w:rsidRDefault="00DF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71" w:rsidRDefault="00F5544F">
    <w:pPr>
      <w:jc w:val="center"/>
      <w:rPr>
        <w:rFonts w:ascii="新細明體" w:eastAsia="新細明體" w:hAnsi="新細明體" w:cs="新細明體"/>
      </w:rPr>
    </w:pPr>
    <w:r>
      <w:rPr>
        <w:rFonts w:ascii="新細明體" w:eastAsia="新細明體" w:hAnsi="新細明體" w:cs="新細明體"/>
        <w:sz w:val="20"/>
      </w:rPr>
      <w:t>4-</w:t>
    </w:r>
    <w:r>
      <w:rPr>
        <w:rFonts w:ascii="新細明體" w:eastAsia="新細明體" w:hAnsi="新細明體" w:cs="新細明體"/>
        <w:sz w:val="20"/>
      </w:rPr>
      <w:fldChar w:fldCharType="begin"/>
    </w:r>
    <w:r>
      <w:rPr>
        <w:rFonts w:ascii="新細明體" w:eastAsia="新細明體" w:hAnsi="新細明體" w:cs="新細明體"/>
        <w:sz w:val="20"/>
      </w:rPr>
      <w:instrText>PAGE</w:instrText>
    </w:r>
    <w:r>
      <w:rPr>
        <w:rFonts w:ascii="新細明體" w:eastAsia="新細明體" w:hAnsi="新細明體" w:cs="新細明體"/>
        <w:sz w:val="20"/>
      </w:rPr>
      <w:fldChar w:fldCharType="separate"/>
    </w:r>
    <w:r w:rsidR="005A489C">
      <w:rPr>
        <w:rFonts w:ascii="新細明體" w:eastAsia="新細明體" w:hAnsi="新細明體" w:cs="新細明體"/>
        <w:noProof/>
        <w:sz w:val="20"/>
      </w:rPr>
      <w:t>3</w:t>
    </w:r>
    <w:r>
      <w:rPr>
        <w:rFonts w:ascii="新細明體" w:eastAsia="新細明體" w:hAnsi="新細明體" w:cs="新細明體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C3" w:rsidRDefault="00DF49C3">
      <w:r>
        <w:separator/>
      </w:r>
    </w:p>
  </w:footnote>
  <w:footnote w:type="continuationSeparator" w:id="0">
    <w:p w:rsidR="00DF49C3" w:rsidRDefault="00DF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34DFF"/>
    <w:rsid w:val="00556E71"/>
    <w:rsid w:val="005A489C"/>
    <w:rsid w:val="00741B78"/>
    <w:rsid w:val="00846C6A"/>
    <w:rsid w:val="00A77B3E"/>
    <w:rsid w:val="00B510C4"/>
    <w:rsid w:val="00CA2A55"/>
    <w:rsid w:val="00D5733E"/>
    <w:rsid w:val="00D6178C"/>
    <w:rsid w:val="00DD3D4E"/>
    <w:rsid w:val="00DF49C3"/>
    <w:rsid w:val="00F5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1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41B78"/>
  </w:style>
  <w:style w:type="paragraph" w:styleId="a5">
    <w:name w:val="footer"/>
    <w:basedOn w:val="a"/>
    <w:link w:val="a6"/>
    <w:rsid w:val="00741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41B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9FE3-679D-4188-9299-9620F2AD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張婉淑</cp:lastModifiedBy>
  <cp:revision>9</cp:revision>
  <dcterms:created xsi:type="dcterms:W3CDTF">2021-03-05T01:34:00Z</dcterms:created>
  <dcterms:modified xsi:type="dcterms:W3CDTF">2021-03-16T10:13:00Z</dcterms:modified>
</cp:coreProperties>
</file>