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271A9">
      <w:pPr>
        <w:spacing w:before="200" w:line="320" w:lineRule="exact"/>
        <w:rPr>
          <w:rFonts w:ascii="新細明體" w:eastAsia="新細明體" w:hAnsi="新細明體" w:cs="新細明體"/>
          <w:b/>
          <w:sz w:val="28"/>
        </w:rPr>
      </w:pPr>
      <w:r>
        <w:rPr>
          <w:rFonts w:ascii="新細明體" w:eastAsia="新細明體" w:hAnsi="新細明體" w:cs="新細明體"/>
          <w:b/>
          <w:sz w:val="28"/>
        </w:rPr>
        <w:t>國防部110年度施政計畫</w:t>
      </w:r>
    </w:p>
    <w:p w:rsidR="00A77B3E" w:rsidRDefault="00A77B3E" w:rsidP="00EB18A3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</w:rPr>
      </w:pPr>
    </w:p>
    <w:p w:rsidR="00A77B3E" w:rsidRDefault="000271A9" w:rsidP="00EB18A3">
      <w:pPr>
        <w:widowControl w:val="0"/>
        <w:overflowPunct w:val="0"/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依總統國家安全理念及行政院國防政策指導，評估國內外戰略環境與趨勢，審視國防安全威脅與挑戰，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擘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劃國防戰略及軍事戰略，並依快速提升戰力需求規劃，制定建軍構想及兵力整建計畫，納入年度施政計畫及預算，置重點於厚植國防自主研發能量、籌購先進武器系統、提升裝備妥善、強化三軍聯合作戰能力及全民防衛總體戰力等，提高整體國防施政效能。另配合政府外交政策，鞏固友我國家之夥伴關係，積極尋求共同戰略利益國家，拓展戰略對話與安全合作機會，進而維護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臺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海安全與亞太和平穩定。</w:t>
      </w:r>
    </w:p>
    <w:p w:rsidR="00A77B3E" w:rsidRDefault="000271A9" w:rsidP="00EB18A3">
      <w:pPr>
        <w:widowControl w:val="0"/>
        <w:overflowPunct w:val="0"/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本部依據行政院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110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年度施政方針，配合核定預算額度，並針對經社情勢變化及本部未來發展需要，編定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110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年度施政計畫。</w:t>
      </w:r>
    </w:p>
    <w:p w:rsidR="00A77B3E" w:rsidRDefault="00A77B3E" w:rsidP="00EB18A3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0271A9" w:rsidP="00EB18A3">
      <w:pPr>
        <w:widowControl w:val="0"/>
        <w:overflowPunct w:val="0"/>
        <w:spacing w:before="200" w:line="320" w:lineRule="exact"/>
        <w:rPr>
          <w:rFonts w:ascii="新細明體" w:eastAsia="新細明體" w:hAnsi="新細明體" w:cs="新細明體"/>
          <w:b/>
          <w:color w:val="000000"/>
          <w:sz w:val="28"/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8"/>
          <w:lang w:eastAsia="zh-TW"/>
        </w:rPr>
        <w:t>壹、年度施政目標及策略</w:t>
      </w:r>
    </w:p>
    <w:p w:rsidR="00A77B3E" w:rsidRDefault="000271A9" w:rsidP="00EB18A3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一、整合三軍武器系統作戰能力，提升聯合作戰效能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（一）依據「國軍兵力整建計畫」，逐步達成建軍目標。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（二）透過三軍聯合</w:t>
      </w:r>
      <w:r w:rsidR="0034503C">
        <w:rPr>
          <w:rFonts w:ascii="新細明體" w:eastAsia="新細明體" w:hAnsi="新細明體" w:cs="新細明體" w:hint="eastAsia"/>
          <w:color w:val="000000"/>
          <w:lang w:eastAsia="zh-TW"/>
        </w:rPr>
        <w:t>演</w:t>
      </w:r>
      <w:bookmarkStart w:id="0" w:name="_GoBack"/>
      <w:bookmarkEnd w:id="0"/>
      <w:r>
        <w:rPr>
          <w:rFonts w:ascii="新細明體" w:eastAsia="新細明體" w:hAnsi="新細明體" w:cs="新細明體"/>
          <w:color w:val="000000"/>
          <w:lang w:eastAsia="zh-TW"/>
        </w:rPr>
        <w:t>訓，整合三軍兵、火力，確保防衛作戰任務遂行。</w:t>
      </w:r>
    </w:p>
    <w:p w:rsidR="00A77B3E" w:rsidRDefault="000271A9" w:rsidP="00EB18A3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二、勤訓精練，提升官兵基礎戰力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（一）國軍部隊訓練以達成「戰力防護、濱海決勝、灘岸殲敵」之整體防衛構想，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以仿真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戰場景況，實戰化對抗訓練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方式施訓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，落實聯合戰力整備。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（二）體能為戰鬥之基礎，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每季持恆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辦理三軍部隊體能抽測驗證，並以年度合格率85%為目標，有效提升國軍整體戰力。</w:t>
      </w:r>
    </w:p>
    <w:p w:rsidR="00A77B3E" w:rsidRDefault="000271A9" w:rsidP="00EB18A3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三、爭取高素質人力，穩定留營成效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（一）藉由推動募兵制配套措施及相關執行作為，召開管制會議瞭解各單位志願役人力成長情形。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（二）強化留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營續服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誘因，激發青年從軍長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留久用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意願。</w:t>
      </w:r>
    </w:p>
    <w:p w:rsidR="00A77B3E" w:rsidRDefault="000271A9" w:rsidP="00DE2796">
      <w:pPr>
        <w:widowControl w:val="0"/>
        <w:overflowPunct w:val="0"/>
        <w:spacing w:line="320" w:lineRule="exact"/>
        <w:ind w:left="480" w:hangingChars="200" w:hanging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四、鼓勵官兵進修，以滿足各職類專業需求</w:t>
      </w:r>
      <w:r w:rsidR="00DE2796">
        <w:rPr>
          <w:rFonts w:ascii="新細明體" w:eastAsia="新細明體" w:hAnsi="新細明體" w:cs="新細明體" w:hint="eastAsia"/>
          <w:color w:val="000000"/>
          <w:lang w:eastAsia="zh-TW"/>
        </w:rPr>
        <w:t>：</w:t>
      </w:r>
      <w:r>
        <w:rPr>
          <w:rFonts w:ascii="新細明體" w:eastAsia="新細明體" w:hAnsi="新細明體" w:cs="新細明體"/>
          <w:color w:val="000000"/>
          <w:lang w:eastAsia="zh-TW"/>
        </w:rPr>
        <w:t>辦理學位、證照培育，軍事深造教育，提升國軍本職學能。</w:t>
      </w:r>
    </w:p>
    <w:p w:rsidR="00A77B3E" w:rsidRDefault="000271A9" w:rsidP="00EB18A3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五、弘揚國軍光榮歷史，凝聚全民愛國意志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持續推動全民國防教育，廣納各部會及直轄市、縣（市）政府建議，務實規劃學校教育、政府機關（構）在職教育、社會教育及國防文物保護、宣導教育，透過多元宣傳，凝聚全民愛國共識，落實「全民關注、全民支持、全民參與」的全民國防理念。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（二）落實國軍眷村文化保存、活化及永續發展，彰顯國軍眷村之特殊歷史意義與人文活動，深化全民國防教育。</w:t>
      </w:r>
    </w:p>
    <w:p w:rsidR="00A77B3E" w:rsidRDefault="000271A9" w:rsidP="00EB18A3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六、厚植科技能量，帶動國防產業升級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為符政府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施政目標及國防科技發展趨勢，統整各類國防科技先期研究計畫提案需求，整合跨部會預算資源及運用國內產、學、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研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單位能量，執行國防科技基礎及應用研究，奠基武器系統研發能量。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（二）針對高科技、非高機敏性、關鍵性及國外不易獲得國防科技武器系統，自立發展高性能、高精度武器裝備，同時執行軍民通用科技計畫，將成熟國防科技轉化為民生用途，以藉由提升產學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研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之國防科技研發及產製能量，促進國防科技自主及產業發展。</w:t>
      </w:r>
    </w:p>
    <w:p w:rsidR="00A77B3E" w:rsidRDefault="000271A9" w:rsidP="00EB18A3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七、完備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各項災防整備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，持續精進救災能量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（一）強化救災能力，第一時間投入災區執行災害搶救工作。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廣儲救災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師資，參與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國內災防訓練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課程，厚植部隊救災技能與專業能力。</w:t>
      </w:r>
    </w:p>
    <w:p w:rsidR="00A77B3E" w:rsidRDefault="000271A9" w:rsidP="00DE2796">
      <w:pPr>
        <w:widowControl w:val="0"/>
        <w:overflowPunct w:val="0"/>
        <w:spacing w:line="320" w:lineRule="exact"/>
        <w:ind w:left="480" w:hangingChars="200" w:hanging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八、持續拓展友我國家軍事合作，鞏固夥伴關係</w:t>
      </w:r>
      <w:r w:rsidR="00DE2796">
        <w:rPr>
          <w:rFonts w:ascii="新細明體" w:eastAsia="新細明體" w:hAnsi="新細明體" w:cs="新細明體"/>
          <w:color w:val="000000"/>
          <w:lang w:eastAsia="zh-TW"/>
        </w:rPr>
        <w:t>：</w:t>
      </w:r>
      <w:r>
        <w:rPr>
          <w:rFonts w:ascii="新細明體" w:eastAsia="新細明體" w:hAnsi="新細明體" w:cs="新細明體"/>
          <w:color w:val="000000"/>
          <w:lang w:eastAsia="zh-TW"/>
        </w:rPr>
        <w:t>配合國家整體外交政策，以「平等、互惠、務實」原則，透過「高層互訪」、「戰略對話」等管道，持續推動友我國家間之軍事交流及安全合作。</w:t>
      </w:r>
    </w:p>
    <w:p w:rsidR="00A77B3E" w:rsidRDefault="000271A9" w:rsidP="00EB18A3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lastRenderedPageBreak/>
        <w:t>九、改善官兵生活環境，持恆推動各項官兵照護措施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（一）積極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整建老舊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營區，提供完整生活機能之居住環境。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（二）優化部隊衛勤作業，提升醫院醫療品質。</w:t>
      </w:r>
    </w:p>
    <w:p w:rsidR="00A77B3E" w:rsidRDefault="000271A9" w:rsidP="00EB18A3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（三）提供官兵優質法律服務，積極協處涉法事件，提供適法意見及諮詢。</w:t>
      </w:r>
    </w:p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0271A9">
      <w:pPr>
        <w:spacing w:before="200" w:line="320" w:lineRule="exact"/>
        <w:rPr>
          <w:rFonts w:ascii="新細明體" w:eastAsia="新細明體" w:hAnsi="新細明體" w:cs="新細明體"/>
          <w:b/>
          <w:color w:val="000000"/>
          <w:sz w:val="28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br w:type="page"/>
      </w:r>
      <w:proofErr w:type="spellStart"/>
      <w:r>
        <w:rPr>
          <w:rFonts w:ascii="新細明體" w:eastAsia="新細明體" w:hAnsi="新細明體" w:cs="新細明體"/>
          <w:b/>
          <w:color w:val="000000"/>
          <w:sz w:val="28"/>
        </w:rPr>
        <w:lastRenderedPageBreak/>
        <w:t>貳、年度重要計畫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532"/>
        <w:gridCol w:w="562"/>
        <w:gridCol w:w="6588"/>
      </w:tblGrid>
      <w:tr w:rsidR="0094249E">
        <w:trPr>
          <w:trHeight w:val="159"/>
          <w:tblHeader/>
        </w:trPr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工作計畫名稱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重要計畫項目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計畫類別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實施內容</w:t>
            </w:r>
            <w:proofErr w:type="spellEnd"/>
          </w:p>
        </w:tc>
      </w:tr>
      <w:tr w:rsidR="0094249E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建構可恃戰力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兵力整建計畫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為達成「防衛固守、重層嚇阻」軍事戰略及「戰力防護、濱海決勝、灘岸殲敵」之整體防衛構想，依快速提升戰力需求規劃，制定建軍構想及兵力整建計畫，並納入年度施政計畫及預算，逐步強化戰力防護並充實基本戰力及建置不對稱戰力。</w:t>
            </w:r>
          </w:p>
        </w:tc>
      </w:tr>
      <w:tr w:rsidR="0094249E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強化訓練作為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部隊訓練訓令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為達成國軍「戰力防護、濱海決勝、灘岸殲敵」整體防衛作戰之目的，各級部隊本「作戰任務在那裡，部隊就在那裡訓練，貫徹實戰化訓練」作法。部隊訓練環繞在防衛作戰任務，逐級訂定訓練項目與標準，置重點於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一專多能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、狙擊手、新興兵力，及海、空軍聯訓，並將聯合作戰訓練貫穿上下各層級，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以仿真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戰場景況，實戰化對抗訓練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方式施訓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，落實聯合戰力整備。</w:t>
            </w:r>
          </w:p>
        </w:tc>
      </w:tr>
      <w:tr w:rsidR="0094249E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優化募兵機制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國軍留營成效獎勵作業要點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為鼓勵基層優秀預備役人力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續簽留營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，以「獎由下起」、「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獎當其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功」激勵單位團體士氣，並於適當時機與場合妥善規劃表揚活動，有效塑造優良模範，以提升募兵制之推動成效。</w:t>
            </w:r>
          </w:p>
        </w:tc>
      </w:tr>
      <w:tr w:rsidR="0094249E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優化人才培育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國軍營區教學點獎勵作業要點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透過評比教學點執行成效，促進國軍營區（陸軍司令部等單位）教學點發展，鼓勵官兵從事學習活動，進而提升國軍人力素質，協助推動「募兵制」政策。</w:t>
            </w:r>
          </w:p>
        </w:tc>
      </w:tr>
      <w:tr w:rsidR="0094249E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落實國防自主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運用國內學校、廠商及研究機構，整合產、學、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單位技術資源，執行學術合作及軍民通用研究計畫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一、廣徵學術界參與國防科技基礎、應用及前瞻等研究，持恆推動學術合作發展。</w:t>
            </w:r>
          </w:p>
          <w:p w:rsidR="00A77B3E" w:rsidRDefault="000271A9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二、辦理評鑑作業評選優質學術合作計畫，運用成果發表會促進研發成果推廣與應用。</w:t>
            </w:r>
          </w:p>
          <w:p w:rsidR="00A77B3E" w:rsidRDefault="000271A9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三、運用國內學校、廠商及研究機構，就技術研發、智慧財產運用及廠商育成等方面，發展軍民通用科技計畫，持恆推動產業技術研究發展。</w:t>
            </w:r>
          </w:p>
        </w:tc>
      </w:tr>
      <w:tr w:rsidR="0094249E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精進災害防救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每年度配合各地方政府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辦理災防示範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演習計畫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國軍為落實災害防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救及戰訓本務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工作，依行政院政策指導，按災害潛勢地區分布狀況及災害類型，先期預置人員、機具，第一時間投入災害緊急救援，協助中央及地方政府執行災害防救工作，期減少國人因災害所造成之損失。</w:t>
            </w:r>
          </w:p>
        </w:tc>
      </w:tr>
      <w:tr w:rsidR="0094249E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拓展軍事交流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友我國家軍事交流（高層互訪、戰訓、智庫、教育訓練等）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一、推動友我國家軍事交流與合作，汲取先進軍事科技、建軍規劃理念、作戰經驗及教育訓練等新知，做為制定國防政策及強化建軍備戰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之參據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。</w:t>
            </w:r>
          </w:p>
          <w:p w:rsidR="00A77B3E" w:rsidRDefault="000271A9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二、經由軍事高層互訪、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戰訓交流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及教育訓練等方式，與友我國家保持良好關係，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鞏固軍誼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。</w:t>
            </w:r>
          </w:p>
          <w:p w:rsidR="00A77B3E" w:rsidRDefault="000271A9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三、持續與國際知名智庫交流及舉辦區域安全國防論壇等機制，爭取對我國防安全立場之認同與支持，促進與友我國家戰略安全關係。</w:t>
            </w:r>
          </w:p>
        </w:tc>
      </w:tr>
      <w:tr w:rsidR="0094249E">
        <w:trPr>
          <w:trHeight w:val="159"/>
        </w:trPr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落實官兵照顧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推動老舊營區整建計畫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271A9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以整體規劃、集中預算、重點投資及戰力發揮之思維，整建大型及群聚型營區與基地，設置完善之行政辦公、休閒運動及職務宿舍等多元性服務設施。另充分運用整體財務資源，擴大營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繕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工程預算規模，加速老舊營舍整建進度，改善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官兵住用品質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，推動老舊營區整建。</w:t>
            </w:r>
          </w:p>
        </w:tc>
      </w:tr>
    </w:tbl>
    <w:p w:rsidR="00A77B3E" w:rsidRDefault="00A77B3E" w:rsidP="00C92EC3">
      <w:pPr>
        <w:spacing w:line="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sectPr w:rsidR="00A77B3E" w:rsidSect="00C92EC3">
      <w:footerReference w:type="default" r:id="rId7"/>
      <w:pgSz w:w="11906" w:h="16838" w:code="9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63" w:rsidRDefault="004B0C63">
      <w:r>
        <w:separator/>
      </w:r>
    </w:p>
  </w:endnote>
  <w:endnote w:type="continuationSeparator" w:id="0">
    <w:p w:rsidR="004B0C63" w:rsidRDefault="004B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9E" w:rsidRDefault="000271A9">
    <w:pPr>
      <w:jc w:val="center"/>
      <w:rPr>
        <w:rFonts w:ascii="新細明體" w:eastAsia="新細明體" w:hAnsi="新細明體" w:cs="新細明體"/>
      </w:rPr>
    </w:pPr>
    <w:r>
      <w:rPr>
        <w:rFonts w:ascii="新細明體" w:eastAsia="新細明體" w:hAnsi="新細明體" w:cs="新細明體"/>
        <w:sz w:val="20"/>
      </w:rPr>
      <w:t>4-</w:t>
    </w:r>
    <w:r>
      <w:rPr>
        <w:rFonts w:ascii="新細明體" w:eastAsia="新細明體" w:hAnsi="新細明體" w:cs="新細明體"/>
        <w:sz w:val="20"/>
      </w:rPr>
      <w:fldChar w:fldCharType="begin"/>
    </w:r>
    <w:r>
      <w:rPr>
        <w:rFonts w:ascii="新細明體" w:eastAsia="新細明體" w:hAnsi="新細明體" w:cs="新細明體"/>
        <w:sz w:val="20"/>
      </w:rPr>
      <w:instrText>PAGE</w:instrText>
    </w:r>
    <w:r>
      <w:rPr>
        <w:rFonts w:ascii="新細明體" w:eastAsia="新細明體" w:hAnsi="新細明體" w:cs="新細明體"/>
        <w:sz w:val="20"/>
      </w:rPr>
      <w:fldChar w:fldCharType="separate"/>
    </w:r>
    <w:r w:rsidR="0034503C">
      <w:rPr>
        <w:rFonts w:ascii="新細明體" w:eastAsia="新細明體" w:hAnsi="新細明體" w:cs="新細明體"/>
        <w:noProof/>
        <w:sz w:val="20"/>
      </w:rPr>
      <w:t>1</w:t>
    </w:r>
    <w:r>
      <w:rPr>
        <w:rFonts w:ascii="新細明體" w:eastAsia="新細明體" w:hAnsi="新細明體" w:cs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63" w:rsidRDefault="004B0C63">
      <w:r>
        <w:separator/>
      </w:r>
    </w:p>
  </w:footnote>
  <w:footnote w:type="continuationSeparator" w:id="0">
    <w:p w:rsidR="004B0C63" w:rsidRDefault="004B0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71A9"/>
    <w:rsid w:val="0034503C"/>
    <w:rsid w:val="004149B0"/>
    <w:rsid w:val="004B0C63"/>
    <w:rsid w:val="00840BEE"/>
    <w:rsid w:val="0094249E"/>
    <w:rsid w:val="00A77B3E"/>
    <w:rsid w:val="00C92EC3"/>
    <w:rsid w:val="00CA2A55"/>
    <w:rsid w:val="00DE2796"/>
    <w:rsid w:val="00E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5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4503C"/>
  </w:style>
  <w:style w:type="paragraph" w:styleId="a5">
    <w:name w:val="footer"/>
    <w:basedOn w:val="a"/>
    <w:link w:val="a6"/>
    <w:rsid w:val="00345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4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5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4503C"/>
  </w:style>
  <w:style w:type="paragraph" w:styleId="a5">
    <w:name w:val="footer"/>
    <w:basedOn w:val="a"/>
    <w:link w:val="a6"/>
    <w:rsid w:val="00345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4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李麗霞</dc:creator>
  <cp:lastModifiedBy>李麗霞</cp:lastModifiedBy>
  <cp:revision>5</cp:revision>
  <dcterms:created xsi:type="dcterms:W3CDTF">2020-07-07T01:41:00Z</dcterms:created>
  <dcterms:modified xsi:type="dcterms:W3CDTF">2020-07-28T07:20:00Z</dcterms:modified>
</cp:coreProperties>
</file>