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80" w:rsidRPr="00CB1499" w:rsidRDefault="00947768" w:rsidP="008F77BC">
      <w:pPr>
        <w:snapToGrid w:val="0"/>
        <w:spacing w:afterLines="50" w:after="120" w:line="460" w:lineRule="exact"/>
        <w:ind w:right="539"/>
        <w:jc w:val="center"/>
        <w:rPr>
          <w:rFonts w:ascii="微軟正黑體" w:eastAsia="微軟正黑體" w:hAnsi="微軟正黑體" w:cs="Arial"/>
          <w:b/>
          <w:sz w:val="32"/>
          <w:szCs w:val="32"/>
          <w:lang w:eastAsia="zh-TW"/>
        </w:rPr>
      </w:pPr>
      <w:r w:rsidRPr="00CB1499">
        <w:rPr>
          <w:rFonts w:ascii="微軟正黑體" w:eastAsia="微軟正黑體" w:hAnsi="微軟正黑體" w:cs="Arial"/>
          <w:b/>
          <w:sz w:val="32"/>
          <w:szCs w:val="32"/>
          <w:lang w:eastAsia="zh-TW"/>
        </w:rPr>
        <w:t>美國在</w:t>
      </w:r>
      <w:r w:rsidR="00E37E6E" w:rsidRPr="00CB1499">
        <w:rPr>
          <w:rFonts w:ascii="微軟正黑體" w:eastAsia="微軟正黑體" w:hAnsi="微軟正黑體" w:cs="Arial" w:hint="eastAsia"/>
          <w:b/>
          <w:sz w:val="32"/>
          <w:szCs w:val="32"/>
          <w:lang w:eastAsia="zh-TW"/>
        </w:rPr>
        <w:t>台</w:t>
      </w:r>
      <w:r w:rsidRPr="00CB1499">
        <w:rPr>
          <w:rFonts w:ascii="微軟正黑體" w:eastAsia="微軟正黑體" w:hAnsi="微軟正黑體" w:cs="Arial"/>
          <w:b/>
          <w:sz w:val="32"/>
          <w:szCs w:val="32"/>
          <w:lang w:eastAsia="zh-TW"/>
        </w:rPr>
        <w:t>協會(AIT)及</w:t>
      </w:r>
      <w:r w:rsidR="00BB3BA1" w:rsidRPr="00CB1499">
        <w:rPr>
          <w:rFonts w:ascii="微軟正黑體" w:eastAsia="微軟正黑體" w:hAnsi="微軟正黑體" w:cs="Arial"/>
          <w:b/>
          <w:sz w:val="32"/>
          <w:szCs w:val="32"/>
          <w:lang w:eastAsia="zh-TW"/>
        </w:rPr>
        <w:t>駐美國</w:t>
      </w:r>
      <w:proofErr w:type="gramStart"/>
      <w:r w:rsidR="00BB3BA1" w:rsidRPr="00CB1499">
        <w:rPr>
          <w:rFonts w:ascii="微軟正黑體" w:eastAsia="微軟正黑體" w:hAnsi="微軟正黑體" w:cs="Arial"/>
          <w:b/>
          <w:sz w:val="32"/>
          <w:szCs w:val="32"/>
          <w:lang w:eastAsia="zh-TW"/>
        </w:rPr>
        <w:t>臺</w:t>
      </w:r>
      <w:proofErr w:type="gramEnd"/>
      <w:r w:rsidR="00BB3BA1" w:rsidRPr="00CB1499">
        <w:rPr>
          <w:rFonts w:ascii="微軟正黑體" w:eastAsia="微軟正黑體" w:hAnsi="微軟正黑體" w:cs="Arial"/>
          <w:b/>
          <w:sz w:val="32"/>
          <w:szCs w:val="32"/>
          <w:lang w:eastAsia="zh-TW"/>
        </w:rPr>
        <w:t>北經濟文化代表處(TECRO)</w:t>
      </w:r>
    </w:p>
    <w:p w:rsidR="00947768" w:rsidRPr="00CB1499" w:rsidRDefault="00947768" w:rsidP="008F77BC">
      <w:pPr>
        <w:snapToGrid w:val="0"/>
        <w:spacing w:afterLines="200" w:after="480" w:line="460" w:lineRule="exact"/>
        <w:ind w:right="539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CB1499">
        <w:rPr>
          <w:rFonts w:ascii="微軟正黑體" w:eastAsia="微軟正黑體" w:hAnsi="微軟正黑體" w:cs="Arial"/>
          <w:b/>
          <w:sz w:val="32"/>
          <w:szCs w:val="32"/>
          <w:lang w:eastAsia="zh-TW"/>
        </w:rPr>
        <w:t>第3屆數位經濟論壇聯合新聞聲明</w:t>
      </w:r>
    </w:p>
    <w:p w:rsidR="00947768" w:rsidRPr="00CB1499" w:rsidRDefault="00947768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以下聯合新聞聲明內容係第3屆數位經濟論壇結論</w:t>
      </w:r>
    </w:p>
    <w:p w:rsidR="00947768" w:rsidRPr="00CB1499" w:rsidRDefault="00947768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2019年12月10日至11日</w:t>
      </w:r>
      <w:r w:rsidR="00C2089B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，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在美國在</w:t>
      </w:r>
      <w:r w:rsidR="00E37E6E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台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協會(AIT)及駐美國</w:t>
      </w:r>
      <w:proofErr w:type="gramStart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臺</w:t>
      </w:r>
      <w:proofErr w:type="gramEnd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北經濟文化代表處(TECRO)的協助下，</w:t>
      </w:r>
      <w:proofErr w:type="gramStart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臺</w:t>
      </w:r>
      <w:proofErr w:type="gramEnd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美雙方資深官方代表在</w:t>
      </w:r>
      <w:proofErr w:type="gramStart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臺</w:t>
      </w:r>
      <w:proofErr w:type="gramEnd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北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召開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第三屆數位經濟論壇，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以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確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認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數位時代</w:t>
      </w:r>
      <w:r w:rsidR="007A700D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下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臺美經濟關係</w:t>
      </w:r>
      <w:r w:rsidR="007A700D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的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共同戰略重點。</w:t>
      </w:r>
    </w:p>
    <w:p w:rsidR="00947768" w:rsidRPr="00CB1499" w:rsidRDefault="007A700D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在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論壇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舉辦</w:t>
      </w:r>
      <w:proofErr w:type="gramStart"/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期間，</w:t>
      </w:r>
      <w:proofErr w:type="gramEnd"/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雙方</w:t>
      </w:r>
      <w:r w:rsidR="0094776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代表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討論議題包括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：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如何共同</w:t>
      </w:r>
      <w:r w:rsidR="005E2449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推動佈署安全且受信賴的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5G</w:t>
      </w:r>
      <w:r w:rsidR="005E2449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網絡</w:t>
      </w:r>
      <w:r w:rsidR="005A3766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與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標準、在第三國進行數位連</w:t>
      </w:r>
      <w:r w:rsidR="005A3766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結</w:t>
      </w:r>
      <w:proofErr w:type="gramStart"/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及</w:t>
      </w:r>
      <w:r w:rsidR="00DA430D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資安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合作</w:t>
      </w:r>
      <w:proofErr w:type="gramEnd"/>
      <w:r w:rsidR="005E2449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計畫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、</w:t>
      </w:r>
      <w:r w:rsidR="0094776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推動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開放資料經濟、</w:t>
      </w:r>
      <w:r w:rsidR="0094776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促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進跨境</w:t>
      </w:r>
      <w:r w:rsidR="005A3766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數據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流通</w:t>
      </w:r>
      <w:r w:rsidR="005A3766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與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隱私保護、</w:t>
      </w:r>
      <w:r w:rsidR="005E2449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針對促成負責任的使用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人工智慧</w:t>
      </w:r>
      <w:proofErr w:type="gramStart"/>
      <w:r w:rsidR="005A3766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與</w:t>
      </w:r>
      <w:r w:rsidR="00C2089B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物聯網</w:t>
      </w:r>
      <w:proofErr w:type="gramEnd"/>
      <w:r w:rsidR="005E2449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進行政策交流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，並</w:t>
      </w:r>
      <w:r w:rsidR="00C2089B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確認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為實現社會公益而追求創新的共同承諾。  </w:t>
      </w:r>
    </w:p>
    <w:p w:rsidR="00947768" w:rsidRPr="00CB1499" w:rsidRDefault="005E2449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AIT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與</w:t>
      </w:r>
      <w:r w:rsidRPr="00CB1499">
        <w:rPr>
          <w:rFonts w:ascii="微軟正黑體" w:eastAsia="微軟正黑體" w:hAnsi="微軟正黑體" w:cs="Arial"/>
          <w:sz w:val="28"/>
          <w:szCs w:val="28"/>
          <w:lang w:eastAsia="zh-HK"/>
        </w:rPr>
        <w:t>TECRO，代表各自的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政府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，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確認支持以下十項政策重點： </w:t>
      </w:r>
    </w:p>
    <w:p w:rsidR="00947768" w:rsidRPr="00CB1499" w:rsidRDefault="007423C3" w:rsidP="008F77BC">
      <w:pPr>
        <w:numPr>
          <w:ilvl w:val="0"/>
          <w:numId w:val="1"/>
        </w:numPr>
        <w:tabs>
          <w:tab w:val="clear" w:pos="720"/>
          <w:tab w:val="num" w:pos="709"/>
        </w:tabs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在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與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信賴合作夥伴共同開展先進研發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，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並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在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理解半導體產業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涉及影響一國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經濟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及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國家安全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的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基礎上，加深半導體產業的整合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7423C3" w:rsidP="008F77BC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支持安全且受信賴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5G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硬體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、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軟體及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標準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的佈署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，以維護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「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布拉格提案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」體現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之民主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與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開放市場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等共同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價值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；強調透明與開放的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5G架構之價值，並在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支持多元化的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5G供應鏈方面，更緊密地合作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7423C3" w:rsidP="008F77BC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確認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網路安全是數位經濟發展的先決條件，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以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加強科技產業及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其支援之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基礎設施的網路安全。此外，透過美國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官方「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數位連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結及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網路安全夥伴關係(DCCP)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」、臺美「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全球合作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暨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訓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練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架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構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(GCTF)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」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及其他機制，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積極與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第三國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合作辦理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數位經濟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及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網路安全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之</w:t>
      </w:r>
      <w:r w:rsidRPr="007423C3">
        <w:rPr>
          <w:rFonts w:ascii="微軟正黑體" w:eastAsia="微軟正黑體" w:hAnsi="微軟正黑體" w:cs="Arial"/>
          <w:sz w:val="28"/>
          <w:szCs w:val="28"/>
          <w:lang w:eastAsia="zh-HK"/>
        </w:rPr>
        <w:t>能力</w:t>
      </w:r>
      <w:r w:rsidRPr="007423C3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建構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2917A8" w:rsidP="008F77BC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HK"/>
        </w:rPr>
      </w:pP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促進資料透明、大數據商業模型、開放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治理</w:t>
      </w: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等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領域</w:t>
      </w: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最佳實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務</w:t>
      </w: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的應用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，</w:t>
      </w: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即使可能會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衝擊</w:t>
      </w: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傳統行業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，也應</w:t>
      </w: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採用輕度監管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方式，為</w:t>
      </w:r>
      <w:r w:rsidRPr="002917A8">
        <w:rPr>
          <w:rFonts w:ascii="微軟正黑體" w:eastAsia="微軟正黑體" w:hAnsi="微軟正黑體" w:cs="Arial"/>
          <w:sz w:val="28"/>
          <w:szCs w:val="28"/>
          <w:lang w:eastAsia="zh-HK"/>
        </w:rPr>
        <w:t>創新提供發展空間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HK"/>
        </w:rPr>
        <w:t>。</w:t>
      </w:r>
    </w:p>
    <w:p w:rsidR="00947768" w:rsidRPr="00CB1499" w:rsidRDefault="002917A8" w:rsidP="008F77BC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lastRenderedPageBreak/>
        <w:t>為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AIT-TECRO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在數位經濟方面可能達成的協議，尋求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法律、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管制及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行政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上的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基礎，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以符合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美墨加協定(USMCA)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所設立之標準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，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並探索建立更高標準的可能性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，同時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 xml:space="preserve">確認參與 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APEC 跨境隱私保護規則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體系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(CBPRs)</w:t>
      </w:r>
      <w:r w:rsidR="00C37DE2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 </w:t>
      </w:r>
      <w:bookmarkStart w:id="0" w:name="_GoBack"/>
      <w:bookmarkEnd w:id="0"/>
    </w:p>
    <w:p w:rsidR="00947768" w:rsidRPr="00CB1499" w:rsidRDefault="00B25C71" w:rsidP="008F77BC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推動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臺美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在人工智慧、物聯網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先進機械等產業更緊密整合，同時，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在彼此領土之間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採取適當控制措施以防止敏感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科技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的洩漏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B25C71" w:rsidP="00B25C71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為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臺灣邁向創新經濟，透過臺美新創生態系與志同道合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之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經濟體整合、促進女性創業精神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、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鼓勵社會和技術創新，以促進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在彼此領土內的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永續及民主發展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B25C71" w:rsidP="008F77BC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促進臺、美和其他志同道合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國家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間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之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人才流動、培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育及連結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B25C71" w:rsidP="008F77BC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提升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網路治理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體系的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包容、開放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透明，並積極支持多方利益</w:t>
      </w:r>
      <w:r w:rsidRPr="00B25C71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關係人</w:t>
      </w:r>
      <w:r w:rsidRPr="00B25C71">
        <w:rPr>
          <w:rFonts w:ascii="微軟正黑體" w:eastAsia="微軟正黑體" w:hAnsi="微軟正黑體" w:cs="Arial"/>
          <w:sz w:val="28"/>
          <w:szCs w:val="28"/>
          <w:lang w:eastAsia="zh-TW"/>
        </w:rPr>
        <w:t>參與</w:t>
      </w:r>
      <w:r w:rsidR="00FC2192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。</w:t>
      </w:r>
    </w:p>
    <w:p w:rsidR="00947768" w:rsidRPr="00CB1499" w:rsidRDefault="002917A8" w:rsidP="00B25C71">
      <w:pPr>
        <w:numPr>
          <w:ilvl w:val="0"/>
          <w:numId w:val="1"/>
        </w:numPr>
        <w:snapToGrid w:val="0"/>
        <w:spacing w:afterLines="50" w:after="120" w:line="460" w:lineRule="exact"/>
        <w:ind w:left="709" w:right="539" w:hanging="283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運用一切必要措施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，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保護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包括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商業秘密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在內的智慧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財產權，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加強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執行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網路防禦</w:t>
      </w:r>
      <w:r w:rsidRPr="002917A8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之</w:t>
      </w:r>
      <w:r w:rsidRPr="002917A8">
        <w:rPr>
          <w:rFonts w:ascii="微軟正黑體" w:eastAsia="微軟正黑體" w:hAnsi="微軟正黑體" w:cs="Arial"/>
          <w:sz w:val="28"/>
          <w:szCs w:val="28"/>
          <w:lang w:eastAsia="zh-TW"/>
        </w:rPr>
        <w:t>相關法律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  </w:t>
      </w:r>
    </w:p>
    <w:p w:rsidR="00947768" w:rsidRPr="00CB1499" w:rsidRDefault="00947768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與會者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亦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重申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以</w:t>
      </w:r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「</w:t>
      </w:r>
      <w:r w:rsidR="003A5A60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AIT-TECRO貿易</w:t>
      </w:r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暨</w:t>
      </w:r>
      <w:r w:rsidR="003A5A60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投資</w:t>
      </w:r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架構</w:t>
      </w:r>
      <w:r w:rsidR="003A5A60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協</w:t>
      </w:r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定</w:t>
      </w:r>
      <w:r w:rsidR="003A5A60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(TIFA)」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做為</w:t>
      </w:r>
      <w:proofErr w:type="gramStart"/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臺</w:t>
      </w:r>
      <w:proofErr w:type="gramEnd"/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美官方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解決貿易</w:t>
      </w:r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議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題的</w:t>
      </w:r>
      <w:r w:rsidR="003A5A60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主要場域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，包括數位</w:t>
      </w:r>
      <w:r w:rsidR="00236D8A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貿易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相關議題。</w:t>
      </w:r>
    </w:p>
    <w:p w:rsidR="00947768" w:rsidRPr="00CB1499" w:rsidRDefault="00947768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雙方歡迎</w:t>
      </w:r>
      <w:r w:rsidR="00CC68A3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「</w:t>
      </w:r>
      <w:r w:rsidR="00CC68A3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第三次美</w:t>
      </w:r>
      <w:proofErr w:type="gramStart"/>
      <w:r w:rsidR="00CC68A3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臺</w:t>
      </w:r>
      <w:proofErr w:type="gramEnd"/>
      <w:r w:rsidR="00CC68A3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中小企業工作計劃</w:t>
      </w:r>
      <w:r w:rsidR="00E660D4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(</w:t>
      </w:r>
      <w:r w:rsidR="00CC68A3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U.S.-Taiwan SME Work Plan</w:t>
      </w:r>
      <w:proofErr w:type="gramStart"/>
      <w:r w:rsidR="001439D3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)</w:t>
      </w:r>
      <w:r w:rsidR="00CC68A3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」</w:t>
      </w:r>
      <w:proofErr w:type="gramEnd"/>
      <w:r w:rsidR="00CC68A3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倡議，</w:t>
      </w:r>
      <w:r w:rsidR="00CC68A3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咸認該倡議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對促進技術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與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社會創新至關重要，特別是關於婦女賦權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社會企業家精神。</w:t>
      </w:r>
    </w:p>
    <w:p w:rsidR="00947768" w:rsidRPr="00CB1499" w:rsidRDefault="00947768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AIT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與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TECRO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宣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布</w:t>
      </w:r>
      <w:r w:rsidR="000F2705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2020年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GCTF將舉辦</w:t>
      </w:r>
      <w:r w:rsidR="000F2705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兩個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與數位經濟相關的研討會，</w:t>
      </w:r>
      <w:r w:rsidR="000F2705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以促進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循環經濟</w:t>
      </w:r>
      <w:r w:rsidR="000F2705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及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網路自由</w:t>
      </w:r>
      <w:r w:rsidR="00236D8A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，</w:t>
      </w:r>
      <w:r w:rsidR="00236D8A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並期待即將辦理的</w:t>
      </w:r>
      <w:r w:rsidR="00236D8A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GCTF</w:t>
      </w:r>
      <w:r w:rsidR="00236D8A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工作坊，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推進</w:t>
      </w:r>
      <w:r w:rsidR="00236D8A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開放、兼容</w:t>
      </w:r>
      <w:r w:rsidR="00236D8A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、</w:t>
      </w:r>
      <w:r w:rsidR="00236D8A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可靠及安全網路的共同願景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123EA1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AIT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與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TECRO</w:t>
      </w:r>
      <w:r w:rsidR="000F2705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期待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，就安全與受信賴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5G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網絡的佈署，依據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「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布拉格提案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」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所揭示的原則，</w:t>
      </w:r>
      <w:r w:rsidR="00636CFB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與其他理念相近</w:t>
      </w:r>
      <w:r w:rsidR="000F2705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的夥伴國家合作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；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透過</w:t>
      </w:r>
      <w:r w:rsidR="005B7E80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在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第三國</w:t>
      </w:r>
      <w:r w:rsidR="005B7E80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舉辦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訓練研討會</w:t>
      </w:r>
      <w:r w:rsidR="006426C6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，</w:t>
      </w:r>
      <w:r w:rsidR="006426C6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進行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能力建構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；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並</w:t>
      </w:r>
      <w:r w:rsidR="005B7E80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邀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集</w:t>
      </w:r>
      <w:r w:rsidR="005B7E80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具共同網路安全優先性</w:t>
      </w:r>
      <w:r w:rsidR="00DC2FC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的夥伴，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辦理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網路安全演練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活動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 </w:t>
      </w:r>
    </w:p>
    <w:p w:rsidR="00947768" w:rsidRPr="00CB1499" w:rsidRDefault="00947768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lastRenderedPageBreak/>
        <w:t>與會</w:t>
      </w:r>
      <w:r w:rsidR="006426C6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代表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對近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期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成立的「人才循環大聯盟」表示讚賞，並鼓勵所</w:t>
      </w:r>
      <w:r w:rsidR="006426C6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有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志同道合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夥伴積極推動數位經濟</w:t>
      </w:r>
      <w:r w:rsidR="00E660D4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科技相關人才的</w:t>
      </w:r>
      <w:r w:rsidR="006426C6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交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流，以解決人才</w:t>
      </w:r>
      <w:r w:rsidR="006426C6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外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流問題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；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透過加強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頂尖</w:t>
      </w:r>
      <w:proofErr w:type="gramStart"/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人才間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的交流</w:t>
      </w:r>
      <w:proofErr w:type="gramEnd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，確保臺灣的未來仍</w:t>
      </w:r>
      <w:r w:rsidR="006426C6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與</w:t>
      </w:r>
      <w:r w:rsidR="0032092B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自由開放</w:t>
      </w:r>
      <w:r w:rsidR="0032092B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的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印太地區</w:t>
      </w:r>
      <w:r w:rsidR="006426C6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緊密聯繫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</w:p>
    <w:p w:rsidR="00947768" w:rsidRPr="00CB1499" w:rsidRDefault="0032092B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雙方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為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促使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上述共同政策重點及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倡議</w:t>
      </w:r>
      <w:r w:rsidR="00C23ADF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，</w:t>
      </w:r>
      <w:r w:rsidR="00C23ADF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能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不斷取得進展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，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預期將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成立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「</w:t>
      </w:r>
      <w:proofErr w:type="gramStart"/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臺</w:t>
      </w:r>
      <w:proofErr w:type="gramEnd"/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美</w:t>
      </w:r>
      <w:r w:rsidR="00DC2FC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數位經濟工作小組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(</w:t>
      </w:r>
      <w:r w:rsidR="00DC2FC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U.S.-Taiwan Digital Economy Working Group</w:t>
      </w:r>
      <w:proofErr w:type="gramStart"/>
      <w:r w:rsidR="001439D3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)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」</w:t>
      </w:r>
      <w:proofErr w:type="gramEnd"/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，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並傾向規劃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每年至少開會一次，以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檢核工作進度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並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訂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定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來年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工作計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畫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。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因</w:t>
      </w:r>
      <w:r w:rsidR="00C23ADF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雙方同意</w:t>
      </w:r>
      <w:proofErr w:type="gramStart"/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臺</w:t>
      </w:r>
      <w:proofErr w:type="gramEnd"/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美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數位經濟關係</w:t>
      </w:r>
      <w:r w:rsidR="00C23ADF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的完整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範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疇</w:t>
      </w:r>
      <w:r w:rsidR="00C23ADF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，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對經濟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proofErr w:type="gramStart"/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國家安全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均具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影響</w:t>
      </w:r>
      <w:proofErr w:type="gramEnd"/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，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工作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小組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預計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將由美國在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台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協會副處長及臺灣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國</w:t>
      </w:r>
      <w:r w:rsidR="005B7E80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家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發</w:t>
      </w:r>
      <w:r w:rsidR="005B7E80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展委員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會副主委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共同主持。  </w:t>
      </w:r>
    </w:p>
    <w:p w:rsidR="004613E1" w:rsidRPr="00CB1499" w:rsidRDefault="00947768" w:rsidP="008F77BC">
      <w:pPr>
        <w:snapToGrid w:val="0"/>
        <w:spacing w:afterLines="100" w:after="240" w:line="460" w:lineRule="exact"/>
        <w:ind w:right="53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AIT代表團</w:t>
      </w:r>
      <w:r w:rsidR="00123EA1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包括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美國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商務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部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 xml:space="preserve">助理部長Ian </w:t>
      </w:r>
      <w:proofErr w:type="spellStart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Steff</w:t>
      </w:r>
      <w:proofErr w:type="spellEnd"/>
      <w:r w:rsidR="0072614A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，</w:t>
      </w:r>
      <w:r w:rsidR="00565ED9" w:rsidRPr="00CB1499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其他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成員包括國務院、商務部、聯邦通訊委員會</w:t>
      </w:r>
      <w:r w:rsidR="007B5726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、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國際開發署</w:t>
      </w:r>
      <w:r w:rsidR="007B5726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r w:rsidR="007B5726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AIT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等。TECRO代表團由國家發展委員會陳</w:t>
      </w:r>
      <w:r w:rsidR="00DC2FC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主任委員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美</w:t>
      </w:r>
      <w:proofErr w:type="gramStart"/>
      <w:r w:rsidR="0032092B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伶</w:t>
      </w:r>
      <w:proofErr w:type="gramEnd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率領國發會、行政院科技會報辦公室、</w:t>
      </w:r>
      <w:proofErr w:type="gramStart"/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行政院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資安處</w:t>
      </w:r>
      <w:proofErr w:type="gramEnd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、</w:t>
      </w:r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國家通訊傳播委員會</w:t>
      </w:r>
      <w:r w:rsidR="00DC2FC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、</w:t>
      </w:r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經濟部</w:t>
      </w:r>
      <w:r w:rsidR="00DC2FC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、</w:t>
      </w:r>
      <w:proofErr w:type="gramStart"/>
      <w:r w:rsidR="00DC2FC8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科技部</w:t>
      </w:r>
      <w:r w:rsidR="0032092B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及</w:t>
      </w:r>
      <w:proofErr w:type="gramEnd"/>
      <w:r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TECRO代表參加。美國及臺灣業界代表亦參加論壇。</w:t>
      </w:r>
    </w:p>
    <w:p w:rsidR="00DE0332" w:rsidRDefault="00DC2FC8" w:rsidP="008F77BC">
      <w:pPr>
        <w:snapToGrid w:val="0"/>
        <w:spacing w:afterLines="100" w:after="240" w:line="460" w:lineRule="exact"/>
        <w:ind w:right="-99"/>
        <w:rPr>
          <w:rFonts w:ascii="微軟正黑體" w:eastAsia="微軟正黑體" w:hAnsi="微軟正黑體" w:cs="Arial"/>
          <w:sz w:val="28"/>
          <w:szCs w:val="28"/>
          <w:lang w:eastAsia="zh-TW"/>
        </w:rPr>
      </w:pPr>
      <w:proofErr w:type="gramStart"/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旨揭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新聞稿</w:t>
      </w:r>
      <w:proofErr w:type="gramEnd"/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亦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可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於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AIT</w:t>
      </w:r>
      <w:r w:rsidR="00501B99"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與國發會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網站上</w:t>
      </w: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取得</w:t>
      </w:r>
      <w:r w:rsidR="00947768" w:rsidRPr="00CB1499">
        <w:rPr>
          <w:rFonts w:ascii="微軟正黑體" w:eastAsia="微軟正黑體" w:hAnsi="微軟正黑體" w:cs="Arial"/>
          <w:sz w:val="28"/>
          <w:szCs w:val="28"/>
          <w:lang w:eastAsia="zh-TW"/>
        </w:rPr>
        <w:t>：</w:t>
      </w:r>
    </w:p>
    <w:p w:rsidR="00DE0332" w:rsidRDefault="00BA2637" w:rsidP="008F77BC">
      <w:pPr>
        <w:snapToGrid w:val="0"/>
        <w:spacing w:afterLines="100" w:after="240" w:line="460" w:lineRule="exact"/>
        <w:ind w:right="-99"/>
        <w:rPr>
          <w:rFonts w:asciiTheme="minorEastAsia" w:eastAsiaTheme="minorEastAsia" w:hAnsiTheme="minorEastAsia"/>
          <w:lang w:eastAsia="zh-TW"/>
        </w:rPr>
      </w:pPr>
      <w:hyperlink r:id="rId8" w:history="1">
        <w:r w:rsidR="009E30A7">
          <w:rPr>
            <w:rStyle w:val="aa"/>
          </w:rPr>
          <w:t>https://www.ait.org.tw/zhtw/</w:t>
        </w:r>
      </w:hyperlink>
      <w:r w:rsidR="009E30A7">
        <w:rPr>
          <w:rFonts w:asciiTheme="minorEastAsia" w:eastAsiaTheme="minorEastAsia" w:hAnsiTheme="minorEastAsia" w:hint="eastAsia"/>
          <w:lang w:eastAsia="zh-TW"/>
        </w:rPr>
        <w:t xml:space="preserve"> </w:t>
      </w:r>
    </w:p>
    <w:p w:rsidR="00947768" w:rsidRPr="00CB1499" w:rsidRDefault="009E30A7" w:rsidP="008F77BC">
      <w:pPr>
        <w:snapToGrid w:val="0"/>
        <w:spacing w:afterLines="100" w:after="240" w:line="460" w:lineRule="exact"/>
        <w:ind w:right="-99"/>
        <w:rPr>
          <w:rFonts w:ascii="微軟正黑體" w:eastAsia="微軟正黑體" w:hAnsi="微軟正黑體" w:cs="Arial"/>
          <w:sz w:val="28"/>
          <w:szCs w:val="28"/>
          <w:lang w:eastAsia="zh-TW"/>
        </w:rPr>
      </w:pPr>
      <w:hyperlink r:id="rId9" w:history="1">
        <w:r>
          <w:rPr>
            <w:rStyle w:val="aa"/>
          </w:rPr>
          <w:t>https://www.ndc.gov.tw/</w:t>
        </w:r>
      </w:hyperlink>
    </w:p>
    <w:p w:rsidR="00707A53" w:rsidRPr="00CB1499" w:rsidRDefault="00707A53" w:rsidP="008F77BC">
      <w:pPr>
        <w:snapToGrid w:val="0"/>
        <w:spacing w:afterLines="100" w:after="240" w:line="460" w:lineRule="exact"/>
        <w:ind w:right="-99"/>
        <w:rPr>
          <w:rFonts w:ascii="微軟正黑體" w:eastAsia="微軟正黑體" w:hAnsi="微軟正黑體" w:cs="Arial"/>
          <w:sz w:val="28"/>
          <w:szCs w:val="28"/>
          <w:lang w:eastAsia="zh-TW"/>
        </w:rPr>
      </w:pPr>
    </w:p>
    <w:p w:rsidR="001D46E2" w:rsidRPr="00CB1499" w:rsidRDefault="001D46E2" w:rsidP="008F77BC">
      <w:pPr>
        <w:snapToGrid w:val="0"/>
        <w:spacing w:afterLines="100" w:after="240" w:line="460" w:lineRule="exact"/>
        <w:ind w:right="-99"/>
        <w:rPr>
          <w:rFonts w:ascii="微軟正黑體" w:eastAsia="微軟正黑體" w:hAnsi="微軟正黑體" w:cs="Arial"/>
          <w:sz w:val="28"/>
          <w:szCs w:val="28"/>
          <w:lang w:eastAsia="zh-TW"/>
        </w:rPr>
      </w:pPr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(中文譯本僅供參考，</w:t>
      </w:r>
      <w:proofErr w:type="gramStart"/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文義如與</w:t>
      </w:r>
      <w:proofErr w:type="gramEnd"/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英文有歧異，概以英文本為</w:t>
      </w:r>
      <w:proofErr w:type="gramStart"/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準</w:t>
      </w:r>
      <w:proofErr w:type="gramEnd"/>
      <w:r w:rsidRPr="00CB1499">
        <w:rPr>
          <w:rFonts w:ascii="微軟正黑體" w:eastAsia="微軟正黑體" w:hAnsi="微軟正黑體" w:cs="Arial" w:hint="eastAsia"/>
          <w:sz w:val="28"/>
          <w:szCs w:val="28"/>
          <w:lang w:eastAsia="zh-TW"/>
        </w:rPr>
        <w:t>)</w:t>
      </w:r>
    </w:p>
    <w:sectPr w:rsidR="001D46E2" w:rsidRPr="00CB1499" w:rsidSect="008F77BC">
      <w:pgSz w:w="12240" w:h="15840"/>
      <w:pgMar w:top="1560" w:right="1041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37" w:rsidRDefault="00BA2637" w:rsidP="00D23F64">
      <w:r>
        <w:separator/>
      </w:r>
    </w:p>
  </w:endnote>
  <w:endnote w:type="continuationSeparator" w:id="0">
    <w:p w:rsidR="00BA2637" w:rsidRDefault="00BA2637" w:rsidP="00D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37" w:rsidRDefault="00BA2637" w:rsidP="00D23F64">
      <w:r>
        <w:separator/>
      </w:r>
    </w:p>
  </w:footnote>
  <w:footnote w:type="continuationSeparator" w:id="0">
    <w:p w:rsidR="00BA2637" w:rsidRDefault="00BA2637" w:rsidP="00D2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7CA"/>
    <w:multiLevelType w:val="multilevel"/>
    <w:tmpl w:val="2C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68"/>
    <w:rsid w:val="00022513"/>
    <w:rsid w:val="00093A08"/>
    <w:rsid w:val="000F2705"/>
    <w:rsid w:val="000F6FC6"/>
    <w:rsid w:val="00123EA1"/>
    <w:rsid w:val="001439D3"/>
    <w:rsid w:val="0017638A"/>
    <w:rsid w:val="00185E65"/>
    <w:rsid w:val="001B5C19"/>
    <w:rsid w:val="001D46E2"/>
    <w:rsid w:val="002205A4"/>
    <w:rsid w:val="00236D8A"/>
    <w:rsid w:val="002564B0"/>
    <w:rsid w:val="0025787D"/>
    <w:rsid w:val="002632FE"/>
    <w:rsid w:val="002917A8"/>
    <w:rsid w:val="002A55E8"/>
    <w:rsid w:val="0032092B"/>
    <w:rsid w:val="00334C35"/>
    <w:rsid w:val="003A5A60"/>
    <w:rsid w:val="003E3565"/>
    <w:rsid w:val="004613E1"/>
    <w:rsid w:val="004B34B1"/>
    <w:rsid w:val="00501B99"/>
    <w:rsid w:val="0056531C"/>
    <w:rsid w:val="00565ED9"/>
    <w:rsid w:val="005A3766"/>
    <w:rsid w:val="005B7E80"/>
    <w:rsid w:val="005E2449"/>
    <w:rsid w:val="00635072"/>
    <w:rsid w:val="00636CFB"/>
    <w:rsid w:val="006426C6"/>
    <w:rsid w:val="0067224F"/>
    <w:rsid w:val="00707A53"/>
    <w:rsid w:val="0072614A"/>
    <w:rsid w:val="007423C3"/>
    <w:rsid w:val="00783C7F"/>
    <w:rsid w:val="007A700D"/>
    <w:rsid w:val="007A7E3C"/>
    <w:rsid w:val="007B5726"/>
    <w:rsid w:val="007E285F"/>
    <w:rsid w:val="007F2A51"/>
    <w:rsid w:val="00853C08"/>
    <w:rsid w:val="00861B56"/>
    <w:rsid w:val="00871301"/>
    <w:rsid w:val="008848B6"/>
    <w:rsid w:val="008C2286"/>
    <w:rsid w:val="008D6E82"/>
    <w:rsid w:val="008F77BC"/>
    <w:rsid w:val="009067BE"/>
    <w:rsid w:val="00947768"/>
    <w:rsid w:val="00952437"/>
    <w:rsid w:val="009B0DA8"/>
    <w:rsid w:val="009C4009"/>
    <w:rsid w:val="009E30A7"/>
    <w:rsid w:val="00A5361E"/>
    <w:rsid w:val="00B25C71"/>
    <w:rsid w:val="00B42D5F"/>
    <w:rsid w:val="00BA2637"/>
    <w:rsid w:val="00BB3BA1"/>
    <w:rsid w:val="00C2089B"/>
    <w:rsid w:val="00C23ADF"/>
    <w:rsid w:val="00C37DE2"/>
    <w:rsid w:val="00CB1499"/>
    <w:rsid w:val="00CC68A3"/>
    <w:rsid w:val="00D23F64"/>
    <w:rsid w:val="00D90E22"/>
    <w:rsid w:val="00DA430D"/>
    <w:rsid w:val="00DC2FC8"/>
    <w:rsid w:val="00DE0332"/>
    <w:rsid w:val="00E37E6E"/>
    <w:rsid w:val="00E660D4"/>
    <w:rsid w:val="00EA6F7F"/>
    <w:rsid w:val="00F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  <w:rPr>
      <w:rFonts w:ascii="Times New Roman" w:eastAsia="SimSun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C37DE2"/>
  </w:style>
  <w:style w:type="character" w:styleId="a3">
    <w:name w:val="Emphasis"/>
    <w:basedOn w:val="a0"/>
    <w:uiPriority w:val="20"/>
    <w:qFormat/>
    <w:rsid w:val="00C37DE2"/>
    <w:rPr>
      <w:b w:val="0"/>
      <w:bCs w:val="0"/>
      <w:i w:val="0"/>
      <w:iCs w:val="0"/>
      <w:color w:val="DD4B39"/>
    </w:rPr>
  </w:style>
  <w:style w:type="paragraph" w:styleId="a4">
    <w:name w:val="header"/>
    <w:basedOn w:val="a"/>
    <w:link w:val="a5"/>
    <w:uiPriority w:val="99"/>
    <w:unhideWhenUsed/>
    <w:rsid w:val="00D2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F6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2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F6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5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3C08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character" w:styleId="aa">
    <w:name w:val="Hyperlink"/>
    <w:basedOn w:val="a0"/>
    <w:uiPriority w:val="99"/>
    <w:semiHidden/>
    <w:unhideWhenUsed/>
    <w:rsid w:val="00707A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  <w:rPr>
      <w:rFonts w:ascii="Times New Roman" w:eastAsia="SimSun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C37DE2"/>
  </w:style>
  <w:style w:type="character" w:styleId="a3">
    <w:name w:val="Emphasis"/>
    <w:basedOn w:val="a0"/>
    <w:uiPriority w:val="20"/>
    <w:qFormat/>
    <w:rsid w:val="00C37DE2"/>
    <w:rPr>
      <w:b w:val="0"/>
      <w:bCs w:val="0"/>
      <w:i w:val="0"/>
      <w:iCs w:val="0"/>
      <w:color w:val="DD4B39"/>
    </w:rPr>
  </w:style>
  <w:style w:type="paragraph" w:styleId="a4">
    <w:name w:val="header"/>
    <w:basedOn w:val="a"/>
    <w:link w:val="a5"/>
    <w:uiPriority w:val="99"/>
    <w:unhideWhenUsed/>
    <w:rsid w:val="00D2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F6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2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F6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5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3C08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character" w:styleId="aa">
    <w:name w:val="Hyperlink"/>
    <w:basedOn w:val="a0"/>
    <w:uiPriority w:val="99"/>
    <w:semiHidden/>
    <w:unhideWhenUsed/>
    <w:rsid w:val="00707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t.org.tw/zh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d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蕭郁蓉</dc:creator>
  <cp:lastModifiedBy>何昇融</cp:lastModifiedBy>
  <cp:revision>9</cp:revision>
  <cp:lastPrinted>2019-12-09T03:05:00Z</cp:lastPrinted>
  <dcterms:created xsi:type="dcterms:W3CDTF">2019-12-10T08:35:00Z</dcterms:created>
  <dcterms:modified xsi:type="dcterms:W3CDTF">2019-12-11T04:30:00Z</dcterms:modified>
</cp:coreProperties>
</file>