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FB" w:rsidRDefault="002A6EFB" w:rsidP="002A6EFB">
      <w:pPr>
        <w:jc w:val="center"/>
        <w:rPr>
          <w:rFonts w:ascii="微軟正黑體" w:eastAsia="微軟正黑體" w:hAnsi="微軟正黑體"/>
          <w:b/>
          <w:bCs/>
          <w:color w:val="000000"/>
          <w:sz w:val="36"/>
        </w:rPr>
      </w:pPr>
      <w:r w:rsidRPr="000B42AF">
        <w:rPr>
          <w:rFonts w:ascii="微軟正黑體" w:eastAsia="微軟正黑體" w:hAnsi="微軟正黑體"/>
          <w:b/>
          <w:bCs/>
          <w:color w:val="000000"/>
          <w:sz w:val="36"/>
        </w:rPr>
        <w:t>政府數位服務</w:t>
      </w:r>
      <w:r w:rsidR="008536FB">
        <w:rPr>
          <w:rFonts w:ascii="微軟正黑體" w:eastAsia="微軟正黑體" w:hAnsi="微軟正黑體" w:hint="eastAsia"/>
          <w:b/>
          <w:bCs/>
          <w:color w:val="000000"/>
          <w:sz w:val="36"/>
        </w:rPr>
        <w:t>指引</w:t>
      </w:r>
    </w:p>
    <w:p w:rsidR="002A6EFB" w:rsidRPr="000B42AF" w:rsidRDefault="002A6EFB" w:rsidP="002A6EFB">
      <w:pPr>
        <w:jc w:val="center"/>
        <w:rPr>
          <w:rFonts w:ascii="微軟正黑體" w:eastAsia="微軟正黑體" w:hAnsi="微軟正黑體"/>
          <w:b/>
          <w:bCs/>
          <w:color w:val="000000"/>
          <w:sz w:val="32"/>
        </w:rPr>
      </w:pPr>
      <w:r>
        <w:rPr>
          <w:rFonts w:ascii="微軟正黑體" w:eastAsia="微軟正黑體" w:hAnsi="微軟正黑體" w:hint="eastAsia"/>
          <w:b/>
          <w:bCs/>
          <w:color w:val="000000"/>
          <w:sz w:val="36"/>
        </w:rPr>
        <w:t>總說明</w:t>
      </w:r>
    </w:p>
    <w:p w:rsidR="002A6EFB" w:rsidRPr="000B42AF" w:rsidRDefault="002A6EFB" w:rsidP="002A6EFB">
      <w:pPr>
        <w:rPr>
          <w:rFonts w:ascii="微軟正黑體" w:eastAsia="微軟正黑體" w:hAnsi="微軟正黑體"/>
          <w:sz w:val="32"/>
          <w:szCs w:val="32"/>
        </w:rPr>
      </w:pPr>
    </w:p>
    <w:p w:rsidR="002A6EFB" w:rsidRPr="000B42AF" w:rsidRDefault="002A6EFB" w:rsidP="005E6897">
      <w:pPr>
        <w:ind w:firstLineChars="202" w:firstLine="566"/>
        <w:rPr>
          <w:rFonts w:ascii="微軟正黑體" w:eastAsia="微軟正黑體" w:hAnsi="微軟正黑體"/>
          <w:szCs w:val="32"/>
        </w:rPr>
      </w:pPr>
      <w:r w:rsidRPr="000B42AF">
        <w:rPr>
          <w:rFonts w:ascii="微軟正黑體" w:eastAsia="微軟正黑體" w:hAnsi="微軟正黑體"/>
          <w:szCs w:val="32"/>
        </w:rPr>
        <w:t>為協助各機關發展跨域服務整合</w:t>
      </w:r>
      <w:r>
        <w:rPr>
          <w:rFonts w:ascii="微軟正黑體" w:eastAsia="微軟正黑體" w:hAnsi="微軟正黑體" w:hint="eastAsia"/>
          <w:szCs w:val="32"/>
        </w:rPr>
        <w:t>及</w:t>
      </w:r>
      <w:r w:rsidRPr="000B42AF">
        <w:rPr>
          <w:rFonts w:ascii="微軟正黑體" w:eastAsia="微軟正黑體" w:hAnsi="微軟正黑體"/>
          <w:szCs w:val="32"/>
        </w:rPr>
        <w:t>落實以使用者為中心的服務設計，達成打造智慧政府的願景，</w:t>
      </w:r>
      <w:r>
        <w:rPr>
          <w:rFonts w:ascii="微軟正黑體" w:eastAsia="微軟正黑體" w:hAnsi="微軟正黑體" w:hint="eastAsia"/>
          <w:szCs w:val="32"/>
        </w:rPr>
        <w:t>國家發展委員會</w:t>
      </w:r>
      <w:r w:rsidR="00C6268B">
        <w:rPr>
          <w:rFonts w:ascii="微軟正黑體" w:eastAsia="微軟正黑體" w:hAnsi="微軟正黑體" w:hint="eastAsia"/>
          <w:szCs w:val="32"/>
        </w:rPr>
        <w:t>訂</w:t>
      </w:r>
      <w:r w:rsidR="0037247B">
        <w:rPr>
          <w:rFonts w:ascii="微軟正黑體" w:eastAsia="微軟正黑體" w:hAnsi="微軟正黑體" w:hint="eastAsia"/>
          <w:szCs w:val="32"/>
        </w:rPr>
        <w:t>定</w:t>
      </w:r>
      <w:r>
        <w:rPr>
          <w:rFonts w:ascii="微軟正黑體" w:eastAsia="微軟正黑體" w:hAnsi="微軟正黑體" w:hint="eastAsia"/>
          <w:szCs w:val="32"/>
        </w:rPr>
        <w:t>「政府數位服務</w:t>
      </w:r>
      <w:r w:rsidR="008536FB">
        <w:rPr>
          <w:rFonts w:ascii="微軟正黑體" w:eastAsia="微軟正黑體" w:hAnsi="微軟正黑體" w:hint="eastAsia"/>
          <w:szCs w:val="32"/>
        </w:rPr>
        <w:t>指引</w:t>
      </w:r>
      <w:r>
        <w:rPr>
          <w:rFonts w:ascii="微軟正黑體" w:eastAsia="微軟正黑體" w:hAnsi="微軟正黑體" w:hint="eastAsia"/>
          <w:szCs w:val="32"/>
        </w:rPr>
        <w:t>」</w:t>
      </w:r>
      <w:r w:rsidR="00C6268B">
        <w:rPr>
          <w:rFonts w:ascii="微軟正黑體" w:eastAsia="微軟正黑體" w:hAnsi="微軟正黑體" w:hint="eastAsia"/>
          <w:szCs w:val="32"/>
        </w:rPr>
        <w:t>(以下簡稱</w:t>
      </w:r>
      <w:r w:rsidR="008536FB">
        <w:rPr>
          <w:rFonts w:ascii="微軟正黑體" w:eastAsia="微軟正黑體" w:hAnsi="微軟正黑體" w:hint="eastAsia"/>
          <w:szCs w:val="32"/>
        </w:rPr>
        <w:t>指引</w:t>
      </w:r>
      <w:r w:rsidR="00C6268B">
        <w:rPr>
          <w:rFonts w:ascii="微軟正黑體" w:eastAsia="微軟正黑體" w:hAnsi="微軟正黑體" w:hint="eastAsia"/>
          <w:szCs w:val="32"/>
        </w:rPr>
        <w:t>)</w:t>
      </w:r>
      <w:r w:rsidRPr="000B42AF">
        <w:rPr>
          <w:rFonts w:ascii="微軟正黑體" w:eastAsia="微軟正黑體" w:hAnsi="微軟正黑體"/>
          <w:szCs w:val="32"/>
        </w:rPr>
        <w:t>，提供各機關發展數位服務之參考。本</w:t>
      </w:r>
      <w:r w:rsidR="008536FB">
        <w:rPr>
          <w:rFonts w:ascii="微軟正黑體" w:eastAsia="微軟正黑體" w:hAnsi="微軟正黑體" w:hint="eastAsia"/>
          <w:szCs w:val="32"/>
        </w:rPr>
        <w:t>指引</w:t>
      </w:r>
      <w:r w:rsidRPr="000B42AF">
        <w:rPr>
          <w:rFonts w:ascii="微軟正黑體" w:eastAsia="微軟正黑體" w:hAnsi="微軟正黑體"/>
          <w:szCs w:val="32"/>
        </w:rPr>
        <w:t>計有13</w:t>
      </w:r>
      <w:r w:rsidR="00F739D5">
        <w:rPr>
          <w:rFonts w:ascii="微軟正黑體" w:eastAsia="微軟正黑體" w:hAnsi="微軟正黑體" w:hint="eastAsia"/>
          <w:szCs w:val="32"/>
        </w:rPr>
        <w:t>項</w:t>
      </w:r>
      <w:r w:rsidRPr="000B42AF">
        <w:rPr>
          <w:rFonts w:ascii="微軟正黑體" w:eastAsia="微軟正黑體" w:hAnsi="微軟正黑體"/>
          <w:szCs w:val="32"/>
        </w:rPr>
        <w:t>，內容如下：</w:t>
      </w:r>
    </w:p>
    <w:p w:rsidR="002A6EFB" w:rsidRPr="00E05512" w:rsidRDefault="002A6EFB" w:rsidP="002A6EFB">
      <w:pPr>
        <w:rPr>
          <w:rFonts w:ascii="微軟正黑體" w:eastAsia="微軟正黑體" w:hAnsi="微軟正黑體"/>
          <w:szCs w:val="32"/>
        </w:rPr>
      </w:pPr>
    </w:p>
    <w:p w:rsidR="002A6EFB" w:rsidRPr="000B42AF" w:rsidRDefault="00F739D5" w:rsidP="002A6EFB">
      <w:pPr>
        <w:rPr>
          <w:rFonts w:ascii="微軟正黑體" w:eastAsia="微軟正黑體" w:hAnsi="微軟正黑體"/>
          <w:color w:val="000000"/>
        </w:rPr>
      </w:pPr>
      <w:r>
        <w:rPr>
          <w:rFonts w:ascii="微軟正黑體" w:eastAsia="微軟正黑體" w:hAnsi="微軟正黑體" w:hint="eastAsia"/>
          <w:b/>
          <w:bCs/>
          <w:color w:val="000000"/>
        </w:rPr>
        <w:t>一、</w:t>
      </w:r>
      <w:r w:rsidR="002A6EFB" w:rsidRPr="000B42AF">
        <w:rPr>
          <w:rFonts w:ascii="微軟正黑體" w:eastAsia="微軟正黑體" w:hAnsi="微軟正黑體"/>
          <w:b/>
          <w:bCs/>
          <w:color w:val="000000"/>
        </w:rPr>
        <w:t>了解使用者需求</w:t>
      </w:r>
    </w:p>
    <w:p w:rsidR="002A6EFB" w:rsidRPr="000B42AF" w:rsidRDefault="00F739D5" w:rsidP="002A6EFB">
      <w:pPr>
        <w:rPr>
          <w:rFonts w:ascii="微軟正黑體" w:eastAsia="微軟正黑體" w:hAnsi="微軟正黑體"/>
          <w:b/>
          <w:bCs/>
          <w:color w:val="000000"/>
        </w:rPr>
      </w:pPr>
      <w:r>
        <w:rPr>
          <w:rFonts w:ascii="微軟正黑體" w:eastAsia="微軟正黑體" w:hAnsi="微軟正黑體" w:hint="eastAsia"/>
          <w:b/>
          <w:bCs/>
          <w:color w:val="000000"/>
        </w:rPr>
        <w:t>二、</w:t>
      </w:r>
      <w:r w:rsidR="002A6EFB" w:rsidRPr="000B42AF">
        <w:rPr>
          <w:rFonts w:ascii="微軟正黑體" w:eastAsia="微軟正黑體" w:hAnsi="微軟正黑體"/>
          <w:b/>
          <w:bCs/>
          <w:color w:val="000000"/>
        </w:rPr>
        <w:t>建立跨領域合作機制</w:t>
      </w:r>
    </w:p>
    <w:p w:rsidR="002A6EFB" w:rsidRPr="000B42AF" w:rsidRDefault="00F739D5" w:rsidP="002A6EFB">
      <w:pPr>
        <w:rPr>
          <w:rFonts w:ascii="微軟正黑體" w:eastAsia="微軟正黑體" w:hAnsi="微軟正黑體"/>
          <w:color w:val="000000"/>
        </w:rPr>
      </w:pPr>
      <w:r>
        <w:rPr>
          <w:rFonts w:ascii="微軟正黑體" w:eastAsia="微軟正黑體" w:hAnsi="微軟正黑體" w:hint="eastAsia"/>
          <w:b/>
          <w:bCs/>
          <w:color w:val="000000"/>
        </w:rPr>
        <w:t>三、</w:t>
      </w:r>
      <w:r w:rsidR="002A6EFB" w:rsidRPr="000B42AF">
        <w:rPr>
          <w:rFonts w:ascii="微軟正黑體" w:eastAsia="微軟正黑體" w:hAnsi="微軟正黑體"/>
          <w:b/>
          <w:bCs/>
          <w:color w:val="000000"/>
        </w:rPr>
        <w:t>規劃多元服務管道</w:t>
      </w:r>
    </w:p>
    <w:p w:rsidR="002A6EFB" w:rsidRPr="000B42AF" w:rsidRDefault="00F739D5" w:rsidP="002A6EFB">
      <w:pPr>
        <w:rPr>
          <w:rFonts w:ascii="微軟正黑體" w:eastAsia="微軟正黑體" w:hAnsi="微軟正黑體"/>
        </w:rPr>
      </w:pPr>
      <w:r>
        <w:rPr>
          <w:rFonts w:ascii="微軟正黑體" w:eastAsia="微軟正黑體" w:hAnsi="微軟正黑體" w:hint="eastAsia"/>
          <w:b/>
          <w:bCs/>
          <w:color w:val="000000"/>
        </w:rPr>
        <w:t>四</w:t>
      </w:r>
      <w:r>
        <w:rPr>
          <w:rFonts w:ascii="微軟正黑體" w:eastAsia="微軟正黑體" w:hAnsi="微軟正黑體" w:hint="eastAsia"/>
          <w:b/>
          <w:bCs/>
        </w:rPr>
        <w:t>、</w:t>
      </w:r>
      <w:r w:rsidR="002A6EFB" w:rsidRPr="000B42AF">
        <w:rPr>
          <w:rFonts w:ascii="微軟正黑體" w:eastAsia="微軟正黑體" w:hAnsi="微軟正黑體"/>
          <w:b/>
          <w:bCs/>
        </w:rPr>
        <w:t>採用持續精進作業程序</w:t>
      </w:r>
    </w:p>
    <w:p w:rsidR="002A6EFB" w:rsidRPr="000B42AF" w:rsidRDefault="00F739D5" w:rsidP="002A6EFB">
      <w:pPr>
        <w:rPr>
          <w:rFonts w:ascii="微軟正黑體" w:eastAsia="微軟正黑體" w:hAnsi="微軟正黑體"/>
        </w:rPr>
      </w:pPr>
      <w:r>
        <w:rPr>
          <w:rFonts w:ascii="微軟正黑體" w:eastAsia="微軟正黑體" w:hAnsi="微軟正黑體" w:hint="eastAsia"/>
          <w:b/>
          <w:bCs/>
          <w:color w:val="000000"/>
        </w:rPr>
        <w:t>五、</w:t>
      </w:r>
      <w:r w:rsidR="002A6EFB" w:rsidRPr="000B42AF">
        <w:rPr>
          <w:rFonts w:ascii="微軟正黑體" w:eastAsia="微軟正黑體" w:hAnsi="微軟正黑體"/>
          <w:b/>
          <w:bCs/>
          <w:color w:val="000000"/>
        </w:rPr>
        <w:t>確保服務所需資源</w:t>
      </w:r>
    </w:p>
    <w:p w:rsidR="002A6EFB" w:rsidRPr="000B42AF" w:rsidRDefault="00F739D5" w:rsidP="002A6EFB">
      <w:pPr>
        <w:rPr>
          <w:rFonts w:ascii="微軟正黑體" w:eastAsia="微軟正黑體" w:hAnsi="微軟正黑體"/>
        </w:rPr>
      </w:pPr>
      <w:r>
        <w:rPr>
          <w:rFonts w:ascii="微軟正黑體" w:eastAsia="微軟正黑體" w:hAnsi="微軟正黑體" w:hint="eastAsia"/>
          <w:b/>
          <w:bCs/>
          <w:color w:val="000000"/>
        </w:rPr>
        <w:t>六、</w:t>
      </w:r>
      <w:r w:rsidR="002A6EFB" w:rsidRPr="000B42AF">
        <w:rPr>
          <w:rFonts w:ascii="微軟正黑體" w:eastAsia="微軟正黑體" w:hAnsi="微軟正黑體"/>
          <w:b/>
          <w:bCs/>
          <w:color w:val="000000"/>
        </w:rPr>
        <w:t>評估採用工具與系統</w:t>
      </w:r>
    </w:p>
    <w:p w:rsidR="002A6EFB" w:rsidRPr="000B42AF" w:rsidRDefault="00F739D5" w:rsidP="002A6EFB">
      <w:pPr>
        <w:rPr>
          <w:rFonts w:ascii="微軟正黑體" w:eastAsia="微軟正黑體" w:hAnsi="微軟正黑體"/>
        </w:rPr>
      </w:pPr>
      <w:r>
        <w:rPr>
          <w:rFonts w:ascii="微軟正黑體" w:eastAsia="微軟正黑體" w:hAnsi="微軟正黑體" w:hint="eastAsia"/>
          <w:b/>
          <w:bCs/>
          <w:color w:val="000000"/>
        </w:rPr>
        <w:t>七、</w:t>
      </w:r>
      <w:r w:rsidR="002A6EFB" w:rsidRPr="000B42AF">
        <w:rPr>
          <w:rFonts w:ascii="微軟正黑體" w:eastAsia="微軟正黑體" w:hAnsi="微軟正黑體"/>
          <w:b/>
          <w:bCs/>
          <w:color w:val="000000"/>
        </w:rPr>
        <w:t>兼顧資安、隱私及便利性</w:t>
      </w:r>
    </w:p>
    <w:p w:rsidR="002A6EFB" w:rsidRPr="000B42AF" w:rsidRDefault="00F739D5" w:rsidP="002A6EFB">
      <w:pPr>
        <w:rPr>
          <w:rFonts w:ascii="微軟正黑體" w:eastAsia="微軟正黑體" w:hAnsi="微軟正黑體"/>
        </w:rPr>
      </w:pPr>
      <w:r>
        <w:rPr>
          <w:rFonts w:ascii="微軟正黑體" w:eastAsia="微軟正黑體" w:hAnsi="微軟正黑體" w:hint="eastAsia"/>
          <w:b/>
          <w:bCs/>
          <w:color w:val="000000"/>
        </w:rPr>
        <w:t>八、</w:t>
      </w:r>
      <w:r w:rsidR="002A6EFB" w:rsidRPr="000B42AF">
        <w:rPr>
          <w:rFonts w:ascii="微軟正黑體" w:eastAsia="微軟正黑體" w:hAnsi="微軟正黑體"/>
          <w:b/>
          <w:bCs/>
          <w:color w:val="000000"/>
        </w:rPr>
        <w:t>以開放為優先</w:t>
      </w:r>
    </w:p>
    <w:p w:rsidR="002A6EFB" w:rsidRPr="000B42AF" w:rsidRDefault="00F739D5" w:rsidP="002A6EFB">
      <w:pPr>
        <w:rPr>
          <w:rFonts w:ascii="微軟正黑體" w:eastAsia="微軟正黑體" w:hAnsi="微軟正黑體"/>
        </w:rPr>
      </w:pPr>
      <w:r>
        <w:rPr>
          <w:rFonts w:ascii="微軟正黑體" w:eastAsia="微軟正黑體" w:hAnsi="微軟正黑體" w:hint="eastAsia"/>
          <w:b/>
          <w:bCs/>
          <w:color w:val="000000"/>
        </w:rPr>
        <w:t>九、</w:t>
      </w:r>
      <w:r w:rsidR="002A6EFB" w:rsidRPr="000B42AF">
        <w:rPr>
          <w:rFonts w:ascii="微軟正黑體" w:eastAsia="微軟正黑體" w:hAnsi="微軟正黑體"/>
          <w:b/>
          <w:bCs/>
          <w:color w:val="000000"/>
        </w:rPr>
        <w:t>持續測試與快速部署服務</w:t>
      </w:r>
    </w:p>
    <w:p w:rsidR="002A6EFB" w:rsidRPr="000B42AF" w:rsidRDefault="00F739D5" w:rsidP="002A6EFB">
      <w:pPr>
        <w:rPr>
          <w:rFonts w:ascii="微軟正黑體" w:eastAsia="微軟正黑體" w:hAnsi="微軟正黑體"/>
          <w:color w:val="000000"/>
        </w:rPr>
      </w:pPr>
      <w:r>
        <w:rPr>
          <w:rFonts w:ascii="微軟正黑體" w:eastAsia="微軟正黑體" w:hAnsi="微軟正黑體" w:hint="eastAsia"/>
          <w:b/>
          <w:bCs/>
          <w:color w:val="000000"/>
        </w:rPr>
        <w:t>十、</w:t>
      </w:r>
      <w:r w:rsidR="002A6EFB" w:rsidRPr="000B42AF">
        <w:rPr>
          <w:rFonts w:ascii="微軟正黑體" w:eastAsia="微軟正黑體" w:hAnsi="微軟正黑體"/>
          <w:b/>
          <w:bCs/>
          <w:color w:val="000000"/>
        </w:rPr>
        <w:t>擬定</w:t>
      </w:r>
      <w:r w:rsidR="002A6EFB" w:rsidRPr="000B42AF">
        <w:rPr>
          <w:rFonts w:ascii="微軟正黑體" w:eastAsia="微軟正黑體" w:hAnsi="微軟正黑體"/>
          <w:b/>
          <w:bCs/>
        </w:rPr>
        <w:t>中斷</w:t>
      </w:r>
      <w:r w:rsidR="002A6EFB" w:rsidRPr="000B42AF">
        <w:rPr>
          <w:rFonts w:ascii="微軟正黑體" w:eastAsia="微軟正黑體" w:hAnsi="微軟正黑體"/>
          <w:b/>
          <w:bCs/>
          <w:color w:val="000000"/>
        </w:rPr>
        <w:t>因應計畫</w:t>
      </w:r>
    </w:p>
    <w:p w:rsidR="002A6EFB" w:rsidRPr="000B42AF" w:rsidRDefault="00F739D5" w:rsidP="002A6EFB">
      <w:pPr>
        <w:rPr>
          <w:rFonts w:ascii="微軟正黑體" w:eastAsia="微軟正黑體" w:hAnsi="微軟正黑體"/>
        </w:rPr>
      </w:pPr>
      <w:r>
        <w:rPr>
          <w:rFonts w:ascii="微軟正黑體" w:eastAsia="微軟正黑體" w:hAnsi="微軟正黑體" w:hint="eastAsia"/>
          <w:b/>
          <w:bCs/>
          <w:color w:val="000000"/>
        </w:rPr>
        <w:t>十一、</w:t>
      </w:r>
      <w:r w:rsidR="002A6EFB" w:rsidRPr="000B42AF">
        <w:rPr>
          <w:rFonts w:ascii="微軟正黑體" w:eastAsia="微軟正黑體" w:hAnsi="微軟正黑體"/>
          <w:b/>
          <w:bCs/>
          <w:color w:val="000000"/>
        </w:rPr>
        <w:t>遵循易用性原則</w:t>
      </w:r>
    </w:p>
    <w:p w:rsidR="002A6EFB" w:rsidRPr="000B42AF" w:rsidRDefault="00F739D5" w:rsidP="002A6EFB">
      <w:pPr>
        <w:rPr>
          <w:rFonts w:ascii="微軟正黑體" w:eastAsia="微軟正黑體" w:hAnsi="微軟正黑體"/>
        </w:rPr>
      </w:pPr>
      <w:r>
        <w:rPr>
          <w:rFonts w:ascii="微軟正黑體" w:eastAsia="微軟正黑體" w:hAnsi="微軟正黑體" w:hint="eastAsia"/>
          <w:b/>
          <w:bCs/>
          <w:color w:val="000000"/>
        </w:rPr>
        <w:t>十二、</w:t>
      </w:r>
      <w:r w:rsidR="002A6EFB" w:rsidRPr="000B42AF">
        <w:rPr>
          <w:rFonts w:ascii="微軟正黑體" w:eastAsia="微軟正黑體" w:hAnsi="微軟正黑體"/>
          <w:b/>
          <w:bCs/>
          <w:color w:val="000000"/>
        </w:rPr>
        <w:t>鼓勵數位使用</w:t>
      </w:r>
    </w:p>
    <w:p w:rsidR="002A6EFB" w:rsidRDefault="00F739D5" w:rsidP="002A6EFB">
      <w:pPr>
        <w:rPr>
          <w:rFonts w:ascii="微軟正黑體" w:eastAsia="微軟正黑體" w:hAnsi="微軟正黑體"/>
          <w:b/>
          <w:bCs/>
          <w:color w:val="000000"/>
        </w:rPr>
      </w:pPr>
      <w:r>
        <w:rPr>
          <w:rFonts w:ascii="微軟正黑體" w:eastAsia="微軟正黑體" w:hAnsi="微軟正黑體" w:hint="eastAsia"/>
          <w:b/>
          <w:bCs/>
          <w:color w:val="000000"/>
        </w:rPr>
        <w:t>十三、</w:t>
      </w:r>
      <w:r w:rsidR="002A6EFB" w:rsidRPr="000B42AF">
        <w:rPr>
          <w:rFonts w:ascii="微軟正黑體" w:eastAsia="微軟正黑體" w:hAnsi="微軟正黑體"/>
          <w:b/>
          <w:bCs/>
          <w:color w:val="000000"/>
        </w:rPr>
        <w:t>衡量服務績效</w:t>
      </w:r>
    </w:p>
    <w:p w:rsidR="00C6268B" w:rsidRPr="000B42AF" w:rsidRDefault="00C6268B" w:rsidP="002A6EFB">
      <w:pPr>
        <w:rPr>
          <w:rFonts w:ascii="微軟正黑體" w:eastAsia="微軟正黑體" w:hAnsi="微軟正黑體"/>
        </w:rPr>
      </w:pPr>
    </w:p>
    <w:p w:rsidR="002A6EFB" w:rsidRPr="002754F3" w:rsidRDefault="00C456F3" w:rsidP="005E6897">
      <w:pPr>
        <w:ind w:firstLineChars="202" w:firstLine="566"/>
        <w:rPr>
          <w:rFonts w:ascii="微軟正黑體" w:eastAsia="微軟正黑體" w:hAnsi="微軟正黑體"/>
          <w:szCs w:val="32"/>
        </w:rPr>
      </w:pPr>
      <w:r>
        <w:rPr>
          <w:rFonts w:ascii="微軟正黑體" w:eastAsia="微軟正黑體" w:hAnsi="微軟正黑體" w:hint="eastAsia"/>
          <w:szCs w:val="32"/>
        </w:rPr>
        <w:t>另</w:t>
      </w:r>
      <w:r w:rsidR="00C6268B" w:rsidRPr="00C6268B">
        <w:rPr>
          <w:rFonts w:ascii="微軟正黑體" w:eastAsia="微軟正黑體" w:hAnsi="微軟正黑體" w:hint="eastAsia"/>
          <w:szCs w:val="32"/>
        </w:rPr>
        <w:t>為協助各機關能符合</w:t>
      </w:r>
      <w:r w:rsidR="008536FB" w:rsidRPr="008536FB">
        <w:rPr>
          <w:rFonts w:ascii="微軟正黑體" w:eastAsia="微軟正黑體" w:hAnsi="微軟正黑體" w:hint="eastAsia"/>
          <w:szCs w:val="32"/>
        </w:rPr>
        <w:t>指引</w:t>
      </w:r>
      <w:r w:rsidR="00C6268B" w:rsidRPr="00C6268B">
        <w:rPr>
          <w:rFonts w:ascii="微軟正黑體" w:eastAsia="微軟正黑體" w:hAnsi="微軟正黑體" w:hint="eastAsia"/>
          <w:szCs w:val="32"/>
        </w:rPr>
        <w:t>之要求，研訂</w:t>
      </w:r>
      <w:r w:rsidR="002754F3">
        <w:rPr>
          <w:rFonts w:ascii="微軟正黑體" w:eastAsia="微軟正黑體" w:hAnsi="微軟正黑體" w:hint="eastAsia"/>
          <w:szCs w:val="32"/>
        </w:rPr>
        <w:t>「</w:t>
      </w:r>
      <w:r w:rsidRPr="00C456F3">
        <w:rPr>
          <w:rFonts w:ascii="微軟正黑體" w:eastAsia="微軟正黑體" w:hAnsi="微軟正黑體"/>
          <w:szCs w:val="32"/>
        </w:rPr>
        <w:t>政府數位服務</w:t>
      </w:r>
      <w:r w:rsidR="008536FB">
        <w:rPr>
          <w:rFonts w:ascii="微軟正黑體" w:eastAsia="微軟正黑體" w:hAnsi="微軟正黑體" w:hint="eastAsia"/>
          <w:szCs w:val="32"/>
        </w:rPr>
        <w:t>指引</w:t>
      </w:r>
      <w:r w:rsidRPr="00C456F3">
        <w:rPr>
          <w:rFonts w:ascii="微軟正黑體" w:eastAsia="微軟正黑體" w:hAnsi="微軟正黑體" w:hint="eastAsia"/>
          <w:szCs w:val="32"/>
        </w:rPr>
        <w:t>：</w:t>
      </w:r>
      <w:r w:rsidR="002754F3" w:rsidRPr="002754F3">
        <w:rPr>
          <w:rFonts w:ascii="微軟正黑體" w:eastAsia="微軟正黑體" w:hAnsi="微軟正黑體" w:hint="eastAsia"/>
          <w:szCs w:val="32"/>
        </w:rPr>
        <w:t>政府</w:t>
      </w:r>
      <w:r w:rsidR="0037247B">
        <w:rPr>
          <w:rFonts w:ascii="微軟正黑體" w:eastAsia="微軟正黑體" w:hAnsi="微軟正黑體" w:hint="eastAsia"/>
          <w:szCs w:val="32"/>
        </w:rPr>
        <w:t>資通訊應用</w:t>
      </w:r>
      <w:r w:rsidR="008536FB">
        <w:rPr>
          <w:rFonts w:ascii="微軟正黑體" w:eastAsia="微軟正黑體" w:hAnsi="微軟正黑體" w:hint="eastAsia"/>
          <w:szCs w:val="32"/>
        </w:rPr>
        <w:t>計畫</w:t>
      </w:r>
      <w:r w:rsidR="002754F3" w:rsidRPr="002754F3">
        <w:rPr>
          <w:rFonts w:ascii="微軟正黑體" w:eastAsia="微軟正黑體" w:hAnsi="微軟正黑體" w:hint="eastAsia"/>
          <w:szCs w:val="32"/>
        </w:rPr>
        <w:t>自評表</w:t>
      </w:r>
      <w:r w:rsidR="002754F3">
        <w:rPr>
          <w:rFonts w:ascii="微軟正黑體" w:eastAsia="微軟正黑體" w:hAnsi="微軟正黑體" w:hint="eastAsia"/>
          <w:szCs w:val="32"/>
        </w:rPr>
        <w:t>」</w:t>
      </w:r>
      <w:r w:rsidR="0037247B">
        <w:rPr>
          <w:rFonts w:ascii="微軟正黑體" w:eastAsia="微軟正黑體" w:hAnsi="微軟正黑體" w:hint="eastAsia"/>
          <w:szCs w:val="32"/>
        </w:rPr>
        <w:t>(附件1)</w:t>
      </w:r>
      <w:r w:rsidR="002754F3" w:rsidRPr="002754F3">
        <w:rPr>
          <w:rFonts w:ascii="微軟正黑體" w:eastAsia="微軟正黑體" w:hAnsi="微軟正黑體" w:hint="eastAsia"/>
          <w:szCs w:val="32"/>
        </w:rPr>
        <w:t>、</w:t>
      </w:r>
      <w:r w:rsidR="002754F3">
        <w:rPr>
          <w:rFonts w:ascii="微軟正黑體" w:eastAsia="微軟正黑體" w:hAnsi="微軟正黑體" w:hint="eastAsia"/>
          <w:szCs w:val="32"/>
        </w:rPr>
        <w:t>「</w:t>
      </w:r>
      <w:r w:rsidRPr="00C456F3">
        <w:rPr>
          <w:rFonts w:ascii="微軟正黑體" w:eastAsia="微軟正黑體" w:hAnsi="微軟正黑體"/>
          <w:szCs w:val="32"/>
        </w:rPr>
        <w:t>政府數位服務</w:t>
      </w:r>
      <w:r w:rsidR="008536FB">
        <w:rPr>
          <w:rFonts w:ascii="微軟正黑體" w:eastAsia="微軟正黑體" w:hAnsi="微軟正黑體" w:hint="eastAsia"/>
          <w:szCs w:val="32"/>
        </w:rPr>
        <w:t>指引</w:t>
      </w:r>
      <w:r w:rsidRPr="00C456F3">
        <w:rPr>
          <w:rFonts w:ascii="微軟正黑體" w:eastAsia="微軟正黑體" w:hAnsi="微軟正黑體" w:hint="eastAsia"/>
          <w:szCs w:val="32"/>
        </w:rPr>
        <w:t>：</w:t>
      </w:r>
      <w:r w:rsidR="00C6268B" w:rsidRPr="00C6268B">
        <w:rPr>
          <w:rFonts w:ascii="微軟正黑體" w:eastAsia="微軟正黑體" w:hAnsi="微軟正黑體" w:hint="eastAsia"/>
          <w:szCs w:val="32"/>
        </w:rPr>
        <w:t>政府數位服務自評表</w:t>
      </w:r>
      <w:r w:rsidR="002754F3">
        <w:rPr>
          <w:rFonts w:ascii="微軟正黑體" w:eastAsia="微軟正黑體" w:hAnsi="微軟正黑體" w:hint="eastAsia"/>
          <w:szCs w:val="32"/>
        </w:rPr>
        <w:t>」</w:t>
      </w:r>
      <w:r w:rsidR="0037247B">
        <w:rPr>
          <w:rFonts w:ascii="微軟正黑體" w:eastAsia="微軟正黑體" w:hAnsi="微軟正黑體" w:hint="eastAsia"/>
          <w:szCs w:val="32"/>
        </w:rPr>
        <w:t>(附件2)</w:t>
      </w:r>
      <w:r w:rsidR="002754F3">
        <w:rPr>
          <w:rFonts w:ascii="微軟正黑體" w:eastAsia="微軟正黑體" w:hAnsi="微軟正黑體" w:hint="eastAsia"/>
          <w:szCs w:val="32"/>
        </w:rPr>
        <w:t>及「</w:t>
      </w:r>
      <w:r w:rsidR="0037247B">
        <w:rPr>
          <w:rFonts w:ascii="微軟正黑體" w:eastAsia="微軟正黑體" w:hAnsi="微軟正黑體" w:hint="eastAsia"/>
          <w:szCs w:val="32"/>
        </w:rPr>
        <w:t>政府數位服務發展</w:t>
      </w:r>
      <w:r w:rsidR="002754F3" w:rsidRPr="002754F3">
        <w:rPr>
          <w:rFonts w:ascii="微軟正黑體" w:eastAsia="微軟正黑體" w:hAnsi="微軟正黑體" w:hint="eastAsia"/>
          <w:szCs w:val="32"/>
        </w:rPr>
        <w:t>配套措施建議</w:t>
      </w:r>
      <w:r w:rsidR="002754F3">
        <w:rPr>
          <w:rFonts w:ascii="微軟正黑體" w:eastAsia="微軟正黑體" w:hAnsi="微軟正黑體" w:hint="eastAsia"/>
          <w:szCs w:val="32"/>
        </w:rPr>
        <w:t>」</w:t>
      </w:r>
      <w:r w:rsidR="0037247B">
        <w:rPr>
          <w:rFonts w:ascii="微軟正黑體" w:eastAsia="微軟正黑體" w:hAnsi="微軟正黑體" w:hint="eastAsia"/>
          <w:szCs w:val="32"/>
        </w:rPr>
        <w:t>(附件3)</w:t>
      </w:r>
      <w:r w:rsidR="00C6268B" w:rsidRPr="00C6268B">
        <w:rPr>
          <w:rFonts w:ascii="微軟正黑體" w:eastAsia="微軟正黑體" w:hAnsi="微軟正黑體" w:hint="eastAsia"/>
          <w:szCs w:val="32"/>
        </w:rPr>
        <w:t>，作為各機關</w:t>
      </w:r>
      <w:r w:rsidR="00C6268B">
        <w:rPr>
          <w:rFonts w:ascii="微軟正黑體" w:eastAsia="微軟正黑體" w:hAnsi="微軟正黑體" w:hint="eastAsia"/>
          <w:szCs w:val="32"/>
        </w:rPr>
        <w:t>於數位服務發展不同階段遵循</w:t>
      </w:r>
      <w:r w:rsidR="008536FB">
        <w:rPr>
          <w:rFonts w:ascii="微軟正黑體" w:eastAsia="微軟正黑體" w:hAnsi="微軟正黑體" w:hint="eastAsia"/>
          <w:szCs w:val="32"/>
        </w:rPr>
        <w:t>指引</w:t>
      </w:r>
      <w:r w:rsidR="00C6268B">
        <w:rPr>
          <w:rFonts w:ascii="微軟正黑體" w:eastAsia="微軟正黑體" w:hAnsi="微軟正黑體" w:hint="eastAsia"/>
          <w:szCs w:val="32"/>
        </w:rPr>
        <w:t>的可操作工具，</w:t>
      </w:r>
      <w:r w:rsidR="00C6268B" w:rsidRPr="00C6268B">
        <w:rPr>
          <w:rFonts w:ascii="微軟正黑體" w:eastAsia="微軟正黑體" w:hAnsi="微軟正黑體" w:hint="eastAsia"/>
          <w:szCs w:val="32"/>
        </w:rPr>
        <w:t>達到自我診斷及引導行動之目的。</w:t>
      </w:r>
    </w:p>
    <w:p w:rsidR="00C6268B" w:rsidRDefault="00C6268B">
      <w:pPr>
        <w:snapToGrid/>
        <w:spacing w:line="240" w:lineRule="auto"/>
        <w:rPr>
          <w:rFonts w:ascii="微軟正黑體" w:eastAsia="微軟正黑體" w:hAnsi="微軟正黑體"/>
          <w:b/>
          <w:bCs/>
          <w:color w:val="000000"/>
          <w:sz w:val="36"/>
        </w:rPr>
      </w:pPr>
      <w:r>
        <w:rPr>
          <w:rFonts w:ascii="微軟正黑體" w:eastAsia="微軟正黑體" w:hAnsi="微軟正黑體"/>
          <w:b/>
          <w:bCs/>
          <w:color w:val="000000"/>
          <w:sz w:val="36"/>
        </w:rPr>
        <w:br w:type="page"/>
      </w:r>
    </w:p>
    <w:p w:rsidR="009764D8" w:rsidRPr="000B42AF" w:rsidRDefault="00541FAD" w:rsidP="00541FAD">
      <w:pPr>
        <w:jc w:val="center"/>
        <w:rPr>
          <w:rFonts w:ascii="微軟正黑體" w:eastAsia="微軟正黑體" w:hAnsi="微軟正黑體"/>
          <w:b/>
          <w:bCs/>
          <w:color w:val="000000"/>
          <w:sz w:val="32"/>
        </w:rPr>
      </w:pPr>
      <w:r w:rsidRPr="000B42AF">
        <w:rPr>
          <w:rFonts w:ascii="微軟正黑體" w:eastAsia="微軟正黑體" w:hAnsi="微軟正黑體"/>
          <w:b/>
          <w:bCs/>
          <w:color w:val="000000"/>
          <w:sz w:val="36"/>
        </w:rPr>
        <w:lastRenderedPageBreak/>
        <w:t>政府數位服務</w:t>
      </w:r>
      <w:r w:rsidR="008536FB">
        <w:rPr>
          <w:rFonts w:ascii="微軟正黑體" w:eastAsia="微軟正黑體" w:hAnsi="微軟正黑體" w:hint="eastAsia"/>
          <w:b/>
          <w:bCs/>
          <w:color w:val="000000"/>
          <w:sz w:val="36"/>
        </w:rPr>
        <w:t>指引</w:t>
      </w:r>
    </w:p>
    <w:p w:rsidR="00927D15" w:rsidRPr="000B42AF" w:rsidRDefault="00927D15" w:rsidP="00927D15">
      <w:pPr>
        <w:rPr>
          <w:rFonts w:ascii="微軟正黑體" w:eastAsia="微軟正黑體" w:hAnsi="微軟正黑體"/>
          <w:sz w:val="32"/>
          <w:szCs w:val="32"/>
        </w:rPr>
      </w:pPr>
    </w:p>
    <w:p w:rsidR="00927D15" w:rsidRPr="000B42AF" w:rsidRDefault="00927D15" w:rsidP="005E6897">
      <w:pPr>
        <w:ind w:firstLineChars="202" w:firstLine="566"/>
        <w:rPr>
          <w:rFonts w:ascii="微軟正黑體" w:eastAsia="微軟正黑體" w:hAnsi="微軟正黑體"/>
          <w:szCs w:val="32"/>
        </w:rPr>
      </w:pPr>
      <w:r w:rsidRPr="000B42AF">
        <w:rPr>
          <w:rFonts w:ascii="微軟正黑體" w:eastAsia="微軟正黑體" w:hAnsi="微軟正黑體"/>
          <w:szCs w:val="32"/>
        </w:rPr>
        <w:t>為協助各機關發展跨域服務整合與落實以使用者為中心的服務設計，達成打造智慧政府的願景，爰訂定本</w:t>
      </w:r>
      <w:r w:rsidR="008536FB">
        <w:rPr>
          <w:rFonts w:ascii="微軟正黑體" w:eastAsia="微軟正黑體" w:hAnsi="微軟正黑體" w:hint="eastAsia"/>
          <w:szCs w:val="32"/>
        </w:rPr>
        <w:t>指引</w:t>
      </w:r>
      <w:r w:rsidRPr="000B42AF">
        <w:rPr>
          <w:rFonts w:ascii="微軟正黑體" w:eastAsia="微軟正黑體" w:hAnsi="微軟正黑體"/>
          <w:szCs w:val="32"/>
        </w:rPr>
        <w:t>，提供各機關發展數位服務之參考。本</w:t>
      </w:r>
      <w:r w:rsidR="008536FB">
        <w:rPr>
          <w:rFonts w:ascii="微軟正黑體" w:eastAsia="微軟正黑體" w:hAnsi="微軟正黑體" w:hint="eastAsia"/>
          <w:szCs w:val="32"/>
        </w:rPr>
        <w:t>指引</w:t>
      </w:r>
      <w:r w:rsidRPr="000B42AF">
        <w:rPr>
          <w:rFonts w:ascii="微軟正黑體" w:eastAsia="微軟正黑體" w:hAnsi="微軟正黑體"/>
          <w:szCs w:val="32"/>
        </w:rPr>
        <w:t>計有13</w:t>
      </w:r>
      <w:r w:rsidR="00F739D5">
        <w:rPr>
          <w:rFonts w:ascii="微軟正黑體" w:eastAsia="微軟正黑體" w:hAnsi="微軟正黑體" w:hint="eastAsia"/>
          <w:szCs w:val="32"/>
        </w:rPr>
        <w:t>項</w:t>
      </w:r>
      <w:r w:rsidRPr="000B42AF">
        <w:rPr>
          <w:rFonts w:ascii="微軟正黑體" w:eastAsia="微軟正黑體" w:hAnsi="微軟正黑體"/>
          <w:szCs w:val="32"/>
        </w:rPr>
        <w:t>，內容如下：</w:t>
      </w:r>
    </w:p>
    <w:p w:rsidR="00927D15" w:rsidRPr="000B42AF" w:rsidRDefault="00927D15" w:rsidP="00927D15">
      <w:pPr>
        <w:rPr>
          <w:rFonts w:ascii="微軟正黑體" w:eastAsia="微軟正黑體" w:hAnsi="微軟正黑體"/>
          <w:szCs w:val="32"/>
        </w:rPr>
      </w:pPr>
    </w:p>
    <w:p w:rsidR="00927D15" w:rsidRPr="000B42AF" w:rsidRDefault="00F739D5" w:rsidP="00927D15">
      <w:pPr>
        <w:rPr>
          <w:rFonts w:ascii="微軟正黑體" w:eastAsia="微軟正黑體" w:hAnsi="微軟正黑體"/>
          <w:color w:val="000000"/>
        </w:rPr>
      </w:pPr>
      <w:r>
        <w:rPr>
          <w:rFonts w:ascii="微軟正黑體" w:eastAsia="微軟正黑體" w:hAnsi="微軟正黑體" w:hint="eastAsia"/>
          <w:b/>
          <w:bCs/>
          <w:color w:val="000000"/>
        </w:rPr>
        <w:t>一、</w:t>
      </w:r>
      <w:r w:rsidR="00927D15" w:rsidRPr="000B42AF">
        <w:rPr>
          <w:rFonts w:ascii="微軟正黑體" w:eastAsia="微軟正黑體" w:hAnsi="微軟正黑體"/>
          <w:b/>
          <w:bCs/>
          <w:color w:val="000000"/>
        </w:rPr>
        <w:t>了解使用者需求</w:t>
      </w:r>
    </w:p>
    <w:p w:rsidR="00927D15" w:rsidRPr="000B42AF" w:rsidRDefault="00927D15" w:rsidP="00927D15">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定義誰是服務的使用者(含數位弱勢)，透過持續進行使用者研究，設計符合使用者需要的服務。</w:t>
      </w:r>
    </w:p>
    <w:p w:rsidR="000B42AF" w:rsidRPr="000B42AF" w:rsidRDefault="000B42AF" w:rsidP="00927D15">
      <w:pPr>
        <w:ind w:leftChars="202" w:left="566"/>
        <w:rPr>
          <w:rFonts w:ascii="微軟正黑體" w:eastAsia="微軟正黑體" w:hAnsi="微軟正黑體"/>
          <w:i/>
          <w:color w:val="000000"/>
          <w:sz w:val="26"/>
          <w:szCs w:val="26"/>
        </w:rPr>
      </w:pPr>
    </w:p>
    <w:p w:rsidR="00927D15" w:rsidRPr="000B42AF" w:rsidRDefault="00927D15" w:rsidP="005E6897">
      <w:pPr>
        <w:ind w:firstLineChars="202" w:firstLine="566"/>
        <w:rPr>
          <w:rFonts w:ascii="微軟正黑體" w:eastAsia="微軟正黑體" w:hAnsi="微軟正黑體"/>
          <w:color w:val="000000"/>
        </w:rPr>
      </w:pPr>
      <w:r w:rsidRPr="000B42AF">
        <w:rPr>
          <w:rFonts w:ascii="微軟正黑體" w:eastAsia="微軟正黑體" w:hAnsi="微軟正黑體"/>
          <w:color w:val="000000"/>
        </w:rPr>
        <w:t>為設計符合使用者真正需要的(數位)服務，讓使用者樂於使用，須界定使用者(包含多方利害關係人)，確認服務是融入使用者的生活、且為需要而非只是使用者或提供者想要的服務，考慮到數位弱勢需要協助的管道，以及持續與使用者共同探索需求精進服務。</w:t>
      </w:r>
    </w:p>
    <w:p w:rsidR="00927D15" w:rsidRPr="000B42AF" w:rsidRDefault="00927D15" w:rsidP="00927D15">
      <w:pPr>
        <w:rPr>
          <w:rFonts w:ascii="微軟正黑體" w:eastAsia="微軟正黑體" w:hAnsi="微軟正黑體"/>
          <w:color w:val="000000"/>
        </w:rPr>
      </w:pPr>
    </w:p>
    <w:p w:rsidR="00927D15" w:rsidRPr="000B42AF" w:rsidRDefault="00F739D5" w:rsidP="00927D15">
      <w:pPr>
        <w:rPr>
          <w:rFonts w:ascii="微軟正黑體" w:eastAsia="微軟正黑體" w:hAnsi="微軟正黑體"/>
          <w:b/>
          <w:bCs/>
          <w:color w:val="000000"/>
        </w:rPr>
      </w:pPr>
      <w:r>
        <w:rPr>
          <w:rFonts w:ascii="微軟正黑體" w:eastAsia="微軟正黑體" w:hAnsi="微軟正黑體" w:hint="eastAsia"/>
          <w:b/>
          <w:bCs/>
          <w:color w:val="000000"/>
        </w:rPr>
        <w:t>二、</w:t>
      </w:r>
      <w:r w:rsidR="00927D15" w:rsidRPr="000B42AF">
        <w:rPr>
          <w:rFonts w:ascii="微軟正黑體" w:eastAsia="微軟正黑體" w:hAnsi="微軟正黑體"/>
          <w:b/>
          <w:bCs/>
          <w:color w:val="000000"/>
        </w:rPr>
        <w:t>建立跨領域合作機制</w:t>
      </w:r>
    </w:p>
    <w:p w:rsidR="00927D15" w:rsidRPr="000B42AF" w:rsidRDefault="00927D15" w:rsidP="00927D15">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需要組織一個可持續發展的跨領域合作機制，該合作機制包含多方利害關係人及各領域專業人員，並由具有適當技能的管理者擔當決策者。</w:t>
      </w:r>
    </w:p>
    <w:p w:rsidR="000B42AF" w:rsidRPr="000B42AF" w:rsidRDefault="000B42AF" w:rsidP="00927D15">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color w:val="000000"/>
        </w:rPr>
      </w:pPr>
      <w:r w:rsidRPr="000B42AF">
        <w:rPr>
          <w:rFonts w:ascii="微軟正黑體" w:eastAsia="微軟正黑體" w:hAnsi="微軟正黑體"/>
          <w:color w:val="000000"/>
        </w:rPr>
        <w:t xml:space="preserve">    為持續設計、建置、維運及精進服務(以下稱服務生命週期)，並能快速決策，宜有一個作決策的領導者來帶領，必須跨領域及跨單位溝通與合作、成員含多種不同的技能，確實做到建立跨領域合作機制。</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color w:val="000000"/>
        </w:rPr>
      </w:pPr>
      <w:r>
        <w:rPr>
          <w:rFonts w:ascii="微軟正黑體" w:eastAsia="微軟正黑體" w:hAnsi="微軟正黑體" w:hint="eastAsia"/>
          <w:b/>
          <w:bCs/>
          <w:color w:val="000000"/>
        </w:rPr>
        <w:t>三、</w:t>
      </w:r>
      <w:r w:rsidR="00927D15" w:rsidRPr="000B42AF">
        <w:rPr>
          <w:rFonts w:ascii="微軟正黑體" w:eastAsia="微軟正黑體" w:hAnsi="微軟正黑體"/>
          <w:b/>
          <w:bCs/>
          <w:color w:val="000000"/>
        </w:rPr>
        <w:t>規劃多元服務管道</w:t>
      </w:r>
    </w:p>
    <w:p w:rsidR="00927D15" w:rsidRPr="000B42AF" w:rsidRDefault="00927D15" w:rsidP="00927D15">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確保使用者可以依其需要，透過數位服務及其它管道取得服務，順利轉換而不會重複或混淆。</w:t>
      </w:r>
    </w:p>
    <w:p w:rsidR="000B42AF" w:rsidRPr="000B42AF" w:rsidRDefault="000B42AF" w:rsidP="00927D15">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rPr>
      </w:pPr>
      <w:r w:rsidRPr="000B42AF">
        <w:rPr>
          <w:rFonts w:ascii="微軟正黑體" w:eastAsia="微軟正黑體" w:hAnsi="微軟正黑體"/>
        </w:rPr>
        <w:lastRenderedPageBreak/>
        <w:t xml:space="preserve">    為讓使用者在多元服務管道之間順利轉換，宜留意服務管道之間的銜接性或一致性，尤其是非數位與數位服務管道之間的轉換，讓使用者可透過不同載具與管道取得政府服務，包括電腦、行動裝置、電話或臨櫃等。</w:t>
      </w:r>
    </w:p>
    <w:p w:rsidR="000B42AF" w:rsidRPr="000B42AF" w:rsidRDefault="000B42AF" w:rsidP="00927D15">
      <w:pPr>
        <w:rPr>
          <w:rFonts w:ascii="微軟正黑體" w:eastAsia="微軟正黑體" w:hAnsi="微軟正黑體"/>
          <w:b/>
          <w:bCs/>
        </w:rPr>
      </w:pPr>
    </w:p>
    <w:p w:rsidR="00927D15" w:rsidRPr="000B42AF" w:rsidRDefault="00F739D5" w:rsidP="00927D15">
      <w:pPr>
        <w:rPr>
          <w:rFonts w:ascii="微軟正黑體" w:eastAsia="微軟正黑體" w:hAnsi="微軟正黑體"/>
        </w:rPr>
      </w:pPr>
      <w:r>
        <w:rPr>
          <w:rFonts w:ascii="微軟正黑體" w:eastAsia="微軟正黑體" w:hAnsi="微軟正黑體" w:hint="eastAsia"/>
          <w:b/>
          <w:bCs/>
          <w:color w:val="000000"/>
        </w:rPr>
        <w:t>四、</w:t>
      </w:r>
      <w:r w:rsidR="00927D15" w:rsidRPr="000B42AF">
        <w:rPr>
          <w:rFonts w:ascii="微軟正黑體" w:eastAsia="微軟正黑體" w:hAnsi="微軟正黑體"/>
          <w:b/>
          <w:bCs/>
        </w:rPr>
        <w:t>採用持續精進作業程序</w:t>
      </w:r>
    </w:p>
    <w:p w:rsidR="00927D15" w:rsidRPr="000B42AF" w:rsidRDefault="00927D15" w:rsidP="00927D15">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透過快速原型（Rapid Prototyping）、迭代（Iterative）及漸進（incremental）軟體開發方式，持續精進服務。</w:t>
      </w:r>
    </w:p>
    <w:p w:rsidR="000B42AF" w:rsidRPr="000B42AF" w:rsidRDefault="000B42AF" w:rsidP="00927D15">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color w:val="000000"/>
        </w:rPr>
      </w:pPr>
      <w:r w:rsidRPr="000B42AF">
        <w:rPr>
          <w:rFonts w:ascii="微軟正黑體" w:eastAsia="微軟正黑體" w:hAnsi="微軟正黑體"/>
          <w:color w:val="000000"/>
        </w:rPr>
        <w:t xml:space="preserve">    為因應技術創新、政策挑戰及使用者需求的變化，宜在服務生命週期各階段，考量使用者需求變化、服務整體架構及技術資源成熟度，採用迭代式的開發作業程序，持續納入使用者回饋，快速回應精進服務。</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rPr>
      </w:pPr>
      <w:r>
        <w:rPr>
          <w:rFonts w:ascii="微軟正黑體" w:eastAsia="微軟正黑體" w:hAnsi="微軟正黑體" w:hint="eastAsia"/>
          <w:b/>
          <w:bCs/>
          <w:color w:val="000000"/>
        </w:rPr>
        <w:t>五、</w:t>
      </w:r>
      <w:r w:rsidR="00927D15" w:rsidRPr="000B42AF">
        <w:rPr>
          <w:rFonts w:ascii="微軟正黑體" w:eastAsia="微軟正黑體" w:hAnsi="微軟正黑體"/>
          <w:b/>
          <w:bCs/>
          <w:color w:val="000000"/>
        </w:rPr>
        <w:t>確保服務所需資源</w:t>
      </w:r>
    </w:p>
    <w:p w:rsidR="00927D15" w:rsidRPr="000B42AF" w:rsidRDefault="00927D15" w:rsidP="00927D15">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考量發展數位服務完整性，宜確保服務所需人力、設備、經費及技術等資源，並評估納入民間相關資源。</w:t>
      </w:r>
    </w:p>
    <w:p w:rsidR="000B42AF" w:rsidRPr="000B42AF" w:rsidRDefault="000B42AF" w:rsidP="00927D15">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color w:val="000000"/>
        </w:rPr>
      </w:pPr>
      <w:r w:rsidRPr="000B42AF">
        <w:rPr>
          <w:rFonts w:ascii="微軟正黑體" w:eastAsia="微軟正黑體" w:hAnsi="微軟正黑體"/>
          <w:color w:val="000000"/>
        </w:rPr>
        <w:t xml:space="preserve">    為提供滿足服務生命週期的各項資源，宜確保所需資源充裕，可涵蓋公私協力合作機制(不限於委外招標)，評估納入民間資源，達到服務永續發展。</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rPr>
      </w:pPr>
      <w:r>
        <w:rPr>
          <w:rFonts w:ascii="微軟正黑體" w:eastAsia="微軟正黑體" w:hAnsi="微軟正黑體" w:hint="eastAsia"/>
          <w:b/>
          <w:bCs/>
          <w:color w:val="000000"/>
        </w:rPr>
        <w:t>六、</w:t>
      </w:r>
      <w:r w:rsidR="00927D15" w:rsidRPr="000B42AF">
        <w:rPr>
          <w:rFonts w:ascii="微軟正黑體" w:eastAsia="微軟正黑體" w:hAnsi="微軟正黑體"/>
          <w:b/>
          <w:bCs/>
          <w:color w:val="000000"/>
        </w:rPr>
        <w:t>評估採用工具與系統</w:t>
      </w:r>
    </w:p>
    <w:p w:rsidR="00927D15" w:rsidRPr="000B42AF" w:rsidRDefault="00927D15" w:rsidP="000B42AF">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評估使用的工具、系統和基礎設施，以符合服務生命週期各階段之需求。</w:t>
      </w:r>
    </w:p>
    <w:p w:rsidR="000B42AF" w:rsidRPr="000B42AF" w:rsidRDefault="000B42AF" w:rsidP="000B42AF">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color w:val="000000"/>
        </w:rPr>
      </w:pPr>
      <w:r w:rsidRPr="000B42AF">
        <w:rPr>
          <w:rFonts w:ascii="微軟正黑體" w:eastAsia="微軟正黑體" w:hAnsi="微軟正黑體"/>
          <w:color w:val="000000"/>
        </w:rPr>
        <w:t xml:space="preserve">    為提高服務建置效率及持續服務精進的需求，宜於服務生命週期各階段，選用適當的工具、系統與基礎設施，宜包含評估其風險與限制是可接受的程度、避免受限於契約而阻礙服務精進、評估選用穩定性高之開放源碼工具與系統、考量支援使用者常用的系統環境，以永續支援服務管理與精進。</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rPr>
      </w:pPr>
      <w:r>
        <w:rPr>
          <w:rFonts w:ascii="微軟正黑體" w:eastAsia="微軟正黑體" w:hAnsi="微軟正黑體" w:hint="eastAsia"/>
          <w:b/>
          <w:bCs/>
          <w:color w:val="000000"/>
        </w:rPr>
        <w:t>七、</w:t>
      </w:r>
      <w:r w:rsidR="00927D15" w:rsidRPr="000B42AF">
        <w:rPr>
          <w:rFonts w:ascii="微軟正黑體" w:eastAsia="微軟正黑體" w:hAnsi="微軟正黑體"/>
          <w:b/>
          <w:bCs/>
          <w:color w:val="000000"/>
        </w:rPr>
        <w:t>兼顧資安、隱私及便利性</w:t>
      </w:r>
    </w:p>
    <w:p w:rsidR="00927D15" w:rsidRPr="000B42AF" w:rsidRDefault="00927D15" w:rsidP="000B42AF">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在服務生命週期各階段，對資料的蒐集、處理及利用時，宜兼顧保護資訊安全、個人隱私及服務便利性。</w:t>
      </w:r>
    </w:p>
    <w:p w:rsidR="000B42AF" w:rsidRPr="000B42AF" w:rsidRDefault="000B42AF" w:rsidP="000B42AF">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color w:val="000000"/>
        </w:rPr>
      </w:pPr>
      <w:r w:rsidRPr="000B42AF">
        <w:rPr>
          <w:rFonts w:ascii="微軟正黑體" w:eastAsia="微軟正黑體" w:hAnsi="微軟正黑體"/>
          <w:color w:val="000000"/>
        </w:rPr>
        <w:t xml:space="preserve">    為維持資訊安全、保護個人隱私及兼顧服務便利性，機關宜定期進行服務風險評估及資訊系統檢查，並採取適當防護措施、排除潛在的威脅，確保使用者可以安心使用服務。</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rPr>
      </w:pPr>
      <w:r>
        <w:rPr>
          <w:rFonts w:ascii="微軟正黑體" w:eastAsia="微軟正黑體" w:hAnsi="微軟正黑體" w:hint="eastAsia"/>
          <w:b/>
          <w:bCs/>
          <w:color w:val="000000"/>
        </w:rPr>
        <w:t>八、</w:t>
      </w:r>
      <w:r w:rsidR="00927D15" w:rsidRPr="000B42AF">
        <w:rPr>
          <w:rFonts w:ascii="微軟正黑體" w:eastAsia="微軟正黑體" w:hAnsi="微軟正黑體"/>
          <w:b/>
          <w:bCs/>
          <w:color w:val="000000"/>
        </w:rPr>
        <w:t>以開放為優先</w:t>
      </w:r>
    </w:p>
    <w:p w:rsidR="00927D15" w:rsidRPr="000B42AF" w:rsidRDefault="00927D15" w:rsidP="000B42AF">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採用符合開放標準可重複使用的解決方案，引進民間創新能量，降低提供服務總成本。</w:t>
      </w:r>
    </w:p>
    <w:p w:rsidR="000B42AF" w:rsidRPr="000B42AF" w:rsidRDefault="000B42AF" w:rsidP="000B42AF">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color w:val="000000"/>
        </w:rPr>
      </w:pPr>
      <w:r w:rsidRPr="000B42AF">
        <w:rPr>
          <w:rFonts w:ascii="微軟正黑體" w:eastAsia="微軟正黑體" w:hAnsi="微軟正黑體"/>
          <w:color w:val="000000"/>
        </w:rPr>
        <w:t xml:space="preserve">    為節省服務開發時間及總成本，宜以開放為優先，設計和建立服務，同時透過開放資料及開放源碼，激勵民間創新優化服務，並採用符合開放標準且通過測試、可重複使用的共通平臺及元件，快速精進服務。</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rPr>
      </w:pPr>
      <w:r>
        <w:rPr>
          <w:rFonts w:ascii="微軟正黑體" w:eastAsia="微軟正黑體" w:hAnsi="微軟正黑體" w:hint="eastAsia"/>
          <w:b/>
          <w:bCs/>
          <w:color w:val="000000"/>
        </w:rPr>
        <w:t>九、</w:t>
      </w:r>
      <w:r w:rsidR="00927D15" w:rsidRPr="000B42AF">
        <w:rPr>
          <w:rFonts w:ascii="微軟正黑體" w:eastAsia="微軟正黑體" w:hAnsi="微軟正黑體"/>
          <w:b/>
          <w:bCs/>
          <w:color w:val="000000"/>
        </w:rPr>
        <w:t>持續測試與快速部署服務</w:t>
      </w:r>
    </w:p>
    <w:p w:rsidR="00927D15" w:rsidRPr="000B42AF" w:rsidRDefault="00927D15" w:rsidP="000B42AF">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提供與實際運作一致的環境，全面測試服務功能，並透過自動化的部署，持續發布更新服務，提供可靠的服務品質。</w:t>
      </w:r>
    </w:p>
    <w:p w:rsidR="000B42AF" w:rsidRPr="000B42AF" w:rsidRDefault="000B42AF" w:rsidP="000B42AF">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color w:val="000000"/>
        </w:rPr>
      </w:pPr>
      <w:r w:rsidRPr="000B42AF">
        <w:rPr>
          <w:rFonts w:ascii="微軟正黑體" w:eastAsia="微軟正黑體" w:hAnsi="微軟正黑體"/>
          <w:color w:val="000000"/>
        </w:rPr>
        <w:t xml:space="preserve">    為加速軟體測試部署流程，在服務上線前及早發現問題、及時修正，宜縮短測試與部署時程，在與服務實際運作的相同環境，進行端點到端點測試及易用性測試等，確保常見載具及系統可以存取服務，且功能符合使用者需要，並以自動化的部署，迭代地精進服務。</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color w:val="000000"/>
        </w:rPr>
      </w:pPr>
      <w:r>
        <w:rPr>
          <w:rFonts w:ascii="微軟正黑體" w:eastAsia="微軟正黑體" w:hAnsi="微軟正黑體" w:hint="eastAsia"/>
          <w:b/>
          <w:bCs/>
          <w:color w:val="000000"/>
        </w:rPr>
        <w:t>十、</w:t>
      </w:r>
      <w:r w:rsidR="00927D15" w:rsidRPr="000B42AF">
        <w:rPr>
          <w:rFonts w:ascii="微軟正黑體" w:eastAsia="微軟正黑體" w:hAnsi="微軟正黑體"/>
          <w:b/>
          <w:bCs/>
          <w:color w:val="000000"/>
        </w:rPr>
        <w:t>擬定</w:t>
      </w:r>
      <w:r w:rsidR="00927D15" w:rsidRPr="000B42AF">
        <w:rPr>
          <w:rFonts w:ascii="微軟正黑體" w:eastAsia="微軟正黑體" w:hAnsi="微軟正黑體"/>
          <w:b/>
          <w:bCs/>
        </w:rPr>
        <w:t>中斷</w:t>
      </w:r>
      <w:r w:rsidR="00927D15" w:rsidRPr="000B42AF">
        <w:rPr>
          <w:rFonts w:ascii="微軟正黑體" w:eastAsia="微軟正黑體" w:hAnsi="微軟正黑體"/>
          <w:b/>
          <w:bCs/>
          <w:color w:val="000000"/>
        </w:rPr>
        <w:t>因應計畫</w:t>
      </w:r>
    </w:p>
    <w:p w:rsidR="00927D15" w:rsidRPr="000B42AF" w:rsidRDefault="00927D15" w:rsidP="000B42AF">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找出可能影響服務運作的風險，擬定配套措施，並對服務進行監控及定期演練。</w:t>
      </w:r>
    </w:p>
    <w:p w:rsidR="000B42AF" w:rsidRPr="000B42AF" w:rsidRDefault="000B42AF" w:rsidP="000B42AF">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rPr>
      </w:pPr>
      <w:r w:rsidRPr="000B42AF">
        <w:rPr>
          <w:rFonts w:ascii="微軟正黑體" w:eastAsia="微軟正黑體" w:hAnsi="微軟正黑體"/>
        </w:rPr>
        <w:t xml:space="preserve">    為因應計畫性或突發狀況造成服務中斷（包括</w:t>
      </w:r>
      <w:r w:rsidRPr="000B42AF">
        <w:rPr>
          <w:rFonts w:ascii="微軟正黑體" w:eastAsia="微軟正黑體" w:hAnsi="微軟正黑體"/>
          <w:lang w:eastAsia="zh-HK"/>
        </w:rPr>
        <w:t>非</w:t>
      </w:r>
      <w:r w:rsidRPr="000B42AF">
        <w:rPr>
          <w:rFonts w:ascii="微軟正黑體" w:eastAsia="微軟正黑體" w:hAnsi="微軟正黑體"/>
        </w:rPr>
        <w:t>正常辦公時間），宜擬定中斷因應計畫，確認服務中斷期間要進行的工作，由定期演練找出各種的問題，降低使用者因為服務中斷受到的影響。</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rPr>
      </w:pPr>
      <w:r>
        <w:rPr>
          <w:rFonts w:ascii="微軟正黑體" w:eastAsia="微軟正黑體" w:hAnsi="微軟正黑體" w:hint="eastAsia"/>
          <w:b/>
          <w:bCs/>
          <w:color w:val="000000"/>
        </w:rPr>
        <w:lastRenderedPageBreak/>
        <w:t>十一、</w:t>
      </w:r>
      <w:r w:rsidR="00927D15" w:rsidRPr="000B42AF">
        <w:rPr>
          <w:rFonts w:ascii="微軟正黑體" w:eastAsia="微軟正黑體" w:hAnsi="微軟正黑體"/>
          <w:b/>
          <w:bCs/>
          <w:color w:val="000000"/>
        </w:rPr>
        <w:t>遵循易用性原則</w:t>
      </w:r>
    </w:p>
    <w:p w:rsidR="00927D15" w:rsidRPr="000B42AF" w:rsidRDefault="00927D15" w:rsidP="000B42AF">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在服務生命週期各階段，藉由實際使用者親自體驗，確認服務的易用性，建立簡單直覺的服務介面與流程。</w:t>
      </w:r>
    </w:p>
    <w:p w:rsidR="000B42AF" w:rsidRPr="000B42AF" w:rsidRDefault="000B42AF" w:rsidP="000B42AF">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color w:val="000000"/>
        </w:rPr>
      </w:pPr>
      <w:r w:rsidRPr="000B42AF">
        <w:rPr>
          <w:rFonts w:ascii="微軟正黑體" w:eastAsia="微軟正黑體" w:hAnsi="微軟正黑體"/>
          <w:color w:val="000000"/>
        </w:rPr>
        <w:t xml:space="preserve">    為讓所有使用者(包括數位弱勢)在不需要額外幫助下便可以成功使用服務，宜以簡單、清楚、快速及一致性的服務體驗為目標，盡可能讓使用者第一次使用數位服務就能順利完成。</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rPr>
      </w:pPr>
      <w:r>
        <w:rPr>
          <w:rFonts w:ascii="微軟正黑體" w:eastAsia="微軟正黑體" w:hAnsi="微軟正黑體" w:hint="eastAsia"/>
          <w:b/>
          <w:bCs/>
          <w:color w:val="000000"/>
        </w:rPr>
        <w:t>十二、</w:t>
      </w:r>
      <w:r w:rsidR="00927D15" w:rsidRPr="000B42AF">
        <w:rPr>
          <w:rFonts w:ascii="微軟正黑體" w:eastAsia="微軟正黑體" w:hAnsi="微軟正黑體"/>
          <w:b/>
          <w:bCs/>
          <w:color w:val="000000"/>
        </w:rPr>
        <w:t>鼓勵數位使用</w:t>
      </w:r>
    </w:p>
    <w:p w:rsidR="00927D15" w:rsidRPr="000B42AF" w:rsidRDefault="00927D15" w:rsidP="000B42AF">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鼓勵使用者選擇數位服務，包含降低使用者取得數位服務整體成本、推廣及設計幫助使用者學會數位使用的方法等。</w:t>
      </w:r>
    </w:p>
    <w:p w:rsidR="000B42AF" w:rsidRPr="000B42AF" w:rsidRDefault="000B42AF" w:rsidP="000B42AF">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color w:val="000000"/>
        </w:rPr>
      </w:pPr>
      <w:r w:rsidRPr="000B42AF">
        <w:rPr>
          <w:rFonts w:ascii="微軟正黑體" w:eastAsia="微軟正黑體" w:hAnsi="微軟正黑體"/>
          <w:color w:val="000000"/>
        </w:rPr>
        <w:t xml:space="preserve">    為降低政府提供服務的成本及提升使用者服務體驗，宜設計使用數位服務的誘因，提供比非數位管道簡便及好用的數位服務或將現有非數位管道同步提供數位化，節省使用者的整體成本，並提高使用者數位能力，以鼓勵數位使用。</w:t>
      </w:r>
    </w:p>
    <w:p w:rsidR="000B42AF" w:rsidRPr="000B42AF" w:rsidRDefault="000B42AF" w:rsidP="00927D15">
      <w:pPr>
        <w:rPr>
          <w:rFonts w:ascii="微軟正黑體" w:eastAsia="微軟正黑體" w:hAnsi="微軟正黑體"/>
          <w:b/>
          <w:bCs/>
          <w:color w:val="000000"/>
        </w:rPr>
      </w:pPr>
    </w:p>
    <w:p w:rsidR="00927D15" w:rsidRPr="000B42AF" w:rsidRDefault="00F739D5" w:rsidP="00927D15">
      <w:pPr>
        <w:rPr>
          <w:rFonts w:ascii="微軟正黑體" w:eastAsia="微軟正黑體" w:hAnsi="微軟正黑體"/>
        </w:rPr>
      </w:pPr>
      <w:r>
        <w:rPr>
          <w:rFonts w:ascii="微軟正黑體" w:eastAsia="微軟正黑體" w:hAnsi="微軟正黑體" w:hint="eastAsia"/>
          <w:b/>
          <w:bCs/>
          <w:color w:val="000000"/>
        </w:rPr>
        <w:t>十三、</w:t>
      </w:r>
      <w:bookmarkStart w:id="0" w:name="_GoBack"/>
      <w:bookmarkEnd w:id="0"/>
      <w:r w:rsidR="00927D15" w:rsidRPr="000B42AF">
        <w:rPr>
          <w:rFonts w:ascii="微軟正黑體" w:eastAsia="微軟正黑體" w:hAnsi="微軟正黑體"/>
          <w:b/>
          <w:bCs/>
          <w:color w:val="000000"/>
        </w:rPr>
        <w:t>衡量服務績效</w:t>
      </w:r>
    </w:p>
    <w:p w:rsidR="00927D15" w:rsidRPr="000B42AF" w:rsidRDefault="00927D15" w:rsidP="000B42AF">
      <w:pPr>
        <w:ind w:leftChars="202" w:left="566"/>
        <w:rPr>
          <w:rFonts w:ascii="微軟正黑體" w:eastAsia="微軟正黑體" w:hAnsi="微軟正黑體"/>
          <w:i/>
          <w:color w:val="000000"/>
          <w:sz w:val="26"/>
          <w:szCs w:val="26"/>
        </w:rPr>
      </w:pPr>
      <w:r w:rsidRPr="000B42AF">
        <w:rPr>
          <w:rFonts w:ascii="微軟正黑體" w:eastAsia="微軟正黑體" w:hAnsi="微軟正黑體"/>
          <w:i/>
          <w:color w:val="000000"/>
          <w:sz w:val="26"/>
          <w:szCs w:val="26"/>
        </w:rPr>
        <w:t>服務執行的成果須被量測，宜訂定衡量指標(包含使用者行為分析)，蒐集資料、分析服務成效，作為下一階段精進之依據。</w:t>
      </w:r>
    </w:p>
    <w:p w:rsidR="000B42AF" w:rsidRPr="000B42AF" w:rsidRDefault="000B42AF" w:rsidP="000B42AF">
      <w:pPr>
        <w:ind w:leftChars="202" w:left="566"/>
        <w:rPr>
          <w:rFonts w:ascii="微軟正黑體" w:eastAsia="微軟正黑體" w:hAnsi="微軟正黑體"/>
          <w:i/>
          <w:color w:val="000000"/>
          <w:sz w:val="26"/>
          <w:szCs w:val="26"/>
        </w:rPr>
      </w:pPr>
    </w:p>
    <w:p w:rsidR="00927D15" w:rsidRPr="000B42AF" w:rsidRDefault="00927D15" w:rsidP="00927D15">
      <w:pPr>
        <w:rPr>
          <w:rFonts w:ascii="微軟正黑體" w:eastAsia="微軟正黑體" w:hAnsi="微軟正黑體"/>
          <w:sz w:val="32"/>
        </w:rPr>
      </w:pPr>
      <w:r w:rsidRPr="000B42AF">
        <w:rPr>
          <w:rFonts w:ascii="微軟正黑體" w:eastAsia="微軟正黑體" w:hAnsi="微軟正黑體"/>
          <w:color w:val="000000"/>
        </w:rPr>
        <w:t xml:space="preserve">    為提高服務品質，精進使用者滿意度，宜採用合宜之衡量指標，以評估服務績效。服務成效的資料宜開放，以利各界分析使用者需求，持續精進服務，達到驅動服務改善的目標。</w:t>
      </w:r>
    </w:p>
    <w:p w:rsidR="00541FAD" w:rsidRPr="000B42AF" w:rsidRDefault="00541FAD">
      <w:pPr>
        <w:rPr>
          <w:rFonts w:ascii="微軟正黑體" w:eastAsia="微軟正黑體" w:hAnsi="微軟正黑體"/>
        </w:rPr>
      </w:pPr>
    </w:p>
    <w:sectPr w:rsidR="00541FAD" w:rsidRPr="000B42AF" w:rsidSect="00927D15">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5A" w:rsidRDefault="006E6F5A" w:rsidP="00541FAD">
      <w:pPr>
        <w:spacing w:line="240" w:lineRule="auto"/>
      </w:pPr>
      <w:r>
        <w:separator/>
      </w:r>
    </w:p>
  </w:endnote>
  <w:endnote w:type="continuationSeparator" w:id="0">
    <w:p w:rsidR="006E6F5A" w:rsidRDefault="006E6F5A" w:rsidP="00541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5A" w:rsidRDefault="006E6F5A" w:rsidP="00541FAD">
      <w:pPr>
        <w:spacing w:line="240" w:lineRule="auto"/>
      </w:pPr>
      <w:r>
        <w:separator/>
      </w:r>
    </w:p>
  </w:footnote>
  <w:footnote w:type="continuationSeparator" w:id="0">
    <w:p w:rsidR="006E6F5A" w:rsidRDefault="006E6F5A" w:rsidP="00541F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B39"/>
    <w:multiLevelType w:val="hybridMultilevel"/>
    <w:tmpl w:val="098A5B2A"/>
    <w:lvl w:ilvl="0" w:tplc="E63E7F60">
      <w:start w:val="1"/>
      <w:numFmt w:val="taiwaneseCountingThousand"/>
      <w:pStyle w:val="B2"/>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14F17"/>
    <w:multiLevelType w:val="hybridMultilevel"/>
    <w:tmpl w:val="B394BF2C"/>
    <w:lvl w:ilvl="0" w:tplc="5EB6DB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3E10E9F"/>
    <w:multiLevelType w:val="hybridMultilevel"/>
    <w:tmpl w:val="72C8D922"/>
    <w:lvl w:ilvl="0" w:tplc="0409000F">
      <w:start w:val="1"/>
      <w:numFmt w:val="decimal"/>
      <w:lvlText w:val="%1."/>
      <w:lvlJc w:val="left"/>
      <w:pPr>
        <w:tabs>
          <w:tab w:val="num" w:pos="960"/>
        </w:tabs>
        <w:ind w:left="960" w:hanging="480"/>
      </w:pPr>
    </w:lvl>
    <w:lvl w:ilvl="1" w:tplc="962CA894">
      <w:start w:val="1"/>
      <w:numFmt w:val="upperLetter"/>
      <w:pStyle w:val="4"/>
      <w:lvlText w:val="%2、"/>
      <w:lvlJc w:val="left"/>
      <w:pPr>
        <w:tabs>
          <w:tab w:val="num" w:pos="1440"/>
        </w:tabs>
        <w:ind w:left="1440" w:hanging="480"/>
      </w:pPr>
      <w:rPr>
        <w:rFonts w:asci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7AA5879"/>
    <w:multiLevelType w:val="hybridMultilevel"/>
    <w:tmpl w:val="E870C056"/>
    <w:lvl w:ilvl="0" w:tplc="5FD4D146">
      <w:start w:val="1"/>
      <w:numFmt w:val="bullet"/>
      <w:lvlText w:val="–"/>
      <w:lvlJc w:val="left"/>
      <w:pPr>
        <w:ind w:left="797" w:hanging="480"/>
      </w:pPr>
      <w:rPr>
        <w:rFonts w:ascii="標楷體" w:eastAsia="標楷體" w:hAnsi="標楷體" w:hint="eastAsia"/>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4">
    <w:nsid w:val="4BD57F67"/>
    <w:multiLevelType w:val="hybridMultilevel"/>
    <w:tmpl w:val="32320E9C"/>
    <w:lvl w:ilvl="0" w:tplc="73AE7098">
      <w:start w:val="1"/>
      <w:numFmt w:val="decimal"/>
      <w:suff w:val="space"/>
      <w:lvlText w:val="%1."/>
      <w:lvlJc w:val="left"/>
      <w:pPr>
        <w:ind w:left="375" w:hanging="285"/>
      </w:pPr>
      <w:rPr>
        <w:rFonts w:hint="eastAsia"/>
      </w:rPr>
    </w:lvl>
    <w:lvl w:ilvl="1" w:tplc="601ED0EC">
      <w:start w:val="2"/>
      <w:numFmt w:val="bullet"/>
      <w:suff w:val="space"/>
      <w:lvlText w:val="‧"/>
      <w:lvlJc w:val="left"/>
      <w:pPr>
        <w:ind w:left="705" w:hanging="180"/>
      </w:pPr>
      <w:rPr>
        <w:rFonts w:ascii="細明體" w:eastAsia="細明體" w:hAnsi="細明體" w:cs="Times New Roman" w:hint="eastAsia"/>
      </w:rPr>
    </w:lvl>
    <w:lvl w:ilvl="2" w:tplc="C7CC6372">
      <w:start w:val="1"/>
      <w:numFmt w:val="upperLetter"/>
      <w:pStyle w:val="5"/>
      <w:suff w:val="space"/>
      <w:lvlText w:val="%3."/>
      <w:lvlJc w:val="left"/>
      <w:pPr>
        <w:ind w:left="1290" w:hanging="285"/>
      </w:pPr>
      <w:rPr>
        <w:rFonts w:ascii="細明體" w:eastAsia="細明體" w:hint="eastAsia"/>
        <w:b/>
        <w:color w:val="000000"/>
      </w:rPr>
    </w:lvl>
    <w:lvl w:ilvl="3" w:tplc="0409000F" w:tentative="1">
      <w:start w:val="1"/>
      <w:numFmt w:val="decimal"/>
      <w:lvlText w:val="%4."/>
      <w:lvlJc w:val="left"/>
      <w:pPr>
        <w:tabs>
          <w:tab w:val="num" w:pos="1965"/>
        </w:tabs>
        <w:ind w:left="1965" w:hanging="480"/>
      </w:pPr>
    </w:lvl>
    <w:lvl w:ilvl="4" w:tplc="04090019" w:tentative="1">
      <w:start w:val="1"/>
      <w:numFmt w:val="ideographTraditional"/>
      <w:lvlText w:val="%5、"/>
      <w:lvlJc w:val="left"/>
      <w:pPr>
        <w:tabs>
          <w:tab w:val="num" w:pos="2445"/>
        </w:tabs>
        <w:ind w:left="2445" w:hanging="480"/>
      </w:pPr>
    </w:lvl>
    <w:lvl w:ilvl="5" w:tplc="0409001B" w:tentative="1">
      <w:start w:val="1"/>
      <w:numFmt w:val="lowerRoman"/>
      <w:lvlText w:val="%6."/>
      <w:lvlJc w:val="right"/>
      <w:pPr>
        <w:tabs>
          <w:tab w:val="num" w:pos="2925"/>
        </w:tabs>
        <w:ind w:left="2925" w:hanging="480"/>
      </w:pPr>
    </w:lvl>
    <w:lvl w:ilvl="6" w:tplc="0409000F" w:tentative="1">
      <w:start w:val="1"/>
      <w:numFmt w:val="decimal"/>
      <w:lvlText w:val="%7."/>
      <w:lvlJc w:val="left"/>
      <w:pPr>
        <w:tabs>
          <w:tab w:val="num" w:pos="3405"/>
        </w:tabs>
        <w:ind w:left="3405" w:hanging="480"/>
      </w:pPr>
    </w:lvl>
    <w:lvl w:ilvl="7" w:tplc="04090019" w:tentative="1">
      <w:start w:val="1"/>
      <w:numFmt w:val="ideographTraditional"/>
      <w:lvlText w:val="%8、"/>
      <w:lvlJc w:val="left"/>
      <w:pPr>
        <w:tabs>
          <w:tab w:val="num" w:pos="3885"/>
        </w:tabs>
        <w:ind w:left="3885" w:hanging="480"/>
      </w:pPr>
    </w:lvl>
    <w:lvl w:ilvl="8" w:tplc="0409001B" w:tentative="1">
      <w:start w:val="1"/>
      <w:numFmt w:val="lowerRoman"/>
      <w:lvlText w:val="%9."/>
      <w:lvlJc w:val="right"/>
      <w:pPr>
        <w:tabs>
          <w:tab w:val="num" w:pos="4365"/>
        </w:tabs>
        <w:ind w:left="4365" w:hanging="480"/>
      </w:pPr>
    </w:lvl>
  </w:abstractNum>
  <w:abstractNum w:abstractNumId="5">
    <w:nsid w:val="75F912E4"/>
    <w:multiLevelType w:val="multilevel"/>
    <w:tmpl w:val="FAFAD8AC"/>
    <w:lvl w:ilvl="0">
      <w:start w:val="1"/>
      <w:numFmt w:val="decimal"/>
      <w:suff w:val="space"/>
      <w:lvlText w:val="%1"/>
      <w:lvlJc w:val="left"/>
      <w:pPr>
        <w:ind w:left="210" w:hanging="210"/>
      </w:pPr>
      <w:rPr>
        <w:rFonts w:ascii="Times New Roman" w:eastAsia="標楷體" w:hAnsi="Times New Roman" w:hint="default"/>
      </w:rPr>
    </w:lvl>
    <w:lvl w:ilvl="1">
      <w:start w:val="1"/>
      <w:numFmt w:val="decimal"/>
      <w:suff w:val="space"/>
      <w:lvlText w:val="(%2) "/>
      <w:lvlJc w:val="left"/>
      <w:pPr>
        <w:ind w:left="669" w:hanging="459"/>
      </w:pPr>
      <w:rPr>
        <w:rFonts w:ascii="Times New Roman" w:hAnsi="Times New Roman" w:cs="Times New Roman" w:hint="eastAsia"/>
        <w:b w:val="0"/>
        <w:bCs w:val="0"/>
        <w:i w:val="0"/>
        <w:iCs w:val="0"/>
        <w:caps w:val="0"/>
        <w:smallCaps w:val="0"/>
        <w:strike w:val="0"/>
        <w:dstrike w:val="0"/>
        <w:vanish w:val="0"/>
        <w:spacing w:val="0"/>
        <w:position w:val="0"/>
        <w:u w:val="none"/>
        <w:vertAlign w:val="baseline"/>
        <w:em w:val="none"/>
      </w:rPr>
    </w:lvl>
    <w:lvl w:ilvl="2">
      <w:start w:val="1"/>
      <w:numFmt w:val="decimal"/>
      <w:lvlRestart w:val="1"/>
      <w:suff w:val="space"/>
      <w:lvlText w:val="%1.%3"/>
      <w:lvlJc w:val="left"/>
      <w:pPr>
        <w:ind w:left="635" w:hanging="425"/>
      </w:pPr>
      <w:rPr>
        <w:rFonts w:hint="eastAsia"/>
      </w:rPr>
    </w:lvl>
    <w:lvl w:ilvl="3">
      <w:start w:val="1"/>
      <w:numFmt w:val="decimal"/>
      <w:suff w:val="space"/>
      <w:lvlText w:val="(%4)"/>
      <w:lvlJc w:val="left"/>
      <w:pPr>
        <w:ind w:left="1026" w:hanging="391"/>
      </w:pPr>
      <w:rPr>
        <w:rFonts w:hint="eastAsia"/>
      </w:rPr>
    </w:lvl>
    <w:lvl w:ilvl="4">
      <w:start w:val="1"/>
      <w:numFmt w:val="decimal"/>
      <w:lvlRestart w:val="3"/>
      <w:suff w:val="space"/>
      <w:lvlText w:val="%1.%3.%5"/>
      <w:lvlJc w:val="left"/>
      <w:pPr>
        <w:ind w:left="4143" w:hanging="1024"/>
      </w:pPr>
      <w:rPr>
        <w:rFonts w:hint="eastAsia"/>
      </w:rPr>
    </w:lvl>
    <w:lvl w:ilvl="5">
      <w:start w:val="1"/>
      <w:numFmt w:val="decimal"/>
      <w:suff w:val="space"/>
      <w:lvlText w:val="(%6)"/>
      <w:lvlJc w:val="left"/>
      <w:pPr>
        <w:ind w:left="1656" w:hanging="397"/>
      </w:pPr>
      <w:rPr>
        <w:rFonts w:hint="eastAsia"/>
      </w:rPr>
    </w:lvl>
    <w:lvl w:ilvl="6">
      <w:start w:val="1"/>
      <w:numFmt w:val="decimal"/>
      <w:lvlRestart w:val="5"/>
      <w:suff w:val="space"/>
      <w:lvlText w:val="%1.%3.%5.%7"/>
      <w:lvlJc w:val="left"/>
      <w:pPr>
        <w:ind w:left="2098" w:hanging="839"/>
      </w:pPr>
      <w:rPr>
        <w:rFonts w:hint="eastAsia"/>
      </w:rPr>
    </w:lvl>
    <w:lvl w:ilvl="7">
      <w:start w:val="1"/>
      <w:numFmt w:val="decimal"/>
      <w:suff w:val="space"/>
      <w:lvlText w:val="(%8)"/>
      <w:lvlJc w:val="left"/>
      <w:pPr>
        <w:ind w:left="2495" w:hanging="397"/>
      </w:pPr>
      <w:rPr>
        <w:rFonts w:hint="eastAsia"/>
      </w:rPr>
    </w:lvl>
    <w:lvl w:ilvl="8">
      <w:start w:val="1"/>
      <w:numFmt w:val="decimal"/>
      <w:lvlRestart w:val="7"/>
      <w:suff w:val="space"/>
      <w:lvlText w:val="%1.%3.%5.%7.%9"/>
      <w:lvlJc w:val="left"/>
      <w:pPr>
        <w:ind w:left="5102" w:hanging="3004"/>
      </w:pPr>
      <w:rPr>
        <w:rFonts w:hint="eastAsia"/>
      </w:rPr>
    </w:lvl>
  </w:abstractNum>
  <w:num w:numId="1">
    <w:abstractNumId w:val="5"/>
  </w:num>
  <w:num w:numId="2">
    <w:abstractNumId w:val="0"/>
  </w:num>
  <w:num w:numId="3">
    <w:abstractNumId w:val="2"/>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02"/>
    <w:rsid w:val="000B42AF"/>
    <w:rsid w:val="001353A8"/>
    <w:rsid w:val="001479DD"/>
    <w:rsid w:val="001D030D"/>
    <w:rsid w:val="002754F3"/>
    <w:rsid w:val="00277663"/>
    <w:rsid w:val="002A6EFB"/>
    <w:rsid w:val="00337645"/>
    <w:rsid w:val="0037247B"/>
    <w:rsid w:val="00456B02"/>
    <w:rsid w:val="00502DA0"/>
    <w:rsid w:val="00541FAD"/>
    <w:rsid w:val="005B2BC6"/>
    <w:rsid w:val="005E6897"/>
    <w:rsid w:val="006A49BF"/>
    <w:rsid w:val="006E6F5A"/>
    <w:rsid w:val="00842CA2"/>
    <w:rsid w:val="008536FB"/>
    <w:rsid w:val="00927D15"/>
    <w:rsid w:val="009764D8"/>
    <w:rsid w:val="00AF54CE"/>
    <w:rsid w:val="00B12D34"/>
    <w:rsid w:val="00BB1E41"/>
    <w:rsid w:val="00BF2153"/>
    <w:rsid w:val="00C456F3"/>
    <w:rsid w:val="00C6268B"/>
    <w:rsid w:val="00DE2331"/>
    <w:rsid w:val="00E13C2F"/>
    <w:rsid w:val="00F10E3D"/>
    <w:rsid w:val="00F739D5"/>
    <w:rsid w:val="00F94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7F27E-4383-4A13-AB6E-E9D9BFB8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FAD"/>
    <w:pPr>
      <w:snapToGrid w:val="0"/>
      <w:spacing w:line="480" w:lineRule="atLeast"/>
    </w:pPr>
    <w:rPr>
      <w:rFonts w:eastAsia="標楷體"/>
      <w:kern w:val="2"/>
      <w:sz w:val="28"/>
      <w:szCs w:val="24"/>
    </w:rPr>
  </w:style>
  <w:style w:type="paragraph" w:styleId="1">
    <w:name w:val="heading 1"/>
    <w:basedOn w:val="a"/>
    <w:next w:val="a"/>
    <w:link w:val="10"/>
    <w:autoRedefine/>
    <w:qFormat/>
    <w:rsid w:val="00AF54CE"/>
    <w:pPr>
      <w:keepNext/>
      <w:spacing w:afterLines="350" w:line="720" w:lineRule="auto"/>
      <w:jc w:val="center"/>
      <w:outlineLvl w:val="0"/>
    </w:pPr>
    <w:rPr>
      <w:b/>
      <w:bCs/>
      <w:kern w:val="52"/>
      <w:sz w:val="56"/>
      <w:szCs w:val="56"/>
    </w:rPr>
  </w:style>
  <w:style w:type="paragraph" w:styleId="2">
    <w:name w:val="heading 2"/>
    <w:basedOn w:val="a"/>
    <w:next w:val="a"/>
    <w:link w:val="20"/>
    <w:autoRedefine/>
    <w:qFormat/>
    <w:rsid w:val="00AF54CE"/>
    <w:pPr>
      <w:keepNext/>
      <w:adjustRightInd w:val="0"/>
      <w:jc w:val="center"/>
      <w:outlineLvl w:val="1"/>
    </w:pPr>
    <w:rPr>
      <w:rFonts w:hAnsi="標楷體"/>
      <w:b/>
      <w:bCs/>
      <w:sz w:val="52"/>
      <w:szCs w:val="52"/>
    </w:rPr>
  </w:style>
  <w:style w:type="paragraph" w:styleId="3">
    <w:name w:val="heading 3"/>
    <w:basedOn w:val="a"/>
    <w:next w:val="a"/>
    <w:link w:val="30"/>
    <w:autoRedefine/>
    <w:qFormat/>
    <w:rsid w:val="00AF54CE"/>
    <w:pPr>
      <w:keepNext/>
      <w:adjustRightInd w:val="0"/>
      <w:jc w:val="center"/>
      <w:outlineLvl w:val="2"/>
    </w:pPr>
    <w:rPr>
      <w:bCs/>
      <w:sz w:val="32"/>
      <w:szCs w:val="32"/>
    </w:rPr>
  </w:style>
  <w:style w:type="paragraph" w:styleId="4">
    <w:name w:val="heading 4"/>
    <w:basedOn w:val="a"/>
    <w:next w:val="a"/>
    <w:link w:val="40"/>
    <w:qFormat/>
    <w:rsid w:val="00AF54CE"/>
    <w:pPr>
      <w:keepNext/>
      <w:numPr>
        <w:ilvl w:val="1"/>
        <w:numId w:val="3"/>
      </w:numPr>
      <w:adjustRightInd w:val="0"/>
      <w:spacing w:line="480" w:lineRule="exact"/>
      <w:jc w:val="both"/>
      <w:textAlignment w:val="baseline"/>
      <w:outlineLvl w:val="3"/>
    </w:pPr>
    <w:rPr>
      <w:rFonts w:ascii="新細明體"/>
      <w:kern w:val="0"/>
      <w:szCs w:val="20"/>
    </w:rPr>
  </w:style>
  <w:style w:type="paragraph" w:styleId="5">
    <w:name w:val="heading 5"/>
    <w:basedOn w:val="a"/>
    <w:next w:val="a"/>
    <w:link w:val="50"/>
    <w:qFormat/>
    <w:rsid w:val="00AF54CE"/>
    <w:pPr>
      <w:keepNext/>
      <w:numPr>
        <w:ilvl w:val="2"/>
        <w:numId w:val="4"/>
      </w:numPr>
      <w:spacing w:line="400" w:lineRule="exact"/>
      <w:outlineLvl w:val="4"/>
    </w:pPr>
    <w:rPr>
      <w:rFonts w:ascii="細明體" w:eastAsia="細明體"/>
      <w:b/>
      <w:bCs/>
      <w:color w:val="000000"/>
      <w:kern w:val="0"/>
      <w:szCs w:val="28"/>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
    <w:name w:val="B本文1"/>
    <w:basedOn w:val="a"/>
    <w:qFormat/>
    <w:rsid w:val="00AF54CE"/>
    <w:pPr>
      <w:spacing w:beforeLines="50" w:line="400" w:lineRule="exact"/>
      <w:ind w:leftChars="375" w:left="900" w:firstLineChars="192" w:firstLine="538"/>
      <w:jc w:val="both"/>
    </w:pPr>
    <w:rPr>
      <w:szCs w:val="28"/>
    </w:rPr>
  </w:style>
  <w:style w:type="paragraph" w:customStyle="1" w:styleId="g1">
    <w:name w:val="g1"/>
    <w:basedOn w:val="a"/>
    <w:qFormat/>
    <w:rsid w:val="00AF54CE"/>
    <w:pPr>
      <w:spacing w:line="480" w:lineRule="exact"/>
      <w:jc w:val="center"/>
      <w:outlineLvl w:val="2"/>
    </w:pPr>
    <w:rPr>
      <w:kern w:val="0"/>
      <w:szCs w:val="28"/>
    </w:rPr>
  </w:style>
  <w:style w:type="paragraph" w:customStyle="1" w:styleId="B2">
    <w:name w:val="B標題2修"/>
    <w:basedOn w:val="a"/>
    <w:qFormat/>
    <w:rsid w:val="00AF54CE"/>
    <w:pPr>
      <w:keepNext/>
      <w:numPr>
        <w:numId w:val="6"/>
      </w:numPr>
      <w:spacing w:before="180" w:after="180" w:line="400" w:lineRule="exact"/>
      <w:outlineLvl w:val="1"/>
    </w:pPr>
    <w:rPr>
      <w:rFonts w:ascii="標楷體" w:hAnsi="標楷體"/>
      <w:b/>
      <w:bCs/>
      <w:sz w:val="32"/>
      <w:szCs w:val="48"/>
    </w:rPr>
  </w:style>
  <w:style w:type="character" w:customStyle="1" w:styleId="10">
    <w:name w:val="標題 1 字元"/>
    <w:basedOn w:val="a0"/>
    <w:link w:val="1"/>
    <w:rsid w:val="00AF54CE"/>
    <w:rPr>
      <w:rFonts w:eastAsia="標楷體"/>
      <w:b/>
      <w:bCs/>
      <w:kern w:val="52"/>
      <w:sz w:val="56"/>
      <w:szCs w:val="56"/>
    </w:rPr>
  </w:style>
  <w:style w:type="character" w:customStyle="1" w:styleId="20">
    <w:name w:val="標題 2 字元"/>
    <w:basedOn w:val="a0"/>
    <w:link w:val="2"/>
    <w:rsid w:val="00AF54CE"/>
    <w:rPr>
      <w:rFonts w:eastAsia="標楷體" w:hAnsi="標楷體"/>
      <w:b/>
      <w:bCs/>
      <w:kern w:val="2"/>
      <w:sz w:val="52"/>
      <w:szCs w:val="52"/>
    </w:rPr>
  </w:style>
  <w:style w:type="character" w:customStyle="1" w:styleId="30">
    <w:name w:val="標題 3 字元"/>
    <w:basedOn w:val="a0"/>
    <w:link w:val="3"/>
    <w:rsid w:val="00AF54CE"/>
    <w:rPr>
      <w:rFonts w:eastAsia="標楷體"/>
      <w:bCs/>
      <w:kern w:val="2"/>
      <w:sz w:val="32"/>
      <w:szCs w:val="32"/>
    </w:rPr>
  </w:style>
  <w:style w:type="character" w:customStyle="1" w:styleId="40">
    <w:name w:val="標題 4 字元"/>
    <w:basedOn w:val="a0"/>
    <w:link w:val="4"/>
    <w:rsid w:val="00AF54CE"/>
    <w:rPr>
      <w:rFonts w:ascii="新細明體"/>
      <w:sz w:val="28"/>
    </w:rPr>
  </w:style>
  <w:style w:type="character" w:customStyle="1" w:styleId="50">
    <w:name w:val="標題 5 字元"/>
    <w:basedOn w:val="a0"/>
    <w:link w:val="5"/>
    <w:rsid w:val="00AF54CE"/>
    <w:rPr>
      <w:rFonts w:ascii="細明體" w:eastAsia="細明體"/>
      <w:b/>
      <w:bCs/>
      <w:color w:val="000000"/>
      <w:sz w:val="28"/>
      <w:szCs w:val="28"/>
      <w:lang w:val="zh-TW"/>
    </w:rPr>
  </w:style>
  <w:style w:type="paragraph" w:styleId="11">
    <w:name w:val="toc 1"/>
    <w:aliases w:val="90contract1"/>
    <w:next w:val="a"/>
    <w:autoRedefine/>
    <w:uiPriority w:val="39"/>
    <w:qFormat/>
    <w:rsid w:val="00AF54CE"/>
    <w:pPr>
      <w:widowControl w:val="0"/>
      <w:spacing w:before="120" w:after="120"/>
    </w:pPr>
    <w:rPr>
      <w:rFonts w:asciiTheme="minorHAnsi" w:hAnsiTheme="minorHAnsi"/>
      <w:b/>
      <w:bCs/>
      <w:caps/>
      <w:kern w:val="2"/>
    </w:rPr>
  </w:style>
  <w:style w:type="paragraph" w:styleId="21">
    <w:name w:val="toc 2"/>
    <w:basedOn w:val="11"/>
    <w:next w:val="a"/>
    <w:autoRedefine/>
    <w:uiPriority w:val="39"/>
    <w:qFormat/>
    <w:rsid w:val="00AF54CE"/>
    <w:pPr>
      <w:tabs>
        <w:tab w:val="right" w:leader="dot" w:pos="9628"/>
      </w:tabs>
      <w:snapToGrid w:val="0"/>
      <w:spacing w:before="0" w:after="0" w:line="300" w:lineRule="auto"/>
      <w:ind w:left="240" w:firstLineChars="29" w:firstLine="81"/>
    </w:pPr>
    <w:rPr>
      <w:b w:val="0"/>
      <w:bCs w:val="0"/>
      <w:caps w:val="0"/>
      <w:smallCaps/>
    </w:rPr>
  </w:style>
  <w:style w:type="paragraph" w:styleId="31">
    <w:name w:val="toc 3"/>
    <w:basedOn w:val="a"/>
    <w:next w:val="a"/>
    <w:autoRedefine/>
    <w:uiPriority w:val="39"/>
    <w:qFormat/>
    <w:rsid w:val="00AF54CE"/>
    <w:pPr>
      <w:tabs>
        <w:tab w:val="right" w:leader="dot" w:pos="9628"/>
      </w:tabs>
      <w:spacing w:line="300" w:lineRule="auto"/>
      <w:ind w:left="480" w:firstLineChars="118" w:firstLine="330"/>
    </w:pPr>
    <w:rPr>
      <w:iCs/>
      <w:noProof/>
      <w:szCs w:val="28"/>
    </w:rPr>
  </w:style>
  <w:style w:type="paragraph" w:styleId="a3">
    <w:name w:val="caption"/>
    <w:basedOn w:val="a"/>
    <w:next w:val="a"/>
    <w:autoRedefine/>
    <w:qFormat/>
    <w:rsid w:val="00AF54CE"/>
    <w:pPr>
      <w:spacing w:beforeLines="50" w:line="340" w:lineRule="exact"/>
      <w:jc w:val="center"/>
    </w:pPr>
    <w:rPr>
      <w:szCs w:val="20"/>
    </w:rPr>
  </w:style>
  <w:style w:type="character" w:styleId="a4">
    <w:name w:val="Strong"/>
    <w:qFormat/>
    <w:rsid w:val="00AF54CE"/>
    <w:rPr>
      <w:b/>
      <w:bCs/>
    </w:rPr>
  </w:style>
  <w:style w:type="paragraph" w:styleId="a5">
    <w:name w:val="List Paragraph"/>
    <w:basedOn w:val="a"/>
    <w:uiPriority w:val="34"/>
    <w:qFormat/>
    <w:rsid w:val="00AF54CE"/>
    <w:pPr>
      <w:spacing w:beforeLines="25" w:afterLines="25" w:line="300" w:lineRule="auto"/>
      <w:ind w:leftChars="200" w:left="480"/>
      <w:jc w:val="both"/>
    </w:pPr>
  </w:style>
  <w:style w:type="paragraph" w:styleId="a6">
    <w:name w:val="TOC Heading"/>
    <w:basedOn w:val="1"/>
    <w:next w:val="a"/>
    <w:uiPriority w:val="39"/>
    <w:semiHidden/>
    <w:unhideWhenUsed/>
    <w:qFormat/>
    <w:rsid w:val="00AF54CE"/>
    <w:pPr>
      <w:keepLines/>
      <w:spacing w:before="480" w:afterLines="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header"/>
    <w:basedOn w:val="a"/>
    <w:link w:val="a8"/>
    <w:uiPriority w:val="99"/>
    <w:unhideWhenUsed/>
    <w:rsid w:val="00541FAD"/>
    <w:pPr>
      <w:tabs>
        <w:tab w:val="center" w:pos="4153"/>
        <w:tab w:val="right" w:pos="8306"/>
      </w:tabs>
    </w:pPr>
    <w:rPr>
      <w:sz w:val="20"/>
      <w:szCs w:val="20"/>
    </w:rPr>
  </w:style>
  <w:style w:type="character" w:customStyle="1" w:styleId="a8">
    <w:name w:val="頁首 字元"/>
    <w:basedOn w:val="a0"/>
    <w:link w:val="a7"/>
    <w:uiPriority w:val="99"/>
    <w:rsid w:val="00541FAD"/>
    <w:rPr>
      <w:kern w:val="2"/>
    </w:rPr>
  </w:style>
  <w:style w:type="paragraph" w:styleId="a9">
    <w:name w:val="footer"/>
    <w:basedOn w:val="a"/>
    <w:link w:val="aa"/>
    <w:uiPriority w:val="99"/>
    <w:unhideWhenUsed/>
    <w:rsid w:val="00541FAD"/>
    <w:pPr>
      <w:tabs>
        <w:tab w:val="center" w:pos="4153"/>
        <w:tab w:val="right" w:pos="8306"/>
      </w:tabs>
    </w:pPr>
    <w:rPr>
      <w:sz w:val="20"/>
      <w:szCs w:val="20"/>
    </w:rPr>
  </w:style>
  <w:style w:type="character" w:customStyle="1" w:styleId="aa">
    <w:name w:val="頁尾 字元"/>
    <w:basedOn w:val="a0"/>
    <w:link w:val="a9"/>
    <w:uiPriority w:val="99"/>
    <w:rsid w:val="00541FAD"/>
    <w:rPr>
      <w:kern w:val="2"/>
    </w:rPr>
  </w:style>
  <w:style w:type="paragraph" w:styleId="ab">
    <w:name w:val="Date"/>
    <w:basedOn w:val="a"/>
    <w:next w:val="a"/>
    <w:link w:val="ac"/>
    <w:uiPriority w:val="99"/>
    <w:semiHidden/>
    <w:unhideWhenUsed/>
    <w:rsid w:val="00927D15"/>
    <w:pPr>
      <w:jc w:val="right"/>
    </w:pPr>
  </w:style>
  <w:style w:type="character" w:customStyle="1" w:styleId="ac">
    <w:name w:val="日期 字元"/>
    <w:basedOn w:val="a0"/>
    <w:link w:val="ab"/>
    <w:uiPriority w:val="99"/>
    <w:semiHidden/>
    <w:rsid w:val="00927D15"/>
    <w:rPr>
      <w:rFonts w:eastAsia="標楷體"/>
      <w:kern w:val="2"/>
      <w:sz w:val="28"/>
      <w:szCs w:val="24"/>
    </w:rPr>
  </w:style>
  <w:style w:type="paragraph" w:customStyle="1" w:styleId="Default">
    <w:name w:val="Default"/>
    <w:rsid w:val="00927D15"/>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383</Words>
  <Characters>2186</Characters>
  <Application>Microsoft Office Word</Application>
  <DocSecurity>0</DocSecurity>
  <Lines>18</Lines>
  <Paragraphs>5</Paragraphs>
  <ScaleCrop>false</ScaleCrop>
  <Company>Toshiba</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劉蕙</dc:creator>
  <cp:keywords/>
  <dc:description/>
  <cp:lastModifiedBy>藍建智</cp:lastModifiedBy>
  <cp:revision>11</cp:revision>
  <dcterms:created xsi:type="dcterms:W3CDTF">2019-10-13T08:11:00Z</dcterms:created>
  <dcterms:modified xsi:type="dcterms:W3CDTF">2019-12-06T00:29:00Z</dcterms:modified>
</cp:coreProperties>
</file>