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F6F8"/>
  <w:body>
    <w:p w:rsidR="00CF18CD" w:rsidRPr="00AE026E" w:rsidRDefault="00CF18CD" w:rsidP="00CF18CD">
      <w:pPr>
        <w:spacing w:line="560" w:lineRule="exact"/>
        <w:rPr>
          <w:rFonts w:ascii="新細明體" w:hAnsi="新細明體"/>
          <w:b/>
          <w:color w:val="171717"/>
          <w:sz w:val="36"/>
          <w:szCs w:val="36"/>
          <w:bdr w:val="single" w:sz="4" w:space="0" w:color="auto" w:frame="1"/>
        </w:rPr>
      </w:pPr>
      <w:bookmarkStart w:id="0" w:name="_GoBack"/>
      <w:bookmarkEnd w:id="0"/>
      <w:r w:rsidRPr="00AE026E">
        <w:rPr>
          <w:rFonts w:ascii="新細明體" w:hAnsi="新細明體" w:hint="eastAsia"/>
          <w:b/>
          <w:color w:val="171717"/>
          <w:sz w:val="36"/>
          <w:szCs w:val="36"/>
          <w:bdr w:val="single" w:sz="4" w:space="0" w:color="auto" w:frame="1"/>
        </w:rPr>
        <w:t>公共政策網路參與專欄</w:t>
      </w:r>
    </w:p>
    <w:p w:rsidR="00CF18CD" w:rsidRPr="00AE026E" w:rsidRDefault="00CF18CD" w:rsidP="00CF18CD">
      <w:pPr>
        <w:spacing w:line="560" w:lineRule="exact"/>
        <w:ind w:right="240"/>
        <w:rPr>
          <w:rFonts w:ascii="新細明體" w:hAnsi="新細明體" w:cs="新細明體"/>
          <w:b/>
          <w:color w:val="385623"/>
          <w:sz w:val="26"/>
          <w:szCs w:val="26"/>
        </w:rPr>
      </w:pPr>
      <w:r w:rsidRPr="00AE026E">
        <w:rPr>
          <w:rFonts w:ascii="新細明體" w:hAnsi="新細明體" w:cs="新細明體" w:hint="eastAsia"/>
          <w:b/>
          <w:color w:val="385623"/>
          <w:sz w:val="32"/>
          <w:szCs w:val="32"/>
        </w:rPr>
        <w:t>公共政策網路參與「提點子」四周年民眾關注議題</w:t>
      </w:r>
      <w:proofErr w:type="gramStart"/>
      <w:r w:rsidRPr="00AE026E">
        <w:rPr>
          <w:rFonts w:ascii="新細明體" w:hAnsi="新細明體" w:cs="新細明體" w:hint="eastAsia"/>
          <w:b/>
          <w:color w:val="385623"/>
          <w:sz w:val="32"/>
          <w:szCs w:val="32"/>
        </w:rPr>
        <w:t>研</w:t>
      </w:r>
      <w:proofErr w:type="gramEnd"/>
      <w:r w:rsidRPr="00AE026E">
        <w:rPr>
          <w:rFonts w:ascii="新細明體" w:hAnsi="新細明體" w:cs="新細明體" w:hint="eastAsia"/>
          <w:b/>
          <w:color w:val="385623"/>
          <w:sz w:val="32"/>
          <w:szCs w:val="32"/>
        </w:rPr>
        <w:t>析</w:t>
      </w:r>
      <w:r w:rsidRPr="00AE026E">
        <w:rPr>
          <w:rFonts w:ascii="新細明體" w:hAnsi="新細明體" w:cs="新細明體"/>
          <w:b/>
          <w:color w:val="385623"/>
          <w:sz w:val="26"/>
          <w:szCs w:val="26"/>
        </w:rPr>
        <w:t xml:space="preserve"> </w:t>
      </w:r>
    </w:p>
    <w:p w:rsidR="00CF18CD" w:rsidRPr="00AE026E" w:rsidRDefault="00CF18CD" w:rsidP="00CF18CD">
      <w:pPr>
        <w:spacing w:beforeLines="50" w:before="180"/>
        <w:jc w:val="right"/>
        <w:rPr>
          <w:b/>
          <w:sz w:val="26"/>
          <w:szCs w:val="26"/>
        </w:rPr>
      </w:pPr>
      <w:r w:rsidRPr="00AE026E">
        <w:rPr>
          <w:rFonts w:hint="eastAsia"/>
          <w:b/>
          <w:sz w:val="26"/>
          <w:szCs w:val="26"/>
        </w:rPr>
        <w:t>國家發展委員會資訊管理處助理研究員</w:t>
      </w:r>
      <w:r w:rsidRPr="00AE026E">
        <w:rPr>
          <w:rFonts w:hint="eastAsia"/>
          <w:b/>
          <w:sz w:val="26"/>
          <w:szCs w:val="26"/>
        </w:rPr>
        <w:t xml:space="preserve"> </w:t>
      </w:r>
      <w:r w:rsidRPr="00AE026E">
        <w:rPr>
          <w:rFonts w:hint="eastAsia"/>
          <w:b/>
          <w:sz w:val="26"/>
          <w:szCs w:val="26"/>
        </w:rPr>
        <w:t>劉宗熹</w:t>
      </w:r>
    </w:p>
    <w:p w:rsidR="00CF18CD" w:rsidRPr="009E146C" w:rsidRDefault="00CF18CD" w:rsidP="00CF18CD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AE026E">
        <w:rPr>
          <w:rFonts w:hint="eastAsia"/>
          <w:b/>
          <w:sz w:val="26"/>
          <w:szCs w:val="26"/>
        </w:rPr>
        <w:t>工程師</w:t>
      </w:r>
      <w:r w:rsidRPr="00AE026E">
        <w:rPr>
          <w:rFonts w:hint="eastAsia"/>
          <w:b/>
          <w:sz w:val="26"/>
          <w:szCs w:val="26"/>
        </w:rPr>
        <w:t xml:space="preserve"> </w:t>
      </w:r>
      <w:r w:rsidRPr="00AE026E">
        <w:rPr>
          <w:rFonts w:hint="eastAsia"/>
          <w:b/>
          <w:sz w:val="26"/>
          <w:szCs w:val="26"/>
        </w:rPr>
        <w:t>莊宜貞</w:t>
      </w:r>
    </w:p>
    <w:p w:rsidR="00CF18CD" w:rsidRPr="00432135" w:rsidRDefault="00CF18CD" w:rsidP="00CF18CD">
      <w:pPr>
        <w:pStyle w:val="a"/>
        <w:numPr>
          <w:ilvl w:val="0"/>
          <w:numId w:val="0"/>
        </w:numPr>
        <w:suppressAutoHyphens w:val="0"/>
        <w:spacing w:line="480" w:lineRule="exact"/>
        <w:ind w:left="720" w:hanging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32135">
        <w:rPr>
          <w:rFonts w:asciiTheme="majorEastAsia" w:eastAsiaTheme="majorEastAsia" w:hAnsiTheme="majorEastAsia" w:hint="eastAsia"/>
          <w:color w:val="auto"/>
          <w:sz w:val="24"/>
          <w:szCs w:val="24"/>
        </w:rPr>
        <w:t>壹</w:t>
      </w:r>
      <w:r w:rsidRPr="00432135">
        <w:rPr>
          <w:rFonts w:asciiTheme="majorEastAsia" w:eastAsiaTheme="majorEastAsia" w:hAnsiTheme="majorEastAsia"/>
          <w:color w:val="auto"/>
          <w:sz w:val="24"/>
          <w:szCs w:val="24"/>
        </w:rPr>
        <w:t>、前言</w:t>
      </w:r>
    </w:p>
    <w:p w:rsidR="00CF18CD" w:rsidRDefault="00CF18CD" w:rsidP="00CF18CD">
      <w:pPr>
        <w:pStyle w:val="afa"/>
        <w:suppressAutoHyphens w:val="0"/>
        <w:spacing w:line="440" w:lineRule="exact"/>
        <w:ind w:left="238" w:firstLine="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國家發展委員會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以下簡稱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本會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為建立網路社群參與的標準作業模式，及常態性的公民線上</w:t>
      </w:r>
    </w:p>
    <w:p w:rsidR="00CF18CD" w:rsidRPr="00E82B6C" w:rsidRDefault="00CF18CD" w:rsidP="00CF18CD">
      <w:pPr>
        <w:pStyle w:val="afa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討論平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，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自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104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10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日起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推出「公共政策網路參與平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」，提供政策執行前的「政策諮詢」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簡稱眾開講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、方便民眾反映意見之「首長信箱」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簡稱找首長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、計畫執行中供各界監督的「重大施政計畫」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簡稱來監督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、徵集群眾智慧的「國民提議」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簡稱提點子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及</w:t>
      </w:r>
      <w:r w:rsidRPr="00AE026E">
        <w:rPr>
          <w:rFonts w:asciiTheme="majorEastAsia" w:eastAsiaTheme="majorEastAsia" w:hAnsiTheme="majorEastAsia"/>
          <w:bCs/>
          <w:color w:val="auto"/>
          <w:sz w:val="24"/>
          <w:szCs w:val="24"/>
        </w:rPr>
        <w:t>由人民來決定</w:t>
      </w:r>
      <w:proofErr w:type="gramStart"/>
      <w:r w:rsidRPr="00AE026E">
        <w:rPr>
          <w:rFonts w:asciiTheme="majorEastAsia" w:eastAsiaTheme="majorEastAsia" w:hAnsiTheme="majorEastAsia"/>
          <w:bCs/>
          <w:color w:val="auto"/>
          <w:sz w:val="24"/>
          <w:szCs w:val="24"/>
        </w:rPr>
        <w:t>一</w:t>
      </w:r>
      <w:proofErr w:type="gramEnd"/>
      <w:r w:rsidRPr="00AE026E">
        <w:rPr>
          <w:rFonts w:asciiTheme="majorEastAsia" w:eastAsiaTheme="majorEastAsia" w:hAnsiTheme="majorEastAsia"/>
          <w:bCs/>
          <w:color w:val="auto"/>
          <w:sz w:val="24"/>
          <w:szCs w:val="24"/>
        </w:rPr>
        <w:t>部份公共預算支出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的「參與式預算」等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432135">
        <w:rPr>
          <w:rFonts w:asciiTheme="minorHAnsi" w:eastAsiaTheme="majorEastAsia" w:hAnsiTheme="minorHAnsi" w:cstheme="minorHAnsi"/>
          <w:color w:val="auto"/>
          <w:sz w:val="24"/>
          <w:szCs w:val="24"/>
        </w:rPr>
        <w:t>項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網路參與服務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圖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）。</w:t>
      </w:r>
    </w:p>
    <w:p w:rsidR="00CF18CD" w:rsidRDefault="00CF18CD" w:rsidP="00CF18CD">
      <w:pPr>
        <w:pStyle w:val="afa"/>
        <w:suppressAutoHyphens w:val="0"/>
        <w:spacing w:line="440" w:lineRule="exact"/>
        <w:ind w:left="238" w:firstLine="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　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提點子於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104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9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E82B6C">
        <w:rPr>
          <w:rFonts w:asciiTheme="minorHAnsi" w:eastAsiaTheme="majorEastAsia" w:hAnsiTheme="minorHAnsi" w:cstheme="minorHAnsi"/>
          <w:color w:val="auto"/>
          <w:sz w:val="24"/>
          <w:szCs w:val="24"/>
        </w:rPr>
        <w:t>10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日上線提供服務，本文將說明公共政策網路參與運作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機制調適、提點</w:t>
      </w:r>
    </w:p>
    <w:p w:rsidR="00CF18CD" w:rsidRDefault="00CF18CD" w:rsidP="00CF18CD">
      <w:pPr>
        <w:pStyle w:val="afa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子提議與附議登入調整，以及盤點這四年來提點子提議與附議情況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研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析民眾關注的議題。</w:t>
      </w:r>
    </w:p>
    <w:p w:rsidR="008E0FF5" w:rsidRPr="00AE026E" w:rsidRDefault="008E0FF5" w:rsidP="00CF18CD">
      <w:pPr>
        <w:pStyle w:val="afa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Default="00CF18CD" w:rsidP="00CF18CD">
      <w:pPr>
        <w:pStyle w:val="afa"/>
        <w:suppressAutoHyphens w:val="0"/>
        <w:spacing w:line="240" w:lineRule="atLeast"/>
        <w:ind w:left="238" w:hanging="238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a"/>
        <w:suppressAutoHyphens w:val="0"/>
        <w:spacing w:line="240" w:lineRule="atLeast"/>
        <w:ind w:left="238" w:hanging="238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noProof/>
          <w:color w:val="auto"/>
          <w:sz w:val="24"/>
          <w:szCs w:val="24"/>
        </w:rPr>
        <w:drawing>
          <wp:inline distT="0" distB="0" distL="0" distR="0" wp14:anchorId="158383B3" wp14:editId="716039AC">
            <wp:extent cx="6029325" cy="3505200"/>
            <wp:effectExtent l="0" t="0" r="9525" b="0"/>
            <wp:docPr id="94" name="圖片 94" descr="參與平臺架構與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參與平臺架構與服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D" w:rsidRDefault="00CF18CD" w:rsidP="00CF18CD">
      <w:pPr>
        <w:pStyle w:val="afa"/>
        <w:suppressAutoHyphens w:val="0"/>
        <w:spacing w:afterLines="50" w:after="180" w:line="420" w:lineRule="exact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圖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公共政策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網路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架構與服務</w:t>
      </w:r>
    </w:p>
    <w:p w:rsidR="008E0FF5" w:rsidRDefault="008E0FF5" w:rsidP="00CF18CD">
      <w:pPr>
        <w:pStyle w:val="afa"/>
        <w:suppressAutoHyphens w:val="0"/>
        <w:spacing w:afterLines="50" w:after="180" w:line="420" w:lineRule="exact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8E0FF5" w:rsidRDefault="008E0FF5" w:rsidP="00CF18CD">
      <w:pPr>
        <w:pStyle w:val="afa"/>
        <w:suppressAutoHyphens w:val="0"/>
        <w:spacing w:afterLines="50" w:after="180" w:line="420" w:lineRule="exact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8E0FF5" w:rsidRDefault="008E0FF5" w:rsidP="00CF18CD">
      <w:pPr>
        <w:pStyle w:val="afa"/>
        <w:suppressAutoHyphens w:val="0"/>
        <w:spacing w:afterLines="50" w:after="180" w:line="420" w:lineRule="exact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F27F4A" w:rsidRDefault="00CF18CD" w:rsidP="00CF18CD">
      <w:pPr>
        <w:pStyle w:val="a"/>
        <w:numPr>
          <w:ilvl w:val="0"/>
          <w:numId w:val="0"/>
        </w:numPr>
        <w:suppressAutoHyphens w:val="0"/>
        <w:spacing w:line="440" w:lineRule="exact"/>
        <w:ind w:left="720" w:hanging="720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27F4A">
        <w:rPr>
          <w:rFonts w:asciiTheme="majorEastAsia" w:eastAsiaTheme="majorEastAsia" w:hAnsiTheme="majorEastAsia" w:hint="eastAsia"/>
          <w:color w:val="auto"/>
          <w:sz w:val="24"/>
          <w:szCs w:val="24"/>
        </w:rPr>
        <w:lastRenderedPageBreak/>
        <w:t>貮</w:t>
      </w:r>
      <w:r w:rsidRPr="00F27F4A">
        <w:rPr>
          <w:rFonts w:asciiTheme="majorEastAsia" w:eastAsiaTheme="majorEastAsia" w:hAnsiTheme="majorEastAsia"/>
          <w:color w:val="auto"/>
          <w:sz w:val="24"/>
          <w:szCs w:val="24"/>
        </w:rPr>
        <w:t>、國民提議「提點子」運作機制</w:t>
      </w:r>
      <w:r w:rsidRPr="00F27F4A">
        <w:rPr>
          <w:rFonts w:asciiTheme="majorEastAsia" w:eastAsiaTheme="majorEastAsia" w:hAnsiTheme="majorEastAsia" w:hint="eastAsia"/>
          <w:color w:val="auto"/>
          <w:sz w:val="24"/>
          <w:szCs w:val="24"/>
        </w:rPr>
        <w:t>調適</w:t>
      </w:r>
    </w:p>
    <w:p w:rsidR="00CF18CD" w:rsidRDefault="00CF18CD" w:rsidP="00CF18CD">
      <w:pPr>
        <w:pStyle w:val="afa"/>
        <w:suppressAutoHyphens w:val="0"/>
        <w:spacing w:line="440" w:lineRule="exact"/>
        <w:ind w:left="238" w:firstLine="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 xml:space="preserve"> </w:t>
      </w:r>
      <w:r w:rsidRPr="00AE026E">
        <w:rPr>
          <w:rFonts w:asciiTheme="majorEastAsia" w:eastAsiaTheme="majorEastAsia" w:hAnsiTheme="majorEastAsia"/>
          <w:bCs/>
          <w:color w:val="auto"/>
          <w:sz w:val="24"/>
          <w:szCs w:val="24"/>
        </w:rPr>
        <w:t>「提點子」為我國政府首次導入網路提議機制，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成立之初，為利網路參與之遂行並完</w:t>
      </w:r>
    </w:p>
    <w:p w:rsidR="00CF18CD" w:rsidRDefault="00CF18CD" w:rsidP="00CF18CD">
      <w:pPr>
        <w:pStyle w:val="afa"/>
        <w:suppressAutoHyphens w:val="0"/>
        <w:spacing w:line="440" w:lineRule="exact"/>
        <w:ind w:left="0" w:firstLine="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備相關法令，本會應用參與平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「眾開講」徵集民眾及行政院所屬各部會意見，於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104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7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17</w:t>
      </w:r>
    </w:p>
    <w:p w:rsidR="00CF18CD" w:rsidRPr="00F27F4A" w:rsidRDefault="00CF18CD" w:rsidP="00CF18CD">
      <w:pPr>
        <w:pStyle w:val="afa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日頒布「公共政策網路提議試辦實施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要點」</w:t>
      </w:r>
      <w:r w:rsidRPr="00AE026E">
        <w:rPr>
          <w:rFonts w:asciiTheme="majorEastAsia" w:eastAsiaTheme="majorEastAsia" w:hAnsiTheme="majorEastAsia"/>
          <w:bCs/>
          <w:color w:val="auto"/>
          <w:sz w:val="24"/>
          <w:szCs w:val="24"/>
        </w:rPr>
        <w:t>，</w:t>
      </w:r>
      <w:r w:rsidRPr="00AE026E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並於同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9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10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日「提點子」服務上線，以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6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個月為試辦期</w:t>
      </w:r>
      <w:r>
        <w:rPr>
          <w:rFonts w:asciiTheme="minorHAnsi" w:eastAsiaTheme="majorEastAsia" w:hAnsiTheme="minorHAnsi" w:cstheme="minorHAnsi" w:hint="eastAsia"/>
          <w:bCs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104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9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10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日至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105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3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10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日止</w:t>
      </w:r>
      <w:r>
        <w:rPr>
          <w:rFonts w:asciiTheme="minorHAnsi" w:eastAsiaTheme="majorEastAsia" w:hAnsiTheme="minorHAnsi" w:cstheme="minorHAnsi" w:hint="eastAsia"/>
          <w:bCs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。試辦目的主要為蒐集民眾提點子之參與情形，作為後續流程或系統精進之參考。凡我國國民均可透過多元帳號</w:t>
      </w:r>
      <w:r>
        <w:rPr>
          <w:rFonts w:asciiTheme="minorHAnsi" w:eastAsiaTheme="majorEastAsia" w:hAnsiTheme="minorHAnsi" w:cstheme="minorHAnsi" w:hint="eastAsia"/>
          <w:bCs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Facebook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、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Google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及</w:t>
      </w:r>
      <w:r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Yahoo</w:t>
      </w:r>
      <w:r>
        <w:rPr>
          <w:rFonts w:asciiTheme="minorHAnsi" w:eastAsiaTheme="majorEastAsia" w:hAnsiTheme="minorHAnsi" w:cstheme="minorHAnsi" w:hint="eastAsia"/>
          <w:bCs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登入，並經手機及電子郵件雙重認證後，針對行政院及所屬機關業務範圍內的公共政策進行提議。於二階段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45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天內取得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5,000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份附議數成案後，主管部會須於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個月內就成案之提議具體回應參</w:t>
      </w:r>
      <w:proofErr w:type="gramStart"/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採</w:t>
      </w:r>
      <w:proofErr w:type="gramEnd"/>
      <w:r w:rsidRPr="00F27F4A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情形。</w:t>
      </w:r>
    </w:p>
    <w:p w:rsidR="00CF18CD" w:rsidRDefault="00CF18CD" w:rsidP="00CF18CD">
      <w:pPr>
        <w:pStyle w:val="afa"/>
        <w:suppressAutoHyphens w:val="0"/>
        <w:spacing w:line="480" w:lineRule="exact"/>
        <w:ind w:left="238" w:firstLine="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  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經觀察試辦情形，於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8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18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日修正要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點為「公共政策網路參與實施要點」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以下簡稱實</w:t>
      </w:r>
    </w:p>
    <w:p w:rsidR="00CF18CD" w:rsidRPr="00AE026E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施要點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，本次修訂將網路國民提議擴大範至政府政策諮詢、調整檢核流程及確認權責機程序，以加速檢核效率，並簡化附議流程，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原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階段附議調整為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階段，附議期程由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45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日延長為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60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日，且附議者得於附議時表示意見。同時擴大實施範圍，納入政策規劃中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眾開講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及執行中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來監督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之政策諮詢，並持續調整運作機制；運行一段時間後，於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106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年再次徵詢各界意見後進行第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次實施要點修正，調整相關之流程機制，如修正隱藏提議規定、新增成案之提議於權責機關完成回應之日起半年內，不得再行提議，以避免行政資源於相同議題的重復</w:t>
      </w:r>
      <w:proofErr w:type="gramStart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挹</w:t>
      </w:r>
      <w:proofErr w:type="gramEnd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注、修正檢核程序、新增多權責機關以利跨機關議題之處理，另為使多元意見可以匯流，於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106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29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日新增附議者居住地統計地圖及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6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29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日開放簡訊附議驗證功能及附議期間討論區留言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點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讚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噓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功能。</w:t>
      </w:r>
    </w:p>
    <w:p w:rsidR="00CF18CD" w:rsidRDefault="00CF18CD" w:rsidP="00CF18CD">
      <w:pPr>
        <w:pStyle w:val="afa"/>
        <w:suppressAutoHyphens w:val="0"/>
        <w:spacing w:line="480" w:lineRule="exact"/>
        <w:ind w:left="238" w:firstLine="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成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立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年多後，已逐漸成為我國公民討論公共議題之重要管道，並受到民眾及媒體各</w:t>
      </w:r>
    </w:p>
    <w:p w:rsidR="00CF18CD" w:rsidRPr="00AE026E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界關注，並對附議機制、實名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/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匿名、成案門檻、檢核機制有所建議，本會參酌媒體與各界意見後，於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106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11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月至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分階段向機關、專家學者、社群團體與行政院青年諮詢委員及使用過參與平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的民眾徵詢意見，透過集思廣益就現行機制進行整體盤點。並為擴大參與及精進公共政策網路參與機制，及落實開放透明政府，提升法規透明，依行政院規定，應至少公告周知六十日之法律案草案，及所有法規命令應公告於公共政策網路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，並為提升機關回應品質，就相關回應機制及回應時點等事項予以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規範，於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107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4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11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日公告第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次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修正實施要點部分規定，以完備公共議題全民參與機制。</w:t>
      </w:r>
    </w:p>
    <w:p w:rsidR="00CF18CD" w:rsidRDefault="00CF18CD" w:rsidP="00CF18CD">
      <w:pPr>
        <w:pStyle w:val="afa"/>
        <w:suppressAutoHyphens w:val="0"/>
        <w:spacing w:line="480" w:lineRule="exact"/>
        <w:ind w:left="238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實施要點第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次修正針對「提點子」的部分有：擴大參與，增列持有我國居留證之外來人士亦</w:t>
      </w:r>
    </w:p>
    <w:p w:rsidR="002C0DD8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得參與公共政策建言。簡化提附議程序，以手機號碼及電子郵件信箱進行一次性認證後進行提附議</w:t>
      </w:r>
      <w:r>
        <w:rPr>
          <w:rFonts w:asciiTheme="minorHAnsi" w:eastAsiaTheme="majorEastAsia" w:hAnsiTheme="minorHAnsi" w:cstheme="minorHAnsi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圖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的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提點子提議附議流程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、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圖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的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107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7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附議流程調整前後比較）。權責機關成案回</w:t>
      </w:r>
    </w:p>
    <w:p w:rsidR="002C0DD8" w:rsidRDefault="002C0DD8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lastRenderedPageBreak/>
        <w:t>應得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併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案辦理，及增列回應資料公開之原則。檢核不進入附議部分，增</w:t>
      </w:r>
      <w:r w:rsidR="002C0DD8">
        <w:rPr>
          <w:rFonts w:asciiTheme="majorEastAsia" w:eastAsiaTheme="majorEastAsia" w:hAnsiTheme="majorEastAsia" w:hint="eastAsia"/>
          <w:color w:val="auto"/>
          <w:sz w:val="24"/>
          <w:szCs w:val="24"/>
        </w:rPr>
        <w:t>列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經行政院送請立法院審議之法律草案；兩岸、外交、國防之議題屬總統職權；提議內容訴求不明確或僅涉及個人權益，或屬網路虛擬之人、事、物或屬商業自主管理行為、品牌或具廣告行為之個案提議等。另外，為落實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開放透明，增列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研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商過程公開透明，增列與提議者聯繫及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研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商會議之資料及紀錄，經提議者</w:t>
      </w:r>
    </w:p>
    <w:p w:rsidR="00CF18CD" w:rsidRPr="00AE026E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同意者，應以完整公開為原則；紀錄得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採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發言摘要、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逐字稿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、全程錄影及直播等方式，並經與會者確認後予以公開，以完整揭露案件處理程序。</w:t>
      </w:r>
      <w:r w:rsidRPr="00AE026E">
        <w:rPr>
          <w:rFonts w:asciiTheme="majorEastAsia" w:eastAsiaTheme="majorEastAsia" w:hAnsiTheme="majorEastAsia" w:hint="eastAsia"/>
          <w:noProof/>
          <w:color w:val="auto"/>
          <w:sz w:val="24"/>
          <w:szCs w:val="24"/>
        </w:rPr>
        <w:t>實施要點修正歷程</w:t>
      </w:r>
      <w:r w:rsidRPr="0063723F">
        <w:rPr>
          <w:rFonts w:asciiTheme="minorHAnsi" w:eastAsiaTheme="majorEastAsia" w:hAnsiTheme="minorHAnsi" w:cstheme="minorHAnsi"/>
          <w:noProof/>
          <w:color w:val="auto"/>
          <w:sz w:val="24"/>
          <w:szCs w:val="24"/>
        </w:rPr>
        <w:t>如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圖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4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:rsidR="00CF18CD" w:rsidRPr="00AE026E" w:rsidRDefault="00CF18CD" w:rsidP="00CF18CD">
      <w:pPr>
        <w:pStyle w:val="afa"/>
        <w:suppressAutoHyphens w:val="0"/>
        <w:spacing w:line="240" w:lineRule="atLeast"/>
        <w:ind w:left="238" w:firstLine="561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c"/>
        <w:suppressAutoHyphens w:val="0"/>
        <w:spacing w:line="240" w:lineRule="atLeast"/>
        <w:ind w:left="561" w:hanging="56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noProof/>
          <w:color w:val="auto"/>
          <w:sz w:val="24"/>
          <w:szCs w:val="24"/>
        </w:rPr>
        <w:drawing>
          <wp:inline distT="0" distB="0" distL="0" distR="0" wp14:anchorId="13917EE9" wp14:editId="4FBE7B33">
            <wp:extent cx="5676900" cy="2990850"/>
            <wp:effectExtent l="0" t="0" r="0" b="0"/>
            <wp:docPr id="93" name="圖片 93" descr="提點子流程圖-180209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提點子流程圖-180209-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D" w:rsidRPr="00AE026E" w:rsidRDefault="00CF18CD" w:rsidP="002C0DD8">
      <w:pPr>
        <w:pStyle w:val="afc"/>
        <w:suppressAutoHyphens w:val="0"/>
        <w:spacing w:line="240" w:lineRule="atLeast"/>
        <w:ind w:left="561" w:firstLine="573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                   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圖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提點子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提議附議流程</w:t>
      </w:r>
    </w:p>
    <w:p w:rsidR="00CF18CD" w:rsidRPr="00AE026E" w:rsidRDefault="00CF18CD" w:rsidP="00CF18CD">
      <w:pPr>
        <w:pStyle w:val="afc"/>
        <w:suppressAutoHyphens w:val="0"/>
        <w:spacing w:line="240" w:lineRule="atLeast"/>
        <w:ind w:left="561" w:hanging="56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noProof/>
          <w:color w:val="auto"/>
          <w:sz w:val="24"/>
          <w:szCs w:val="24"/>
        </w:rPr>
        <w:drawing>
          <wp:inline distT="0" distB="0" distL="0" distR="0" wp14:anchorId="5989231A" wp14:editId="7D147289">
            <wp:extent cx="5362575" cy="3476625"/>
            <wp:effectExtent l="0" t="0" r="9525" b="9525"/>
            <wp:docPr id="92" name="圖片 92" descr="107年7月2日附議流程調整前後比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7年7月2日附議流程調整前後比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D" w:rsidRPr="00AE026E" w:rsidRDefault="00CF18CD" w:rsidP="00CF18CD">
      <w:pPr>
        <w:pStyle w:val="afc"/>
        <w:suppressAutoHyphens w:val="0"/>
        <w:spacing w:line="240" w:lineRule="atLeast"/>
        <w:ind w:left="561" w:firstLine="573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                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圖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：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107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7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日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附議流程調整前後比較</w:t>
      </w:r>
    </w:p>
    <w:p w:rsidR="00CF18CD" w:rsidRPr="00AE026E" w:rsidRDefault="00CF18CD" w:rsidP="00CF18CD">
      <w:pPr>
        <w:pStyle w:val="afd"/>
        <w:suppressAutoHyphens w:val="0"/>
        <w:spacing w:line="240" w:lineRule="atLeas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noProof/>
          <w:color w:val="auto"/>
          <w:sz w:val="24"/>
          <w:szCs w:val="24"/>
        </w:rPr>
        <w:lastRenderedPageBreak/>
        <w:drawing>
          <wp:inline distT="0" distB="0" distL="0" distR="0" wp14:anchorId="147AE6A9" wp14:editId="49EFA2A8">
            <wp:extent cx="6029325" cy="2752725"/>
            <wp:effectExtent l="0" t="0" r="9525" b="9525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D" w:rsidRPr="00AE026E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圖</w:t>
      </w:r>
      <w:r w:rsidRPr="0063723F">
        <w:rPr>
          <w:rFonts w:asciiTheme="minorHAnsi" w:eastAsiaTheme="majorEastAsia" w:hAnsiTheme="minorHAnsi" w:cstheme="minorHAnsi"/>
          <w:color w:val="auto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  <w:r w:rsidRPr="00AE026E">
        <w:rPr>
          <w:rFonts w:asciiTheme="majorEastAsia" w:eastAsiaTheme="majorEastAsia" w:hAnsiTheme="majorEastAsia" w:hint="eastAsia"/>
          <w:noProof/>
          <w:color w:val="auto"/>
          <w:sz w:val="24"/>
          <w:szCs w:val="24"/>
        </w:rPr>
        <w:t>實施要點修正歷程</w:t>
      </w:r>
    </w:p>
    <w:p w:rsidR="00CF18CD" w:rsidRPr="00AE026E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63723F" w:rsidRDefault="00CF18CD" w:rsidP="00CF18CD">
      <w:pPr>
        <w:pStyle w:val="a"/>
        <w:numPr>
          <w:ilvl w:val="0"/>
          <w:numId w:val="0"/>
        </w:numPr>
        <w:suppressAutoHyphens w:val="0"/>
        <w:spacing w:line="440" w:lineRule="exact"/>
        <w:ind w:left="720" w:hanging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3723F">
        <w:rPr>
          <w:rFonts w:asciiTheme="majorEastAsia" w:eastAsiaTheme="majorEastAsia" w:hAnsiTheme="majorEastAsia" w:hint="eastAsia"/>
          <w:color w:val="auto"/>
          <w:sz w:val="24"/>
          <w:szCs w:val="24"/>
        </w:rPr>
        <w:t>參</w:t>
      </w:r>
      <w:r w:rsidRPr="0063723F">
        <w:rPr>
          <w:rFonts w:asciiTheme="majorEastAsia" w:eastAsiaTheme="majorEastAsia" w:hAnsiTheme="majorEastAsia"/>
          <w:color w:val="auto"/>
          <w:sz w:val="24"/>
          <w:szCs w:val="24"/>
        </w:rPr>
        <w:t>、國民提議「提點子」統計資料</w:t>
      </w:r>
    </w:p>
    <w:p w:rsidR="00CF18CD" w:rsidRPr="00AE026E" w:rsidRDefault="00CF18CD" w:rsidP="00CF18CD">
      <w:pPr>
        <w:pStyle w:val="afb"/>
        <w:suppressAutoHyphens w:val="0"/>
        <w:spacing w:line="440" w:lineRule="exact"/>
        <w:ind w:left="0" w:firstLineChars="100" w:firstLine="240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一、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提點子提議統計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500" w:firstLine="120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國民提議「提點子」統計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至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108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9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7,443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項提議，所有進入附議共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3,713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300" w:firstLine="72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提案，其中於附議階段撤案（提案者自行撤案及管理員撤案）有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127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項，而截至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108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年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9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月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300" w:firstLine="72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日計有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175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件成案（有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則仍於附議階段中），附議未通過有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3,314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案，成案比率為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5%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。</w:t>
      </w:r>
    </w:p>
    <w:p w:rsidR="00CF18CD" w:rsidRPr="00F27F4A" w:rsidRDefault="00CF18CD" w:rsidP="00CF18CD">
      <w:pPr>
        <w:pStyle w:val="afc"/>
        <w:suppressAutoHyphens w:val="0"/>
        <w:spacing w:line="440" w:lineRule="exact"/>
        <w:ind w:left="0" w:firstLineChars="200" w:firstLine="48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（表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及圖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）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500" w:firstLine="120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proofErr w:type="gramStart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而就表</w:t>
      </w:r>
      <w:proofErr w:type="gramEnd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來看，「檢核未通過進入附議數」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3,730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項提案約占全部提案數的五成，而在這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300" w:firstLine="72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3730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項提案裡並非全數提案均不符實施要點規範的提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議範圍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，其中包含參與平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臺線上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已有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300" w:firstLine="72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相同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提案內容訴求類似/同質性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附議中的議題，建議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併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案以增加附議能量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。也包括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依實</w:t>
      </w:r>
    </w:p>
    <w:p w:rsidR="00CF18CD" w:rsidRDefault="00CF18CD" w:rsidP="00CF18CD">
      <w:pPr>
        <w:pStyle w:val="afc"/>
        <w:suppressAutoHyphens w:val="0"/>
        <w:spacing w:line="440" w:lineRule="exact"/>
        <w:ind w:left="0" w:firstLineChars="300" w:firstLine="720"/>
        <w:jc w:val="distribute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施要點規定的成案之提議機關完成回應之日起六個月內，不得就同一事項再行提議，檢核不</w:t>
      </w:r>
    </w:p>
    <w:p w:rsidR="00CF18CD" w:rsidRPr="00AE026E" w:rsidRDefault="00CF18CD" w:rsidP="00CF18CD">
      <w:pPr>
        <w:pStyle w:val="afc"/>
        <w:suppressAutoHyphens w:val="0"/>
        <w:spacing w:line="440" w:lineRule="exact"/>
        <w:ind w:left="0"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進入附議之提案。</w:t>
      </w:r>
    </w:p>
    <w:p w:rsidR="00CF18CD" w:rsidRPr="00AE026E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提點子提議情形</w:t>
      </w:r>
    </w:p>
    <w:p w:rsidR="00CF18CD" w:rsidRPr="00AE026E" w:rsidRDefault="00CF18CD" w:rsidP="00CF18CD">
      <w:pPr>
        <w:pStyle w:val="afb"/>
        <w:suppressAutoHyphens w:val="0"/>
        <w:spacing w:line="240" w:lineRule="atLeast"/>
        <w:ind w:left="238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559"/>
        <w:gridCol w:w="1417"/>
        <w:gridCol w:w="1701"/>
        <w:gridCol w:w="1701"/>
        <w:gridCol w:w="1748"/>
      </w:tblGrid>
      <w:tr w:rsidR="00CF18CD" w:rsidRPr="00AE026E" w:rsidTr="00F24A60">
        <w:trPr>
          <w:jc w:val="center"/>
        </w:trPr>
        <w:tc>
          <w:tcPr>
            <w:tcW w:w="1428" w:type="dxa"/>
            <w:vMerge w:val="restart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總提案數</w:t>
            </w:r>
          </w:p>
        </w:tc>
        <w:tc>
          <w:tcPr>
            <w:tcW w:w="6378" w:type="dxa"/>
            <w:gridSpan w:val="4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檢核通過進入附議數</w:t>
            </w:r>
          </w:p>
        </w:tc>
        <w:tc>
          <w:tcPr>
            <w:tcW w:w="1748" w:type="dxa"/>
            <w:vMerge w:val="restart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檢核未通過進入附議數</w:t>
            </w:r>
          </w:p>
        </w:tc>
      </w:tr>
      <w:tr w:rsidR="00CF18CD" w:rsidRPr="00AE026E" w:rsidTr="00F24A60">
        <w:trPr>
          <w:jc w:val="center"/>
        </w:trPr>
        <w:tc>
          <w:tcPr>
            <w:tcW w:w="1428" w:type="dxa"/>
            <w:vMerge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已成案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附議中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附議未通過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附議中撤案</w:t>
            </w:r>
          </w:p>
        </w:tc>
        <w:tc>
          <w:tcPr>
            <w:tcW w:w="1748" w:type="dxa"/>
            <w:vMerge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18CD" w:rsidRPr="00AE026E" w:rsidTr="00F24A60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7,443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3,314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127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F18CD" w:rsidRPr="0063723F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63723F">
              <w:rPr>
                <w:rFonts w:asciiTheme="minorHAnsi" w:eastAsiaTheme="majorEastAsia" w:hAnsiTheme="minorHAnsi" w:cstheme="minorHAnsi"/>
              </w:rPr>
              <w:t>3,730</w:t>
            </w:r>
          </w:p>
        </w:tc>
      </w:tr>
    </w:tbl>
    <w:p w:rsidR="00CF18CD" w:rsidRPr="00AE026E" w:rsidRDefault="00CF18CD" w:rsidP="00CF18CD">
      <w:pPr>
        <w:pStyle w:val="afb"/>
        <w:suppressAutoHyphens w:val="0"/>
        <w:spacing w:line="240" w:lineRule="atLeast"/>
        <w:ind w:left="238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b"/>
        <w:suppressAutoHyphens w:val="0"/>
        <w:spacing w:line="240" w:lineRule="atLeast"/>
        <w:ind w:left="238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b"/>
        <w:suppressAutoHyphens w:val="0"/>
        <w:spacing w:line="240" w:lineRule="atLeast"/>
        <w:ind w:left="238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afb"/>
        <w:suppressAutoHyphens w:val="0"/>
        <w:spacing w:line="240" w:lineRule="atLeast"/>
        <w:ind w:left="238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noProof/>
          <w:color w:val="auto"/>
          <w:sz w:val="24"/>
          <w:szCs w:val="24"/>
        </w:rPr>
        <w:lastRenderedPageBreak/>
        <w:drawing>
          <wp:inline distT="0" distB="0" distL="0" distR="0" wp14:anchorId="093FE8E4" wp14:editId="73D62ED8">
            <wp:extent cx="5562600" cy="3086100"/>
            <wp:effectExtent l="0" t="0" r="0" b="0"/>
            <wp:docPr id="45" name="圖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" t="1282" r="1758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CD" w:rsidRPr="00AE026E" w:rsidRDefault="00CF18CD" w:rsidP="00CF18CD">
      <w:pPr>
        <w:pStyle w:val="afb"/>
        <w:suppressAutoHyphens w:val="0"/>
        <w:spacing w:afterLines="50" w:after="180" w:line="420" w:lineRule="exact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圖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：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進入附議議題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形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百分比</w:t>
      </w:r>
    </w:p>
    <w:p w:rsidR="00CF18CD" w:rsidRPr="0063723F" w:rsidRDefault="00CF18CD" w:rsidP="00CF18CD">
      <w:pPr>
        <w:pStyle w:val="afb"/>
        <w:suppressAutoHyphens w:val="0"/>
        <w:spacing w:line="440" w:lineRule="exact"/>
        <w:ind w:left="0"/>
        <w:jc w:val="both"/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r w:rsidRPr="0063723F">
        <w:rPr>
          <w:rStyle w:val="aa"/>
          <w:rFonts w:asciiTheme="majorEastAsia" w:eastAsiaTheme="majorEastAsia" w:hAnsiTheme="majorEastAsia" w:hint="eastAsia"/>
          <w:b/>
          <w:color w:val="auto"/>
          <w:sz w:val="24"/>
          <w:szCs w:val="24"/>
          <w:u w:val="none"/>
        </w:rPr>
        <w:t>肆</w:t>
      </w:r>
      <w:r w:rsidRPr="0063723F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、</w:t>
      </w:r>
      <w:r w:rsidRPr="0063723F">
        <w:rPr>
          <w:rFonts w:asciiTheme="majorEastAsia" w:eastAsiaTheme="majorEastAsia" w:hAnsiTheme="majorEastAsia"/>
          <w:b/>
          <w:color w:val="auto"/>
          <w:sz w:val="24"/>
          <w:szCs w:val="24"/>
        </w:rPr>
        <w:t>國民提議「提點子」</w:t>
      </w:r>
      <w:r w:rsidRPr="0063723F">
        <w:rPr>
          <w:rStyle w:val="aa"/>
          <w:rFonts w:asciiTheme="majorEastAsia" w:eastAsiaTheme="majorEastAsia" w:hAnsiTheme="majorEastAsia" w:hint="eastAsia"/>
          <w:b/>
          <w:color w:val="auto"/>
          <w:sz w:val="24"/>
          <w:szCs w:val="24"/>
          <w:u w:val="none"/>
        </w:rPr>
        <w:t>進入附議</w:t>
      </w:r>
      <w:r w:rsidRPr="0063723F">
        <w:rPr>
          <w:rFonts w:asciiTheme="majorEastAsia" w:eastAsiaTheme="majorEastAsia" w:hAnsiTheme="majorEastAsia"/>
          <w:b/>
          <w:color w:val="auto"/>
          <w:sz w:val="24"/>
          <w:szCs w:val="24"/>
        </w:rPr>
        <w:t>議題分布情形</w:t>
      </w:r>
    </w:p>
    <w:p w:rsidR="00CF18CD" w:rsidRPr="00AE026E" w:rsidRDefault="00CF18CD" w:rsidP="00CF18CD">
      <w:pPr>
        <w:pStyle w:val="11"/>
        <w:pBdr>
          <w:top w:val="none" w:sz="0" w:space="2" w:color="000000"/>
        </w:pBdr>
        <w:suppressAutoHyphens w:val="0"/>
        <w:spacing w:line="44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一、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依權責機關分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在進入附議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3,713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項提案，以權責機關來看，有部分提案涉及多部會共同主協辦，統計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　　　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結果民眾提案內容分布最多的前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個部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會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分別為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交通部、內政部、衛生福利部、教育部及法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務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部，而前二名的交通部及內政部占全體近六成議題，可見這是民眾最關心的兩大面向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proofErr w:type="gramEnd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</w:p>
    <w:p w:rsidR="00CF18CD" w:rsidRPr="00AE026E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proofErr w:type="gramStart"/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proofErr w:type="gramEnd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。</w:t>
      </w:r>
    </w:p>
    <w:p w:rsidR="00CF18CD" w:rsidRPr="00EE6A65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表</w:t>
      </w:r>
      <w:r w:rsidRPr="00EE6A65">
        <w:rPr>
          <w:rFonts w:asciiTheme="minorHAnsi" w:eastAsiaTheme="majorEastAsia" w:hAnsiTheme="minorHAnsi" w:cstheme="minorHAnsi"/>
          <w:color w:val="auto"/>
          <w:sz w:val="24"/>
          <w:szCs w:val="24"/>
        </w:rPr>
        <w:t>2</w:t>
      </w:r>
      <w:r w:rsidRPr="00EE6A65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提點子</w:t>
      </w:r>
      <w:r w:rsidRPr="00EE6A65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進入附議</w:t>
      </w:r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議題分布情形</w:t>
      </w:r>
      <w:proofErr w:type="gramStart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─</w:t>
      </w:r>
      <w:proofErr w:type="gramEnd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依權責機關分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1"/>
        <w:gridCol w:w="1496"/>
        <w:gridCol w:w="3891"/>
        <w:gridCol w:w="1496"/>
      </w:tblGrid>
      <w:tr w:rsidR="00CF18CD" w:rsidRPr="00AE026E" w:rsidTr="00F24A60">
        <w:trPr>
          <w:trHeight w:val="330"/>
          <w:tblHeader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權責機關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主協辦議題數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權責機關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主協辦議題數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交通部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1,175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金融監督管理委員會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71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內政部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1,035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行政院公共工程委員會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61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衛生福利部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612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行政院主計總處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38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教育部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538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外交部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36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法務部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397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中央銀行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33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經濟部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384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公平交易委員會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29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勞動部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306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行政院消費者保護處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25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財政部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303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海洋委員會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21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行政院環境保護署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228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原住民族委員會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18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國家發展委員會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203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大陸委員會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15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行政院人事行政總處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166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國軍退除役官兵輔導委員會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12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行政院農業委員會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150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行政院原子能委員會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11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國防部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146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客家委員會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5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國家通訊傳播委員會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122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僑務委員會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文化部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95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國立故宮博物院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中央選舉委員會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93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行政院食品安全辦公室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2</w:t>
            </w:r>
          </w:p>
        </w:tc>
      </w:tr>
      <w:tr w:rsidR="00CF18CD" w:rsidRPr="00AE026E" w:rsidTr="00F24A60">
        <w:trPr>
          <w:trHeight w:val="330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科技部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spacing w:line="420" w:lineRule="exact"/>
              <w:jc w:val="center"/>
              <w:rPr>
                <w:rFonts w:asciiTheme="minorHAnsi" w:eastAsiaTheme="majorEastAsia" w:hAnsiTheme="minorHAnsi" w:cstheme="minorHAnsi"/>
              </w:rPr>
            </w:pPr>
            <w:r w:rsidRPr="00EE6A65">
              <w:rPr>
                <w:rFonts w:asciiTheme="minorHAnsi" w:eastAsiaTheme="majorEastAsia" w:hAnsiTheme="minorHAnsi" w:cstheme="minorHAnsi"/>
              </w:rPr>
              <w:t>80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F18CD" w:rsidRPr="00AE026E" w:rsidRDefault="00CF18CD" w:rsidP="00CF18CD">
      <w:pPr>
        <w:pStyle w:val="11"/>
        <w:suppressAutoHyphens w:val="0"/>
        <w:spacing w:line="240" w:lineRule="auto"/>
        <w:ind w:leftChars="117" w:left="768" w:hangingChars="203" w:hanging="487"/>
        <w:rPr>
          <w:rFonts w:asciiTheme="majorEastAsia" w:eastAsiaTheme="majorEastAsia" w:hAnsiTheme="majorEastAsia"/>
          <w:color w:val="auto"/>
          <w:sz w:val="24"/>
          <w:szCs w:val="24"/>
        </w:rPr>
      </w:pPr>
      <w:proofErr w:type="gramStart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註︰</w:t>
      </w:r>
      <w:proofErr w:type="gramEnd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表內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排序依據權責機關主協辦議題數排列</w:t>
      </w:r>
    </w:p>
    <w:p w:rsidR="00CF18CD" w:rsidRPr="00AE026E" w:rsidRDefault="00CF18CD" w:rsidP="00CF18CD">
      <w:pPr>
        <w:pStyle w:val="11"/>
        <w:suppressAutoHyphens w:val="0"/>
        <w:spacing w:line="420" w:lineRule="exact"/>
        <w:ind w:left="425" w:firstLine="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11"/>
        <w:suppressAutoHyphens w:val="0"/>
        <w:spacing w:line="44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二、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依議題類別分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統計結果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民眾最關注之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類議題分別為</w:t>
      </w:r>
      <w:r w:rsidRPr="00F27F4A"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  <w:t>交通與基礎建設、法規制度改革、內政、教育</w:t>
      </w:r>
    </w:p>
    <w:p w:rsidR="00CF18CD" w:rsidRPr="00AE026E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kern w:val="0"/>
          <w:sz w:val="24"/>
          <w:szCs w:val="24"/>
        </w:rPr>
        <w:t xml:space="preserve">　　　</w:t>
      </w:r>
      <w:r w:rsidRPr="00F27F4A"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  <w:t>及體育、衛生及社會安全之類別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案件，占全部進入附議議題數的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63.7%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3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。</w:t>
      </w:r>
    </w:p>
    <w:p w:rsidR="00CF18CD" w:rsidRPr="00AE026E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EE6A65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表</w:t>
      </w: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3</w:t>
      </w:r>
      <w:r w:rsidRPr="00EE6A65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：</w:t>
      </w: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提點子</w:t>
      </w:r>
      <w:r w:rsidRPr="00EE6A65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附議議題</w:t>
      </w:r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分布情形</w:t>
      </w:r>
      <w:proofErr w:type="gramStart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─</w:t>
      </w:r>
      <w:proofErr w:type="gramEnd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依議題類別分</w:t>
      </w:r>
    </w:p>
    <w:tbl>
      <w:tblPr>
        <w:tblW w:w="486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1213"/>
        <w:gridCol w:w="1512"/>
        <w:gridCol w:w="2872"/>
        <w:gridCol w:w="1060"/>
        <w:gridCol w:w="1105"/>
      </w:tblGrid>
      <w:tr w:rsidR="00CF18CD" w:rsidRPr="00AE026E" w:rsidTr="00F24A60">
        <w:trPr>
          <w:trHeight w:val="390"/>
          <w:tblHeader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議題類別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議題數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進入附議百分比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議題類別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議題數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進入附議百分比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交通與基礎建設</w:t>
            </w:r>
          </w:p>
        </w:tc>
        <w:tc>
          <w:tcPr>
            <w:tcW w:w="611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877</w:t>
            </w:r>
          </w:p>
        </w:tc>
        <w:tc>
          <w:tcPr>
            <w:tcW w:w="762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23.62%</w:t>
            </w:r>
          </w:p>
        </w:tc>
        <w:tc>
          <w:tcPr>
            <w:tcW w:w="1447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文化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0.92%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法規制度改革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415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11.18%</w:t>
            </w:r>
          </w:p>
        </w:tc>
        <w:tc>
          <w:tcPr>
            <w:tcW w:w="1447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居住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0.62%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內政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397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10.69%</w:t>
            </w:r>
          </w:p>
        </w:tc>
        <w:tc>
          <w:tcPr>
            <w:tcW w:w="1447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家庭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0.62%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教育及體育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375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10.10%</w:t>
            </w:r>
          </w:p>
        </w:tc>
        <w:tc>
          <w:tcPr>
            <w:tcW w:w="1447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國土安全與災害防救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0.57%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衛生及社會安全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301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8.11%</w:t>
            </w:r>
          </w:p>
        </w:tc>
        <w:tc>
          <w:tcPr>
            <w:tcW w:w="1447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觀光旅遊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0.48%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勞動及人力資源</w:t>
            </w:r>
          </w:p>
        </w:tc>
        <w:tc>
          <w:tcPr>
            <w:tcW w:w="611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213</w:t>
            </w:r>
          </w:p>
        </w:tc>
        <w:tc>
          <w:tcPr>
            <w:tcW w:w="762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5.74%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性別平等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0.43%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財政金融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5.41%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人權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0.38%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環境資源及保護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3.37%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身心障礙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0.35%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政府改革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97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2.61%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族群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0.27%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農業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2.07%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就業創造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0.27%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國防及退伍軍人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74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1.99%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海洋事務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0.24%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經濟貿易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71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1.91%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創新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0.22%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能源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68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1.83%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外交僑務及兩岸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0.19%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國家發展及科技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64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1.72%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科學政策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0.19%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消費者保護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54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1.45%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國土規劃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0.11%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公民權與自由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46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1.24%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其他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0.03%</w:t>
            </w:r>
          </w:p>
        </w:tc>
      </w:tr>
      <w:tr w:rsidR="00CF18CD" w:rsidRPr="00EE6A65" w:rsidTr="00F24A60">
        <w:trPr>
          <w:trHeight w:val="330"/>
          <w:jc w:val="center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健康照護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1.05%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移民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0.03%</w:t>
            </w:r>
          </w:p>
        </w:tc>
      </w:tr>
    </w:tbl>
    <w:p w:rsidR="00CF18CD" w:rsidRPr="00AE026E" w:rsidRDefault="00CF18CD" w:rsidP="00CF18CD">
      <w:pPr>
        <w:pStyle w:val="afd"/>
        <w:suppressAutoHyphens w:val="0"/>
        <w:spacing w:line="420" w:lineRule="exact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proofErr w:type="gramStart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註︰</w:t>
      </w:r>
      <w:proofErr w:type="gramEnd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表內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排序依據提案數排列</w:t>
      </w:r>
    </w:p>
    <w:p w:rsidR="00CF18CD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11"/>
        <w:suppressAutoHyphens w:val="0"/>
        <w:spacing w:line="440" w:lineRule="exact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三、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依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附議人數統計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分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析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jc w:val="distribute"/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      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如果議題分類的附議人數統計分析，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民眾最關注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之前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類議題分別為</w:t>
      </w:r>
      <w:r w:rsidRPr="00F27F4A"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  <w:t>交通與基礎建設、</w:t>
      </w:r>
    </w:p>
    <w:p w:rsidR="00CF18CD" w:rsidRDefault="00CF18CD" w:rsidP="00CF18CD">
      <w:pPr>
        <w:pStyle w:val="12"/>
        <w:suppressAutoHyphens w:val="0"/>
        <w:spacing w:line="440" w:lineRule="exact"/>
        <w:ind w:left="0" w:firstLine="0"/>
        <w:jc w:val="distribute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kern w:val="0"/>
          <w:sz w:val="24"/>
          <w:szCs w:val="24"/>
        </w:rPr>
        <w:t xml:space="preserve">      </w:t>
      </w:r>
      <w:r w:rsidRPr="00F27F4A"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  <w:t>法規制度改革、教育及體育、衛生及社會安全、內政之類別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案件，占全部附議人數的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60.9%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，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   </w:t>
      </w:r>
    </w:p>
    <w:p w:rsidR="00CF18CD" w:rsidRPr="00F27F4A" w:rsidRDefault="00CF18CD" w:rsidP="00CF18CD">
      <w:pPr>
        <w:pStyle w:val="12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     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4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。</w:t>
      </w:r>
    </w:p>
    <w:p w:rsidR="00CF18CD" w:rsidRPr="00EE6A65" w:rsidRDefault="00CF18CD" w:rsidP="00CF18CD">
      <w:pPr>
        <w:pStyle w:val="afd"/>
        <w:suppressAutoHyphens w:val="0"/>
        <w:spacing w:line="42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表</w:t>
      </w: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4</w:t>
      </w: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：</w:t>
      </w: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提點子</w:t>
      </w:r>
      <w:r w:rsidRPr="00EE6A65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議題附議人數</w:t>
      </w:r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分布情形</w:t>
      </w:r>
      <w:proofErr w:type="gramStart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─</w:t>
      </w:r>
      <w:proofErr w:type="gramEnd"/>
      <w:r w:rsidRPr="00EE6A65">
        <w:rPr>
          <w:rFonts w:asciiTheme="majorEastAsia" w:eastAsiaTheme="majorEastAsia" w:hAnsiTheme="majorEastAsia"/>
          <w:color w:val="auto"/>
          <w:sz w:val="24"/>
          <w:szCs w:val="24"/>
        </w:rPr>
        <w:t>依議題類別分</w:t>
      </w:r>
    </w:p>
    <w:tbl>
      <w:tblPr>
        <w:tblW w:w="47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547"/>
        <w:gridCol w:w="2547"/>
        <w:gridCol w:w="2277"/>
      </w:tblGrid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議題分類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附議數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議題分類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CF18CD" w:rsidRPr="00AE026E" w:rsidRDefault="00CF18CD" w:rsidP="00F24A60">
            <w:pPr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附議數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交通與基礎建設</w:t>
            </w:r>
          </w:p>
        </w:tc>
        <w:tc>
          <w:tcPr>
            <w:tcW w:w="1321" w:type="pct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224,278 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能源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20,637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法規制度改革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207,057 </w:t>
            </w:r>
          </w:p>
        </w:tc>
        <w:tc>
          <w:tcPr>
            <w:tcW w:w="1321" w:type="pc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家庭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19,833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教育及體育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199,830 </w:t>
            </w:r>
          </w:p>
        </w:tc>
        <w:tc>
          <w:tcPr>
            <w:tcW w:w="1321" w:type="pc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經濟貿易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12,511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衛生及社會安全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182,530 </w:t>
            </w:r>
          </w:p>
        </w:tc>
        <w:tc>
          <w:tcPr>
            <w:tcW w:w="1321" w:type="pc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人權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11,235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內政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155,312 </w:t>
            </w:r>
          </w:p>
        </w:tc>
        <w:tc>
          <w:tcPr>
            <w:tcW w:w="1321" w:type="pc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觀光旅遊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10,125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財政金融</w:t>
            </w:r>
          </w:p>
        </w:tc>
        <w:tc>
          <w:tcPr>
            <w:tcW w:w="1321" w:type="pct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112,455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其他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8,275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勞動及人力資源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66,808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國土安全與災害防救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7,437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政府改革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54,068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就業創造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5,703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農業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50,919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身心障礙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4,571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性別平等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46,494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公民權與自由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1,963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健康照護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36,830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居住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1,906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環境資源及保護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35,440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族群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1,316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國家發展及科技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23,419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國土規劃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915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文化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23,138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創新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447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國防及退伍軍人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22,324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外交僑務及兩岸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274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海洋事務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22,061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科學政策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98 </w:t>
            </w:r>
          </w:p>
        </w:tc>
      </w:tr>
      <w:tr w:rsidR="00CF18CD" w:rsidRPr="00AE026E" w:rsidTr="00F24A60"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消費者保護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21,479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AE026E" w:rsidRDefault="00CF18CD" w:rsidP="00F24A60">
            <w:pPr>
              <w:rPr>
                <w:rFonts w:asciiTheme="majorEastAsia" w:eastAsiaTheme="majorEastAsia" w:hAnsiTheme="majorEastAsia" w:cs="Calibri"/>
                <w:kern w:val="0"/>
              </w:rPr>
            </w:pPr>
            <w:r w:rsidRPr="00AE026E">
              <w:rPr>
                <w:rFonts w:asciiTheme="majorEastAsia" w:eastAsiaTheme="majorEastAsia" w:hAnsiTheme="majorEastAsia" w:cs="Calibri" w:hint="eastAsia"/>
                <w:kern w:val="0"/>
              </w:rPr>
              <w:t>移民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CD" w:rsidRPr="00EE6A65" w:rsidRDefault="00CF18CD" w:rsidP="00F24A60">
            <w:pPr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 xml:space="preserve">11 </w:t>
            </w:r>
          </w:p>
        </w:tc>
      </w:tr>
    </w:tbl>
    <w:p w:rsidR="00CF18CD" w:rsidRDefault="00CF18CD" w:rsidP="00CF18CD">
      <w:pPr>
        <w:pStyle w:val="afa"/>
        <w:suppressAutoHyphens w:val="0"/>
        <w:spacing w:line="48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2C0DD8" w:rsidRPr="00AE026E" w:rsidRDefault="002C0DD8" w:rsidP="00CF18CD">
      <w:pPr>
        <w:pStyle w:val="afa"/>
        <w:suppressAutoHyphens w:val="0"/>
        <w:spacing w:line="48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E026E" w:rsidRDefault="00CF18CD" w:rsidP="00CF18CD">
      <w:pPr>
        <w:pStyle w:val="11"/>
        <w:suppressAutoHyphens w:val="0"/>
        <w:spacing w:line="48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四、由「提點子」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附議數</w:t>
      </w:r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分析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民眾關注的社會課題</w:t>
      </w:r>
    </w:p>
    <w:p w:rsidR="00CF18CD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        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由前述議題類別與附議人數多寡統計，參與平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/>
          <w:color w:val="auto"/>
          <w:sz w:val="24"/>
          <w:szCs w:val="24"/>
        </w:rPr>
        <w:t>國民提議「提點子」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民眾較為關注的前</w:t>
      </w:r>
    </w:p>
    <w:p w:rsidR="00CF18CD" w:rsidRDefault="00CF18CD" w:rsidP="00CF18CD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    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大議題類是為吻合，如就再以類別內之提案課題及附議數來看，四年來於參與平</w:t>
      </w:r>
      <w:proofErr w:type="gramStart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臺</w:t>
      </w:r>
      <w:proofErr w:type="gramEnd"/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「各議</w:t>
      </w:r>
    </w:p>
    <w:p w:rsidR="00CF18CD" w:rsidRDefault="00CF18CD" w:rsidP="008E0FF5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 xml:space="preserve">      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題分類中」民眾所關注的社會課題前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排序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（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表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>
        <w:rPr>
          <w:rFonts w:asciiTheme="minorHAnsi" w:eastAsiaTheme="majorEastAsia" w:hAnsiTheme="minorHAnsi" w:cstheme="minorHAnsi" w:hint="eastAsia"/>
          <w:color w:val="auto"/>
          <w:sz w:val="24"/>
          <w:szCs w:val="24"/>
        </w:rPr>
        <w:t>）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：</w:t>
      </w:r>
    </w:p>
    <w:p w:rsidR="002C0DD8" w:rsidRDefault="002C0DD8" w:rsidP="008E0FF5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</w:p>
    <w:p w:rsidR="002C0DD8" w:rsidRDefault="002C0DD8" w:rsidP="008E0FF5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</w:p>
    <w:p w:rsidR="002C0DD8" w:rsidRDefault="002C0DD8" w:rsidP="008E0FF5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</w:p>
    <w:p w:rsidR="002C0DD8" w:rsidRDefault="002C0DD8" w:rsidP="008E0FF5">
      <w:pPr>
        <w:pStyle w:val="afa"/>
        <w:suppressAutoHyphens w:val="0"/>
        <w:spacing w:line="48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</w:p>
    <w:p w:rsidR="00CF18CD" w:rsidRPr="00EE6A65" w:rsidRDefault="00CF18CD" w:rsidP="00CF18CD">
      <w:pPr>
        <w:pStyle w:val="afa"/>
        <w:suppressAutoHyphens w:val="0"/>
        <w:spacing w:line="480" w:lineRule="exact"/>
        <w:jc w:val="center"/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表</w:t>
      </w: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5</w:t>
      </w:r>
      <w:r w:rsidRPr="00EE6A65">
        <w:rPr>
          <w:rStyle w:val="aa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  <w:t>：</w:t>
      </w:r>
      <w:r w:rsidRPr="00EE6A65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議題</w:t>
      </w:r>
      <w:r w:rsidRPr="00EE6A65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類別-民眾關注社會課題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623"/>
        <w:gridCol w:w="1623"/>
        <w:gridCol w:w="1623"/>
        <w:gridCol w:w="1623"/>
        <w:gridCol w:w="1624"/>
      </w:tblGrid>
      <w:tr w:rsidR="00CF18CD" w:rsidRPr="00AE026E" w:rsidTr="00F24A60">
        <w:trPr>
          <w:trHeight w:val="492"/>
          <w:tblHeader/>
        </w:trPr>
        <w:tc>
          <w:tcPr>
            <w:tcW w:w="1358" w:type="dxa"/>
            <w:vMerge w:val="restart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/>
                <w:kern w:val="0"/>
              </w:rPr>
              <w:t>議題類別分</w:t>
            </w:r>
          </w:p>
        </w:tc>
        <w:tc>
          <w:tcPr>
            <w:tcW w:w="8116" w:type="dxa"/>
            <w:gridSpan w:val="5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民眾關注社會課題</w:t>
            </w:r>
          </w:p>
        </w:tc>
      </w:tr>
      <w:tr w:rsidR="00CF18CD" w:rsidRPr="00AE026E" w:rsidTr="00F24A60">
        <w:trPr>
          <w:trHeight w:val="397"/>
          <w:tblHeader/>
        </w:trPr>
        <w:tc>
          <w:tcPr>
            <w:tcW w:w="1358" w:type="dxa"/>
            <w:vMerge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EE6A65" w:rsidRDefault="00CF18CD" w:rsidP="00F24A60">
            <w:pPr>
              <w:spacing w:line="300" w:lineRule="exact"/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EE6A65" w:rsidRDefault="00CF18CD" w:rsidP="00F24A60">
            <w:pPr>
              <w:spacing w:line="300" w:lineRule="exact"/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EE6A65" w:rsidRDefault="00CF18CD" w:rsidP="00F24A60">
            <w:pPr>
              <w:spacing w:line="300" w:lineRule="exact"/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EE6A65" w:rsidRDefault="00CF18CD" w:rsidP="00F24A60">
            <w:pPr>
              <w:spacing w:line="300" w:lineRule="exact"/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EE6A65" w:rsidRDefault="00CF18CD" w:rsidP="00F24A60">
            <w:pPr>
              <w:spacing w:line="300" w:lineRule="exact"/>
              <w:jc w:val="center"/>
              <w:rPr>
                <w:rFonts w:asciiTheme="minorHAnsi" w:eastAsiaTheme="majorEastAsia" w:hAnsiTheme="minorHAnsi" w:cstheme="minorHAnsi"/>
                <w:kern w:val="0"/>
              </w:rPr>
            </w:pPr>
            <w:r w:rsidRPr="00EE6A65">
              <w:rPr>
                <w:rFonts w:asciiTheme="minorHAnsi" w:eastAsiaTheme="majorEastAsia" w:hAnsiTheme="minorHAnsi" w:cstheme="minorHAnsi"/>
                <w:kern w:val="0"/>
              </w:rPr>
              <w:t>5</w:t>
            </w:r>
          </w:p>
        </w:tc>
      </w:tr>
      <w:tr w:rsidR="00CF18CD" w:rsidRPr="00AE026E" w:rsidTr="00F24A60">
        <w:trPr>
          <w:trHeight w:val="397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交通與基礎建設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汽車驗車制度、汽機車改裝規定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重機路權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及停車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國產車碰撞測試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汽機車燃料稅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snapToGrid w:val="0"/>
              <w:spacing w:line="36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機車路權即解除強制二段式/車速分流</w:t>
            </w:r>
          </w:p>
        </w:tc>
      </w:tr>
      <w:tr w:rsidR="00CF18CD" w:rsidRPr="00AE026E" w:rsidTr="00F24A60">
        <w:trPr>
          <w:trHeight w:val="2254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法規制度改革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酒駕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、毒品、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性侵、虐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兒、殺害16歲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以下親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子等刑法課題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同婚課題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禁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五星旗於國內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宣揚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公務員請假規定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修訂動保法</w:t>
            </w:r>
          </w:p>
        </w:tc>
      </w:tr>
      <w:tr w:rsidR="00CF18CD" w:rsidRPr="00AE026E" w:rsidTr="00F24A60">
        <w:trPr>
          <w:trHeight w:val="1550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教育及體育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教師鐘點費提高/代課教師聘用及薪資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幼兒園師生比問題/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準公托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/幼兒學費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教師免除兼任行政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國中小早自習/第八節課/屬寒假輔導課等課題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校園性別教育內容/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性別霸凌</w:t>
            </w:r>
            <w:proofErr w:type="gramEnd"/>
          </w:p>
        </w:tc>
      </w:tr>
      <w:tr w:rsidR="00CF18CD" w:rsidRPr="00AE026E" w:rsidTr="00F24A60">
        <w:trPr>
          <w:trHeight w:val="1543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衛生及社會安全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增設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準公共化政及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幼兒就就學托育補助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全民健保課題(如長期定居外國者)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禁</w:t>
            </w:r>
            <w:proofErr w:type="gramStart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菸</w:t>
            </w:r>
            <w:proofErr w:type="gramEnd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、大麻/電子</w:t>
            </w:r>
            <w:proofErr w:type="gramStart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菸</w:t>
            </w:r>
            <w:proofErr w:type="gramEnd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/加熱</w:t>
            </w:r>
            <w:proofErr w:type="gramStart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煙合</w:t>
            </w:r>
            <w:proofErr w:type="gramEnd"/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法課題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中醫師</w:t>
            </w:r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/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中藥技術士/</w:t>
            </w:r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中藥商相關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法修訂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捐血者健康標準</w:t>
            </w:r>
          </w:p>
        </w:tc>
      </w:tr>
      <w:tr w:rsidR="00CF18CD" w:rsidRPr="00AE026E" w:rsidTr="00F24A60">
        <w:trPr>
          <w:trHeight w:val="1410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內政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宗教法及宗教自由相關規定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rightChars="-80" w:right="-192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調整時區(與日本同時區/維持原時區)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警察及消防人員權益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空勤總隊設駐恆春機場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增加國定假日國家</w:t>
            </w:r>
          </w:p>
        </w:tc>
      </w:tr>
      <w:tr w:rsidR="00CF18CD" w:rsidRPr="00AE026E" w:rsidTr="00F24A60">
        <w:trPr>
          <w:trHeight w:val="1557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財政金融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記帳士正名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rightChars="-80" w:right="-192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稅改課題(軍公教所得稅/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空屋稅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/海外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網購稅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/股利)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電子發票推動與落實相關課題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菸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品健康福利捐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貨幣改版</w:t>
            </w:r>
          </w:p>
        </w:tc>
      </w:tr>
      <w:tr w:rsidR="00CF18CD" w:rsidRPr="00AE026E" w:rsidTr="00F24A60">
        <w:trPr>
          <w:trHeight w:val="1253"/>
        </w:trPr>
        <w:tc>
          <w:tcPr>
            <w:tcW w:w="1358" w:type="dxa"/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勞動及人力資源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基本工資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勞工上班休息/休假/加班等課題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勞基法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身心障礙者退休年齡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公務員加班時數</w:t>
            </w:r>
          </w:p>
        </w:tc>
      </w:tr>
      <w:tr w:rsidR="00CF18CD" w:rsidRPr="00AE026E" w:rsidTr="00F24A60">
        <w:trPr>
          <w:trHeight w:val="78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政府改革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公務人員權益(廢除公教人員數位學習計劃/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國旅卡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/請假時數規定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颱風假問題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稅改課題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鈔票/硬幣改版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計畫管理法案</w:t>
            </w:r>
          </w:p>
        </w:tc>
      </w:tr>
      <w:tr w:rsidR="00CF18CD" w:rsidRPr="00AE026E" w:rsidTr="00F24A60">
        <w:trPr>
          <w:trHeight w:val="154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</w:p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農業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動物領養/動保課題/寵物店販賣動物課題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推動蔬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食產業發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8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性別平等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性別平等教育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性平課題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3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健康照護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免疫細胞療法/癌症用藥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獸醫用藥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月亮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盃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合法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病房營養照護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及診間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營養諮詢全民健康保險給付制度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「男性間性行為者永不得捐血」條文</w:t>
            </w:r>
          </w:p>
        </w:tc>
      </w:tr>
      <w:tr w:rsidR="00CF18CD" w:rsidRPr="00AE026E" w:rsidTr="00F24A60">
        <w:trPr>
          <w:trHeight w:val="129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環境資源及保護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火力發電/空污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禁止使用免洗餐具/一次性塑膠製品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菸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海岸開發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67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國家發展及科技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托嬰中心及幼稚園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設立線上監視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系統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全面檢視「前瞻計畫」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公布即時地磁訊號圖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27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文化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古蹟保存</w:t>
            </w:r>
            <w:r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（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護</w:t>
            </w:r>
            <w:r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宗教文化課題</w:t>
            </w:r>
            <w:r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（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金紙/神豬祭祀</w:t>
            </w:r>
            <w:r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26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國防及退伍軍人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反對浪擲數億更換軍用夾克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軍人加班費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兵役制度(含女性國防後勤義務役)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5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海洋事務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海洋國家公園禁漁區/禁吃魚翅等相關課題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建立全國水岸安全機制/漁港法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3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消費者保護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國內線上遊戲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相關法規建置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保護汽車消費者權益的法律制定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112F0">
              <w:rPr>
                <w:rFonts w:asciiTheme="minorHAnsi" w:eastAsiaTheme="majorEastAsia" w:hAnsiTheme="minorHAnsi" w:cstheme="minorHAnsi"/>
                <w:color w:val="auto"/>
                <w:kern w:val="0"/>
                <w:sz w:val="24"/>
                <w:szCs w:val="24"/>
              </w:rPr>
              <w:t>FACEBOOK</w:t>
            </w:r>
            <w:r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（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臉書</w:t>
            </w:r>
            <w:r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  <w:t>）</w:t>
            </w: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購物詐騙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能源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核電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火力發電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綠能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6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家庭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育兒津貼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9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經濟貿易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為扶將傾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之中藥基業，速辦「中藥技術士」認證考試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降低關稅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5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人權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安樂死合法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開放單身女合法施行人工受孕及試管嬰兒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觀光旅遊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國旅卡制度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kern w:val="0"/>
              </w:rPr>
              <w:t>國土安全與災害防救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公開超低頻地磁、</w:t>
            </w:r>
            <w:proofErr w:type="gramStart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地電</w:t>
            </w:r>
            <w:proofErr w:type="gramEnd"/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、電離層、地下水等地震前兆訊號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 w:cs="新細明體"/>
                <w:kern w:val="0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就業創造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125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身心障礙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身心障礙勞工提早退休機制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85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公民權與自由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公投/電子投票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居住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5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族群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國土規劃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3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創新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62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外交僑務及兩岸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CF18CD" w:rsidRPr="00AE026E" w:rsidTr="00F24A60">
        <w:trPr>
          <w:trHeight w:val="57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18CD" w:rsidRPr="00AE026E" w:rsidRDefault="00CF18CD" w:rsidP="00F24A6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E026E">
              <w:rPr>
                <w:rFonts w:asciiTheme="majorEastAsia" w:eastAsiaTheme="majorEastAsia" w:hAnsiTheme="majorEastAsia" w:hint="eastAsia"/>
              </w:rPr>
              <w:t>科學政策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  <w:r w:rsidRPr="00AE026E">
              <w:rPr>
                <w:rFonts w:asciiTheme="majorEastAsia" w:eastAsiaTheme="majorEastAsia" w:hAnsiTheme="majorEastAsia" w:cs="新細明體" w:hint="eastAsia"/>
                <w:color w:val="auto"/>
                <w:kern w:val="0"/>
                <w:sz w:val="24"/>
                <w:szCs w:val="24"/>
              </w:rPr>
              <w:t>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CD" w:rsidRPr="00AE026E" w:rsidRDefault="00CF18CD" w:rsidP="00F24A60">
            <w:pPr>
              <w:pStyle w:val="af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 w:cs="新細明體"/>
                <w:color w:val="auto"/>
                <w:kern w:val="0"/>
                <w:sz w:val="24"/>
                <w:szCs w:val="24"/>
              </w:rPr>
            </w:pPr>
          </w:p>
        </w:tc>
      </w:tr>
    </w:tbl>
    <w:p w:rsidR="00CF18CD" w:rsidRPr="00AE026E" w:rsidRDefault="00CF18CD" w:rsidP="00CF18CD">
      <w:pPr>
        <w:pStyle w:val="afa"/>
        <w:suppressAutoHyphens w:val="0"/>
        <w:spacing w:line="240" w:lineRule="auto"/>
        <w:ind w:leftChars="100" w:left="720" w:hangingChars="200" w:hanging="480"/>
        <w:rPr>
          <w:rFonts w:asciiTheme="majorEastAsia" w:eastAsiaTheme="majorEastAsia" w:hAnsiTheme="majorEastAsia"/>
          <w:color w:val="auto"/>
          <w:sz w:val="24"/>
          <w:szCs w:val="24"/>
        </w:rPr>
      </w:pP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註︰</w:t>
      </w:r>
      <w:proofErr w:type="gramEnd"/>
    </w:p>
    <w:p w:rsidR="00CF18CD" w:rsidRPr="00F27F4A" w:rsidRDefault="00CF18CD" w:rsidP="00CF18CD">
      <w:pPr>
        <w:pStyle w:val="afa"/>
        <w:suppressAutoHyphens w:val="0"/>
        <w:spacing w:line="240" w:lineRule="auto"/>
        <w:ind w:leftChars="-1" w:left="-2" w:firstLineChars="175" w:firstLine="42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1.本表所列民眾關注社會課題，係以該類別提議之附議數統計超過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5,000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人次。</w:t>
      </w:r>
    </w:p>
    <w:p w:rsidR="00CF18CD" w:rsidRPr="00F27F4A" w:rsidRDefault="00CF18CD" w:rsidP="00CF18CD">
      <w:pPr>
        <w:pStyle w:val="afa"/>
        <w:suppressAutoHyphens w:val="0"/>
        <w:spacing w:line="240" w:lineRule="auto"/>
        <w:ind w:leftChars="174" w:left="658" w:hangingChars="100" w:hanging="24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2.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本表部分議題類別中民眾關注課題超過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項，僅就附議人數最多的前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項列舉。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 xml:space="preserve">  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其餘各議題類別超過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5,000</w:t>
      </w:r>
      <w:r w:rsidRPr="00F27F4A">
        <w:rPr>
          <w:rFonts w:asciiTheme="minorHAnsi" w:eastAsiaTheme="majorEastAsia" w:hAnsiTheme="minorHAnsi" w:cstheme="minorHAnsi"/>
          <w:color w:val="auto"/>
          <w:sz w:val="24"/>
          <w:szCs w:val="24"/>
        </w:rPr>
        <w:t>個附議民眾關注社會課題有：</w:t>
      </w:r>
      <w:r w:rsidRPr="00F27F4A">
        <w:rPr>
          <w:rFonts w:asciiTheme="minorHAnsi" w:eastAsiaTheme="majorEastAsia" w:hAnsiTheme="minorHAnsi" w:cstheme="minorHAnsi"/>
          <w:color w:val="auto"/>
          <w:kern w:val="0"/>
          <w:sz w:val="24"/>
          <w:szCs w:val="24"/>
        </w:rPr>
        <w:t>：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交通與基礎建設：博愛座設置課題、高鐵延伸、網路叫車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平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臺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、蘇花改、寵物搭乘交通工具規定、民眾舉發交通取締、道路塞車問題、工地主任職能課程。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法規制度改革：訂定資訊基本法、增加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地檢署直派警局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之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醫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檢官職務。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教育及體育：全國中小學加裝冷氣空調、教官續留校園、增修水域遊憩活動管理辦法、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教檢考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後應公布試題、強化學生品德教育。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衛生及社會安全：重建樂生、推動全責護理、脊骨神經醫學、國民營養法、單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側聽損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身心障礙資格、改善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醫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檢師工作過量、核災食品、藥品專利。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內政：兵役制度、國家公園管理及登山相關課題、房價、宗教管理、娛樂型票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券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加價轉賣、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少子化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、帶職參選、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槍砲械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及玩具槍改造管制。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勞動及人力資源：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護理師照護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病人數上限、企業托育。</w:t>
      </w:r>
    </w:p>
    <w:p w:rsidR="00CF18CD" w:rsidRPr="00AE026E" w:rsidRDefault="00CF18CD" w:rsidP="00CF18CD">
      <w:pPr>
        <w:pStyle w:val="afa"/>
        <w:numPr>
          <w:ilvl w:val="0"/>
          <w:numId w:val="23"/>
        </w:numPr>
        <w:suppressAutoHyphens w:val="0"/>
        <w:spacing w:line="240" w:lineRule="auto"/>
        <w:ind w:left="728" w:hanging="30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政府改革：監所管理員及法警的危險加給比照。</w:t>
      </w:r>
    </w:p>
    <w:p w:rsidR="00CF18CD" w:rsidRPr="00AE026E" w:rsidRDefault="00CF18CD" w:rsidP="00CF18CD">
      <w:pPr>
        <w:pStyle w:val="afa"/>
        <w:suppressAutoHyphens w:val="0"/>
        <w:spacing w:line="420" w:lineRule="exact"/>
        <w:ind w:left="720" w:hanging="72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112F0" w:rsidRDefault="00CF18CD" w:rsidP="00CF18CD">
      <w:pPr>
        <w:pStyle w:val="afa"/>
        <w:suppressAutoHyphens w:val="0"/>
        <w:spacing w:line="440" w:lineRule="exact"/>
        <w:ind w:left="720" w:hanging="720"/>
        <w:rPr>
          <w:rFonts w:asciiTheme="minorHAnsi" w:eastAsiaTheme="majorEastAsia" w:hAnsiTheme="minorHAnsi" w:cstheme="minorHAnsi"/>
          <w:b/>
          <w:color w:val="auto"/>
          <w:sz w:val="24"/>
          <w:szCs w:val="24"/>
        </w:rPr>
      </w:pPr>
      <w:r w:rsidRPr="00A112F0">
        <w:rPr>
          <w:rFonts w:asciiTheme="minorHAnsi" w:eastAsiaTheme="majorEastAsia" w:hAnsiTheme="minorHAnsi" w:cstheme="minorHAnsi"/>
          <w:b/>
          <w:color w:val="auto"/>
          <w:sz w:val="24"/>
          <w:szCs w:val="24"/>
        </w:rPr>
        <w:t>伍、結論</w:t>
      </w:r>
    </w:p>
    <w:p w:rsidR="00CF18CD" w:rsidRPr="00A112F0" w:rsidRDefault="00CF18CD" w:rsidP="00CF18CD">
      <w:pPr>
        <w:pStyle w:val="afa"/>
        <w:suppressAutoHyphens w:val="0"/>
        <w:spacing w:line="440" w:lineRule="exact"/>
        <w:ind w:left="0" w:firstLine="0"/>
        <w:rPr>
          <w:rFonts w:asciiTheme="minorHAnsi" w:eastAsiaTheme="majorEastAsia" w:hAnsiTheme="minorHAnsi" w:cstheme="minorHAnsi"/>
          <w:color w:val="auto"/>
          <w:sz w:val="24"/>
          <w:szCs w:val="24"/>
        </w:rPr>
      </w:pP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 xml:space="preserve">    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初步盤點上述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近四年來的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議題分類，或可觀察出民意之取向及社會脈動是高度扣合的，藉此讓機關更貼近民眾所關注的聲音。國民提議「提點子」實施迄今，使用人數逐年成長，在參與平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臺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項功能中使用也最為熱絡，相關提案也常為媒體報導並在網路社群中討論。提點子上線服務四年有超過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7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千個提案，提議內容極為廣泛，而檢核通過進入附議的議題數有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3,713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項，附議數累計約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160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萬人次。以現有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34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個議題分類，其中超過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6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成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附議為關注於交通與基礎建設、法規制度改革、教育及體育、衛生及社會安全、內政等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大類。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另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，觀察附議數統計最低的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類議題，因涉兩岸及外交之提議為實施要點規定不進入附議，國土規劃、創新、科學政策應為較專業之領域，提案數較少附議數也隨之偏低。而移民政策涉及層面廣與修法不易，且與大部分人較不相關，使得該類提議及附議數少。再就以各類議題超過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5,000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人次附議統計，可概分計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113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類是民眾較為關注的社會課題（表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5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及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註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說明）。</w:t>
      </w:r>
    </w:p>
    <w:p w:rsidR="00CF18CD" w:rsidRPr="00AE026E" w:rsidRDefault="00CF18CD" w:rsidP="00CF18CD">
      <w:pPr>
        <w:pStyle w:val="afa"/>
        <w:suppressAutoHyphens w:val="0"/>
        <w:spacing w:line="44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 xml:space="preserve">    </w:t>
      </w:r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公共政策網路參與平</w:t>
      </w:r>
      <w:proofErr w:type="gramStart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臺</w:t>
      </w:r>
      <w:proofErr w:type="gramEnd"/>
      <w:r w:rsidRPr="00A112F0">
        <w:rPr>
          <w:rFonts w:asciiTheme="minorHAnsi" w:eastAsiaTheme="majorEastAsia" w:hAnsiTheme="minorHAnsi" w:cstheme="minorHAnsi"/>
          <w:color w:val="auto"/>
          <w:sz w:val="24"/>
          <w:szCs w:val="24"/>
        </w:rPr>
        <w:t>為落實開放透明政府提升機關回應品質，透過滾動式的調整網路參與機制，四年</w:t>
      </w:r>
      <w:r w:rsidRPr="00A112F0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歷經</w:t>
      </w:r>
      <w:r w:rsidRPr="00A112F0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3</w:t>
      </w:r>
      <w:r w:rsidRPr="00A112F0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次修正實施要點，逐步建立公民藉網路參與公共政策，引領民眾熟悉網路參與公共政策模式，提供公共政策創意或建言，並經由公共政策網路參與平</w:t>
      </w:r>
      <w:proofErr w:type="gramStart"/>
      <w:r w:rsidRPr="00A112F0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臺</w:t>
      </w:r>
      <w:proofErr w:type="gramEnd"/>
      <w:r w:rsidRPr="00A112F0">
        <w:rPr>
          <w:rFonts w:asciiTheme="minorHAnsi" w:eastAsiaTheme="majorEastAsia" w:hAnsiTheme="minorHAnsi" w:cstheme="minorHAnsi"/>
          <w:bCs/>
          <w:color w:val="auto"/>
          <w:sz w:val="24"/>
          <w:szCs w:val="24"/>
        </w:rPr>
        <w:t>實踐公民網路參與公共政</w:t>
      </w:r>
      <w:r w:rsidRPr="00AE026E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策，翻轉傳統公共政策參與模式，全面性強化公民參與公共政策的深度及廣度。除此之外，盤點民眾所關注的議題分類及課題，或能透過此方式</w:t>
      </w:r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協助機關更精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準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地掌握民眾關心的重要社會課題，作為制定政策時的參考，並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爰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此</w:t>
      </w:r>
      <w:proofErr w:type="gramStart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研</w:t>
      </w:r>
      <w:proofErr w:type="gramEnd"/>
      <w:r w:rsidRPr="00AE026E">
        <w:rPr>
          <w:rFonts w:asciiTheme="majorEastAsia" w:eastAsiaTheme="majorEastAsia" w:hAnsiTheme="majorEastAsia" w:hint="eastAsia"/>
          <w:color w:val="auto"/>
          <w:sz w:val="24"/>
          <w:szCs w:val="24"/>
        </w:rPr>
        <w:t>析，發掘社會課題的輕重緩急，促成更有效率地分配有限的國家資源。</w:t>
      </w:r>
    </w:p>
    <w:p w:rsidR="00CF18CD" w:rsidRDefault="00CF18CD" w:rsidP="00CF18CD">
      <w:pPr>
        <w:pStyle w:val="afa"/>
        <w:suppressAutoHyphens w:val="0"/>
        <w:spacing w:line="480" w:lineRule="exac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8E0FF5" w:rsidRPr="00AE026E" w:rsidRDefault="008E0FF5" w:rsidP="008E0FF5">
      <w:pPr>
        <w:pStyle w:val="afa"/>
        <w:suppressAutoHyphens w:val="0"/>
        <w:spacing w:line="480" w:lineRule="exact"/>
        <w:ind w:left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Pr="00A112F0" w:rsidRDefault="00CF18CD" w:rsidP="00CF18CD">
      <w:pPr>
        <w:pStyle w:val="afa"/>
        <w:suppressAutoHyphens w:val="0"/>
        <w:spacing w:line="240" w:lineRule="atLeast"/>
        <w:ind w:left="238" w:hanging="238"/>
        <w:jc w:val="left"/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A112F0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參考資料：</w:t>
      </w:r>
    </w:p>
    <w:p w:rsidR="00CF18CD" w:rsidRPr="00A112F0" w:rsidRDefault="00CF18CD" w:rsidP="00CF18CD">
      <w:pPr>
        <w:snapToGrid w:val="0"/>
        <w:spacing w:line="480" w:lineRule="exact"/>
        <w:ind w:left="242" w:hangingChars="101" w:hanging="242"/>
        <w:rPr>
          <w:rFonts w:asciiTheme="minorHAnsi" w:eastAsiaTheme="majorEastAsia" w:hAnsiTheme="minorHAnsi" w:cstheme="minorHAnsi"/>
          <w:bCs/>
        </w:rPr>
      </w:pPr>
      <w:r w:rsidRPr="00A112F0">
        <w:rPr>
          <w:rFonts w:asciiTheme="minorHAnsi" w:eastAsiaTheme="majorEastAsia" w:hAnsiTheme="minorHAnsi" w:cstheme="minorHAnsi"/>
          <w:bCs/>
        </w:rPr>
        <w:t>1.</w:t>
      </w:r>
      <w:r w:rsidRPr="00A112F0">
        <w:rPr>
          <w:rFonts w:asciiTheme="minorHAnsi" w:eastAsiaTheme="majorEastAsia" w:hAnsiTheme="minorHAnsi" w:cstheme="minorHAnsi"/>
          <w:bCs/>
        </w:rPr>
        <w:t>公共政策網路參與實施要點，</w:t>
      </w:r>
      <w:r w:rsidRPr="00A112F0">
        <w:rPr>
          <w:rFonts w:asciiTheme="minorHAnsi" w:eastAsiaTheme="majorEastAsia" w:hAnsiTheme="minorHAnsi" w:cstheme="minorHAnsi"/>
          <w:bCs/>
        </w:rPr>
        <w:t>107</w:t>
      </w:r>
      <w:r w:rsidRPr="00A112F0">
        <w:rPr>
          <w:rFonts w:asciiTheme="minorHAnsi" w:eastAsiaTheme="majorEastAsia" w:hAnsiTheme="minorHAnsi" w:cstheme="minorHAnsi"/>
          <w:bCs/>
        </w:rPr>
        <w:t>年</w:t>
      </w:r>
      <w:r w:rsidRPr="00A112F0">
        <w:rPr>
          <w:rFonts w:asciiTheme="minorHAnsi" w:eastAsiaTheme="majorEastAsia" w:hAnsiTheme="minorHAnsi" w:cstheme="minorHAnsi"/>
          <w:bCs/>
        </w:rPr>
        <w:t>4</w:t>
      </w:r>
      <w:r w:rsidRPr="00A112F0">
        <w:rPr>
          <w:rFonts w:asciiTheme="minorHAnsi" w:eastAsiaTheme="majorEastAsia" w:hAnsiTheme="minorHAnsi" w:cstheme="minorHAnsi"/>
          <w:bCs/>
        </w:rPr>
        <w:t>月</w:t>
      </w:r>
      <w:r w:rsidRPr="00A112F0">
        <w:rPr>
          <w:rFonts w:asciiTheme="minorHAnsi" w:eastAsiaTheme="majorEastAsia" w:hAnsiTheme="minorHAnsi" w:cstheme="minorHAnsi"/>
          <w:bCs/>
        </w:rPr>
        <w:t>11</w:t>
      </w:r>
      <w:r w:rsidRPr="00A112F0">
        <w:rPr>
          <w:rFonts w:asciiTheme="minorHAnsi" w:eastAsiaTheme="majorEastAsia" w:hAnsiTheme="minorHAnsi" w:cstheme="minorHAnsi"/>
          <w:bCs/>
        </w:rPr>
        <w:t>日。</w:t>
      </w:r>
    </w:p>
    <w:p w:rsidR="00CF18CD" w:rsidRPr="00A112F0" w:rsidRDefault="00CF18CD" w:rsidP="00CF18CD">
      <w:pPr>
        <w:snapToGrid w:val="0"/>
        <w:spacing w:line="480" w:lineRule="exact"/>
        <w:ind w:left="242" w:hangingChars="101" w:hanging="242"/>
        <w:rPr>
          <w:rFonts w:asciiTheme="minorHAnsi" w:eastAsiaTheme="majorEastAsia" w:hAnsiTheme="minorHAnsi" w:cstheme="minorHAnsi"/>
          <w:bCs/>
        </w:rPr>
      </w:pPr>
      <w:r w:rsidRPr="00A112F0">
        <w:rPr>
          <w:rFonts w:asciiTheme="minorHAnsi" w:eastAsiaTheme="majorEastAsia" w:hAnsiTheme="minorHAnsi" w:cstheme="minorHAnsi"/>
          <w:bCs/>
        </w:rPr>
        <w:t>2.</w:t>
      </w:r>
      <w:proofErr w:type="gramStart"/>
      <w:r w:rsidRPr="00A112F0">
        <w:rPr>
          <w:rFonts w:asciiTheme="minorHAnsi" w:eastAsiaTheme="majorEastAsia" w:hAnsiTheme="minorHAnsi" w:cstheme="minorHAnsi"/>
          <w:bCs/>
        </w:rPr>
        <w:t>林雨潔</w:t>
      </w:r>
      <w:proofErr w:type="gramEnd"/>
      <w:r w:rsidRPr="00A112F0">
        <w:rPr>
          <w:rFonts w:asciiTheme="minorHAnsi" w:eastAsiaTheme="majorEastAsia" w:hAnsiTheme="minorHAnsi" w:cstheme="minorHAnsi"/>
          <w:bCs/>
        </w:rPr>
        <w:t>、劉宗熹</w:t>
      </w:r>
      <w:r w:rsidRPr="00A112F0">
        <w:rPr>
          <w:rFonts w:asciiTheme="minorHAnsi" w:eastAsiaTheme="majorEastAsia" w:hAnsiTheme="minorHAnsi" w:cstheme="minorHAnsi"/>
          <w:bCs/>
        </w:rPr>
        <w:t>(</w:t>
      </w:r>
      <w:r w:rsidRPr="00A112F0">
        <w:rPr>
          <w:rFonts w:asciiTheme="minorHAnsi" w:eastAsiaTheme="majorEastAsia" w:hAnsiTheme="minorHAnsi" w:cstheme="minorHAnsi"/>
          <w:bCs/>
        </w:rPr>
        <w:t>民</w:t>
      </w:r>
      <w:r w:rsidRPr="00A112F0">
        <w:rPr>
          <w:rFonts w:asciiTheme="minorHAnsi" w:eastAsiaTheme="majorEastAsia" w:hAnsiTheme="minorHAnsi" w:cstheme="minorHAnsi"/>
          <w:bCs/>
        </w:rPr>
        <w:t>107)</w:t>
      </w:r>
      <w:r w:rsidRPr="00A112F0">
        <w:rPr>
          <w:rFonts w:asciiTheme="minorHAnsi" w:eastAsiaTheme="majorEastAsia" w:hAnsiTheme="minorHAnsi" w:cstheme="minorHAnsi"/>
          <w:bCs/>
        </w:rPr>
        <w:t>。公共政策網路參與實施要點第</w:t>
      </w:r>
      <w:r w:rsidRPr="00A112F0">
        <w:rPr>
          <w:rFonts w:asciiTheme="minorHAnsi" w:eastAsiaTheme="majorEastAsia" w:hAnsiTheme="minorHAnsi" w:cstheme="minorHAnsi"/>
          <w:bCs/>
        </w:rPr>
        <w:t>3</w:t>
      </w:r>
      <w:r w:rsidRPr="00A112F0">
        <w:rPr>
          <w:rFonts w:asciiTheme="minorHAnsi" w:eastAsiaTheme="majorEastAsia" w:hAnsiTheme="minorHAnsi" w:cstheme="minorHAnsi"/>
          <w:bCs/>
        </w:rPr>
        <w:t>次修正說明。政府資訊通報，第</w:t>
      </w:r>
      <w:r w:rsidRPr="00A112F0">
        <w:rPr>
          <w:rFonts w:asciiTheme="minorHAnsi" w:eastAsiaTheme="majorEastAsia" w:hAnsiTheme="minorHAnsi" w:cstheme="minorHAnsi"/>
          <w:bCs/>
        </w:rPr>
        <w:t>352</w:t>
      </w:r>
      <w:r w:rsidRPr="00A112F0">
        <w:rPr>
          <w:rFonts w:asciiTheme="minorHAnsi" w:eastAsiaTheme="majorEastAsia" w:hAnsiTheme="minorHAnsi" w:cstheme="minorHAnsi"/>
          <w:bCs/>
        </w:rPr>
        <w:t>期，</w:t>
      </w:r>
      <w:r w:rsidRPr="00A112F0">
        <w:rPr>
          <w:rFonts w:asciiTheme="minorHAnsi" w:eastAsiaTheme="majorEastAsia" w:hAnsiTheme="minorHAnsi" w:cstheme="minorHAnsi"/>
          <w:bCs/>
        </w:rPr>
        <w:t>42-49</w:t>
      </w:r>
      <w:r w:rsidRPr="00A112F0">
        <w:rPr>
          <w:rFonts w:asciiTheme="minorHAnsi" w:eastAsiaTheme="majorEastAsia" w:hAnsiTheme="minorHAnsi" w:cstheme="minorHAnsi"/>
          <w:bCs/>
        </w:rPr>
        <w:t>。</w:t>
      </w:r>
    </w:p>
    <w:p w:rsidR="00CF18CD" w:rsidRPr="00F27F4A" w:rsidRDefault="00CF18CD" w:rsidP="00CF18CD">
      <w:pPr>
        <w:snapToGrid w:val="0"/>
        <w:spacing w:line="480" w:lineRule="exact"/>
        <w:ind w:left="242" w:hangingChars="101" w:hanging="242"/>
        <w:rPr>
          <w:rStyle w:val="aa"/>
          <w:rFonts w:asciiTheme="minorHAnsi" w:eastAsiaTheme="majorEastAsia" w:hAnsiTheme="minorHAnsi" w:cstheme="minorHAnsi"/>
        </w:rPr>
      </w:pPr>
      <w:r w:rsidRPr="00A112F0">
        <w:rPr>
          <w:rFonts w:asciiTheme="minorHAnsi" w:eastAsiaTheme="majorEastAsia" w:hAnsiTheme="minorHAnsi" w:cstheme="minorHAnsi"/>
          <w:bCs/>
        </w:rPr>
        <w:t>3.</w:t>
      </w:r>
      <w:r w:rsidRPr="00A112F0">
        <w:rPr>
          <w:rFonts w:asciiTheme="minorHAnsi" w:eastAsiaTheme="majorEastAsia" w:hAnsiTheme="minorHAnsi" w:cstheme="minorHAnsi"/>
          <w:bCs/>
        </w:rPr>
        <w:t>莊明芬、林雨潔、楊慧敏</w:t>
      </w:r>
      <w:r w:rsidRPr="00A112F0">
        <w:rPr>
          <w:rFonts w:asciiTheme="minorHAnsi" w:eastAsiaTheme="majorEastAsia" w:hAnsiTheme="minorHAnsi" w:cstheme="minorHAnsi"/>
          <w:bCs/>
        </w:rPr>
        <w:t>(</w:t>
      </w:r>
      <w:r w:rsidRPr="00A112F0">
        <w:rPr>
          <w:rFonts w:asciiTheme="minorHAnsi" w:eastAsiaTheme="majorEastAsia" w:hAnsiTheme="minorHAnsi" w:cstheme="minorHAnsi"/>
          <w:bCs/>
        </w:rPr>
        <w:t>民</w:t>
      </w:r>
      <w:r w:rsidRPr="00A112F0">
        <w:rPr>
          <w:rFonts w:asciiTheme="minorHAnsi" w:eastAsiaTheme="majorEastAsia" w:hAnsiTheme="minorHAnsi" w:cstheme="minorHAnsi"/>
          <w:bCs/>
        </w:rPr>
        <w:t>106)</w:t>
      </w:r>
      <w:r w:rsidRPr="00A112F0">
        <w:rPr>
          <w:rFonts w:asciiTheme="minorHAnsi" w:eastAsiaTheme="majorEastAsia" w:hAnsiTheme="minorHAnsi" w:cstheme="minorHAnsi"/>
          <w:bCs/>
        </w:rPr>
        <w:t>。公共政策網路參與</w:t>
      </w:r>
      <w:r w:rsidRPr="00A112F0">
        <w:rPr>
          <w:rFonts w:asciiTheme="minorHAnsi" w:eastAsiaTheme="majorEastAsia" w:hAnsiTheme="minorHAnsi" w:cstheme="minorHAnsi"/>
          <w:bCs/>
        </w:rPr>
        <w:t>-</w:t>
      </w:r>
      <w:r w:rsidRPr="00A112F0">
        <w:rPr>
          <w:rFonts w:asciiTheme="minorHAnsi" w:eastAsiaTheme="majorEastAsia" w:hAnsiTheme="minorHAnsi" w:cstheme="minorHAnsi"/>
          <w:bCs/>
        </w:rPr>
        <w:t>國民提議</w:t>
      </w:r>
      <w:r w:rsidRPr="00A112F0">
        <w:rPr>
          <w:rFonts w:asciiTheme="minorHAnsi" w:eastAsiaTheme="majorEastAsia" w:hAnsiTheme="minorHAnsi" w:cstheme="minorHAnsi"/>
          <w:bCs/>
        </w:rPr>
        <w:t>2</w:t>
      </w:r>
      <w:r w:rsidRPr="00A112F0">
        <w:rPr>
          <w:rFonts w:asciiTheme="minorHAnsi" w:eastAsiaTheme="majorEastAsia" w:hAnsiTheme="minorHAnsi" w:cstheme="minorHAnsi"/>
          <w:bCs/>
        </w:rPr>
        <w:t>周年執行成果。政府資訊通</w:t>
      </w:r>
      <w:r w:rsidRPr="00F27F4A">
        <w:rPr>
          <w:rFonts w:asciiTheme="minorHAnsi" w:eastAsiaTheme="majorEastAsia" w:hAnsiTheme="minorHAnsi" w:cstheme="minorHAnsi"/>
          <w:bCs/>
        </w:rPr>
        <w:t>報，第</w:t>
      </w:r>
      <w:r w:rsidRPr="00F27F4A">
        <w:rPr>
          <w:rFonts w:asciiTheme="minorHAnsi" w:eastAsiaTheme="majorEastAsia" w:hAnsiTheme="minorHAnsi" w:cstheme="minorHAnsi"/>
          <w:bCs/>
        </w:rPr>
        <w:t>349</w:t>
      </w:r>
      <w:r w:rsidRPr="00F27F4A">
        <w:rPr>
          <w:rFonts w:asciiTheme="minorHAnsi" w:eastAsiaTheme="majorEastAsia" w:hAnsiTheme="minorHAnsi" w:cstheme="minorHAnsi"/>
          <w:bCs/>
        </w:rPr>
        <w:t>期，</w:t>
      </w:r>
      <w:r w:rsidRPr="00F27F4A">
        <w:rPr>
          <w:rFonts w:asciiTheme="minorHAnsi" w:eastAsiaTheme="majorEastAsia" w:hAnsiTheme="minorHAnsi" w:cstheme="minorHAnsi"/>
          <w:bCs/>
        </w:rPr>
        <w:t>52-62</w:t>
      </w:r>
      <w:r w:rsidRPr="00F27F4A">
        <w:rPr>
          <w:rFonts w:asciiTheme="minorHAnsi" w:eastAsiaTheme="majorEastAsia" w:hAnsiTheme="minorHAnsi" w:cstheme="minorHAnsi"/>
          <w:bCs/>
        </w:rPr>
        <w:t>。</w:t>
      </w:r>
    </w:p>
    <w:p w:rsidR="00CF18CD" w:rsidRPr="00AE026E" w:rsidRDefault="00CF18CD" w:rsidP="00CF18CD">
      <w:pPr>
        <w:pStyle w:val="afa"/>
        <w:suppressAutoHyphens w:val="0"/>
        <w:spacing w:line="240" w:lineRule="atLeast"/>
        <w:ind w:left="238" w:hanging="238"/>
        <w:jc w:val="left"/>
        <w:rPr>
          <w:rStyle w:val="aa"/>
          <w:rFonts w:asciiTheme="majorEastAsia" w:eastAsiaTheme="majorEastAsia" w:hAnsiTheme="majorEastAsia"/>
          <w:color w:val="auto"/>
          <w:sz w:val="24"/>
          <w:szCs w:val="24"/>
        </w:rPr>
      </w:pPr>
    </w:p>
    <w:p w:rsidR="00CF18CD" w:rsidRDefault="00CF18CD" w:rsidP="00CF18CD">
      <w:pPr>
        <w:spacing w:beforeLines="50" w:before="180" w:line="540" w:lineRule="exact"/>
        <w:rPr>
          <w:rFonts w:asciiTheme="majorEastAsia" w:eastAsiaTheme="majorEastAsia" w:hAnsiTheme="majorEastAsia"/>
          <w:b/>
          <w:color w:val="323E4F" w:themeColor="text2" w:themeShade="BF"/>
          <w:sz w:val="36"/>
          <w:szCs w:val="36"/>
          <w:bdr w:val="single" w:sz="4" w:space="0" w:color="auto"/>
        </w:rPr>
      </w:pPr>
    </w:p>
    <w:p w:rsidR="00CF18CD" w:rsidRDefault="00CF18CD" w:rsidP="00CF18CD">
      <w:pPr>
        <w:spacing w:beforeLines="50" w:before="180" w:line="540" w:lineRule="exact"/>
        <w:rPr>
          <w:rFonts w:asciiTheme="majorEastAsia" w:eastAsiaTheme="majorEastAsia" w:hAnsiTheme="majorEastAsia"/>
          <w:b/>
          <w:color w:val="323E4F" w:themeColor="text2" w:themeShade="BF"/>
          <w:sz w:val="36"/>
          <w:szCs w:val="36"/>
          <w:bdr w:val="single" w:sz="4" w:space="0" w:color="auto"/>
        </w:rPr>
      </w:pPr>
    </w:p>
    <w:p w:rsidR="00CF18CD" w:rsidRDefault="00CF18CD" w:rsidP="00CF18CD">
      <w:pPr>
        <w:spacing w:beforeLines="50" w:before="180" w:line="540" w:lineRule="exact"/>
        <w:rPr>
          <w:rFonts w:asciiTheme="majorEastAsia" w:eastAsiaTheme="majorEastAsia" w:hAnsiTheme="majorEastAsia"/>
          <w:b/>
          <w:color w:val="323E4F" w:themeColor="text2" w:themeShade="BF"/>
          <w:sz w:val="36"/>
          <w:szCs w:val="36"/>
          <w:bdr w:val="single" w:sz="4" w:space="0" w:color="auto"/>
        </w:rPr>
      </w:pPr>
    </w:p>
    <w:p w:rsidR="00CF18CD" w:rsidRDefault="00CF18CD" w:rsidP="00CF18CD">
      <w:pPr>
        <w:spacing w:beforeLines="50" w:before="180" w:line="540" w:lineRule="exact"/>
        <w:rPr>
          <w:rFonts w:asciiTheme="majorEastAsia" w:eastAsiaTheme="majorEastAsia" w:hAnsiTheme="majorEastAsia"/>
          <w:b/>
          <w:color w:val="323E4F" w:themeColor="text2" w:themeShade="BF"/>
          <w:sz w:val="36"/>
          <w:szCs w:val="36"/>
          <w:bdr w:val="single" w:sz="4" w:space="0" w:color="auto"/>
        </w:rPr>
      </w:pPr>
    </w:p>
    <w:p w:rsidR="00CF18CD" w:rsidRDefault="00CF18CD" w:rsidP="00CF18CD">
      <w:pPr>
        <w:spacing w:beforeLines="50" w:before="180" w:line="540" w:lineRule="exact"/>
        <w:rPr>
          <w:rFonts w:asciiTheme="majorEastAsia" w:eastAsiaTheme="majorEastAsia" w:hAnsiTheme="majorEastAsia"/>
          <w:b/>
          <w:color w:val="323E4F" w:themeColor="text2" w:themeShade="BF"/>
          <w:sz w:val="36"/>
          <w:szCs w:val="36"/>
          <w:bdr w:val="single" w:sz="4" w:space="0" w:color="auto"/>
        </w:rPr>
      </w:pPr>
    </w:p>
    <w:p w:rsidR="0046658B" w:rsidRPr="00CF18CD" w:rsidRDefault="006226EF"/>
    <w:sectPr w:rsidR="0046658B" w:rsidRPr="00CF18CD" w:rsidSect="006226EF">
      <w:footerReference w:type="default" r:id="rId12"/>
      <w:pgSz w:w="11906" w:h="16838"/>
      <w:pgMar w:top="1134" w:right="851" w:bottom="1134" w:left="851" w:header="851" w:footer="992" w:gutter="0"/>
      <w:pgBorders w:offsetFrom="page">
        <w:top w:val="waveline" w:sz="10" w:space="24" w:color="002060"/>
        <w:left w:val="waveline" w:sz="10" w:space="24" w:color="002060"/>
        <w:bottom w:val="waveline" w:sz="10" w:space="24" w:color="002060"/>
        <w:right w:val="waveline" w:sz="10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F5" w:rsidRDefault="008E0FF5" w:rsidP="008E0FF5">
      <w:r>
        <w:separator/>
      </w:r>
    </w:p>
  </w:endnote>
  <w:endnote w:type="continuationSeparator" w:id="0">
    <w:p w:rsidR="008E0FF5" w:rsidRDefault="008E0FF5" w:rsidP="008E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F5" w:rsidRDefault="008E0FF5" w:rsidP="008E0FF5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4965065</wp:posOffset>
              </wp:positionH>
              <wp:positionV relativeFrom="paragraph">
                <wp:posOffset>-64770</wp:posOffset>
              </wp:positionV>
              <wp:extent cx="1400175" cy="1404620"/>
              <wp:effectExtent l="0" t="0" r="0" b="127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FF5" w:rsidRPr="008E0FF5" w:rsidRDefault="008E0FF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E0FF5">
                            <w:rPr>
                              <w:rFonts w:hint="eastAsia"/>
                              <w:sz w:val="20"/>
                              <w:szCs w:val="20"/>
                            </w:rPr>
                            <w:t>中華民國</w:t>
                          </w:r>
                          <w:r w:rsidRPr="008E0FF5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E0FF5">
                            <w:rPr>
                              <w:sz w:val="20"/>
                              <w:szCs w:val="20"/>
                            </w:rPr>
                            <w:t>08</w:t>
                          </w:r>
                          <w:r w:rsidRPr="008E0FF5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Pr="008E0FF5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8E0FF5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90.95pt;margin-top:-5.1pt;width:11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" filled="f" stroked="f">
              <v:textbox style="mso-fit-shape-to-text:t">
                <w:txbxContent>
                  <w:p w:rsidR="008E0FF5" w:rsidRPr="008E0FF5" w:rsidRDefault="008E0FF5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8E0FF5">
                      <w:rPr>
                        <w:rFonts w:hint="eastAsia"/>
                        <w:sz w:val="20"/>
                        <w:szCs w:val="20"/>
                      </w:rPr>
                      <w:t>中華民國</w:t>
                    </w:r>
                    <w:r w:rsidRPr="008E0FF5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E0FF5">
                      <w:rPr>
                        <w:sz w:val="20"/>
                        <w:szCs w:val="20"/>
                      </w:rPr>
                      <w:t>08</w:t>
                    </w:r>
                    <w:r w:rsidRPr="008E0FF5"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  <w:r w:rsidRPr="008E0FF5">
                      <w:rPr>
                        <w:sz w:val="20"/>
                        <w:szCs w:val="20"/>
                      </w:rPr>
                      <w:t>10</w:t>
                    </w:r>
                    <w:r w:rsidRPr="008E0FF5">
                      <w:rPr>
                        <w:rFonts w:hint="eastAsia"/>
                        <w:sz w:val="20"/>
                        <w:szCs w:val="20"/>
                      </w:rPr>
                      <w:t>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 xml:space="preserve">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-55245</wp:posOffset>
              </wp:positionV>
              <wp:extent cx="1724025" cy="1404620"/>
              <wp:effectExtent l="0" t="0" r="0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FF5" w:rsidRPr="008E0FF5" w:rsidRDefault="008E0FF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E0FF5">
                            <w:rPr>
                              <w:rFonts w:hint="eastAsia"/>
                              <w:sz w:val="20"/>
                              <w:szCs w:val="20"/>
                            </w:rPr>
                            <w:t>政府機關資訊通報第</w:t>
                          </w:r>
                          <w:r w:rsidRPr="008E0FF5">
                            <w:rPr>
                              <w:sz w:val="20"/>
                              <w:szCs w:val="20"/>
                            </w:rPr>
                            <w:t>361</w:t>
                          </w:r>
                          <w:r w:rsidRPr="008E0FF5">
                            <w:rPr>
                              <w:sz w:val="20"/>
                              <w:szCs w:val="20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-4.35pt;width:13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" filled="f" stroked="f">
              <v:textbox style="mso-fit-shape-to-text:t">
                <w:txbxContent>
                  <w:p w:rsidR="008E0FF5" w:rsidRPr="008E0FF5" w:rsidRDefault="008E0FF5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8E0FF5">
                      <w:rPr>
                        <w:rFonts w:hint="eastAsia"/>
                        <w:sz w:val="20"/>
                        <w:szCs w:val="20"/>
                      </w:rPr>
                      <w:t>政府機關資訊通報第</w:t>
                    </w:r>
                    <w:r w:rsidRPr="008E0FF5">
                      <w:rPr>
                        <w:sz w:val="20"/>
                        <w:szCs w:val="20"/>
                      </w:rPr>
                      <w:t>361</w:t>
                    </w:r>
                    <w:r w:rsidRPr="008E0FF5">
                      <w:rPr>
                        <w:sz w:val="20"/>
                        <w:szCs w:val="20"/>
                      </w:rPr>
                      <w:t>期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eastAsia"/>
      </w:rPr>
      <w:t>頁</w:t>
    </w:r>
    <w:sdt>
      <w:sdtPr>
        <w:id w:val="-14048318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26EF" w:rsidRPr="006226EF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 xml:space="preserve">                   </w:t>
        </w:r>
      </w:sdtContent>
    </w:sdt>
  </w:p>
  <w:p w:rsidR="008E0FF5" w:rsidRDefault="008E0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F5" w:rsidRDefault="008E0FF5" w:rsidP="008E0FF5">
      <w:r>
        <w:separator/>
      </w:r>
    </w:p>
  </w:footnote>
  <w:footnote w:type="continuationSeparator" w:id="0">
    <w:p w:rsidR="008E0FF5" w:rsidRDefault="008E0FF5" w:rsidP="008E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LFO4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292DE7"/>
    <w:multiLevelType w:val="hybridMultilevel"/>
    <w:tmpl w:val="98B6169A"/>
    <w:lvl w:ilvl="0" w:tplc="E5B60B6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F81AF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21DFD"/>
    <w:multiLevelType w:val="hybridMultilevel"/>
    <w:tmpl w:val="50926B22"/>
    <w:lvl w:ilvl="0" w:tplc="29563F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54B4C"/>
    <w:multiLevelType w:val="hybridMultilevel"/>
    <w:tmpl w:val="D24A1146"/>
    <w:lvl w:ilvl="0" w:tplc="156AE7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D1E5A87"/>
    <w:multiLevelType w:val="hybridMultilevel"/>
    <w:tmpl w:val="7D20B0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5A4A22"/>
    <w:multiLevelType w:val="hybridMultilevel"/>
    <w:tmpl w:val="5D805FFC"/>
    <w:lvl w:ilvl="0" w:tplc="23B8B1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F7597"/>
    <w:multiLevelType w:val="hybridMultilevel"/>
    <w:tmpl w:val="05C6E40E"/>
    <w:lvl w:ilvl="0" w:tplc="EE221B84">
      <w:start w:val="2"/>
      <w:numFmt w:val="ideographLegalTraditional"/>
      <w:pStyle w:val="a"/>
      <w:lvlText w:val="%1、"/>
      <w:lvlJc w:val="left"/>
      <w:pPr>
        <w:ind w:left="510" w:hanging="510"/>
      </w:pPr>
      <w:rPr>
        <w:rFonts w:hint="default"/>
      </w:rPr>
    </w:lvl>
    <w:lvl w:ilvl="1" w:tplc="75D6EFD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C37F2"/>
    <w:multiLevelType w:val="hybridMultilevel"/>
    <w:tmpl w:val="D130A7D2"/>
    <w:lvl w:ilvl="0" w:tplc="A79E0AA0">
      <w:start w:val="1"/>
      <w:numFmt w:val="bullet"/>
      <w:lvlText w:val="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1EA973A1"/>
    <w:multiLevelType w:val="hybridMultilevel"/>
    <w:tmpl w:val="E6E2F422"/>
    <w:lvl w:ilvl="0" w:tplc="A3569CCC">
      <w:start w:val="1"/>
      <w:numFmt w:val="decimal"/>
      <w:lvlText w:val="(%1)"/>
      <w:lvlJc w:val="left"/>
      <w:pPr>
        <w:ind w:left="600" w:hanging="360"/>
      </w:pPr>
      <w:rPr>
        <w:rFonts w:hint="eastAsia"/>
        <w:color w:val="auto"/>
        <w:kern w:val="2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B265F7"/>
    <w:multiLevelType w:val="hybridMultilevel"/>
    <w:tmpl w:val="6D5CBF08"/>
    <w:lvl w:ilvl="0" w:tplc="2EEEC6A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E5B793C"/>
    <w:multiLevelType w:val="hybridMultilevel"/>
    <w:tmpl w:val="FE16248A"/>
    <w:lvl w:ilvl="0" w:tplc="1CB80F0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7E1B6F"/>
    <w:multiLevelType w:val="hybridMultilevel"/>
    <w:tmpl w:val="6548F3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9A4D8C"/>
    <w:multiLevelType w:val="hybridMultilevel"/>
    <w:tmpl w:val="891683EC"/>
    <w:lvl w:ilvl="0" w:tplc="E83865BE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F8571A3"/>
    <w:multiLevelType w:val="hybridMultilevel"/>
    <w:tmpl w:val="C8CA8A2E"/>
    <w:lvl w:ilvl="0" w:tplc="8AC67910">
      <w:start w:val="1"/>
      <w:numFmt w:val="ideographLegalTraditional"/>
      <w:suff w:val="nothing"/>
      <w:lvlText w:val="%1、"/>
      <w:lvlJc w:val="left"/>
      <w:pPr>
        <w:ind w:left="886" w:hanging="744"/>
      </w:pPr>
      <w:rPr>
        <w:rFonts w:hint="default"/>
        <w:lang w:val="en-US"/>
      </w:rPr>
    </w:lvl>
    <w:lvl w:ilvl="1" w:tplc="3C061206">
      <w:start w:val="1"/>
      <w:numFmt w:val="decimal"/>
      <w:lvlText w:val="(%2)"/>
      <w:lvlJc w:val="left"/>
      <w:pPr>
        <w:ind w:left="141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52C648F6"/>
    <w:multiLevelType w:val="hybridMultilevel"/>
    <w:tmpl w:val="D076E290"/>
    <w:lvl w:ilvl="0" w:tplc="EFD2D2A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101EAD22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70447CCC">
      <w:start w:val="3"/>
      <w:numFmt w:val="ideographLegalTraditional"/>
      <w:lvlText w:val="%3、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5636C5A"/>
    <w:multiLevelType w:val="hybridMultilevel"/>
    <w:tmpl w:val="0E74F23A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C1731B1"/>
    <w:multiLevelType w:val="multilevel"/>
    <w:tmpl w:val="19121B6E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eastAsia="標楷體"/>
        <w:sz w:val="28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7D46E52"/>
    <w:multiLevelType w:val="hybridMultilevel"/>
    <w:tmpl w:val="CD5E3DEA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8" w15:restartNumberingAfterBreak="0">
    <w:nsid w:val="69721742"/>
    <w:multiLevelType w:val="hybridMultilevel"/>
    <w:tmpl w:val="8B863708"/>
    <w:lvl w:ilvl="0" w:tplc="AD505658">
      <w:start w:val="4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A0F209C"/>
    <w:multiLevelType w:val="multilevel"/>
    <w:tmpl w:val="80B29388"/>
    <w:lvl w:ilvl="0">
      <w:start w:val="1"/>
      <w:numFmt w:val="ideographLegalTraditional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D959B3"/>
    <w:multiLevelType w:val="hybridMultilevel"/>
    <w:tmpl w:val="A05209F0"/>
    <w:lvl w:ilvl="0" w:tplc="6030995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2E754F7"/>
    <w:multiLevelType w:val="hybridMultilevel"/>
    <w:tmpl w:val="306855FC"/>
    <w:lvl w:ilvl="0" w:tplc="23B8B1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5D6DF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D3226A0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E840F9"/>
    <w:multiLevelType w:val="hybridMultilevel"/>
    <w:tmpl w:val="8F38DAB4"/>
    <w:lvl w:ilvl="0" w:tplc="C76AA3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</w:num>
  <w:num w:numId="5">
    <w:abstractNumId w:val="1"/>
  </w:num>
  <w:num w:numId="6">
    <w:abstractNumId w:val="14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2"/>
  </w:num>
  <w:num w:numId="17">
    <w:abstractNumId w:val="7"/>
  </w:num>
  <w:num w:numId="18">
    <w:abstractNumId w:val="4"/>
  </w:num>
  <w:num w:numId="19">
    <w:abstractNumId w:val="17"/>
  </w:num>
  <w:num w:numId="20">
    <w:abstractNumId w:val="19"/>
  </w:num>
  <w:num w:numId="21">
    <w:abstractNumId w:val="15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#d0f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D"/>
    <w:rsid w:val="002C0DD8"/>
    <w:rsid w:val="006226EF"/>
    <w:rsid w:val="008663DA"/>
    <w:rsid w:val="008E0FF5"/>
    <w:rsid w:val="00CF18CD"/>
    <w:rsid w:val="00F85BE3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d0f6f8"/>
    </o:shapedefaults>
    <o:shapelayout v:ext="edit">
      <o:idmap v:ext="edit" data="1"/>
    </o:shapelayout>
  </w:shapeDefaults>
  <w:decimalSymbol w:val="."/>
  <w:listSeparator w:val=","/>
  <w15:chartTrackingRefBased/>
  <w15:docId w15:val="{787A25D0-9C7B-40FA-BECD-2840E79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18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CF18CD"/>
    <w:pPr>
      <w:widowControl/>
      <w:numPr>
        <w:numId w:val="2"/>
      </w:numPr>
      <w:suppressAutoHyphens/>
      <w:textAlignment w:val="baseline"/>
      <w:outlineLvl w:val="0"/>
    </w:pPr>
    <w:rPr>
      <w:rFonts w:ascii="Liberation Serif" w:hAnsi="Liberation Serif" w:cs="Mangal"/>
      <w:b/>
      <w:bCs/>
      <w:kern w:val="0"/>
      <w:lang w:bidi="hi-IN"/>
    </w:rPr>
  </w:style>
  <w:style w:type="paragraph" w:styleId="2">
    <w:name w:val="heading 2"/>
    <w:basedOn w:val="a0"/>
    <w:link w:val="20"/>
    <w:qFormat/>
    <w:rsid w:val="00CF18CD"/>
    <w:pPr>
      <w:widowControl/>
      <w:numPr>
        <w:ilvl w:val="1"/>
        <w:numId w:val="2"/>
      </w:numPr>
      <w:suppressAutoHyphens/>
      <w:textAlignment w:val="baseline"/>
      <w:outlineLvl w:val="1"/>
    </w:pPr>
    <w:rPr>
      <w:rFonts w:ascii="Liberation Serif" w:hAnsi="Liberation Serif" w:cs="Mangal"/>
      <w:b/>
      <w:bCs/>
      <w:kern w:val="0"/>
      <w:lang w:bidi="hi-IN"/>
    </w:rPr>
  </w:style>
  <w:style w:type="paragraph" w:styleId="3">
    <w:name w:val="heading 3"/>
    <w:basedOn w:val="a0"/>
    <w:link w:val="30"/>
    <w:qFormat/>
    <w:rsid w:val="00CF18CD"/>
    <w:pPr>
      <w:widowControl/>
      <w:numPr>
        <w:ilvl w:val="2"/>
        <w:numId w:val="2"/>
      </w:numPr>
      <w:suppressAutoHyphens/>
      <w:spacing w:before="140" w:after="120"/>
      <w:textAlignment w:val="baseline"/>
      <w:outlineLvl w:val="2"/>
    </w:pPr>
    <w:rPr>
      <w:rFonts w:ascii="Liberation Serif" w:hAnsi="Liberation Serif" w:cs="Mangal"/>
      <w:b/>
      <w:bCs/>
      <w:kern w:val="0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F18CD"/>
    <w:rPr>
      <w:rFonts w:ascii="Liberation Serif" w:eastAsia="新細明體" w:hAnsi="Liberation Serif" w:cs="Mangal"/>
      <w:b/>
      <w:bCs/>
      <w:kern w:val="0"/>
      <w:szCs w:val="24"/>
      <w:lang w:bidi="hi-IN"/>
    </w:rPr>
  </w:style>
  <w:style w:type="character" w:customStyle="1" w:styleId="20">
    <w:name w:val="標題 2 字元"/>
    <w:basedOn w:val="a1"/>
    <w:link w:val="2"/>
    <w:rsid w:val="00CF18CD"/>
    <w:rPr>
      <w:rFonts w:ascii="Liberation Serif" w:eastAsia="新細明體" w:hAnsi="Liberation Serif" w:cs="Mangal"/>
      <w:b/>
      <w:bCs/>
      <w:kern w:val="0"/>
      <w:szCs w:val="24"/>
      <w:lang w:bidi="hi-IN"/>
    </w:rPr>
  </w:style>
  <w:style w:type="character" w:customStyle="1" w:styleId="30">
    <w:name w:val="標題 3 字元"/>
    <w:basedOn w:val="a1"/>
    <w:link w:val="3"/>
    <w:rsid w:val="00CF18CD"/>
    <w:rPr>
      <w:rFonts w:ascii="Liberation Serif" w:eastAsia="新細明體" w:hAnsi="Liberation Serif" w:cs="Mangal"/>
      <w:b/>
      <w:bCs/>
      <w:kern w:val="0"/>
      <w:szCs w:val="24"/>
      <w:lang w:bidi="hi-IN"/>
    </w:rPr>
  </w:style>
  <w:style w:type="paragraph" w:styleId="a4">
    <w:name w:val="List Paragraph"/>
    <w:aliases w:val="1.1.1.1清單段落,List Paragraph,標題 (4),(二),列點,清單段落2,1.1,清單段落1"/>
    <w:basedOn w:val="a0"/>
    <w:link w:val="a5"/>
    <w:qFormat/>
    <w:rsid w:val="00CF18CD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CF18CD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F18CD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qFormat/>
    <w:rsid w:val="00CF18CD"/>
    <w:pPr>
      <w:widowControl w:val="0"/>
      <w:suppressAutoHyphens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CF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CF18CD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CF18CD"/>
    <w:rPr>
      <w:color w:val="0563C1" w:themeColor="hyperlink"/>
      <w:u w:val="single"/>
    </w:rPr>
  </w:style>
  <w:style w:type="character" w:customStyle="1" w:styleId="a5">
    <w:name w:val="清單段落 字元"/>
    <w:aliases w:val="1.1.1.1清單段落 字元,List Paragraph 字元,標題 (4) 字元,(二) 字元,列點 字元,清單段落2 字元,1.1 字元,清單段落1 字元"/>
    <w:link w:val="a4"/>
    <w:rsid w:val="00CF18CD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semiHidden/>
    <w:unhideWhenUsed/>
    <w:rsid w:val="00CF18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1"/>
    <w:uiPriority w:val="22"/>
    <w:qFormat/>
    <w:rsid w:val="00CF18CD"/>
    <w:rPr>
      <w:b/>
      <w:bCs/>
    </w:rPr>
  </w:style>
  <w:style w:type="paragraph" w:styleId="ac">
    <w:name w:val="footnote text"/>
    <w:basedOn w:val="a0"/>
    <w:link w:val="ad"/>
    <w:unhideWhenUsed/>
    <w:rsid w:val="00CF18CD"/>
    <w:pPr>
      <w:snapToGrid w:val="0"/>
    </w:pPr>
    <w:rPr>
      <w:rFonts w:eastAsia="標楷體" w:cstheme="minorBidi"/>
      <w:sz w:val="20"/>
      <w:szCs w:val="20"/>
    </w:rPr>
  </w:style>
  <w:style w:type="character" w:customStyle="1" w:styleId="ad">
    <w:name w:val="註腳文字 字元"/>
    <w:basedOn w:val="a1"/>
    <w:link w:val="ac"/>
    <w:rsid w:val="00CF18CD"/>
    <w:rPr>
      <w:rFonts w:ascii="Times New Roman" w:eastAsia="標楷體" w:hAnsi="Times New Roman"/>
      <w:sz w:val="20"/>
      <w:szCs w:val="20"/>
    </w:rPr>
  </w:style>
  <w:style w:type="character" w:styleId="ae">
    <w:name w:val="footnote reference"/>
    <w:basedOn w:val="a1"/>
    <w:unhideWhenUsed/>
    <w:qFormat/>
    <w:rsid w:val="00CF18CD"/>
    <w:rPr>
      <w:vertAlign w:val="superscript"/>
    </w:rPr>
  </w:style>
  <w:style w:type="paragraph" w:styleId="af">
    <w:name w:val="endnote text"/>
    <w:basedOn w:val="a0"/>
    <w:link w:val="af0"/>
    <w:uiPriority w:val="99"/>
    <w:unhideWhenUsed/>
    <w:rsid w:val="00CF18CD"/>
    <w:pPr>
      <w:snapToGrid w:val="0"/>
    </w:pPr>
    <w:rPr>
      <w:rFonts w:eastAsia="標楷體" w:cstheme="minorBidi"/>
      <w:szCs w:val="22"/>
    </w:rPr>
  </w:style>
  <w:style w:type="character" w:customStyle="1" w:styleId="af0">
    <w:name w:val="章節附註文字 字元"/>
    <w:basedOn w:val="a1"/>
    <w:link w:val="af"/>
    <w:uiPriority w:val="99"/>
    <w:rsid w:val="00CF18CD"/>
    <w:rPr>
      <w:rFonts w:ascii="Times New Roman" w:eastAsia="標楷體" w:hAnsi="Times New Roman"/>
    </w:rPr>
  </w:style>
  <w:style w:type="table" w:styleId="4-2">
    <w:name w:val="Grid Table 4 Accent 2"/>
    <w:basedOn w:val="a2"/>
    <w:uiPriority w:val="49"/>
    <w:rsid w:val="00CF18CD"/>
    <w:rPr>
      <w:rFonts w:ascii="Times New Roman" w:eastAsia="標楷體" w:hAnsi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1">
    <w:name w:val="Table Grid"/>
    <w:basedOn w:val="a2"/>
    <w:uiPriority w:val="39"/>
    <w:rsid w:val="00CF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註腳錨定"/>
    <w:rsid w:val="00CF18CD"/>
    <w:rPr>
      <w:vertAlign w:val="superscript"/>
    </w:rPr>
  </w:style>
  <w:style w:type="character" w:customStyle="1" w:styleId="af3">
    <w:name w:val="註腳字元"/>
    <w:qFormat/>
    <w:rsid w:val="00CF18CD"/>
  </w:style>
  <w:style w:type="paragraph" w:customStyle="1" w:styleId="af4">
    <w:name w:val="主旨"/>
    <w:basedOn w:val="a0"/>
    <w:rsid w:val="00CF18C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character" w:styleId="af5">
    <w:name w:val="FollowedHyperlink"/>
    <w:basedOn w:val="a1"/>
    <w:uiPriority w:val="99"/>
    <w:semiHidden/>
    <w:unhideWhenUsed/>
    <w:rsid w:val="00CF18CD"/>
    <w:rPr>
      <w:color w:val="954F72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CF1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CF18C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Body Text"/>
    <w:link w:val="af9"/>
    <w:rsid w:val="00CF18CD"/>
    <w:pPr>
      <w:keepNext/>
      <w:widowControl w:val="0"/>
      <w:shd w:val="clear" w:color="auto" w:fill="FFFFFF"/>
      <w:suppressAutoHyphens/>
    </w:pPr>
    <w:rPr>
      <w:rFonts w:ascii="Calibri" w:eastAsia="新細明體" w:hAnsi="Calibri" w:cs="Times New Roman"/>
      <w:kern w:val="0"/>
    </w:rPr>
  </w:style>
  <w:style w:type="character" w:customStyle="1" w:styleId="af9">
    <w:name w:val="本文 字元"/>
    <w:basedOn w:val="a1"/>
    <w:link w:val="af8"/>
    <w:rsid w:val="00CF18CD"/>
    <w:rPr>
      <w:rFonts w:ascii="Calibri" w:eastAsia="新細明體" w:hAnsi="Calibri" w:cs="Times New Roman"/>
      <w:kern w:val="0"/>
      <w:shd w:val="clear" w:color="auto" w:fill="FFFFFF"/>
    </w:rPr>
  </w:style>
  <w:style w:type="paragraph" w:customStyle="1" w:styleId="a">
    <w:name w:val="一、"/>
    <w:basedOn w:val="a4"/>
    <w:rsid w:val="00CF18CD"/>
    <w:pPr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00" w:lineRule="exact"/>
      <w:ind w:leftChars="0" w:left="0"/>
      <w:textAlignment w:val="baseline"/>
    </w:pPr>
    <w:rPr>
      <w:rFonts w:eastAsia="標楷體"/>
      <w:b/>
      <w:color w:val="000000"/>
      <w:kern w:val="1"/>
      <w:sz w:val="28"/>
      <w:szCs w:val="28"/>
    </w:rPr>
  </w:style>
  <w:style w:type="paragraph" w:customStyle="1" w:styleId="afa">
    <w:name w:val="一、縮"/>
    <w:basedOn w:val="af8"/>
    <w:rsid w:val="00CF18CD"/>
    <w:pPr>
      <w:keepNext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napToGrid w:val="0"/>
      <w:spacing w:line="400" w:lineRule="exact"/>
      <w:ind w:left="240" w:firstLine="560"/>
      <w:jc w:val="both"/>
      <w:textAlignment w:val="baseline"/>
    </w:pPr>
    <w:rPr>
      <w:rFonts w:ascii="Times New Roman" w:eastAsia="標楷體" w:hAnsi="Times New Roman"/>
      <w:color w:val="000000"/>
      <w:kern w:val="1"/>
      <w:sz w:val="28"/>
      <w:szCs w:val="28"/>
    </w:rPr>
  </w:style>
  <w:style w:type="paragraph" w:customStyle="1" w:styleId="afb">
    <w:name w:val="(一)"/>
    <w:basedOn w:val="a4"/>
    <w:rsid w:val="00CF1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00" w:lineRule="exact"/>
      <w:ind w:leftChars="0" w:left="240"/>
      <w:textAlignment w:val="baseline"/>
    </w:pPr>
    <w:rPr>
      <w:rFonts w:eastAsia="標楷體"/>
      <w:color w:val="000000"/>
      <w:kern w:val="1"/>
      <w:sz w:val="28"/>
      <w:szCs w:val="28"/>
    </w:rPr>
  </w:style>
  <w:style w:type="paragraph" w:customStyle="1" w:styleId="afc">
    <w:name w:val="(一)縮"/>
    <w:basedOn w:val="af8"/>
    <w:rsid w:val="00CF18CD"/>
    <w:pPr>
      <w:keepNext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napToGrid w:val="0"/>
      <w:spacing w:line="400" w:lineRule="exact"/>
      <w:ind w:left="559" w:firstLine="574"/>
      <w:jc w:val="both"/>
      <w:textAlignment w:val="baseline"/>
    </w:pPr>
    <w:rPr>
      <w:rFonts w:ascii="Times New Roman" w:eastAsia="標楷體" w:hAnsi="Times New Roman"/>
      <w:color w:val="000000"/>
      <w:kern w:val="1"/>
      <w:sz w:val="28"/>
      <w:szCs w:val="28"/>
    </w:rPr>
  </w:style>
  <w:style w:type="paragraph" w:customStyle="1" w:styleId="11">
    <w:name w:val="1."/>
    <w:basedOn w:val="afc"/>
    <w:rsid w:val="00CF18CD"/>
    <w:pPr>
      <w:ind w:left="0" w:firstLine="6"/>
    </w:pPr>
  </w:style>
  <w:style w:type="paragraph" w:customStyle="1" w:styleId="12">
    <w:name w:val="1.內"/>
    <w:basedOn w:val="af8"/>
    <w:rsid w:val="00CF18CD"/>
    <w:pPr>
      <w:keepNext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napToGrid w:val="0"/>
      <w:spacing w:line="400" w:lineRule="exact"/>
      <w:ind w:left="708" w:firstLine="566"/>
      <w:jc w:val="both"/>
      <w:textAlignment w:val="baseline"/>
    </w:pPr>
    <w:rPr>
      <w:rFonts w:ascii="Times New Roman" w:eastAsia="標楷體" w:hAnsi="Times New Roman"/>
      <w:color w:val="000000"/>
      <w:kern w:val="1"/>
      <w:sz w:val="28"/>
      <w:szCs w:val="28"/>
    </w:rPr>
  </w:style>
  <w:style w:type="paragraph" w:customStyle="1" w:styleId="afd">
    <w:name w:val="圖"/>
    <w:basedOn w:val="af8"/>
    <w:rsid w:val="00CF18CD"/>
    <w:pPr>
      <w:keepNext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napToGrid w:val="0"/>
      <w:spacing w:line="400" w:lineRule="exact"/>
      <w:jc w:val="center"/>
      <w:textAlignment w:val="baseline"/>
    </w:pPr>
    <w:rPr>
      <w:rFonts w:ascii="Times New Roman" w:eastAsia="標楷體" w:hAnsi="Times New Roman"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謝孟涵</dc:creator>
  <cp:keywords/>
  <dc:description/>
  <cp:lastModifiedBy>謝孟涵</cp:lastModifiedBy>
  <cp:revision>3</cp:revision>
  <cp:lastPrinted>2019-10-09T09:03:00Z</cp:lastPrinted>
  <dcterms:created xsi:type="dcterms:W3CDTF">2019-10-03T06:07:00Z</dcterms:created>
  <dcterms:modified xsi:type="dcterms:W3CDTF">2019-10-09T09:04:00Z</dcterms:modified>
</cp:coreProperties>
</file>