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43" w:rsidRDefault="002C0855" w:rsidP="00CB0DD9">
      <w:pPr>
        <w:adjustRightInd/>
        <w:snapToGrid w:val="0"/>
        <w:spacing w:line="500" w:lineRule="exact"/>
        <w:ind w:left="1197" w:hangingChars="299" w:hanging="1197"/>
        <w:jc w:val="center"/>
        <w:rPr>
          <w:rFonts w:ascii="標楷體" w:eastAsia="標楷體" w:hAnsi="標楷體"/>
          <w:b/>
          <w:bCs/>
          <w:kern w:val="2"/>
          <w:sz w:val="40"/>
          <w:szCs w:val="40"/>
        </w:rPr>
      </w:pPr>
      <w:bookmarkStart w:id="0" w:name="OLE_LINK1"/>
      <w:r w:rsidRPr="00443CE3">
        <w:rPr>
          <w:rFonts w:ascii="標楷體" w:eastAsia="標楷體" w:hAnsi="標楷體" w:hint="eastAsia"/>
          <w:b/>
          <w:bCs/>
          <w:kern w:val="2"/>
          <w:sz w:val="40"/>
          <w:szCs w:val="40"/>
        </w:rPr>
        <w:t>公共建設計畫審議、預警及退場機制</w:t>
      </w:r>
      <w:bookmarkEnd w:id="0"/>
    </w:p>
    <w:p w:rsidR="00364261" w:rsidRDefault="00364261" w:rsidP="00364261">
      <w:pPr>
        <w:adjustRightInd/>
        <w:snapToGrid w:val="0"/>
        <w:spacing w:line="300" w:lineRule="exact"/>
        <w:ind w:leftChars="2185" w:left="5244"/>
        <w:jc w:val="both"/>
        <w:rPr>
          <w:rFonts w:ascii="標楷體" w:eastAsia="標楷體" w:hAnsi="標楷體"/>
          <w:bCs/>
          <w:kern w:val="2"/>
          <w:sz w:val="20"/>
        </w:rPr>
      </w:pPr>
    </w:p>
    <w:p w:rsidR="00364261" w:rsidRPr="00364261" w:rsidRDefault="00364261" w:rsidP="00364261">
      <w:pPr>
        <w:adjustRightInd/>
        <w:snapToGrid w:val="0"/>
        <w:spacing w:line="300" w:lineRule="exact"/>
        <w:ind w:leftChars="2362" w:left="5669" w:firstLine="1"/>
        <w:jc w:val="both"/>
        <w:rPr>
          <w:rFonts w:ascii="標楷體" w:eastAsia="標楷體" w:hAnsi="標楷體" w:hint="eastAsia"/>
          <w:bCs/>
          <w:kern w:val="2"/>
          <w:sz w:val="18"/>
          <w:szCs w:val="18"/>
        </w:rPr>
      </w:pPr>
      <w:r w:rsidRPr="00364261">
        <w:rPr>
          <w:rFonts w:ascii="標楷體" w:eastAsia="標楷體" w:hAnsi="標楷體" w:hint="eastAsia"/>
          <w:bCs/>
          <w:kern w:val="2"/>
          <w:sz w:val="18"/>
          <w:szCs w:val="18"/>
        </w:rPr>
        <w:t>106年12月13日</w:t>
      </w:r>
      <w:r w:rsidRPr="00364261">
        <w:rPr>
          <w:rFonts w:ascii="標楷體" w:eastAsia="標楷體" w:hAnsi="標楷體"/>
          <w:bCs/>
          <w:kern w:val="2"/>
          <w:sz w:val="18"/>
          <w:szCs w:val="18"/>
        </w:rPr>
        <w:t>行政</w:t>
      </w:r>
      <w:r w:rsidRPr="00364261">
        <w:rPr>
          <w:rFonts w:ascii="標楷體" w:eastAsia="標楷體" w:hAnsi="標楷體" w:hint="eastAsia"/>
          <w:bCs/>
          <w:kern w:val="2"/>
          <w:sz w:val="18"/>
          <w:szCs w:val="18"/>
        </w:rPr>
        <w:t>院</w:t>
      </w:r>
      <w:r w:rsidRPr="00364261">
        <w:rPr>
          <w:rFonts w:ascii="標楷體" w:eastAsia="標楷體" w:hAnsi="標楷體"/>
          <w:bCs/>
          <w:kern w:val="2"/>
          <w:sz w:val="18"/>
          <w:szCs w:val="18"/>
        </w:rPr>
        <w:t>院</w:t>
      </w:r>
      <w:r w:rsidRPr="00364261">
        <w:rPr>
          <w:rFonts w:ascii="標楷體" w:eastAsia="標楷體" w:hAnsi="標楷體" w:hint="eastAsia"/>
          <w:bCs/>
          <w:kern w:val="2"/>
          <w:sz w:val="18"/>
          <w:szCs w:val="18"/>
        </w:rPr>
        <w:t>授</w:t>
      </w:r>
      <w:r w:rsidRPr="00364261">
        <w:rPr>
          <w:rFonts w:ascii="標楷體" w:eastAsia="標楷體" w:hAnsi="標楷體"/>
          <w:bCs/>
          <w:kern w:val="2"/>
          <w:sz w:val="18"/>
          <w:szCs w:val="18"/>
        </w:rPr>
        <w:t>發管字第</w:t>
      </w:r>
      <w:r w:rsidRPr="00364261">
        <w:rPr>
          <w:rFonts w:ascii="標楷體" w:eastAsia="標楷體" w:hAnsi="標楷體" w:hint="eastAsia"/>
          <w:bCs/>
          <w:kern w:val="2"/>
          <w:sz w:val="18"/>
          <w:szCs w:val="18"/>
        </w:rPr>
        <w:t>1061403066號</w:t>
      </w:r>
      <w:r w:rsidRPr="00364261">
        <w:rPr>
          <w:rFonts w:ascii="標楷體" w:eastAsia="標楷體" w:hAnsi="標楷體"/>
          <w:bCs/>
          <w:kern w:val="2"/>
          <w:sz w:val="18"/>
          <w:szCs w:val="18"/>
        </w:rPr>
        <w:t>函</w:t>
      </w:r>
      <w:r w:rsidRPr="00364261">
        <w:rPr>
          <w:rFonts w:ascii="標楷體" w:eastAsia="標楷體" w:hAnsi="標楷體" w:hint="eastAsia"/>
          <w:bCs/>
          <w:kern w:val="2"/>
          <w:sz w:val="18"/>
          <w:szCs w:val="18"/>
        </w:rPr>
        <w:t>頒，</w:t>
      </w:r>
      <w:r w:rsidRPr="00364261">
        <w:rPr>
          <w:rFonts w:ascii="標楷體" w:eastAsia="標楷體" w:hAnsi="標楷體"/>
          <w:bCs/>
          <w:kern w:val="2"/>
          <w:sz w:val="18"/>
          <w:szCs w:val="18"/>
        </w:rPr>
        <w:t>自</w:t>
      </w:r>
      <w:r w:rsidRPr="00364261">
        <w:rPr>
          <w:rFonts w:ascii="標楷體" w:eastAsia="標楷體" w:hAnsi="標楷體" w:hint="eastAsia"/>
          <w:bCs/>
          <w:kern w:val="2"/>
          <w:sz w:val="18"/>
          <w:szCs w:val="18"/>
        </w:rPr>
        <w:t>107</w:t>
      </w:r>
      <w:bookmarkStart w:id="1" w:name="_GoBack"/>
      <w:bookmarkEnd w:id="1"/>
      <w:r w:rsidRPr="00364261">
        <w:rPr>
          <w:rFonts w:ascii="標楷體" w:eastAsia="標楷體" w:hAnsi="標楷體" w:hint="eastAsia"/>
          <w:bCs/>
          <w:kern w:val="2"/>
          <w:sz w:val="18"/>
          <w:szCs w:val="18"/>
        </w:rPr>
        <w:t>年1月1日</w:t>
      </w:r>
      <w:r w:rsidRPr="00364261">
        <w:rPr>
          <w:rFonts w:ascii="標楷體" w:eastAsia="標楷體" w:hAnsi="標楷體"/>
          <w:bCs/>
          <w:kern w:val="2"/>
          <w:sz w:val="18"/>
          <w:szCs w:val="18"/>
        </w:rPr>
        <w:t>施行</w:t>
      </w:r>
    </w:p>
    <w:p w:rsidR="00EC4A92" w:rsidRPr="00443CE3" w:rsidRDefault="00CB0DD9" w:rsidP="005E6464">
      <w:pPr>
        <w:pStyle w:val="ac"/>
        <w:numPr>
          <w:ilvl w:val="0"/>
          <w:numId w:val="1"/>
        </w:numPr>
        <w:spacing w:beforeLines="50" w:before="180" w:line="500" w:lineRule="exact"/>
        <w:ind w:leftChars="0" w:left="993" w:hanging="709"/>
        <w:jc w:val="both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443CE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依據</w:t>
      </w:r>
    </w:p>
    <w:p w:rsidR="00986587" w:rsidRPr="001C76AC" w:rsidRDefault="00072403" w:rsidP="00CB0DD9">
      <w:pPr>
        <w:spacing w:line="500" w:lineRule="exact"/>
        <w:ind w:left="993"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DA544E">
        <w:rPr>
          <w:rFonts w:ascii="標楷體" w:eastAsia="標楷體" w:hAnsi="標楷體" w:hint="eastAsia"/>
          <w:sz w:val="32"/>
          <w:szCs w:val="32"/>
        </w:rPr>
        <w:t>公共建設計畫審議、預警及退場機制</w:t>
      </w:r>
      <w:r>
        <w:rPr>
          <w:rFonts w:ascii="標楷體" w:eastAsia="標楷體" w:hAnsi="標楷體" w:hint="eastAsia"/>
          <w:sz w:val="32"/>
          <w:szCs w:val="32"/>
        </w:rPr>
        <w:t>(以下簡稱</w:t>
      </w:r>
      <w:r w:rsidRPr="001C76AC">
        <w:rPr>
          <w:rFonts w:ascii="標楷體" w:eastAsia="標楷體" w:hAnsi="標楷體" w:hint="eastAsia"/>
          <w:sz w:val="32"/>
          <w:szCs w:val="32"/>
        </w:rPr>
        <w:t>本</w:t>
      </w:r>
      <w:r w:rsidRPr="001C76AC">
        <w:rPr>
          <w:rFonts w:ascii="標楷體" w:eastAsia="標楷體" w:hAnsi="標楷體"/>
          <w:sz w:val="32"/>
          <w:szCs w:val="32"/>
        </w:rPr>
        <w:t>機制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CB0DD9" w:rsidRPr="001C76AC">
        <w:rPr>
          <w:rFonts w:ascii="標楷體" w:eastAsia="標楷體" w:hAnsi="標楷體"/>
          <w:sz w:val="32"/>
          <w:szCs w:val="32"/>
        </w:rPr>
        <w:t>業</w:t>
      </w:r>
      <w:r w:rsidR="006D1CDE">
        <w:rPr>
          <w:rFonts w:ascii="標楷體" w:eastAsia="標楷體" w:hAnsi="標楷體" w:hint="eastAsia"/>
          <w:sz w:val="32"/>
          <w:szCs w:val="32"/>
        </w:rPr>
        <w:t>提報</w:t>
      </w:r>
      <w:r w:rsidR="000812B7">
        <w:rPr>
          <w:rFonts w:ascii="標楷體" w:eastAsia="標楷體" w:hAnsi="標楷體" w:hint="eastAsia"/>
          <w:sz w:val="32"/>
          <w:szCs w:val="32"/>
        </w:rPr>
        <w:t>國家發展委員會(以下簡稱國發會)</w:t>
      </w:r>
      <w:r w:rsidR="00CB0DD9" w:rsidRPr="001C76AC">
        <w:rPr>
          <w:rFonts w:ascii="標楷體" w:eastAsia="標楷體" w:hAnsi="標楷體" w:hint="eastAsia"/>
          <w:sz w:val="32"/>
          <w:szCs w:val="32"/>
        </w:rPr>
        <w:t>10</w:t>
      </w:r>
      <w:r w:rsidR="00CB0DD9" w:rsidRPr="001C76AC">
        <w:rPr>
          <w:rFonts w:ascii="標楷體" w:eastAsia="標楷體" w:hAnsi="標楷體"/>
          <w:sz w:val="32"/>
          <w:szCs w:val="32"/>
        </w:rPr>
        <w:t>6</w:t>
      </w:r>
      <w:r w:rsidR="00CB0DD9" w:rsidRPr="001C76AC">
        <w:rPr>
          <w:rFonts w:ascii="標楷體" w:eastAsia="標楷體" w:hAnsi="標楷體" w:hint="eastAsia"/>
          <w:sz w:val="32"/>
          <w:szCs w:val="32"/>
        </w:rPr>
        <w:t>年11月16日</w:t>
      </w:r>
      <w:r w:rsidR="00CB0DD9" w:rsidRPr="001C76AC">
        <w:rPr>
          <w:rFonts w:ascii="標楷體" w:eastAsia="標楷體" w:hAnsi="標楷體"/>
          <w:sz w:val="32"/>
          <w:szCs w:val="32"/>
        </w:rPr>
        <w:t>第46次委員會議討論，經依</w:t>
      </w:r>
      <w:r w:rsidR="00CB0DD9" w:rsidRPr="001C76AC">
        <w:rPr>
          <w:rFonts w:ascii="標楷體" w:eastAsia="標楷體" w:hAnsi="標楷體" w:hint="eastAsia"/>
          <w:sz w:val="32"/>
          <w:szCs w:val="32"/>
        </w:rPr>
        <w:t>與會</w:t>
      </w:r>
      <w:r w:rsidR="000812B7">
        <w:rPr>
          <w:rFonts w:ascii="標楷體" w:eastAsia="標楷體" w:hAnsi="標楷體" w:hint="eastAsia"/>
          <w:sz w:val="32"/>
          <w:szCs w:val="32"/>
        </w:rPr>
        <w:t>委員</w:t>
      </w:r>
      <w:r w:rsidR="00CB0DD9" w:rsidRPr="001C76AC">
        <w:rPr>
          <w:rFonts w:ascii="標楷體" w:eastAsia="標楷體" w:hAnsi="標楷體"/>
          <w:sz w:val="32"/>
          <w:szCs w:val="32"/>
        </w:rPr>
        <w:t>提供之意見修正後</w:t>
      </w:r>
      <w:r w:rsidR="000812B7">
        <w:rPr>
          <w:rFonts w:ascii="標楷體" w:eastAsia="標楷體" w:hAnsi="標楷體" w:hint="eastAsia"/>
          <w:sz w:val="32"/>
          <w:szCs w:val="32"/>
        </w:rPr>
        <w:t>，</w:t>
      </w:r>
      <w:r w:rsidR="00CB0DD9" w:rsidRPr="001C76AC">
        <w:rPr>
          <w:rFonts w:ascii="標楷體" w:eastAsia="標楷體" w:hAnsi="標楷體"/>
          <w:sz w:val="32"/>
          <w:szCs w:val="32"/>
        </w:rPr>
        <w:t>提報行政院</w:t>
      </w:r>
      <w:r w:rsidR="00CB0DD9" w:rsidRPr="001C76AC">
        <w:rPr>
          <w:rFonts w:ascii="標楷體" w:eastAsia="標楷體" w:hAnsi="標楷體" w:hint="eastAsia"/>
          <w:sz w:val="32"/>
          <w:szCs w:val="32"/>
        </w:rPr>
        <w:t>106年11月23日</w:t>
      </w:r>
      <w:r w:rsidR="00CB0DD9" w:rsidRPr="001C76AC">
        <w:rPr>
          <w:rFonts w:ascii="標楷體" w:eastAsia="標楷體" w:hAnsi="標楷體"/>
          <w:sz w:val="32"/>
          <w:szCs w:val="32"/>
        </w:rPr>
        <w:t>第3577次會議，並經院長裁示准予備查</w:t>
      </w:r>
      <w:r w:rsidR="000812B7">
        <w:rPr>
          <w:rFonts w:ascii="標楷體" w:eastAsia="標楷體" w:hAnsi="標楷體" w:hint="eastAsia"/>
          <w:sz w:val="32"/>
          <w:szCs w:val="32"/>
        </w:rPr>
        <w:t>。</w:t>
      </w:r>
    </w:p>
    <w:p w:rsidR="00CB0DD9" w:rsidRPr="00443CE3" w:rsidRDefault="00CB0DD9" w:rsidP="00542033">
      <w:pPr>
        <w:pStyle w:val="ac"/>
        <w:numPr>
          <w:ilvl w:val="0"/>
          <w:numId w:val="1"/>
        </w:numPr>
        <w:spacing w:beforeLines="50" w:before="180" w:line="500" w:lineRule="exact"/>
        <w:ind w:leftChars="0" w:left="993" w:hanging="709"/>
        <w:jc w:val="both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443CE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緣起</w:t>
      </w:r>
    </w:p>
    <w:p w:rsidR="000812B7" w:rsidRPr="001C76AC" w:rsidRDefault="00CB0DD9" w:rsidP="000812B7">
      <w:pPr>
        <w:spacing w:line="500" w:lineRule="exact"/>
        <w:ind w:left="993"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1C76AC">
        <w:rPr>
          <w:rFonts w:ascii="標楷體" w:eastAsia="標楷體" w:hAnsi="標楷體"/>
          <w:sz w:val="32"/>
          <w:szCs w:val="32"/>
        </w:rPr>
        <w:t>每年公共建設約有</w:t>
      </w:r>
      <w:r w:rsidR="0087274E">
        <w:rPr>
          <w:rFonts w:ascii="標楷體" w:eastAsia="標楷體" w:hAnsi="標楷體" w:hint="eastAsia"/>
          <w:sz w:val="32"/>
          <w:szCs w:val="32"/>
        </w:rPr>
        <w:t>五百</w:t>
      </w:r>
      <w:r w:rsidRPr="001C76AC">
        <w:rPr>
          <w:rFonts w:ascii="標楷體" w:eastAsia="標楷體" w:hAnsi="標楷體"/>
          <w:sz w:val="32"/>
          <w:szCs w:val="32"/>
        </w:rPr>
        <w:t>億元經費</w:t>
      </w:r>
      <w:r w:rsidR="000812B7">
        <w:rPr>
          <w:rFonts w:ascii="標楷體" w:eastAsia="標楷體" w:hAnsi="標楷體" w:hint="eastAsia"/>
          <w:sz w:val="32"/>
          <w:szCs w:val="32"/>
        </w:rPr>
        <w:t>，因</w:t>
      </w:r>
      <w:r w:rsidR="006D1CDE">
        <w:rPr>
          <w:rFonts w:ascii="標楷體" w:eastAsia="標楷體" w:hAnsi="標楷體" w:hint="eastAsia"/>
          <w:sz w:val="32"/>
          <w:szCs w:val="32"/>
        </w:rPr>
        <w:t>各種</w:t>
      </w:r>
      <w:r w:rsidR="006D1CDE">
        <w:rPr>
          <w:rFonts w:ascii="標楷體" w:eastAsia="標楷體" w:hAnsi="標楷體"/>
          <w:sz w:val="32"/>
          <w:szCs w:val="32"/>
        </w:rPr>
        <w:t>因</w:t>
      </w:r>
      <w:r w:rsidR="006D1CDE">
        <w:rPr>
          <w:rFonts w:ascii="標楷體" w:eastAsia="標楷體" w:hAnsi="標楷體" w:hint="eastAsia"/>
          <w:sz w:val="32"/>
          <w:szCs w:val="32"/>
        </w:rPr>
        <w:t>素導</w:t>
      </w:r>
      <w:r w:rsidR="006D1CDE">
        <w:rPr>
          <w:rFonts w:ascii="標楷體" w:eastAsia="標楷體" w:hAnsi="標楷體"/>
          <w:sz w:val="32"/>
          <w:szCs w:val="32"/>
        </w:rPr>
        <w:t>致</w:t>
      </w:r>
      <w:r w:rsidR="000812B7">
        <w:rPr>
          <w:rFonts w:ascii="標楷體" w:eastAsia="標楷體" w:hAnsi="標楷體" w:hint="eastAsia"/>
          <w:sz w:val="32"/>
          <w:szCs w:val="32"/>
        </w:rPr>
        <w:t>計畫</w:t>
      </w:r>
      <w:r w:rsidR="006D1CDE">
        <w:rPr>
          <w:rFonts w:ascii="標楷體" w:eastAsia="標楷體" w:hAnsi="標楷體" w:hint="eastAsia"/>
          <w:sz w:val="32"/>
          <w:szCs w:val="32"/>
        </w:rPr>
        <w:t>執</w:t>
      </w:r>
      <w:r w:rsidR="006D1CDE">
        <w:rPr>
          <w:rFonts w:ascii="標楷體" w:eastAsia="標楷體" w:hAnsi="標楷體"/>
          <w:sz w:val="32"/>
          <w:szCs w:val="32"/>
        </w:rPr>
        <w:t>行</w:t>
      </w:r>
      <w:r w:rsidR="000812B7">
        <w:rPr>
          <w:rFonts w:ascii="標楷體" w:eastAsia="標楷體" w:hAnsi="標楷體" w:hint="eastAsia"/>
          <w:sz w:val="32"/>
          <w:szCs w:val="32"/>
        </w:rPr>
        <w:t>落後</w:t>
      </w:r>
      <w:r w:rsidR="006D1CDE">
        <w:rPr>
          <w:rFonts w:ascii="標楷體" w:eastAsia="標楷體" w:hAnsi="標楷體" w:hint="eastAsia"/>
          <w:sz w:val="32"/>
          <w:szCs w:val="32"/>
        </w:rPr>
        <w:t>，</w:t>
      </w:r>
      <w:r w:rsidRPr="001C76AC">
        <w:rPr>
          <w:rFonts w:ascii="標楷體" w:eastAsia="標楷體" w:hAnsi="標楷體"/>
          <w:sz w:val="32"/>
          <w:szCs w:val="32"/>
        </w:rPr>
        <w:t>未</w:t>
      </w:r>
      <w:r w:rsidR="001E5A02">
        <w:rPr>
          <w:rFonts w:ascii="標楷體" w:eastAsia="標楷體" w:hAnsi="標楷體" w:hint="eastAsia"/>
          <w:sz w:val="32"/>
          <w:szCs w:val="32"/>
        </w:rPr>
        <w:t>如預期</w:t>
      </w:r>
      <w:r w:rsidRPr="001C76AC">
        <w:rPr>
          <w:rFonts w:ascii="標楷體" w:eastAsia="標楷體" w:hAnsi="標楷體"/>
          <w:sz w:val="32"/>
          <w:szCs w:val="32"/>
        </w:rPr>
        <w:t>投入市場，對國內經濟造成影響，</w:t>
      </w:r>
      <w:r w:rsidRPr="001C76AC">
        <w:rPr>
          <w:rFonts w:ascii="標楷體" w:eastAsia="標楷體" w:hAnsi="標楷體" w:hint="eastAsia"/>
          <w:sz w:val="32"/>
          <w:szCs w:val="32"/>
        </w:rPr>
        <w:t>實</w:t>
      </w:r>
      <w:r w:rsidRPr="001C76AC">
        <w:rPr>
          <w:rFonts w:ascii="標楷體" w:eastAsia="標楷體" w:hAnsi="標楷體"/>
          <w:sz w:val="32"/>
          <w:szCs w:val="32"/>
        </w:rPr>
        <w:t>有必要加以改革</w:t>
      </w:r>
      <w:r w:rsidR="000812B7">
        <w:rPr>
          <w:rFonts w:ascii="標楷體" w:eastAsia="標楷體" w:hAnsi="標楷體" w:hint="eastAsia"/>
          <w:sz w:val="32"/>
          <w:szCs w:val="32"/>
        </w:rPr>
        <w:t>。</w:t>
      </w:r>
      <w:r w:rsidR="000812B7">
        <w:rPr>
          <w:rFonts w:ascii="標楷體" w:eastAsia="標楷體" w:hAnsi="標楷體"/>
          <w:sz w:val="32"/>
          <w:szCs w:val="32"/>
        </w:rPr>
        <w:t>經分析</w:t>
      </w:r>
      <w:r w:rsidR="000812B7" w:rsidRPr="001C76AC">
        <w:rPr>
          <w:rFonts w:ascii="標楷體" w:eastAsia="標楷體" w:hAnsi="標楷體" w:hint="eastAsia"/>
          <w:sz w:val="32"/>
          <w:szCs w:val="32"/>
        </w:rPr>
        <w:t>101至105年</w:t>
      </w:r>
      <w:r w:rsidR="000812B7">
        <w:rPr>
          <w:rFonts w:ascii="標楷體" w:eastAsia="標楷體" w:hAnsi="標楷體" w:hint="eastAsia"/>
          <w:sz w:val="32"/>
          <w:szCs w:val="32"/>
        </w:rPr>
        <w:t>公共建設</w:t>
      </w:r>
      <w:r w:rsidR="000812B7" w:rsidRPr="001C76AC">
        <w:rPr>
          <w:rFonts w:ascii="標楷體" w:eastAsia="標楷體" w:hAnsi="標楷體" w:hint="eastAsia"/>
          <w:sz w:val="32"/>
          <w:szCs w:val="32"/>
        </w:rPr>
        <w:t>計畫落後</w:t>
      </w:r>
      <w:r w:rsidR="0087274E">
        <w:rPr>
          <w:rFonts w:ascii="標楷體" w:eastAsia="標楷體" w:hAnsi="標楷體" w:hint="eastAsia"/>
          <w:sz w:val="32"/>
          <w:szCs w:val="32"/>
        </w:rPr>
        <w:t>十</w:t>
      </w:r>
      <w:r w:rsidR="000812B7" w:rsidRPr="001C76AC">
        <w:rPr>
          <w:rFonts w:ascii="標楷體" w:eastAsia="標楷體" w:hAnsi="標楷體" w:hint="eastAsia"/>
          <w:sz w:val="32"/>
          <w:szCs w:val="32"/>
        </w:rPr>
        <w:t>大主因，包括：工程施工環境惡劣或遇天災不可抗力因素；用地取得落後(如因民眾抗爭、用地變更等)；工程多次流標；都計審查遲未通過；廠商管理不良執行不力，或停工解約；政策變更(如地方政府意見不同致計畫修正)；部</w:t>
      </w:r>
      <w:r w:rsidR="000812B7" w:rsidRPr="001C76AC">
        <w:rPr>
          <w:rFonts w:ascii="標楷體" w:eastAsia="標楷體" w:hAnsi="標楷體"/>
          <w:sz w:val="32"/>
          <w:szCs w:val="32"/>
        </w:rPr>
        <w:t>分</w:t>
      </w:r>
      <w:r w:rsidR="000812B7" w:rsidRPr="001C76AC">
        <w:rPr>
          <w:rFonts w:ascii="標楷體" w:eastAsia="標楷體" w:hAnsi="標楷體" w:hint="eastAsia"/>
          <w:sz w:val="32"/>
          <w:szCs w:val="32"/>
        </w:rPr>
        <w:t>受補助之地方政府執行能力不足；管線遷移落後(如原管線資料不齊或複雜等)；非工程專責單位執行能力不足；履約爭議等。</w:t>
      </w:r>
    </w:p>
    <w:p w:rsidR="00542033" w:rsidRPr="001C76AC" w:rsidRDefault="00CB0DD9" w:rsidP="00CB0DD9">
      <w:pPr>
        <w:spacing w:line="500" w:lineRule="exact"/>
        <w:ind w:left="993"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1C76AC">
        <w:rPr>
          <w:rFonts w:ascii="標楷體" w:eastAsia="標楷體" w:hAnsi="標楷體"/>
          <w:sz w:val="32"/>
          <w:szCs w:val="32"/>
        </w:rPr>
        <w:t>計畫</w:t>
      </w:r>
      <w:r w:rsidR="00E71755">
        <w:rPr>
          <w:rFonts w:ascii="標楷體" w:eastAsia="標楷體" w:hAnsi="標楷體" w:hint="eastAsia"/>
          <w:sz w:val="32"/>
          <w:szCs w:val="32"/>
        </w:rPr>
        <w:t>之</w:t>
      </w:r>
      <w:r w:rsidRPr="001C76AC">
        <w:rPr>
          <w:rFonts w:ascii="標楷體" w:eastAsia="標楷體" w:hAnsi="標楷體"/>
          <w:sz w:val="32"/>
          <w:szCs w:val="32"/>
        </w:rPr>
        <w:t>執行力在國內或國際上均被列為</w:t>
      </w:r>
      <w:r w:rsidR="006D1CDE">
        <w:rPr>
          <w:rFonts w:ascii="標楷體" w:eastAsia="標楷體" w:hAnsi="標楷體" w:hint="eastAsia"/>
          <w:sz w:val="32"/>
          <w:szCs w:val="32"/>
        </w:rPr>
        <w:t>政</w:t>
      </w:r>
      <w:r w:rsidR="006D1CDE">
        <w:rPr>
          <w:rFonts w:ascii="標楷體" w:eastAsia="標楷體" w:hAnsi="標楷體"/>
          <w:sz w:val="32"/>
          <w:szCs w:val="32"/>
        </w:rPr>
        <w:t>府</w:t>
      </w:r>
      <w:r w:rsidRPr="001C76AC">
        <w:rPr>
          <w:rFonts w:ascii="標楷體" w:eastAsia="標楷體" w:hAnsi="標楷體"/>
          <w:sz w:val="32"/>
          <w:szCs w:val="32"/>
        </w:rPr>
        <w:t>重點工作目標</w:t>
      </w:r>
      <w:r w:rsidR="000812B7">
        <w:rPr>
          <w:rFonts w:ascii="標楷體" w:eastAsia="標楷體" w:hAnsi="標楷體" w:hint="eastAsia"/>
          <w:sz w:val="32"/>
          <w:szCs w:val="32"/>
        </w:rPr>
        <w:t>。</w:t>
      </w:r>
      <w:r w:rsidRPr="001C76AC">
        <w:rPr>
          <w:rFonts w:ascii="標楷體" w:eastAsia="標楷體" w:hAnsi="標楷體" w:hint="eastAsia"/>
          <w:sz w:val="32"/>
          <w:szCs w:val="32"/>
        </w:rPr>
        <w:t>為促進</w:t>
      </w:r>
      <w:r w:rsidRPr="001C76AC">
        <w:rPr>
          <w:rFonts w:ascii="標楷體" w:eastAsia="標楷體" w:hAnsi="標楷體"/>
          <w:sz w:val="32"/>
          <w:szCs w:val="32"/>
        </w:rPr>
        <w:t>各部會提高執行力，</w:t>
      </w:r>
      <w:r w:rsidRPr="001C76AC">
        <w:rPr>
          <w:rFonts w:ascii="標楷體" w:eastAsia="標楷體" w:hAnsi="標楷體" w:hint="eastAsia"/>
          <w:sz w:val="32"/>
          <w:szCs w:val="32"/>
        </w:rPr>
        <w:t>以有效</w:t>
      </w:r>
      <w:r w:rsidRPr="001C76AC">
        <w:rPr>
          <w:rFonts w:ascii="標楷體" w:eastAsia="標楷體" w:hAnsi="標楷體"/>
          <w:sz w:val="32"/>
          <w:szCs w:val="32"/>
        </w:rPr>
        <w:t>管控各項</w:t>
      </w:r>
      <w:r w:rsidR="00EE7726">
        <w:rPr>
          <w:rFonts w:ascii="標楷體" w:eastAsia="標楷體" w:hAnsi="標楷體" w:hint="eastAsia"/>
          <w:sz w:val="32"/>
          <w:szCs w:val="32"/>
        </w:rPr>
        <w:t>公共建設</w:t>
      </w:r>
      <w:r w:rsidRPr="001C76AC">
        <w:rPr>
          <w:rFonts w:ascii="標楷體" w:eastAsia="標楷體" w:hAnsi="標楷體"/>
          <w:sz w:val="32"/>
          <w:szCs w:val="32"/>
        </w:rPr>
        <w:t>計畫</w:t>
      </w:r>
      <w:r w:rsidRPr="001C76AC">
        <w:rPr>
          <w:rFonts w:ascii="標楷體" w:eastAsia="標楷體" w:hAnsi="標楷體" w:hint="eastAsia"/>
          <w:sz w:val="32"/>
          <w:szCs w:val="32"/>
        </w:rPr>
        <w:t>能</w:t>
      </w:r>
      <w:r w:rsidRPr="001C76AC">
        <w:rPr>
          <w:rFonts w:ascii="標楷體" w:eastAsia="標楷體" w:hAnsi="標楷體"/>
          <w:sz w:val="32"/>
          <w:szCs w:val="32"/>
        </w:rPr>
        <w:t>如期如質執行，爰訂</w:t>
      </w:r>
      <w:r w:rsidRPr="001C76AC">
        <w:rPr>
          <w:rFonts w:ascii="標楷體" w:eastAsia="標楷體" w:hAnsi="標楷體" w:hint="eastAsia"/>
          <w:sz w:val="32"/>
          <w:szCs w:val="32"/>
        </w:rPr>
        <w:t>本</w:t>
      </w:r>
      <w:r w:rsidRPr="001C76AC">
        <w:rPr>
          <w:rFonts w:ascii="標楷體" w:eastAsia="標楷體" w:hAnsi="標楷體"/>
          <w:sz w:val="32"/>
          <w:szCs w:val="32"/>
        </w:rPr>
        <w:t>機制。</w:t>
      </w:r>
    </w:p>
    <w:p w:rsidR="00940373" w:rsidRPr="00443CE3" w:rsidRDefault="0050518C" w:rsidP="00940373">
      <w:pPr>
        <w:pStyle w:val="ac"/>
        <w:numPr>
          <w:ilvl w:val="0"/>
          <w:numId w:val="1"/>
        </w:numPr>
        <w:spacing w:beforeLines="50" w:before="180" w:line="500" w:lineRule="exact"/>
        <w:ind w:leftChars="0" w:left="993" w:hanging="709"/>
        <w:jc w:val="both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443CE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建立</w:t>
      </w:r>
      <w:r w:rsidR="00940373" w:rsidRPr="00443CE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機制</w:t>
      </w:r>
    </w:p>
    <w:p w:rsidR="00542033" w:rsidRPr="001C76AC" w:rsidRDefault="001E1E03" w:rsidP="00443CE3">
      <w:pPr>
        <w:spacing w:line="500" w:lineRule="exact"/>
        <w:ind w:left="993"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1C76AC">
        <w:rPr>
          <w:rFonts w:ascii="標楷體" w:eastAsia="標楷體" w:hAnsi="標楷體"/>
          <w:sz w:val="32"/>
          <w:szCs w:val="32"/>
        </w:rPr>
        <w:t>本機制係以</w:t>
      </w:r>
      <w:r w:rsidR="0050518C">
        <w:rPr>
          <w:rFonts w:ascii="標楷體" w:eastAsia="標楷體" w:hAnsi="標楷體" w:hint="eastAsia"/>
          <w:sz w:val="32"/>
          <w:szCs w:val="32"/>
        </w:rPr>
        <w:t>公共建設</w:t>
      </w:r>
      <w:r w:rsidRPr="001C76AC">
        <w:rPr>
          <w:rFonts w:ascii="標楷體" w:eastAsia="標楷體" w:hAnsi="標楷體"/>
          <w:sz w:val="32"/>
          <w:szCs w:val="32"/>
        </w:rPr>
        <w:t>計畫全生命週期概念，強化審議功能，</w:t>
      </w:r>
      <w:r w:rsidRPr="001C76AC">
        <w:rPr>
          <w:rFonts w:ascii="標楷體" w:eastAsia="標楷體" w:hAnsi="標楷體" w:hint="eastAsia"/>
          <w:sz w:val="32"/>
          <w:szCs w:val="32"/>
        </w:rPr>
        <w:t>要求</w:t>
      </w:r>
      <w:r w:rsidRPr="001C76AC">
        <w:rPr>
          <w:rFonts w:ascii="標楷體" w:eastAsia="標楷體" w:hAnsi="標楷體"/>
          <w:sz w:val="32"/>
          <w:szCs w:val="32"/>
        </w:rPr>
        <w:t>明確核定</w:t>
      </w:r>
      <w:r w:rsidRPr="001C76AC">
        <w:rPr>
          <w:rFonts w:ascii="標楷體" w:eastAsia="標楷體" w:hAnsi="標楷體" w:hint="eastAsia"/>
          <w:sz w:val="32"/>
          <w:szCs w:val="32"/>
        </w:rPr>
        <w:t>，以利執行；篩選</w:t>
      </w:r>
      <w:r w:rsidRPr="001C76AC">
        <w:rPr>
          <w:rFonts w:ascii="標楷體" w:eastAsia="標楷體" w:hAnsi="標楷體"/>
          <w:sz w:val="32"/>
          <w:szCs w:val="32"/>
        </w:rPr>
        <w:t>計畫進行執行情形預警</w:t>
      </w:r>
      <w:r w:rsidRPr="001C76AC">
        <w:rPr>
          <w:rFonts w:ascii="標楷體" w:eastAsia="標楷體" w:hAnsi="標楷體" w:hint="eastAsia"/>
          <w:sz w:val="32"/>
          <w:szCs w:val="32"/>
        </w:rPr>
        <w:t>，以</w:t>
      </w:r>
      <w:r w:rsidR="00E71755">
        <w:rPr>
          <w:rFonts w:ascii="標楷體" w:eastAsia="標楷體" w:hAnsi="標楷體" w:hint="eastAsia"/>
          <w:sz w:val="32"/>
          <w:szCs w:val="32"/>
        </w:rPr>
        <w:t>瞭</w:t>
      </w:r>
      <w:r w:rsidRPr="001C76AC">
        <w:rPr>
          <w:rFonts w:ascii="標楷體" w:eastAsia="標楷體" w:hAnsi="標楷體"/>
          <w:sz w:val="32"/>
          <w:szCs w:val="32"/>
        </w:rPr>
        <w:t>解問題所在，不致繼續延宕導致無法收拾之結果；退場目的為資源重排序，</w:t>
      </w:r>
      <w:r w:rsidRPr="001C76AC">
        <w:rPr>
          <w:rFonts w:ascii="標楷體" w:eastAsia="標楷體" w:hAnsi="標楷體" w:hint="eastAsia"/>
          <w:sz w:val="32"/>
          <w:szCs w:val="32"/>
        </w:rPr>
        <w:t>係</w:t>
      </w:r>
      <w:r w:rsidRPr="001C76AC">
        <w:rPr>
          <w:rFonts w:ascii="標楷體" w:eastAsia="標楷體" w:hAnsi="標楷體"/>
          <w:sz w:val="32"/>
          <w:szCs w:val="32"/>
        </w:rPr>
        <w:t>不得已之手段，可讓資源釋出，</w:t>
      </w:r>
      <w:r w:rsidRPr="001C76AC">
        <w:rPr>
          <w:rFonts w:ascii="標楷體" w:eastAsia="標楷體" w:hAnsi="標楷體"/>
          <w:sz w:val="32"/>
          <w:szCs w:val="32"/>
        </w:rPr>
        <w:lastRenderedPageBreak/>
        <w:t>重排序給更需要之計畫</w:t>
      </w:r>
      <w:r w:rsidRPr="001C76AC">
        <w:rPr>
          <w:rFonts w:ascii="標楷體" w:eastAsia="標楷體" w:hAnsi="標楷體" w:hint="eastAsia"/>
          <w:sz w:val="32"/>
          <w:szCs w:val="32"/>
        </w:rPr>
        <w:t>。</w:t>
      </w:r>
      <w:r w:rsidR="009825A4">
        <w:rPr>
          <w:rFonts w:ascii="標楷體" w:eastAsia="標楷體" w:hAnsi="標楷體" w:hint="eastAsia"/>
          <w:sz w:val="32"/>
          <w:szCs w:val="32"/>
        </w:rPr>
        <w:t>說明如下</w:t>
      </w:r>
      <w:r w:rsidR="009825A4">
        <w:rPr>
          <w:rFonts w:ascii="標楷體" w:eastAsia="標楷體" w:hAnsi="標楷體"/>
          <w:sz w:val="32"/>
          <w:szCs w:val="32"/>
        </w:rPr>
        <w:t>：</w:t>
      </w:r>
    </w:p>
    <w:p w:rsidR="001E1E03" w:rsidRPr="001C76AC" w:rsidRDefault="001E1E03" w:rsidP="00C03519">
      <w:pPr>
        <w:pStyle w:val="ac"/>
        <w:numPr>
          <w:ilvl w:val="0"/>
          <w:numId w:val="2"/>
        </w:numPr>
        <w:spacing w:line="500" w:lineRule="exact"/>
        <w:ind w:leftChars="0" w:left="1134" w:hanging="708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1C76AC">
        <w:rPr>
          <w:rFonts w:ascii="標楷體" w:eastAsia="標楷體" w:hAnsi="標楷體" w:cs="Times New Roman"/>
          <w:kern w:val="0"/>
          <w:sz w:val="32"/>
          <w:szCs w:val="32"/>
        </w:rPr>
        <w:t>強化審議功能</w:t>
      </w:r>
    </w:p>
    <w:p w:rsidR="00A95CE1" w:rsidRPr="00BB2F20" w:rsidRDefault="00EC0352" w:rsidP="00BB2F20">
      <w:pPr>
        <w:pStyle w:val="ac"/>
        <w:numPr>
          <w:ilvl w:val="0"/>
          <w:numId w:val="15"/>
        </w:numPr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kern w:val="0"/>
          <w:sz w:val="32"/>
          <w:szCs w:val="32"/>
        </w:rPr>
        <w:t>計畫報院前應遵循法令政策</w:t>
      </w:r>
      <w:r w:rsidR="009B66E9" w:rsidRPr="00BB2F20">
        <w:rPr>
          <w:rFonts w:ascii="標楷體" w:eastAsia="標楷體" w:hAnsi="標楷體" w:cs="Times New Roman" w:hint="eastAsia"/>
          <w:kern w:val="0"/>
          <w:sz w:val="32"/>
          <w:szCs w:val="32"/>
        </w:rPr>
        <w:t>及</w:t>
      </w:r>
      <w:r w:rsidRPr="00BB2F20">
        <w:rPr>
          <w:rFonts w:ascii="標楷體" w:eastAsia="標楷體" w:hAnsi="標楷體" w:cs="Times New Roman" w:hint="eastAsia"/>
          <w:kern w:val="0"/>
          <w:sz w:val="32"/>
          <w:szCs w:val="32"/>
        </w:rPr>
        <w:t>貼近民意</w:t>
      </w:r>
      <w:r w:rsidR="009B66E9" w:rsidRPr="00BB2F20">
        <w:rPr>
          <w:rFonts w:ascii="標楷體" w:eastAsia="標楷體" w:hAnsi="標楷體" w:cs="Times New Roman" w:hint="eastAsia"/>
          <w:kern w:val="0"/>
          <w:sz w:val="32"/>
          <w:szCs w:val="32"/>
        </w:rPr>
        <w:t>，</w:t>
      </w:r>
      <w:r w:rsidRPr="00BB2F20">
        <w:rPr>
          <w:rFonts w:ascii="標楷體" w:eastAsia="標楷體" w:hAnsi="標楷體" w:cs="Times New Roman" w:hint="eastAsia"/>
          <w:kern w:val="0"/>
          <w:sz w:val="32"/>
          <w:szCs w:val="32"/>
        </w:rPr>
        <w:t>降低不確定性</w:t>
      </w:r>
      <w:r w:rsidR="009B66E9" w:rsidRPr="00BB2F20">
        <w:rPr>
          <w:rFonts w:ascii="標楷體" w:eastAsia="標楷體" w:hAnsi="標楷體" w:cs="Times New Roman" w:hint="eastAsia"/>
          <w:kern w:val="0"/>
          <w:sz w:val="32"/>
          <w:szCs w:val="32"/>
        </w:rPr>
        <w:t>，並應完備下列事項：</w:t>
      </w:r>
    </w:p>
    <w:p w:rsidR="00815244" w:rsidRPr="00BB2F20" w:rsidRDefault="001C76AC" w:rsidP="00BB2F20">
      <w:pPr>
        <w:pStyle w:val="ac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檢視符合政策指示及法律規範</w:t>
      </w:r>
      <w:r w:rsidR="00815244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815244" w:rsidRPr="00BB2F20" w:rsidRDefault="001C76AC" w:rsidP="00BB2F20">
      <w:pPr>
        <w:pStyle w:val="ac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符合行政院中長程個案計畫編審規定</w:t>
      </w:r>
      <w:r w:rsidR="00815244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815244" w:rsidRPr="00BB2F20" w:rsidRDefault="001C76AC" w:rsidP="00BB2F20">
      <w:pPr>
        <w:pStyle w:val="ac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與地方政府或相關部會協調結果</w:t>
      </w:r>
      <w:r w:rsidR="00815244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6F54A7" w:rsidRPr="00BB2F20" w:rsidRDefault="001C76AC" w:rsidP="00BB2F20">
      <w:pPr>
        <w:pStyle w:val="ac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與民眾溝通並說明溝通結果</w:t>
      </w:r>
      <w:r w:rsidR="00A95CE1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6D378E" w:rsidRPr="00BB2F20" w:rsidRDefault="00EC0352" w:rsidP="00BB2F20">
      <w:pPr>
        <w:pStyle w:val="ac"/>
        <w:numPr>
          <w:ilvl w:val="0"/>
          <w:numId w:val="15"/>
        </w:numPr>
        <w:spacing w:line="500" w:lineRule="exact"/>
        <w:ind w:leftChars="0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kern w:val="0"/>
          <w:sz w:val="32"/>
          <w:szCs w:val="32"/>
        </w:rPr>
        <w:t>明確訂定</w:t>
      </w:r>
      <w:r w:rsidR="009B66E9" w:rsidRPr="00BB2F20">
        <w:rPr>
          <w:rFonts w:ascii="標楷體" w:eastAsia="標楷體" w:hAnsi="標楷體" w:cs="Times New Roman" w:hint="eastAsia"/>
          <w:kern w:val="0"/>
          <w:sz w:val="32"/>
          <w:szCs w:val="32"/>
        </w:rPr>
        <w:t>下列</w:t>
      </w:r>
      <w:r w:rsidRPr="00BB2F20">
        <w:rPr>
          <w:rFonts w:ascii="標楷體" w:eastAsia="標楷體" w:hAnsi="標楷體" w:cs="Times New Roman" w:hint="eastAsia"/>
          <w:kern w:val="0"/>
          <w:sz w:val="32"/>
          <w:szCs w:val="32"/>
        </w:rPr>
        <w:t>審議決策原則</w:t>
      </w:r>
      <w:r w:rsidR="009B66E9" w:rsidRPr="00BB2F20">
        <w:rPr>
          <w:rFonts w:ascii="標楷體" w:eastAsia="標楷體" w:hAnsi="標楷體" w:cs="Times New Roman" w:hint="eastAsia"/>
          <w:kern w:val="0"/>
          <w:sz w:val="32"/>
          <w:szCs w:val="32"/>
        </w:rPr>
        <w:t>，</w:t>
      </w:r>
      <w:r w:rsidRPr="00BB2F20">
        <w:rPr>
          <w:rFonts w:ascii="標楷體" w:eastAsia="標楷體" w:hAnsi="標楷體" w:cs="Times New Roman" w:hint="eastAsia"/>
          <w:kern w:val="0"/>
          <w:sz w:val="32"/>
          <w:szCs w:val="32"/>
        </w:rPr>
        <w:t>提升審議效能</w:t>
      </w:r>
      <w:r w:rsidR="009B66E9" w:rsidRPr="00BB2F20">
        <w:rPr>
          <w:rFonts w:ascii="標楷體" w:eastAsia="標楷體" w:hAnsi="標楷體" w:cs="Times New Roman" w:hint="eastAsia"/>
          <w:kern w:val="0"/>
          <w:sz w:val="32"/>
          <w:szCs w:val="32"/>
        </w:rPr>
        <w:t>：</w:t>
      </w:r>
    </w:p>
    <w:p w:rsidR="001E0466" w:rsidRPr="00BB2F20" w:rsidRDefault="00FF2F17" w:rsidP="00BB2F20">
      <w:pPr>
        <w:pStyle w:val="ac"/>
        <w:numPr>
          <w:ilvl w:val="0"/>
          <w:numId w:val="16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對於計畫具必要性</w:t>
      </w:r>
      <w:r w:rsidR="003F7F1D" w:rsidRPr="00BB2F20">
        <w:rPr>
          <w:rFonts w:ascii="標楷體" w:eastAsia="標楷體" w:hAnsi="標楷體" w:cs="Times New Roman" w:hint="eastAsia"/>
          <w:bCs/>
          <w:sz w:val="32"/>
          <w:szCs w:val="32"/>
        </w:rPr>
        <w:t>及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可行性者，</w:t>
      </w:r>
      <w:r w:rsidR="009B66E9" w:rsidRPr="00BB2F20">
        <w:rPr>
          <w:rFonts w:ascii="標楷體" w:eastAsia="標楷體" w:hAnsi="標楷體" w:cs="Times New Roman" w:hint="eastAsia"/>
          <w:bCs/>
          <w:sz w:val="32"/>
          <w:szCs w:val="32"/>
        </w:rPr>
        <w:t>國發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會將</w:t>
      </w:r>
      <w:r w:rsidR="006D1CDE">
        <w:rPr>
          <w:rFonts w:ascii="標楷體" w:eastAsia="標楷體" w:hAnsi="標楷體" w:cs="Times New Roman" w:hint="eastAsia"/>
          <w:bCs/>
          <w:sz w:val="32"/>
          <w:szCs w:val="32"/>
        </w:rPr>
        <w:t>綜整</w:t>
      </w:r>
      <w:r w:rsidR="003F7F1D" w:rsidRPr="00BB2F20">
        <w:rPr>
          <w:rFonts w:ascii="標楷體" w:eastAsia="標楷體" w:hAnsi="標楷體" w:cs="Times New Roman" w:hint="eastAsia"/>
          <w:bCs/>
          <w:sz w:val="32"/>
          <w:szCs w:val="32"/>
        </w:rPr>
        <w:t>各機關意見，送部會修正完竣，再續陳行政院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1E6D51" w:rsidRPr="00BB2F20" w:rsidRDefault="00FF2F17" w:rsidP="00BB2F20">
      <w:pPr>
        <w:pStyle w:val="ac"/>
        <w:numPr>
          <w:ilvl w:val="0"/>
          <w:numId w:val="16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對計畫尚有</w:t>
      </w:r>
      <w:r w:rsidR="003F7F1D" w:rsidRPr="00BB2F20">
        <w:rPr>
          <w:rFonts w:ascii="標楷體" w:eastAsia="標楷體" w:hAnsi="標楷體" w:cs="Times New Roman" w:hint="eastAsia"/>
          <w:bCs/>
          <w:sz w:val="32"/>
          <w:szCs w:val="32"/>
        </w:rPr>
        <w:t>下列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疑慮者</w:t>
      </w:r>
      <w:r w:rsidR="003F7F1D" w:rsidRPr="00BB2F20">
        <w:rPr>
          <w:rFonts w:ascii="標楷體" w:eastAsia="標楷體" w:hAnsi="標楷體" w:cs="Times New Roman" w:hint="eastAsia"/>
          <w:bCs/>
          <w:sz w:val="32"/>
          <w:szCs w:val="32"/>
        </w:rPr>
        <w:t>，將請行政院</w:t>
      </w:r>
      <w:r w:rsidR="006D1CDE">
        <w:rPr>
          <w:rFonts w:ascii="標楷體" w:eastAsia="標楷體" w:hAnsi="標楷體" w:cs="Times New Roman" w:hint="eastAsia"/>
          <w:bCs/>
          <w:sz w:val="32"/>
          <w:szCs w:val="32"/>
        </w:rPr>
        <w:t>交</w:t>
      </w:r>
      <w:r w:rsidR="003F7F1D" w:rsidRPr="00BB2F20">
        <w:rPr>
          <w:rFonts w:ascii="標楷體" w:eastAsia="標楷體" w:hAnsi="標楷體" w:cs="Times New Roman" w:hint="eastAsia"/>
          <w:bCs/>
          <w:sz w:val="32"/>
          <w:szCs w:val="32"/>
        </w:rPr>
        <w:t>部會重新評估：</w:t>
      </w:r>
    </w:p>
    <w:p w:rsidR="00267CBB" w:rsidRPr="00267CBB" w:rsidRDefault="00267CBB" w:rsidP="00BB2F20">
      <w:pPr>
        <w:pStyle w:val="ac"/>
        <w:numPr>
          <w:ilvl w:val="1"/>
          <w:numId w:val="17"/>
        </w:numPr>
        <w:spacing w:line="500" w:lineRule="exact"/>
        <w:ind w:leftChars="0" w:left="1560" w:hanging="567"/>
        <w:jc w:val="both"/>
        <w:rPr>
          <w:rFonts w:ascii="標楷體" w:eastAsia="標楷體" w:hAnsi="標楷體"/>
          <w:sz w:val="32"/>
          <w:szCs w:val="32"/>
        </w:rPr>
      </w:pPr>
      <w:r w:rsidRPr="00267CBB">
        <w:rPr>
          <w:rFonts w:ascii="標楷體" w:eastAsia="標楷體" w:hAnsi="標楷體" w:hint="eastAsia"/>
          <w:sz w:val="32"/>
          <w:szCs w:val="32"/>
        </w:rPr>
        <w:t>明顯違反國家重要施政方向</w:t>
      </w:r>
      <w:r w:rsidR="005E4431">
        <w:rPr>
          <w:rFonts w:ascii="標楷體" w:eastAsia="標楷體" w:hAnsi="標楷體" w:hint="eastAsia"/>
          <w:sz w:val="32"/>
          <w:szCs w:val="32"/>
        </w:rPr>
        <w:t>，</w:t>
      </w:r>
      <w:r w:rsidRPr="00267CBB">
        <w:rPr>
          <w:rFonts w:ascii="標楷體" w:eastAsia="標楷體" w:hAnsi="標楷體" w:hint="eastAsia"/>
          <w:sz w:val="32"/>
          <w:szCs w:val="32"/>
        </w:rPr>
        <w:t>或可能與現行法規衝突者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67CBB" w:rsidRPr="00267CBB" w:rsidRDefault="00267CBB" w:rsidP="00BB2F20">
      <w:pPr>
        <w:pStyle w:val="ac"/>
        <w:numPr>
          <w:ilvl w:val="1"/>
          <w:numId w:val="17"/>
        </w:numPr>
        <w:spacing w:line="500" w:lineRule="exact"/>
        <w:ind w:leftChars="0" w:left="1560" w:hanging="567"/>
        <w:jc w:val="both"/>
        <w:rPr>
          <w:rFonts w:ascii="標楷體" w:eastAsia="標楷體" w:hAnsi="標楷體"/>
          <w:sz w:val="32"/>
          <w:szCs w:val="32"/>
        </w:rPr>
      </w:pPr>
      <w:r w:rsidRPr="00267CBB">
        <w:rPr>
          <w:rFonts w:ascii="標楷體" w:eastAsia="標楷體" w:hAnsi="標楷體" w:hint="eastAsia"/>
          <w:sz w:val="32"/>
          <w:szCs w:val="32"/>
        </w:rPr>
        <w:t>行政院前次審議已明確核示不再辦理者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67CBB" w:rsidRPr="00267CBB" w:rsidRDefault="00267CBB" w:rsidP="00BB2F20">
      <w:pPr>
        <w:pStyle w:val="ac"/>
        <w:numPr>
          <w:ilvl w:val="1"/>
          <w:numId w:val="17"/>
        </w:numPr>
        <w:spacing w:line="500" w:lineRule="exact"/>
        <w:ind w:leftChars="0" w:left="1560" w:hanging="567"/>
        <w:jc w:val="both"/>
        <w:rPr>
          <w:rFonts w:ascii="標楷體" w:eastAsia="標楷體" w:hAnsi="標楷體"/>
          <w:sz w:val="32"/>
          <w:szCs w:val="32"/>
        </w:rPr>
      </w:pPr>
      <w:r w:rsidRPr="00267CBB">
        <w:rPr>
          <w:rFonts w:ascii="標楷體" w:eastAsia="標楷體" w:hAnsi="標楷體" w:hint="eastAsia"/>
          <w:sz w:val="32"/>
          <w:szCs w:val="32"/>
        </w:rPr>
        <w:t>如大型建設，宜先辦理可行性評估者；提報之綜合計畫或建設計畫，未依程序完成環評作業者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67CBB" w:rsidRPr="00267CBB" w:rsidRDefault="00267CBB" w:rsidP="00BB2F20">
      <w:pPr>
        <w:pStyle w:val="ac"/>
        <w:numPr>
          <w:ilvl w:val="1"/>
          <w:numId w:val="17"/>
        </w:numPr>
        <w:spacing w:line="500" w:lineRule="exact"/>
        <w:ind w:leftChars="0" w:left="1560" w:hanging="567"/>
        <w:jc w:val="both"/>
        <w:rPr>
          <w:rFonts w:ascii="標楷體" w:eastAsia="標楷體" w:hAnsi="標楷體"/>
          <w:sz w:val="32"/>
          <w:szCs w:val="32"/>
        </w:rPr>
      </w:pPr>
      <w:r w:rsidRPr="00267CBB">
        <w:rPr>
          <w:rFonts w:ascii="標楷體" w:eastAsia="標楷體" w:hAnsi="標楷體" w:hint="eastAsia"/>
          <w:sz w:val="32"/>
          <w:szCs w:val="32"/>
        </w:rPr>
        <w:t>計畫評估結果財務效益偏低者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67CBB" w:rsidRPr="00267CBB" w:rsidRDefault="00267CBB" w:rsidP="00BB2F20">
      <w:pPr>
        <w:pStyle w:val="ac"/>
        <w:numPr>
          <w:ilvl w:val="1"/>
          <w:numId w:val="17"/>
        </w:numPr>
        <w:spacing w:line="500" w:lineRule="exact"/>
        <w:ind w:leftChars="0" w:left="1560" w:hanging="567"/>
        <w:jc w:val="both"/>
        <w:rPr>
          <w:rFonts w:ascii="標楷體" w:eastAsia="標楷體" w:hAnsi="標楷體"/>
          <w:sz w:val="32"/>
          <w:szCs w:val="32"/>
        </w:rPr>
      </w:pPr>
      <w:r w:rsidRPr="00267CBB">
        <w:rPr>
          <w:rFonts w:ascii="標楷體" w:eastAsia="標楷體" w:hAnsi="標楷體" w:hint="eastAsia"/>
          <w:sz w:val="32"/>
          <w:szCs w:val="32"/>
        </w:rPr>
        <w:t>行政院已多次請修正，均未能確實修正計畫，而逕行呈報者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F7F1D" w:rsidRPr="00815244" w:rsidRDefault="00267CBB" w:rsidP="00BB2F20">
      <w:pPr>
        <w:pStyle w:val="ac"/>
        <w:numPr>
          <w:ilvl w:val="1"/>
          <w:numId w:val="17"/>
        </w:numPr>
        <w:spacing w:line="500" w:lineRule="exact"/>
        <w:ind w:leftChars="0" w:left="1560" w:hanging="567"/>
        <w:jc w:val="both"/>
        <w:rPr>
          <w:rFonts w:ascii="標楷體" w:eastAsia="標楷體" w:hAnsi="標楷體"/>
          <w:sz w:val="32"/>
          <w:szCs w:val="32"/>
        </w:rPr>
      </w:pPr>
      <w:r w:rsidRPr="00267CBB">
        <w:rPr>
          <w:rFonts w:ascii="標楷體" w:eastAsia="標楷體" w:hAnsi="標楷體" w:hint="eastAsia"/>
          <w:sz w:val="32"/>
          <w:szCs w:val="32"/>
        </w:rPr>
        <w:t>替代方案明顯不可行或不嚴謹者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613B9B" w:rsidRPr="001C76AC" w:rsidRDefault="00EC0352" w:rsidP="00C03519">
      <w:pPr>
        <w:pStyle w:val="ac"/>
        <w:numPr>
          <w:ilvl w:val="0"/>
          <w:numId w:val="2"/>
        </w:numPr>
        <w:spacing w:line="500" w:lineRule="exact"/>
        <w:ind w:leftChars="0" w:left="1134" w:hanging="708"/>
        <w:jc w:val="both"/>
        <w:rPr>
          <w:rFonts w:ascii="標楷體" w:eastAsia="標楷體" w:hAnsi="標楷體" w:cs="Times New Roman"/>
          <w:sz w:val="32"/>
          <w:szCs w:val="32"/>
        </w:rPr>
      </w:pPr>
      <w:r w:rsidRPr="001C76AC">
        <w:rPr>
          <w:rFonts w:ascii="標楷體" w:eastAsia="標楷體" w:hAnsi="標楷體" w:cs="Times New Roman" w:hint="eastAsia"/>
          <w:sz w:val="32"/>
          <w:szCs w:val="32"/>
        </w:rPr>
        <w:t>預警系統功能及篩選原則</w:t>
      </w:r>
    </w:p>
    <w:p w:rsidR="0009227F" w:rsidRPr="00A50827" w:rsidRDefault="001C76AC" w:rsidP="00A50827">
      <w:pPr>
        <w:spacing w:line="500" w:lineRule="exact"/>
        <w:ind w:left="993"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A50827">
        <w:rPr>
          <w:rFonts w:ascii="標楷體" w:eastAsia="標楷體" w:hAnsi="標楷體" w:hint="eastAsia"/>
          <w:sz w:val="32"/>
          <w:szCs w:val="32"/>
        </w:rPr>
        <w:t>篩選重點計畫(每季滾動</w:t>
      </w:r>
      <w:r w:rsidR="00823C82" w:rsidRPr="00A50827">
        <w:rPr>
          <w:rFonts w:ascii="標楷體" w:eastAsia="標楷體" w:hAnsi="標楷體" w:hint="eastAsia"/>
          <w:sz w:val="32"/>
          <w:szCs w:val="32"/>
        </w:rPr>
        <w:t>重新篩選</w:t>
      </w:r>
      <w:r w:rsidRPr="00A50827">
        <w:rPr>
          <w:rFonts w:ascii="標楷體" w:eastAsia="標楷體" w:hAnsi="標楷體" w:hint="eastAsia"/>
          <w:sz w:val="32"/>
          <w:szCs w:val="32"/>
        </w:rPr>
        <w:t>，必要時新增)，研析遭遇困難或遇見問題，提出預警，以落實監督計畫</w:t>
      </w:r>
      <w:r w:rsidR="00DB34F5" w:rsidRPr="00A50827">
        <w:rPr>
          <w:rFonts w:ascii="標楷體" w:eastAsia="標楷體" w:hAnsi="標楷體" w:hint="eastAsia"/>
          <w:sz w:val="32"/>
          <w:szCs w:val="32"/>
        </w:rPr>
        <w:t>執行</w:t>
      </w:r>
      <w:r w:rsidR="00FD2A30" w:rsidRPr="00A50827">
        <w:rPr>
          <w:rFonts w:ascii="標楷體" w:eastAsia="標楷體" w:hAnsi="標楷體" w:hint="eastAsia"/>
          <w:sz w:val="32"/>
          <w:szCs w:val="32"/>
        </w:rPr>
        <w:t>。</w:t>
      </w:r>
    </w:p>
    <w:p w:rsidR="0078506A" w:rsidRPr="001C76AC" w:rsidRDefault="0009227F" w:rsidP="00BB2F20">
      <w:pPr>
        <w:pStyle w:val="ac"/>
        <w:numPr>
          <w:ilvl w:val="0"/>
          <w:numId w:val="18"/>
        </w:numPr>
        <w:spacing w:line="500" w:lineRule="exact"/>
        <w:ind w:leftChars="0" w:left="1134" w:hanging="708"/>
        <w:jc w:val="both"/>
        <w:rPr>
          <w:rFonts w:ascii="標楷體" w:eastAsia="標楷體" w:hAnsi="標楷體" w:cs="Times New Roman"/>
          <w:sz w:val="32"/>
          <w:szCs w:val="32"/>
        </w:rPr>
      </w:pPr>
      <w:r w:rsidRPr="001C76AC">
        <w:rPr>
          <w:rFonts w:ascii="標楷體" w:eastAsia="標楷體" w:hAnsi="標楷體" w:cs="Times New Roman" w:hint="eastAsia"/>
          <w:bCs/>
          <w:sz w:val="32"/>
          <w:szCs w:val="32"/>
        </w:rPr>
        <w:t>篩選原則</w:t>
      </w:r>
    </w:p>
    <w:p w:rsidR="00EC0352" w:rsidRPr="00BB2F20" w:rsidRDefault="00EC0352" w:rsidP="00BB2F20">
      <w:pPr>
        <w:pStyle w:val="ac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社會輿論關注或攸關重大民生</w:t>
      </w:r>
      <w:r w:rsidR="00822199" w:rsidRPr="00BB2F20">
        <w:rPr>
          <w:rFonts w:ascii="標楷體" w:eastAsia="標楷體" w:hAnsi="標楷體" w:cs="Times New Roman" w:hint="eastAsia"/>
          <w:bCs/>
          <w:sz w:val="32"/>
          <w:szCs w:val="32"/>
        </w:rPr>
        <w:t>者</w:t>
      </w:r>
      <w:r w:rsidR="00DB34F5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F62AF5" w:rsidRPr="00BB2F20" w:rsidRDefault="00E67E77" w:rsidP="00BB2F20">
      <w:pPr>
        <w:pStyle w:val="ac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計畫執行(含預算、進度、里程碑等)</w:t>
      </w:r>
      <w:r w:rsidR="006347CB">
        <w:rPr>
          <w:rFonts w:ascii="標楷體" w:eastAsia="標楷體" w:hAnsi="標楷體" w:cs="Times New Roman" w:hint="eastAsia"/>
          <w:bCs/>
          <w:sz w:val="32"/>
          <w:szCs w:val="32"/>
        </w:rPr>
        <w:t>有嚴重落差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者</w:t>
      </w:r>
      <w:r w:rsidR="00DB34F5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EC0352" w:rsidRPr="00BB2F20" w:rsidRDefault="00EC0352" w:rsidP="00BB2F20">
      <w:pPr>
        <w:pStyle w:val="ac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潛藏無法如期達成之風險者</w:t>
      </w:r>
      <w:r w:rsidR="00DB34F5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9F0F62" w:rsidRPr="00BB2F20" w:rsidRDefault="00A52C52" w:rsidP="00BB2F20">
      <w:pPr>
        <w:pStyle w:val="ac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近期有重大成果或關鍵里程碑者</w:t>
      </w:r>
      <w:r w:rsidR="00DB34F5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71771D" w:rsidRPr="00BB2F20" w:rsidRDefault="00E67E77" w:rsidP="00BB2F20">
      <w:pPr>
        <w:pStyle w:val="ac"/>
        <w:numPr>
          <w:ilvl w:val="0"/>
          <w:numId w:val="19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預定工作明顯配當失衡者(如計畫將屆期，預定進度</w:t>
      </w:r>
      <w:r w:rsidR="0071771D" w:rsidRPr="00BB2F20">
        <w:rPr>
          <w:rFonts w:ascii="標楷體" w:eastAsia="標楷體" w:hAnsi="標楷體" w:cs="Times New Roman" w:hint="eastAsia"/>
          <w:bCs/>
          <w:sz w:val="32"/>
          <w:szCs w:val="32"/>
        </w:rPr>
        <w:t>曲線異常陡峭上升)。</w:t>
      </w:r>
    </w:p>
    <w:p w:rsidR="008015FB" w:rsidRDefault="008015FB" w:rsidP="00BB2F20">
      <w:pPr>
        <w:pStyle w:val="ac"/>
        <w:numPr>
          <w:ilvl w:val="0"/>
          <w:numId w:val="18"/>
        </w:numPr>
        <w:spacing w:line="500" w:lineRule="exact"/>
        <w:ind w:leftChars="0" w:left="1134" w:hanging="708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風險綜合判斷原則</w:t>
      </w:r>
    </w:p>
    <w:p w:rsidR="004C2351" w:rsidRPr="004C2351" w:rsidRDefault="004C2351" w:rsidP="004C2351">
      <w:pPr>
        <w:spacing w:line="500" w:lineRule="exact"/>
        <w:ind w:left="1134" w:firstLineChars="220" w:firstLine="704"/>
        <w:rPr>
          <w:rFonts w:ascii="標楷體" w:eastAsia="標楷體" w:hAnsi="標楷體" w:cstheme="minorBidi"/>
          <w:kern w:val="2"/>
          <w:sz w:val="32"/>
          <w:szCs w:val="32"/>
        </w:rPr>
      </w:pPr>
      <w:r w:rsidRPr="004C2351">
        <w:rPr>
          <w:rFonts w:ascii="標楷體" w:eastAsia="標楷體" w:hAnsi="標楷體" w:cstheme="minorBidi" w:hint="eastAsia"/>
          <w:kern w:val="2"/>
          <w:sz w:val="32"/>
          <w:szCs w:val="32"/>
        </w:rPr>
        <w:t>預警系統風險程度分三級，並依</w:t>
      </w:r>
      <w:r>
        <w:rPr>
          <w:rFonts w:ascii="標楷體" w:eastAsia="標楷體" w:hAnsi="標楷體" w:cstheme="minorBidi" w:hint="eastAsia"/>
          <w:kern w:val="2"/>
          <w:sz w:val="32"/>
          <w:szCs w:val="32"/>
        </w:rPr>
        <w:t>下列</w:t>
      </w:r>
      <w:r w:rsidRPr="004C2351">
        <w:rPr>
          <w:rFonts w:ascii="標楷體" w:eastAsia="標楷體" w:hAnsi="標楷體" w:cstheme="minorBidi" w:hint="eastAsia"/>
          <w:kern w:val="2"/>
          <w:sz w:val="32"/>
          <w:szCs w:val="32"/>
        </w:rPr>
        <w:t>綜合判斷原則區分，採每季滾動檢討</w:t>
      </w:r>
      <w:r>
        <w:rPr>
          <w:rFonts w:ascii="標楷體" w:eastAsia="標楷體" w:hAnsi="標楷體" w:cstheme="minorBidi" w:hint="eastAsia"/>
          <w:kern w:val="2"/>
          <w:sz w:val="32"/>
          <w:szCs w:val="32"/>
        </w:rPr>
        <w:t>：</w:t>
      </w:r>
    </w:p>
    <w:p w:rsidR="00FC1676" w:rsidRPr="00BB2F20" w:rsidRDefault="009775C0" w:rsidP="00BB2F20">
      <w:pPr>
        <w:pStyle w:val="ac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高風險</w:t>
      </w:r>
      <w:r w:rsidR="0087274E">
        <w:rPr>
          <w:rFonts w:ascii="標楷體" w:eastAsia="標楷體" w:hAnsi="標楷體" w:cs="Times New Roman" w:hint="eastAsia"/>
          <w:bCs/>
          <w:sz w:val="32"/>
          <w:szCs w:val="32"/>
        </w:rPr>
        <w:t>者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(紅燈)</w:t>
      </w:r>
      <w:r w:rsidR="00D15BE0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604DA8">
        <w:rPr>
          <w:rFonts w:ascii="標楷體" w:eastAsia="標楷體" w:hAnsi="標楷體" w:cs="Times New Roman" w:hint="eastAsia"/>
          <w:bCs/>
          <w:sz w:val="32"/>
          <w:szCs w:val="32"/>
        </w:rPr>
        <w:t>係</w:t>
      </w:r>
      <w:r w:rsidR="00D15BE0">
        <w:rPr>
          <w:rFonts w:ascii="標楷體" w:eastAsia="標楷體" w:hAnsi="標楷體" w:cs="Times New Roman"/>
          <w:bCs/>
          <w:sz w:val="32"/>
          <w:szCs w:val="32"/>
        </w:rPr>
        <w:t>符合下列條件之一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：</w:t>
      </w:r>
    </w:p>
    <w:p w:rsidR="008015FB" w:rsidRPr="0071771D" w:rsidRDefault="009775C0" w:rsidP="00BB2F20">
      <w:pPr>
        <w:pStyle w:val="ac"/>
        <w:numPr>
          <w:ilvl w:val="0"/>
          <w:numId w:val="11"/>
        </w:numPr>
        <w:spacing w:line="500" w:lineRule="exact"/>
        <w:ind w:leftChars="0" w:left="1843" w:hanging="567"/>
        <w:jc w:val="both"/>
        <w:rPr>
          <w:rFonts w:ascii="標楷體" w:eastAsia="標楷體" w:hAnsi="標楷體"/>
          <w:sz w:val="32"/>
          <w:szCs w:val="32"/>
        </w:rPr>
      </w:pPr>
      <w:r w:rsidRPr="0071771D">
        <w:rPr>
          <w:rFonts w:ascii="標楷體" w:eastAsia="標楷體" w:hAnsi="標楷體" w:hint="eastAsia"/>
          <w:sz w:val="32"/>
          <w:szCs w:val="32"/>
        </w:rPr>
        <w:t>年底預算達成率預估無法達</w:t>
      </w:r>
      <w:r w:rsidR="00D15BE0">
        <w:rPr>
          <w:rFonts w:ascii="標楷體" w:eastAsia="標楷體" w:hAnsi="標楷體" w:hint="eastAsia"/>
          <w:sz w:val="32"/>
          <w:szCs w:val="32"/>
        </w:rPr>
        <w:t>百分之九十者。</w:t>
      </w:r>
    </w:p>
    <w:p w:rsidR="00FC1676" w:rsidRPr="0071771D" w:rsidRDefault="009775C0" w:rsidP="00BB2F20">
      <w:pPr>
        <w:pStyle w:val="ac"/>
        <w:numPr>
          <w:ilvl w:val="0"/>
          <w:numId w:val="11"/>
        </w:numPr>
        <w:spacing w:line="500" w:lineRule="exact"/>
        <w:ind w:leftChars="0" w:left="1843" w:hanging="567"/>
        <w:jc w:val="both"/>
        <w:rPr>
          <w:rFonts w:ascii="標楷體" w:eastAsia="標楷體" w:hAnsi="標楷體"/>
          <w:sz w:val="32"/>
          <w:szCs w:val="32"/>
        </w:rPr>
      </w:pPr>
      <w:r w:rsidRPr="0071771D">
        <w:rPr>
          <w:rFonts w:ascii="標楷體" w:eastAsia="標楷體" w:hAnsi="標楷體" w:hint="eastAsia"/>
          <w:sz w:val="32"/>
          <w:szCs w:val="32"/>
        </w:rPr>
        <w:t>年底預算達成率預估可達</w:t>
      </w:r>
      <w:r w:rsidR="00D15BE0">
        <w:rPr>
          <w:rFonts w:ascii="標楷體" w:eastAsia="標楷體" w:hAnsi="標楷體" w:hint="eastAsia"/>
          <w:sz w:val="32"/>
          <w:szCs w:val="32"/>
        </w:rPr>
        <w:t>百分之九十</w:t>
      </w:r>
      <w:r w:rsidRPr="0071771D">
        <w:rPr>
          <w:rFonts w:ascii="標楷體" w:eastAsia="標楷體" w:hAnsi="標楷體" w:hint="eastAsia"/>
          <w:sz w:val="32"/>
          <w:szCs w:val="32"/>
        </w:rPr>
        <w:t>以上</w:t>
      </w:r>
      <w:r w:rsidR="008015FB" w:rsidRPr="0071771D">
        <w:rPr>
          <w:rFonts w:ascii="標楷體" w:eastAsia="標楷體" w:hAnsi="標楷體" w:hint="eastAsia"/>
          <w:sz w:val="32"/>
          <w:szCs w:val="32"/>
        </w:rPr>
        <w:t>，</w:t>
      </w:r>
      <w:r w:rsidRPr="0071771D">
        <w:rPr>
          <w:rFonts w:ascii="標楷體" w:eastAsia="標楷體" w:hAnsi="標楷體" w:hint="eastAsia"/>
          <w:sz w:val="32"/>
          <w:szCs w:val="32"/>
        </w:rPr>
        <w:t>惟需克服一定困難才可支用金額超過</w:t>
      </w:r>
      <w:r w:rsidR="00D15BE0">
        <w:rPr>
          <w:rFonts w:ascii="標楷體" w:eastAsia="標楷體" w:hAnsi="標楷體" w:hint="eastAsia"/>
          <w:sz w:val="32"/>
          <w:szCs w:val="32"/>
        </w:rPr>
        <w:t>十</w:t>
      </w:r>
      <w:r w:rsidRPr="0071771D">
        <w:rPr>
          <w:rFonts w:ascii="標楷體" w:eastAsia="標楷體" w:hAnsi="標楷體" w:hint="eastAsia"/>
          <w:sz w:val="32"/>
          <w:szCs w:val="32"/>
        </w:rPr>
        <w:t>億元</w:t>
      </w:r>
      <w:r w:rsidR="008015FB" w:rsidRPr="0071771D">
        <w:rPr>
          <w:rFonts w:ascii="標楷體" w:eastAsia="標楷體" w:hAnsi="標楷體" w:hint="eastAsia"/>
          <w:sz w:val="32"/>
          <w:szCs w:val="32"/>
        </w:rPr>
        <w:t>，</w:t>
      </w:r>
      <w:r w:rsidR="00D15BE0">
        <w:rPr>
          <w:rFonts w:ascii="標楷體" w:eastAsia="標楷體" w:hAnsi="標楷體" w:hint="eastAsia"/>
          <w:sz w:val="32"/>
          <w:szCs w:val="32"/>
        </w:rPr>
        <w:t>或</w:t>
      </w:r>
      <w:r w:rsidRPr="0071771D">
        <w:rPr>
          <w:rFonts w:ascii="標楷體" w:eastAsia="標楷體" w:hAnsi="標楷體" w:hint="eastAsia"/>
          <w:sz w:val="32"/>
          <w:szCs w:val="32"/>
        </w:rPr>
        <w:t>確定無法執行經費金額較高</w:t>
      </w:r>
      <w:r w:rsidR="00D15BE0">
        <w:rPr>
          <w:rFonts w:ascii="標楷體" w:eastAsia="標楷體" w:hAnsi="標楷體" w:hint="eastAsia"/>
          <w:sz w:val="32"/>
          <w:szCs w:val="32"/>
        </w:rPr>
        <w:t>者</w:t>
      </w:r>
      <w:r w:rsidR="008015FB" w:rsidRPr="0071771D">
        <w:rPr>
          <w:rFonts w:ascii="標楷體" w:eastAsia="標楷體" w:hAnsi="標楷體" w:hint="eastAsia"/>
          <w:sz w:val="32"/>
          <w:szCs w:val="32"/>
        </w:rPr>
        <w:t>。</w:t>
      </w:r>
    </w:p>
    <w:p w:rsidR="00FC1676" w:rsidRPr="00BB2F20" w:rsidRDefault="009775C0" w:rsidP="00BB2F20">
      <w:pPr>
        <w:pStyle w:val="ac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中風險</w:t>
      </w:r>
      <w:r w:rsidR="00D81D58">
        <w:rPr>
          <w:rFonts w:ascii="標楷體" w:eastAsia="標楷體" w:hAnsi="標楷體" w:cs="Times New Roman" w:hint="eastAsia"/>
          <w:bCs/>
          <w:sz w:val="32"/>
          <w:szCs w:val="32"/>
        </w:rPr>
        <w:t>者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(黃燈)</w:t>
      </w:r>
      <w:r w:rsidR="00D15BE0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604DA8">
        <w:rPr>
          <w:rFonts w:ascii="標楷體" w:eastAsia="標楷體" w:hAnsi="標楷體" w:cs="Times New Roman" w:hint="eastAsia"/>
          <w:bCs/>
          <w:sz w:val="32"/>
          <w:szCs w:val="32"/>
        </w:rPr>
        <w:t>係</w:t>
      </w:r>
      <w:r w:rsidR="00D15BE0">
        <w:rPr>
          <w:rFonts w:ascii="標楷體" w:eastAsia="標楷體" w:hAnsi="標楷體" w:cs="Times New Roman"/>
          <w:bCs/>
          <w:sz w:val="32"/>
          <w:szCs w:val="32"/>
        </w:rPr>
        <w:t>符合下列條件之一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：</w:t>
      </w:r>
    </w:p>
    <w:p w:rsidR="00FC1676" w:rsidRPr="0071771D" w:rsidRDefault="009775C0" w:rsidP="00D15BE0">
      <w:pPr>
        <w:pStyle w:val="ac"/>
        <w:numPr>
          <w:ilvl w:val="0"/>
          <w:numId w:val="27"/>
        </w:numPr>
        <w:spacing w:line="500" w:lineRule="exact"/>
        <w:ind w:leftChars="0" w:left="1843" w:hanging="567"/>
        <w:jc w:val="both"/>
        <w:rPr>
          <w:rFonts w:ascii="標楷體" w:eastAsia="標楷體" w:hAnsi="標楷體"/>
          <w:sz w:val="32"/>
          <w:szCs w:val="32"/>
        </w:rPr>
      </w:pPr>
      <w:r w:rsidRPr="0071771D">
        <w:rPr>
          <w:rFonts w:ascii="標楷體" w:eastAsia="標楷體" w:hAnsi="標楷體" w:hint="eastAsia"/>
          <w:sz w:val="32"/>
          <w:szCs w:val="32"/>
        </w:rPr>
        <w:t>年底預算達成率預估可達</w:t>
      </w:r>
      <w:r w:rsidR="00D15BE0">
        <w:rPr>
          <w:rFonts w:ascii="標楷體" w:eastAsia="標楷體" w:hAnsi="標楷體" w:hint="eastAsia"/>
          <w:sz w:val="32"/>
          <w:szCs w:val="32"/>
        </w:rPr>
        <w:t>百分之九十</w:t>
      </w:r>
      <w:r w:rsidRPr="0071771D">
        <w:rPr>
          <w:rFonts w:ascii="標楷體" w:eastAsia="標楷體" w:hAnsi="標楷體" w:hint="eastAsia"/>
          <w:sz w:val="32"/>
          <w:szCs w:val="32"/>
        </w:rPr>
        <w:t>以上</w:t>
      </w:r>
      <w:r w:rsidR="0071771D" w:rsidRPr="0071771D">
        <w:rPr>
          <w:rFonts w:ascii="標楷體" w:eastAsia="標楷體" w:hAnsi="標楷體" w:hint="eastAsia"/>
          <w:sz w:val="32"/>
          <w:szCs w:val="32"/>
        </w:rPr>
        <w:t>，</w:t>
      </w:r>
      <w:r w:rsidRPr="0071771D">
        <w:rPr>
          <w:rFonts w:ascii="標楷體" w:eastAsia="標楷體" w:hAnsi="標楷體" w:hint="eastAsia"/>
          <w:sz w:val="32"/>
          <w:szCs w:val="32"/>
        </w:rPr>
        <w:t>惟需克服一定困難才可支用金額超過</w:t>
      </w:r>
      <w:r w:rsidR="00D15BE0">
        <w:rPr>
          <w:rFonts w:ascii="標楷體" w:eastAsia="標楷體" w:hAnsi="標楷體" w:hint="eastAsia"/>
          <w:sz w:val="32"/>
          <w:szCs w:val="32"/>
        </w:rPr>
        <w:t>五</w:t>
      </w:r>
      <w:r w:rsidRPr="0071771D">
        <w:rPr>
          <w:rFonts w:ascii="標楷體" w:eastAsia="標楷體" w:hAnsi="標楷體" w:hint="eastAsia"/>
          <w:sz w:val="32"/>
          <w:szCs w:val="32"/>
        </w:rPr>
        <w:t>億元</w:t>
      </w:r>
      <w:r w:rsidR="00A27E8E">
        <w:rPr>
          <w:rFonts w:ascii="標楷體" w:eastAsia="標楷體" w:hAnsi="標楷體" w:hint="eastAsia"/>
          <w:sz w:val="32"/>
          <w:szCs w:val="32"/>
        </w:rPr>
        <w:t>者</w:t>
      </w:r>
      <w:r w:rsidR="00D15BE0">
        <w:rPr>
          <w:rFonts w:ascii="標楷體" w:eastAsia="標楷體" w:hAnsi="標楷體" w:hint="eastAsia"/>
          <w:sz w:val="32"/>
          <w:szCs w:val="32"/>
        </w:rPr>
        <w:t>。</w:t>
      </w:r>
    </w:p>
    <w:p w:rsidR="00FC1676" w:rsidRPr="0071771D" w:rsidRDefault="009775C0" w:rsidP="00D15BE0">
      <w:pPr>
        <w:pStyle w:val="ac"/>
        <w:numPr>
          <w:ilvl w:val="0"/>
          <w:numId w:val="27"/>
        </w:numPr>
        <w:spacing w:line="500" w:lineRule="exact"/>
        <w:ind w:leftChars="0" w:left="1843" w:hanging="567"/>
        <w:jc w:val="both"/>
        <w:rPr>
          <w:rFonts w:ascii="標楷體" w:eastAsia="標楷體" w:hAnsi="標楷體"/>
          <w:sz w:val="32"/>
          <w:szCs w:val="32"/>
        </w:rPr>
      </w:pPr>
      <w:r w:rsidRPr="0071771D">
        <w:rPr>
          <w:rFonts w:ascii="標楷體" w:eastAsia="標楷體" w:hAnsi="標楷體" w:hint="eastAsia"/>
          <w:sz w:val="32"/>
          <w:szCs w:val="32"/>
        </w:rPr>
        <w:t>因不可抗力等風險，致年底預算達成率可能未達</w:t>
      </w:r>
      <w:r w:rsidR="00D15BE0">
        <w:rPr>
          <w:rFonts w:ascii="標楷體" w:eastAsia="標楷體" w:hAnsi="標楷體" w:hint="eastAsia"/>
          <w:sz w:val="32"/>
          <w:szCs w:val="32"/>
        </w:rPr>
        <w:t>百分之九十</w:t>
      </w:r>
      <w:r w:rsidRPr="0071771D">
        <w:rPr>
          <w:rFonts w:ascii="標楷體" w:eastAsia="標楷體" w:hAnsi="標楷體" w:hint="eastAsia"/>
          <w:sz w:val="32"/>
          <w:szCs w:val="32"/>
        </w:rPr>
        <w:t>者</w:t>
      </w:r>
      <w:r w:rsidR="0071771D" w:rsidRPr="0071771D">
        <w:rPr>
          <w:rFonts w:ascii="標楷體" w:eastAsia="標楷體" w:hAnsi="標楷體" w:hint="eastAsia"/>
          <w:sz w:val="32"/>
          <w:szCs w:val="32"/>
        </w:rPr>
        <w:t>。</w:t>
      </w:r>
    </w:p>
    <w:p w:rsidR="00FC1676" w:rsidRPr="00BB2F20" w:rsidRDefault="009775C0" w:rsidP="00604DA8">
      <w:pPr>
        <w:pStyle w:val="ac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低風險</w:t>
      </w:r>
      <w:r w:rsidR="00D81D58">
        <w:rPr>
          <w:rFonts w:ascii="標楷體" w:eastAsia="標楷體" w:hAnsi="標楷體" w:cs="Times New Roman" w:hint="eastAsia"/>
          <w:bCs/>
          <w:sz w:val="32"/>
          <w:szCs w:val="32"/>
        </w:rPr>
        <w:t>者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(綠燈)</w:t>
      </w:r>
      <w:r w:rsidR="00604DA8" w:rsidRPr="00604DA8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604DA8">
        <w:rPr>
          <w:rFonts w:ascii="標楷體" w:eastAsia="標楷體" w:hAnsi="標楷體" w:cs="Times New Roman" w:hint="eastAsia"/>
          <w:bCs/>
          <w:sz w:val="32"/>
          <w:szCs w:val="32"/>
        </w:rPr>
        <w:t>係</w:t>
      </w:r>
      <w:r w:rsidR="00604DA8" w:rsidRPr="00604DA8">
        <w:rPr>
          <w:rFonts w:ascii="標楷體" w:eastAsia="標楷體" w:hAnsi="標楷體" w:cs="Times New Roman" w:hint="eastAsia"/>
          <w:bCs/>
          <w:sz w:val="32"/>
          <w:szCs w:val="32"/>
        </w:rPr>
        <w:t>符合下列條件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：</w:t>
      </w:r>
    </w:p>
    <w:p w:rsidR="00FC1676" w:rsidRPr="0071771D" w:rsidRDefault="009775C0" w:rsidP="00D81D58">
      <w:pPr>
        <w:spacing w:line="500" w:lineRule="exact"/>
        <w:ind w:left="1418" w:firstLineChars="177" w:firstLine="566"/>
        <w:rPr>
          <w:rFonts w:ascii="標楷體" w:eastAsia="標楷體" w:hAnsi="標楷體" w:cstheme="minorBidi"/>
          <w:kern w:val="2"/>
          <w:sz w:val="32"/>
          <w:szCs w:val="32"/>
        </w:rPr>
      </w:pPr>
      <w:r w:rsidRPr="0071771D">
        <w:rPr>
          <w:rFonts w:ascii="標楷體" w:eastAsia="標楷體" w:hAnsi="標楷體" w:cstheme="minorBidi" w:hint="eastAsia"/>
          <w:kern w:val="2"/>
          <w:sz w:val="32"/>
          <w:szCs w:val="32"/>
        </w:rPr>
        <w:t>年底預算達成率預估達</w:t>
      </w:r>
      <w:r w:rsidR="00D81D58">
        <w:rPr>
          <w:rFonts w:ascii="標楷體" w:eastAsia="標楷體" w:hAnsi="標楷體" w:hint="eastAsia"/>
          <w:sz w:val="32"/>
          <w:szCs w:val="32"/>
        </w:rPr>
        <w:t>百分之九十</w:t>
      </w:r>
      <w:r w:rsidRPr="0071771D">
        <w:rPr>
          <w:rFonts w:ascii="標楷體" w:eastAsia="標楷體" w:hAnsi="標楷體" w:cstheme="minorBidi" w:hint="eastAsia"/>
          <w:kern w:val="2"/>
          <w:sz w:val="32"/>
          <w:szCs w:val="32"/>
        </w:rPr>
        <w:t>以上，且風險較低者</w:t>
      </w:r>
      <w:r w:rsidR="0071771D">
        <w:rPr>
          <w:rFonts w:ascii="標楷體" w:eastAsia="標楷體" w:hAnsi="標楷體" w:cstheme="minorBidi" w:hint="eastAsia"/>
          <w:kern w:val="2"/>
          <w:sz w:val="32"/>
          <w:szCs w:val="32"/>
        </w:rPr>
        <w:t>。</w:t>
      </w:r>
    </w:p>
    <w:p w:rsidR="0071771D" w:rsidRPr="00BB2F20" w:rsidRDefault="0071771D" w:rsidP="00BB2F20">
      <w:pPr>
        <w:pStyle w:val="ac"/>
        <w:numPr>
          <w:ilvl w:val="0"/>
          <w:numId w:val="18"/>
        </w:numPr>
        <w:spacing w:line="500" w:lineRule="exact"/>
        <w:ind w:leftChars="0" w:left="1134" w:hanging="708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預警</w:t>
      </w:r>
      <w:r w:rsidR="004C2351">
        <w:rPr>
          <w:rFonts w:ascii="標楷體" w:eastAsia="標楷體" w:hAnsi="標楷體" w:cs="Times New Roman" w:hint="eastAsia"/>
          <w:bCs/>
          <w:sz w:val="32"/>
          <w:szCs w:val="32"/>
        </w:rPr>
        <w:t>重點計畫</w:t>
      </w:r>
      <w:r w:rsidR="004C2351">
        <w:rPr>
          <w:rFonts w:ascii="標楷體" w:eastAsia="標楷體" w:hAnsi="標楷體" w:cs="Times New Roman"/>
          <w:bCs/>
          <w:sz w:val="32"/>
          <w:szCs w:val="32"/>
        </w:rPr>
        <w:t>之</w:t>
      </w:r>
      <w:r w:rsidR="004C2351">
        <w:rPr>
          <w:rFonts w:ascii="標楷體" w:eastAsia="標楷體" w:hAnsi="標楷體" w:cs="Times New Roman" w:hint="eastAsia"/>
          <w:bCs/>
          <w:sz w:val="32"/>
          <w:szCs w:val="32"/>
        </w:rPr>
        <w:t>協助</w:t>
      </w:r>
    </w:p>
    <w:p w:rsidR="0071771D" w:rsidRPr="00BB2F20" w:rsidRDefault="0071771D" w:rsidP="00BB2F20">
      <w:pPr>
        <w:pStyle w:val="ac"/>
        <w:numPr>
          <w:ilvl w:val="0"/>
          <w:numId w:val="22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高風險</w:t>
      </w:r>
      <w:r w:rsidR="004C2351">
        <w:rPr>
          <w:rFonts w:ascii="標楷體" w:eastAsia="標楷體" w:hAnsi="標楷體" w:cs="Times New Roman" w:hint="eastAsia"/>
          <w:bCs/>
          <w:sz w:val="32"/>
          <w:szCs w:val="32"/>
        </w:rPr>
        <w:t>者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(紅燈)：</w:t>
      </w:r>
      <w:r w:rsidR="004C2351">
        <w:rPr>
          <w:rFonts w:ascii="標楷體" w:eastAsia="標楷體" w:hAnsi="標楷體" w:cs="Times New Roman" w:hint="eastAsia"/>
          <w:bCs/>
          <w:sz w:val="32"/>
          <w:szCs w:val="32"/>
        </w:rPr>
        <w:t>含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部會列入專案督導</w:t>
      </w:r>
      <w:r w:rsidR="00E53DCD">
        <w:rPr>
          <w:rFonts w:ascii="標楷體" w:eastAsia="標楷體" w:hAnsi="標楷體" w:cs="Times New Roman" w:hint="eastAsia"/>
          <w:bCs/>
          <w:sz w:val="32"/>
          <w:szCs w:val="32"/>
        </w:rPr>
        <w:t>；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採個案協助、逐項排除困難</w:t>
      </w:r>
      <w:r w:rsidR="00E53DCD">
        <w:rPr>
          <w:rFonts w:ascii="標楷體" w:eastAsia="標楷體" w:hAnsi="標楷體" w:cs="Times New Roman" w:hint="eastAsia"/>
          <w:bCs/>
          <w:sz w:val="32"/>
          <w:szCs w:val="32"/>
        </w:rPr>
        <w:t>；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彈性運用預算</w:t>
      </w:r>
      <w:r w:rsidR="00E53DCD">
        <w:rPr>
          <w:rFonts w:ascii="標楷體" w:eastAsia="標楷體" w:hAnsi="標楷體" w:cs="Times New Roman" w:hint="eastAsia"/>
          <w:bCs/>
          <w:sz w:val="32"/>
          <w:szCs w:val="32"/>
        </w:rPr>
        <w:t>；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加速估驗</w:t>
      </w:r>
      <w:r w:rsidR="004C2351">
        <w:rPr>
          <w:rFonts w:ascii="標楷體" w:eastAsia="標楷體" w:hAnsi="標楷體" w:cs="Times New Roman" w:hint="eastAsia"/>
          <w:bCs/>
          <w:sz w:val="32"/>
          <w:szCs w:val="32"/>
        </w:rPr>
        <w:t>等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71771D" w:rsidRPr="00BB2F20" w:rsidRDefault="0071771D" w:rsidP="00BB2F20">
      <w:pPr>
        <w:pStyle w:val="ac"/>
        <w:numPr>
          <w:ilvl w:val="0"/>
          <w:numId w:val="22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中風險</w:t>
      </w:r>
      <w:r w:rsidR="004C2351">
        <w:rPr>
          <w:rFonts w:ascii="標楷體" w:eastAsia="標楷體" w:hAnsi="標楷體" w:cs="Times New Roman" w:hint="eastAsia"/>
          <w:bCs/>
          <w:sz w:val="32"/>
          <w:szCs w:val="32"/>
        </w:rPr>
        <w:t>者</w:t>
      </w:r>
      <w:r w:rsidRPr="00BB2F20">
        <w:rPr>
          <w:rFonts w:ascii="標楷體" w:eastAsia="標楷體" w:hAnsi="標楷體" w:cs="Times New Roman"/>
          <w:bCs/>
          <w:sz w:val="32"/>
          <w:szCs w:val="32"/>
        </w:rPr>
        <w:t>(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黃燈)：</w:t>
      </w:r>
      <w:r w:rsidR="004C2351">
        <w:rPr>
          <w:rFonts w:ascii="標楷體" w:eastAsia="標楷體" w:hAnsi="標楷體" w:cs="Times New Roman" w:hint="eastAsia"/>
          <w:bCs/>
          <w:sz w:val="32"/>
          <w:szCs w:val="32"/>
        </w:rPr>
        <w:t>含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提升管考頻率</w:t>
      </w:r>
      <w:r w:rsidR="00E53DCD">
        <w:rPr>
          <w:rFonts w:ascii="標楷體" w:eastAsia="標楷體" w:hAnsi="標楷體" w:cs="Times New Roman" w:hint="eastAsia"/>
          <w:bCs/>
          <w:sz w:val="32"/>
          <w:szCs w:val="32"/>
        </w:rPr>
        <w:t>；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里程碑控管</w:t>
      </w:r>
      <w:r w:rsidR="00E53DCD">
        <w:rPr>
          <w:rFonts w:ascii="標楷體" w:eastAsia="標楷體" w:hAnsi="標楷體" w:cs="Times New Roman" w:hint="eastAsia"/>
          <w:bCs/>
          <w:sz w:val="32"/>
          <w:szCs w:val="32"/>
        </w:rPr>
        <w:t>；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實地查證</w:t>
      </w:r>
      <w:r w:rsidR="004C2351">
        <w:rPr>
          <w:rFonts w:ascii="標楷體" w:eastAsia="標楷體" w:hAnsi="標楷體" w:cs="Times New Roman" w:hint="eastAsia"/>
          <w:bCs/>
          <w:sz w:val="32"/>
          <w:szCs w:val="32"/>
        </w:rPr>
        <w:t>等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71771D" w:rsidRPr="00BB2F20" w:rsidRDefault="0071771D" w:rsidP="00BB2F20">
      <w:pPr>
        <w:pStyle w:val="ac"/>
        <w:numPr>
          <w:ilvl w:val="0"/>
          <w:numId w:val="22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低風險</w:t>
      </w:r>
      <w:r w:rsidR="004C2351">
        <w:rPr>
          <w:rFonts w:ascii="標楷體" w:eastAsia="標楷體" w:hAnsi="標楷體" w:cs="Times New Roman" w:hint="eastAsia"/>
          <w:bCs/>
          <w:sz w:val="32"/>
          <w:szCs w:val="32"/>
        </w:rPr>
        <w:t>者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(綠燈)：</w:t>
      </w:r>
      <w:r w:rsidR="004C2351">
        <w:rPr>
          <w:rFonts w:ascii="標楷體" w:eastAsia="標楷體" w:hAnsi="標楷體" w:cs="Times New Roman" w:hint="eastAsia"/>
          <w:bCs/>
          <w:sz w:val="32"/>
          <w:szCs w:val="32"/>
        </w:rPr>
        <w:t>含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自行管理</w:t>
      </w:r>
      <w:r w:rsidR="00E53DCD">
        <w:rPr>
          <w:rFonts w:ascii="標楷體" w:eastAsia="標楷體" w:hAnsi="標楷體" w:cs="Times New Roman" w:hint="eastAsia"/>
          <w:bCs/>
          <w:sz w:val="32"/>
          <w:szCs w:val="32"/>
        </w:rPr>
        <w:t>；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降低管考頻率</w:t>
      </w:r>
      <w:r w:rsidR="004C2351">
        <w:rPr>
          <w:rFonts w:ascii="標楷體" w:eastAsia="標楷體" w:hAnsi="標楷體" w:cs="Times New Roman" w:hint="eastAsia"/>
          <w:bCs/>
          <w:sz w:val="32"/>
          <w:szCs w:val="32"/>
        </w:rPr>
        <w:t>等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56662B" w:rsidRPr="00BB2F20" w:rsidRDefault="0056662B" w:rsidP="004C2351">
      <w:pPr>
        <w:pStyle w:val="ac"/>
        <w:numPr>
          <w:ilvl w:val="0"/>
          <w:numId w:val="18"/>
        </w:numPr>
        <w:spacing w:line="500" w:lineRule="exact"/>
        <w:ind w:leftChars="0" w:left="1134" w:hanging="708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運用下列現有多元機制</w:t>
      </w:r>
      <w:r w:rsidR="00D15306" w:rsidRPr="00BB2F20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協助落實執行：</w:t>
      </w:r>
    </w:p>
    <w:p w:rsidR="0056662B" w:rsidRPr="00BB2F20" w:rsidRDefault="0056662B" w:rsidP="004C2351">
      <w:pPr>
        <w:pStyle w:val="ac"/>
        <w:numPr>
          <w:ilvl w:val="0"/>
          <w:numId w:val="28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機動查證、實地查證或召開專案會議協調解決</w:t>
      </w:r>
      <w:r w:rsidR="006D1CDE">
        <w:rPr>
          <w:rFonts w:ascii="標楷體" w:eastAsia="標楷體" w:hAnsi="標楷體" w:cs="Times New Roman" w:hint="eastAsia"/>
          <w:bCs/>
          <w:sz w:val="32"/>
          <w:szCs w:val="32"/>
        </w:rPr>
        <w:t>執行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困難問題等方式。</w:t>
      </w:r>
    </w:p>
    <w:p w:rsidR="00BB2F20" w:rsidRDefault="0056662B" w:rsidP="004C2351">
      <w:pPr>
        <w:pStyle w:val="ac"/>
        <w:numPr>
          <w:ilvl w:val="0"/>
          <w:numId w:val="28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透過行政院</w:t>
      </w:r>
      <w:r w:rsidRPr="00BB2F20">
        <w:rPr>
          <w:rFonts w:ascii="標楷體" w:eastAsia="標楷體" w:hAnsi="標楷體" w:cs="Times New Roman"/>
          <w:bCs/>
          <w:sz w:val="32"/>
          <w:szCs w:val="32"/>
        </w:rPr>
        <w:t>公共工程委員會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(以下簡稱工程會)公共建設督導會報機制，協調解決執行困難問題。</w:t>
      </w:r>
    </w:p>
    <w:p w:rsidR="0056662B" w:rsidRPr="00BB2F20" w:rsidRDefault="0056662B" w:rsidP="004C2351">
      <w:pPr>
        <w:pStyle w:val="ac"/>
        <w:numPr>
          <w:ilvl w:val="0"/>
          <w:numId w:val="28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評估潛藏風險，提前預見問題，發揮風險預警功能，以落實及監督執行績效。</w:t>
      </w:r>
    </w:p>
    <w:p w:rsidR="00FC1676" w:rsidRPr="00BB2F20" w:rsidRDefault="009775C0" w:rsidP="004C2351">
      <w:pPr>
        <w:pStyle w:val="ac"/>
        <w:numPr>
          <w:ilvl w:val="0"/>
          <w:numId w:val="28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採資訊揭露及</w:t>
      </w:r>
      <w:r w:rsidR="006D1CDE">
        <w:rPr>
          <w:rFonts w:ascii="標楷體" w:eastAsia="標楷體" w:hAnsi="標楷體" w:cs="Times New Roman" w:hint="eastAsia"/>
          <w:bCs/>
          <w:sz w:val="32"/>
          <w:szCs w:val="32"/>
        </w:rPr>
        <w:t>預</w:t>
      </w:r>
      <w:r w:rsidR="006D1CDE">
        <w:rPr>
          <w:rFonts w:ascii="標楷體" w:eastAsia="標楷體" w:hAnsi="標楷體" w:cs="Times New Roman"/>
          <w:bCs/>
          <w:sz w:val="32"/>
          <w:szCs w:val="32"/>
        </w:rPr>
        <w:t>警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結果回饋</w:t>
      </w:r>
      <w:r w:rsidR="0092374E">
        <w:rPr>
          <w:rFonts w:ascii="標楷體" w:eastAsia="標楷體" w:hAnsi="標楷體" w:cs="Times New Roman" w:hint="eastAsia"/>
          <w:bCs/>
          <w:sz w:val="32"/>
          <w:szCs w:val="32"/>
        </w:rPr>
        <w:t>至</w:t>
      </w:r>
      <w:r w:rsidR="0092374E" w:rsidRPr="00B92418">
        <w:rPr>
          <w:rFonts w:ascii="標楷體" w:eastAsia="標楷體" w:hAnsi="標楷體" w:cs="Times New Roman" w:hint="eastAsia"/>
          <w:bCs/>
          <w:sz w:val="32"/>
          <w:szCs w:val="32"/>
        </w:rPr>
        <w:t>強化審議</w:t>
      </w:r>
      <w:r w:rsidR="0092374E">
        <w:rPr>
          <w:rFonts w:ascii="標楷體" w:eastAsia="標楷體" w:hAnsi="標楷體" w:cs="Times New Roman" w:hint="eastAsia"/>
          <w:bCs/>
          <w:sz w:val="32"/>
          <w:szCs w:val="32"/>
        </w:rPr>
        <w:t>、</w:t>
      </w:r>
      <w:r w:rsidR="0092374E" w:rsidRPr="00B92418">
        <w:rPr>
          <w:rFonts w:ascii="標楷體" w:eastAsia="標楷體" w:hAnsi="標楷體" w:cs="Times New Roman" w:hint="eastAsia"/>
          <w:bCs/>
          <w:sz w:val="32"/>
          <w:szCs w:val="32"/>
        </w:rPr>
        <w:t>建議退場</w:t>
      </w:r>
      <w:r w:rsidR="0092374E">
        <w:rPr>
          <w:rFonts w:ascii="標楷體" w:eastAsia="標楷體" w:hAnsi="標楷體" w:cs="Times New Roman" w:hint="eastAsia"/>
          <w:bCs/>
          <w:sz w:val="32"/>
          <w:szCs w:val="32"/>
        </w:rPr>
        <w:t>、</w:t>
      </w:r>
      <w:r w:rsidR="0092374E" w:rsidRPr="00B92418">
        <w:rPr>
          <w:rFonts w:ascii="標楷體" w:eastAsia="標楷體" w:hAnsi="標楷體" w:cs="Times New Roman" w:hint="eastAsia"/>
          <w:bCs/>
          <w:sz w:val="32"/>
          <w:szCs w:val="32"/>
        </w:rPr>
        <w:t>預算資源重新排序</w:t>
      </w:r>
      <w:r w:rsidR="00E71755">
        <w:rPr>
          <w:rFonts w:ascii="標楷體" w:eastAsia="標楷體" w:hAnsi="標楷體" w:cs="Times New Roman" w:hint="eastAsia"/>
          <w:bCs/>
          <w:sz w:val="32"/>
          <w:szCs w:val="32"/>
        </w:rPr>
        <w:t>及</w:t>
      </w:r>
      <w:r w:rsidR="0092374E" w:rsidRPr="00B92418">
        <w:rPr>
          <w:rFonts w:ascii="標楷體" w:eastAsia="標楷體" w:hAnsi="標楷體" w:cs="Times New Roman" w:hint="eastAsia"/>
          <w:bCs/>
          <w:sz w:val="32"/>
          <w:szCs w:val="32"/>
        </w:rPr>
        <w:t>工程會防範產生閒置設施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等措施</w:t>
      </w:r>
      <w:r w:rsidR="0071771D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5E6464" w:rsidRPr="00BB2F20" w:rsidRDefault="005E6464" w:rsidP="00BB2F20">
      <w:pPr>
        <w:pStyle w:val="ac"/>
        <w:numPr>
          <w:ilvl w:val="0"/>
          <w:numId w:val="18"/>
        </w:numPr>
        <w:spacing w:line="500" w:lineRule="exact"/>
        <w:ind w:leftChars="0" w:left="1134" w:hanging="708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定期提出報告</w:t>
      </w:r>
      <w:r w:rsidR="00B0136D" w:rsidRPr="00BB2F20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適時揭露資訊</w:t>
      </w:r>
      <w:r w:rsidR="00B0136D" w:rsidRPr="00BB2F20">
        <w:rPr>
          <w:rFonts w:ascii="標楷體" w:eastAsia="標楷體" w:hAnsi="標楷體" w:cs="Times New Roman" w:hint="eastAsia"/>
          <w:bCs/>
          <w:sz w:val="32"/>
          <w:szCs w:val="32"/>
        </w:rPr>
        <w:t>：</w:t>
      </w:r>
    </w:p>
    <w:p w:rsidR="00F62AF5" w:rsidRPr="00BB2F20" w:rsidRDefault="00E67E77" w:rsidP="00BB2F20">
      <w:pPr>
        <w:pStyle w:val="ac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每</w:t>
      </w:r>
      <w:r w:rsidR="005C36E0" w:rsidRPr="00BB2F20">
        <w:rPr>
          <w:rFonts w:ascii="標楷體" w:eastAsia="標楷體" w:hAnsi="標楷體" w:cs="Times New Roman" w:hint="eastAsia"/>
          <w:bCs/>
          <w:sz w:val="32"/>
          <w:szCs w:val="32"/>
        </w:rPr>
        <w:t>季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提出</w:t>
      </w:r>
      <w:r w:rsidR="005C36E0" w:rsidRPr="00BB2F20">
        <w:rPr>
          <w:rFonts w:ascii="標楷體" w:eastAsia="標楷體" w:hAnsi="標楷體" w:cs="Times New Roman" w:hint="eastAsia"/>
          <w:bCs/>
          <w:sz w:val="32"/>
          <w:szCs w:val="32"/>
        </w:rPr>
        <w:t>預警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書面報告</w:t>
      </w:r>
      <w:r w:rsidR="000B2BEB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F62AF5" w:rsidRPr="00BB2F20" w:rsidRDefault="00E67E77" w:rsidP="00BB2F20">
      <w:pPr>
        <w:pStyle w:val="ac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第三季及第四季提國發會委員會議或專案會議報告</w:t>
      </w:r>
      <w:r w:rsidR="000B2BEB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F62AF5" w:rsidRDefault="00E67E77" w:rsidP="00BB2F20">
      <w:pPr>
        <w:pStyle w:val="ac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每年度結束時，將預警執行成果提報行政院</w:t>
      </w:r>
      <w:r w:rsidR="000B2BEB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067E54" w:rsidRPr="001C76AC" w:rsidRDefault="00D8556A" w:rsidP="00C03519">
      <w:pPr>
        <w:pStyle w:val="ac"/>
        <w:numPr>
          <w:ilvl w:val="0"/>
          <w:numId w:val="2"/>
        </w:numPr>
        <w:spacing w:line="500" w:lineRule="exact"/>
        <w:ind w:leftChars="0" w:left="1134" w:hanging="708"/>
        <w:jc w:val="both"/>
        <w:rPr>
          <w:rFonts w:ascii="標楷體" w:eastAsia="標楷體" w:hAnsi="標楷體" w:cs="Times New Roman"/>
          <w:sz w:val="32"/>
          <w:szCs w:val="32"/>
        </w:rPr>
      </w:pPr>
      <w:r w:rsidRPr="001C76AC">
        <w:rPr>
          <w:rFonts w:ascii="標楷體" w:eastAsia="標楷體" w:hAnsi="標楷體" w:cs="Times New Roman" w:hint="eastAsia"/>
          <w:sz w:val="32"/>
          <w:szCs w:val="32"/>
        </w:rPr>
        <w:t>退場</w:t>
      </w:r>
      <w:r w:rsidRPr="001C76AC">
        <w:rPr>
          <w:rFonts w:ascii="標楷體" w:eastAsia="標楷體" w:hAnsi="標楷體" w:cs="Times New Roman"/>
          <w:sz w:val="32"/>
          <w:szCs w:val="32"/>
        </w:rPr>
        <w:t>機制</w:t>
      </w:r>
    </w:p>
    <w:p w:rsidR="001E0466" w:rsidRPr="00BB2F20" w:rsidRDefault="006F522F" w:rsidP="00BB2F20">
      <w:pPr>
        <w:pStyle w:val="ac"/>
        <w:numPr>
          <w:ilvl w:val="0"/>
          <w:numId w:val="24"/>
        </w:numPr>
        <w:spacing w:line="500" w:lineRule="exact"/>
        <w:ind w:leftChars="0" w:left="1134" w:hanging="708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退場條件</w:t>
      </w:r>
    </w:p>
    <w:p w:rsidR="009C32A5" w:rsidRPr="009C32A5" w:rsidRDefault="009C32A5" w:rsidP="008E58C6">
      <w:pPr>
        <w:spacing w:line="500" w:lineRule="exact"/>
        <w:ind w:leftChars="491" w:left="1178" w:firstLineChars="176" w:firstLine="563"/>
        <w:jc w:val="both"/>
        <w:rPr>
          <w:rFonts w:ascii="標楷體" w:eastAsia="標楷體" w:hAnsi="標楷體"/>
          <w:sz w:val="32"/>
          <w:szCs w:val="32"/>
        </w:rPr>
      </w:pPr>
      <w:r w:rsidRPr="009C32A5">
        <w:rPr>
          <w:rFonts w:ascii="標楷體" w:eastAsia="標楷體" w:hAnsi="標楷體" w:hint="eastAsia"/>
          <w:sz w:val="32"/>
          <w:szCs w:val="32"/>
        </w:rPr>
        <w:t>已核定之中長程個案計畫或執行計畫，有下列情形之一者，應予評估是否退場：</w:t>
      </w:r>
    </w:p>
    <w:p w:rsidR="006F54A7" w:rsidRPr="00BB2F20" w:rsidRDefault="001C76AC" w:rsidP="00BB2F20">
      <w:pPr>
        <w:pStyle w:val="ac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計畫核定後，一年內未依計畫期程開始啟動行政作業或配套措施者</w:t>
      </w:r>
      <w:r w:rsidR="00A95CE1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1E6D51" w:rsidRPr="00BB2F20" w:rsidRDefault="009775C0" w:rsidP="00BB2F20">
      <w:pPr>
        <w:pStyle w:val="ac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連續兩年經</w:t>
      </w:r>
      <w:r w:rsidR="00A5125A">
        <w:rPr>
          <w:rFonts w:ascii="標楷體" w:eastAsia="標楷體" w:hAnsi="標楷體" w:cs="Times New Roman" w:hint="eastAsia"/>
          <w:bCs/>
          <w:sz w:val="32"/>
          <w:szCs w:val="32"/>
        </w:rPr>
        <w:t>國發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會提報預警結果列為高風險</w:t>
      </w:r>
      <w:r w:rsidR="00A5125A">
        <w:rPr>
          <w:rFonts w:ascii="標楷體" w:eastAsia="標楷體" w:hAnsi="標楷體" w:cs="Times New Roman" w:hint="eastAsia"/>
          <w:bCs/>
          <w:sz w:val="32"/>
          <w:szCs w:val="32"/>
        </w:rPr>
        <w:t>者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(紅燈)，並經行政院同意者</w:t>
      </w:r>
      <w:r w:rsidR="000B2BEB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1E6D51" w:rsidRPr="00BB2F20" w:rsidRDefault="008B31EA" w:rsidP="00BB2F20">
      <w:pPr>
        <w:pStyle w:val="ac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主管部會提出計畫修正審議時，確認已無執行必要，或已無法執行計畫者</w:t>
      </w:r>
      <w:r w:rsidR="000B2BEB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1E6D51" w:rsidRPr="00BB2F20" w:rsidRDefault="00A51F00" w:rsidP="00BB2F20">
      <w:pPr>
        <w:pStyle w:val="ac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查證</w:t>
      </w:r>
      <w:r w:rsidR="008B31EA" w:rsidRPr="00BB2F20">
        <w:rPr>
          <w:rFonts w:ascii="標楷體" w:eastAsia="標楷體" w:hAnsi="標楷體" w:cs="Times New Roman" w:hint="eastAsia"/>
          <w:bCs/>
          <w:sz w:val="32"/>
          <w:szCs w:val="32"/>
        </w:rPr>
        <w:t>計畫</w:t>
      </w:r>
      <w:r w:rsidR="000B2BEB" w:rsidRPr="00BB2F20">
        <w:rPr>
          <w:rFonts w:ascii="標楷體" w:eastAsia="標楷體" w:hAnsi="標楷體" w:cs="Times New Roman" w:hint="eastAsia"/>
          <w:bCs/>
          <w:sz w:val="32"/>
          <w:szCs w:val="32"/>
        </w:rPr>
        <w:t>時</w:t>
      </w:r>
      <w:r w:rsidR="000B2BEB" w:rsidRPr="00BB2F20">
        <w:rPr>
          <w:rFonts w:ascii="標楷體" w:eastAsia="標楷體" w:hAnsi="標楷體" w:cs="Times New Roman"/>
          <w:bCs/>
          <w:sz w:val="32"/>
          <w:szCs w:val="32"/>
        </w:rPr>
        <w:t>，</w:t>
      </w:r>
      <w:r w:rsidR="008B31EA" w:rsidRPr="00BB2F20">
        <w:rPr>
          <w:rFonts w:ascii="標楷體" w:eastAsia="標楷體" w:hAnsi="標楷體" w:cs="Times New Roman" w:hint="eastAsia"/>
          <w:bCs/>
          <w:sz w:val="32"/>
          <w:szCs w:val="32"/>
        </w:rPr>
        <w:t>發現已明顯不能達成計畫目標、已無執行必要或無法執行計畫者</w:t>
      </w:r>
      <w:r w:rsidR="000B2BEB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1E0466" w:rsidRPr="00BB2F20" w:rsidRDefault="006F522F" w:rsidP="00BB2F20">
      <w:pPr>
        <w:pStyle w:val="ac"/>
        <w:numPr>
          <w:ilvl w:val="0"/>
          <w:numId w:val="24"/>
        </w:numPr>
        <w:spacing w:line="500" w:lineRule="exact"/>
        <w:ind w:leftChars="0" w:left="1134" w:hanging="708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退場時機</w:t>
      </w:r>
    </w:p>
    <w:p w:rsidR="001E6D51" w:rsidRPr="00BB2F20" w:rsidRDefault="008B31EA" w:rsidP="00BB2F20">
      <w:pPr>
        <w:pStyle w:val="ac"/>
        <w:numPr>
          <w:ilvl w:val="0"/>
          <w:numId w:val="26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修正計畫</w:t>
      </w:r>
      <w:r w:rsidR="0009771F" w:rsidRPr="00BB2F20">
        <w:rPr>
          <w:rFonts w:ascii="標楷體" w:eastAsia="標楷體" w:hAnsi="標楷體" w:cs="Times New Roman" w:hint="eastAsia"/>
          <w:bCs/>
          <w:sz w:val="32"/>
          <w:szCs w:val="32"/>
        </w:rPr>
        <w:t>：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國發會</w:t>
      </w:r>
      <w:r w:rsidR="00A51F00">
        <w:rPr>
          <w:rFonts w:ascii="標楷體" w:eastAsia="標楷體" w:hAnsi="標楷體" w:cs="Times New Roman" w:hint="eastAsia"/>
          <w:bCs/>
          <w:sz w:val="32"/>
          <w:szCs w:val="32"/>
        </w:rPr>
        <w:t>於行政院交議</w:t>
      </w:r>
      <w:r w:rsidR="00A51F00">
        <w:rPr>
          <w:rFonts w:ascii="標楷體" w:eastAsia="標楷體" w:hAnsi="標楷體" w:cs="Times New Roman"/>
          <w:bCs/>
          <w:sz w:val="32"/>
          <w:szCs w:val="32"/>
        </w:rPr>
        <w:t>修正計畫時，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得要求主管機關提報國發會委員會議報告，經委員會決議退場</w:t>
      </w:r>
      <w:r w:rsidR="006D1CDE">
        <w:rPr>
          <w:rFonts w:ascii="標楷體" w:eastAsia="標楷體" w:hAnsi="標楷體" w:cs="Times New Roman" w:hint="eastAsia"/>
          <w:bCs/>
          <w:sz w:val="32"/>
          <w:szCs w:val="32"/>
        </w:rPr>
        <w:t>者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，則建議行政院終止該計畫</w:t>
      </w:r>
      <w:r w:rsidR="0009771F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09771F" w:rsidRPr="00BB2F20" w:rsidRDefault="008B31EA" w:rsidP="00BB2F20">
      <w:pPr>
        <w:pStyle w:val="ac"/>
        <w:numPr>
          <w:ilvl w:val="0"/>
          <w:numId w:val="26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先期審查</w:t>
      </w:r>
      <w:r w:rsidR="0009771F" w:rsidRPr="00BB2F20">
        <w:rPr>
          <w:rFonts w:ascii="標楷體" w:eastAsia="標楷體" w:hAnsi="標楷體" w:cs="Times New Roman" w:hint="eastAsia"/>
          <w:bCs/>
          <w:sz w:val="32"/>
          <w:szCs w:val="32"/>
        </w:rPr>
        <w:t>：</w:t>
      </w: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國發會辦理年度先期審查時，不予核列該年度經費，並建議行政院終止該計畫</w:t>
      </w:r>
      <w:r w:rsidR="0009771F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1E6D51" w:rsidRPr="00BB2F20" w:rsidRDefault="00A51F00" w:rsidP="00BB2F20">
      <w:pPr>
        <w:pStyle w:val="ac"/>
        <w:numPr>
          <w:ilvl w:val="0"/>
          <w:numId w:val="26"/>
        </w:numPr>
        <w:spacing w:line="500" w:lineRule="exact"/>
        <w:ind w:leftChars="0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查證</w:t>
      </w:r>
      <w:r w:rsidR="008B31EA" w:rsidRPr="00BB2F20">
        <w:rPr>
          <w:rFonts w:ascii="標楷體" w:eastAsia="標楷體" w:hAnsi="標楷體" w:cs="Times New Roman" w:hint="eastAsia"/>
          <w:bCs/>
          <w:sz w:val="32"/>
          <w:szCs w:val="32"/>
        </w:rPr>
        <w:t>計畫</w:t>
      </w:r>
      <w:r w:rsidR="0009771F" w:rsidRPr="00BB2F20">
        <w:rPr>
          <w:rFonts w:ascii="標楷體" w:eastAsia="標楷體" w:hAnsi="標楷體" w:cs="Times New Roman" w:hint="eastAsia"/>
          <w:bCs/>
          <w:sz w:val="32"/>
          <w:szCs w:val="32"/>
        </w:rPr>
        <w:t>：</w:t>
      </w:r>
      <w:r w:rsidR="006D1CDE">
        <w:rPr>
          <w:rFonts w:ascii="標楷體" w:eastAsia="標楷體" w:hAnsi="標楷體" w:cs="Times New Roman" w:hint="eastAsia"/>
          <w:bCs/>
          <w:sz w:val="32"/>
          <w:szCs w:val="32"/>
        </w:rPr>
        <w:t>實</w:t>
      </w:r>
      <w:r w:rsidR="006D1CDE">
        <w:rPr>
          <w:rFonts w:ascii="標楷體" w:eastAsia="標楷體" w:hAnsi="標楷體" w:cs="Times New Roman"/>
          <w:bCs/>
          <w:sz w:val="32"/>
          <w:szCs w:val="32"/>
        </w:rPr>
        <w:t>地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查證</w:t>
      </w:r>
      <w:r w:rsidR="008B31EA" w:rsidRPr="00BB2F20">
        <w:rPr>
          <w:rFonts w:ascii="標楷體" w:eastAsia="標楷體" w:hAnsi="標楷體" w:cs="Times New Roman" w:hint="eastAsia"/>
          <w:bCs/>
          <w:sz w:val="32"/>
          <w:szCs w:val="32"/>
        </w:rPr>
        <w:t>計畫發現已明顯不能達成計畫目標</w:t>
      </w:r>
      <w:r w:rsidR="00A44DA3">
        <w:rPr>
          <w:rFonts w:ascii="標楷體" w:eastAsia="標楷體" w:hAnsi="標楷體" w:cs="Times New Roman" w:hint="eastAsia"/>
          <w:bCs/>
          <w:sz w:val="32"/>
          <w:szCs w:val="32"/>
        </w:rPr>
        <w:t>，</w:t>
      </w:r>
      <w:r w:rsidR="008B31EA" w:rsidRPr="00BB2F20">
        <w:rPr>
          <w:rFonts w:ascii="標楷體" w:eastAsia="標楷體" w:hAnsi="標楷體" w:cs="Times New Roman" w:hint="eastAsia"/>
          <w:bCs/>
          <w:sz w:val="32"/>
          <w:szCs w:val="32"/>
        </w:rPr>
        <w:t>或已無執行必要或無法執行計畫者，得請機關自</w:t>
      </w:r>
      <w:r w:rsidR="006D1CDE">
        <w:rPr>
          <w:rFonts w:ascii="標楷體" w:eastAsia="標楷體" w:hAnsi="標楷體" w:cs="Times New Roman" w:hint="eastAsia"/>
          <w:bCs/>
          <w:sz w:val="32"/>
          <w:szCs w:val="32"/>
        </w:rPr>
        <w:t>行</w:t>
      </w:r>
      <w:r w:rsidR="008B31EA" w:rsidRPr="00BB2F20">
        <w:rPr>
          <w:rFonts w:ascii="標楷體" w:eastAsia="標楷體" w:hAnsi="標楷體" w:cs="Times New Roman" w:hint="eastAsia"/>
          <w:bCs/>
          <w:sz w:val="32"/>
          <w:szCs w:val="32"/>
        </w:rPr>
        <w:t>函報計畫終止，經行政院核定後退場</w:t>
      </w:r>
      <w:r w:rsidR="0056689B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641C86" w:rsidRPr="009775C0" w:rsidRDefault="009775C0" w:rsidP="00C03519">
      <w:pPr>
        <w:pStyle w:val="ac"/>
        <w:numPr>
          <w:ilvl w:val="0"/>
          <w:numId w:val="2"/>
        </w:numPr>
        <w:spacing w:line="500" w:lineRule="exact"/>
        <w:ind w:leftChars="0" w:left="1134" w:hanging="708"/>
        <w:jc w:val="both"/>
        <w:rPr>
          <w:rFonts w:ascii="標楷體" w:eastAsia="標楷體" w:hAnsi="標楷體" w:cs="Times New Roman"/>
          <w:sz w:val="32"/>
          <w:szCs w:val="32"/>
        </w:rPr>
      </w:pPr>
      <w:r w:rsidRPr="009775C0">
        <w:rPr>
          <w:rFonts w:ascii="標楷體" w:eastAsia="標楷體" w:hAnsi="標楷體" w:cs="Times New Roman" w:hint="eastAsia"/>
          <w:sz w:val="32"/>
          <w:szCs w:val="32"/>
        </w:rPr>
        <w:t>年度先期作業重排序配置資源</w:t>
      </w:r>
    </w:p>
    <w:p w:rsidR="001E6D51" w:rsidRPr="00BB2F20" w:rsidRDefault="000B2BEB" w:rsidP="00D95870">
      <w:pPr>
        <w:pStyle w:val="ac"/>
        <w:numPr>
          <w:ilvl w:val="0"/>
          <w:numId w:val="23"/>
        </w:numPr>
        <w:spacing w:line="500" w:lineRule="exact"/>
        <w:ind w:leftChars="0" w:left="1134" w:hanging="708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專</w:t>
      </w:r>
      <w:r w:rsidR="008B31EA" w:rsidRPr="00BB2F20">
        <w:rPr>
          <w:rFonts w:ascii="標楷體" w:eastAsia="標楷體" w:hAnsi="標楷體" w:cs="Times New Roman" w:hint="eastAsia"/>
          <w:bCs/>
          <w:sz w:val="32"/>
          <w:szCs w:val="32"/>
        </w:rPr>
        <w:t>案型</w:t>
      </w:r>
      <w:r w:rsidR="0056689B" w:rsidRPr="00BB2F20">
        <w:rPr>
          <w:rFonts w:ascii="標楷體" w:eastAsia="標楷體" w:hAnsi="標楷體" w:cs="Times New Roman" w:hint="eastAsia"/>
          <w:bCs/>
          <w:sz w:val="32"/>
          <w:szCs w:val="32"/>
        </w:rPr>
        <w:t>：</w:t>
      </w:r>
      <w:r w:rsidR="00D95870" w:rsidRPr="00D95870">
        <w:rPr>
          <w:rFonts w:ascii="標楷體" w:eastAsia="標楷體" w:hAnsi="標楷體" w:cs="Times New Roman" w:hint="eastAsia"/>
          <w:bCs/>
          <w:sz w:val="32"/>
          <w:szCs w:val="32"/>
        </w:rPr>
        <w:t>個案型計畫經行政院核定退場後，即啟動重排序機制作業，</w:t>
      </w:r>
      <w:r w:rsidR="006D1CDE">
        <w:rPr>
          <w:rFonts w:ascii="標楷體" w:eastAsia="標楷體" w:hAnsi="標楷體" w:cs="Times New Roman" w:hint="eastAsia"/>
          <w:bCs/>
          <w:sz w:val="32"/>
          <w:szCs w:val="32"/>
        </w:rPr>
        <w:t>由</w:t>
      </w:r>
      <w:r w:rsidR="00D95870" w:rsidRPr="00D95870">
        <w:rPr>
          <w:rFonts w:ascii="標楷體" w:eastAsia="標楷體" w:hAnsi="標楷體" w:cs="Times New Roman" w:hint="eastAsia"/>
          <w:bCs/>
          <w:sz w:val="32"/>
          <w:szCs w:val="32"/>
        </w:rPr>
        <w:t>原未獲配額度之</w:t>
      </w:r>
      <w:r w:rsidR="00E06CEA">
        <w:rPr>
          <w:rFonts w:ascii="標楷體" w:eastAsia="標楷體" w:hAnsi="標楷體" w:cs="Times New Roman" w:hint="eastAsia"/>
          <w:bCs/>
          <w:sz w:val="32"/>
          <w:szCs w:val="32"/>
        </w:rPr>
        <w:t>公共建設</w:t>
      </w:r>
      <w:r w:rsidR="00D95870" w:rsidRPr="00D95870">
        <w:rPr>
          <w:rFonts w:ascii="標楷體" w:eastAsia="標楷體" w:hAnsi="標楷體" w:cs="Times New Roman" w:hint="eastAsia"/>
          <w:bCs/>
          <w:sz w:val="32"/>
          <w:szCs w:val="32"/>
        </w:rPr>
        <w:t>計畫向前遞補，以提升預算效益</w:t>
      </w:r>
      <w:r w:rsidR="00446D72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1E6D51" w:rsidRPr="00BB2F20" w:rsidRDefault="000B2BEB" w:rsidP="00D95870">
      <w:pPr>
        <w:pStyle w:val="ac"/>
        <w:numPr>
          <w:ilvl w:val="0"/>
          <w:numId w:val="23"/>
        </w:numPr>
        <w:spacing w:line="500" w:lineRule="exact"/>
        <w:ind w:leftChars="0" w:left="1134" w:hanging="708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BB2F20">
        <w:rPr>
          <w:rFonts w:ascii="標楷體" w:eastAsia="標楷體" w:hAnsi="標楷體" w:cs="Times New Roman" w:hint="eastAsia"/>
          <w:bCs/>
          <w:sz w:val="32"/>
          <w:szCs w:val="32"/>
        </w:rPr>
        <w:t>彙</w:t>
      </w:r>
      <w:r w:rsidRPr="00BB2F20">
        <w:rPr>
          <w:rFonts w:ascii="標楷體" w:eastAsia="標楷體" w:hAnsi="標楷體" w:cs="Times New Roman"/>
          <w:bCs/>
          <w:sz w:val="32"/>
          <w:szCs w:val="32"/>
        </w:rPr>
        <w:t>總</w:t>
      </w:r>
      <w:r w:rsidR="008B31EA" w:rsidRPr="00BB2F20">
        <w:rPr>
          <w:rFonts w:ascii="標楷體" w:eastAsia="標楷體" w:hAnsi="標楷體" w:cs="Times New Roman" w:hint="eastAsia"/>
          <w:bCs/>
          <w:sz w:val="32"/>
          <w:szCs w:val="32"/>
        </w:rPr>
        <w:t>補助型</w:t>
      </w:r>
      <w:r w:rsidR="0056689B" w:rsidRPr="00BB2F20">
        <w:rPr>
          <w:rFonts w:ascii="標楷體" w:eastAsia="標楷體" w:hAnsi="標楷體" w:cs="Times New Roman" w:hint="eastAsia"/>
          <w:bCs/>
          <w:sz w:val="32"/>
          <w:szCs w:val="32"/>
        </w:rPr>
        <w:t>：</w:t>
      </w:r>
      <w:r w:rsidR="00D95870" w:rsidRPr="00D95870">
        <w:rPr>
          <w:rFonts w:ascii="標楷體" w:eastAsia="標楷體" w:hAnsi="標楷體" w:cs="Times New Roman" w:hint="eastAsia"/>
          <w:bCs/>
          <w:sz w:val="32"/>
          <w:szCs w:val="32"/>
        </w:rPr>
        <w:t>由部會強化自主管理，視地方政府執行情形，對計畫核定後遲未有實質進度者，調整優先補助順序，適時遞補尚未獲配經費之計畫</w:t>
      </w:r>
      <w:r w:rsidR="00446D72" w:rsidRPr="00BB2F20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DA544E" w:rsidRPr="00443CE3" w:rsidRDefault="00DA544E" w:rsidP="00443CE3">
      <w:pPr>
        <w:pStyle w:val="ac"/>
        <w:numPr>
          <w:ilvl w:val="0"/>
          <w:numId w:val="1"/>
        </w:numPr>
        <w:spacing w:beforeLines="50" w:before="180" w:line="500" w:lineRule="exact"/>
        <w:ind w:leftChars="0" w:left="993" w:hanging="709"/>
        <w:jc w:val="both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443CE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施行日期</w:t>
      </w:r>
    </w:p>
    <w:p w:rsidR="006F54A7" w:rsidRPr="001C76AC" w:rsidRDefault="001C76AC" w:rsidP="00DA544E">
      <w:pPr>
        <w:spacing w:line="500" w:lineRule="exact"/>
        <w:ind w:leftChars="354" w:left="850" w:firstLineChars="177" w:firstLine="566"/>
        <w:jc w:val="both"/>
        <w:rPr>
          <w:rFonts w:ascii="標楷體" w:eastAsia="標楷體" w:hAnsi="標楷體"/>
          <w:sz w:val="32"/>
          <w:szCs w:val="32"/>
        </w:rPr>
      </w:pPr>
      <w:r w:rsidRPr="001C76AC">
        <w:rPr>
          <w:rFonts w:ascii="標楷體" w:eastAsia="標楷體" w:hAnsi="標楷體" w:hint="eastAsia"/>
          <w:sz w:val="32"/>
          <w:szCs w:val="32"/>
        </w:rPr>
        <w:t>本機制奉</w:t>
      </w:r>
      <w:r w:rsidR="002C461A">
        <w:rPr>
          <w:rFonts w:ascii="標楷體" w:eastAsia="標楷體" w:hAnsi="標楷體" w:hint="eastAsia"/>
          <w:sz w:val="32"/>
          <w:szCs w:val="32"/>
        </w:rPr>
        <w:t>行政院核定</w:t>
      </w:r>
      <w:r w:rsidRPr="001C76AC">
        <w:rPr>
          <w:rFonts w:ascii="標楷體" w:eastAsia="標楷體" w:hAnsi="標楷體" w:hint="eastAsia"/>
          <w:sz w:val="32"/>
          <w:szCs w:val="32"/>
        </w:rPr>
        <w:t>後</w:t>
      </w:r>
      <w:r w:rsidR="002C461A">
        <w:rPr>
          <w:rFonts w:ascii="標楷體" w:eastAsia="標楷體" w:hAnsi="標楷體" w:hint="eastAsia"/>
          <w:sz w:val="32"/>
          <w:szCs w:val="32"/>
        </w:rPr>
        <w:t>，</w:t>
      </w:r>
      <w:r w:rsidRPr="001C76AC">
        <w:rPr>
          <w:rFonts w:ascii="標楷體" w:eastAsia="標楷體" w:hAnsi="標楷體" w:hint="eastAsia"/>
          <w:sz w:val="32"/>
          <w:szCs w:val="32"/>
        </w:rPr>
        <w:t>自107年</w:t>
      </w:r>
      <w:r w:rsidR="00B3015F">
        <w:rPr>
          <w:rFonts w:ascii="標楷體" w:eastAsia="標楷體" w:hAnsi="標楷體" w:hint="eastAsia"/>
          <w:sz w:val="32"/>
          <w:szCs w:val="32"/>
        </w:rPr>
        <w:t>1月1日</w:t>
      </w:r>
      <w:r w:rsidRPr="001C76AC">
        <w:rPr>
          <w:rFonts w:ascii="標楷體" w:eastAsia="標楷體" w:hAnsi="標楷體" w:hint="eastAsia"/>
          <w:sz w:val="32"/>
          <w:szCs w:val="32"/>
        </w:rPr>
        <w:t>施行</w:t>
      </w:r>
      <w:r w:rsidR="00A95CE1" w:rsidRPr="001C76AC">
        <w:rPr>
          <w:rFonts w:ascii="標楷體" w:eastAsia="標楷體" w:hAnsi="標楷體" w:hint="eastAsia"/>
          <w:sz w:val="32"/>
          <w:szCs w:val="32"/>
        </w:rPr>
        <w:t>。</w:t>
      </w:r>
    </w:p>
    <w:sectPr w:rsidR="006F54A7" w:rsidRPr="001C76AC" w:rsidSect="00FD35FF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00" w:rsidRDefault="00D41200" w:rsidP="00545A63">
      <w:pPr>
        <w:spacing w:line="240" w:lineRule="auto"/>
      </w:pPr>
      <w:r>
        <w:separator/>
      </w:r>
    </w:p>
  </w:endnote>
  <w:endnote w:type="continuationSeparator" w:id="0">
    <w:p w:rsidR="00D41200" w:rsidRDefault="00D41200" w:rsidP="00545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547820"/>
      <w:docPartObj>
        <w:docPartGallery w:val="Page Numbers (Bottom of Page)"/>
        <w:docPartUnique/>
      </w:docPartObj>
    </w:sdtPr>
    <w:sdtEndPr/>
    <w:sdtContent>
      <w:p w:rsidR="00545A63" w:rsidRDefault="00545A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FB1" w:rsidRPr="00751FB1">
          <w:rPr>
            <w:noProof/>
            <w:lang w:val="zh-TW"/>
          </w:rPr>
          <w:t>1</w:t>
        </w:r>
        <w:r>
          <w:fldChar w:fldCharType="end"/>
        </w:r>
      </w:p>
    </w:sdtContent>
  </w:sdt>
  <w:p w:rsidR="00545A63" w:rsidRDefault="00545A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00" w:rsidRDefault="00D41200" w:rsidP="00545A63">
      <w:pPr>
        <w:spacing w:line="240" w:lineRule="auto"/>
      </w:pPr>
      <w:r>
        <w:separator/>
      </w:r>
    </w:p>
  </w:footnote>
  <w:footnote w:type="continuationSeparator" w:id="0">
    <w:p w:rsidR="00D41200" w:rsidRDefault="00D41200" w:rsidP="00545A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347"/>
    <w:multiLevelType w:val="hybridMultilevel"/>
    <w:tmpl w:val="72860928"/>
    <w:lvl w:ilvl="0" w:tplc="491C09C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B91856"/>
    <w:multiLevelType w:val="hybridMultilevel"/>
    <w:tmpl w:val="48BA6978"/>
    <w:lvl w:ilvl="0" w:tplc="548C0C6E">
      <w:start w:val="1"/>
      <w:numFmt w:val="taiwaneseCountingThousand"/>
      <w:lvlText w:val="(%1)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" w15:restartNumberingAfterBreak="0">
    <w:nsid w:val="10D311DF"/>
    <w:multiLevelType w:val="hybridMultilevel"/>
    <w:tmpl w:val="7B4208D8"/>
    <w:lvl w:ilvl="0" w:tplc="5ED6B99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76735"/>
    <w:multiLevelType w:val="hybridMultilevel"/>
    <w:tmpl w:val="48BA6978"/>
    <w:lvl w:ilvl="0" w:tplc="548C0C6E">
      <w:start w:val="1"/>
      <w:numFmt w:val="taiwaneseCountingThousand"/>
      <w:lvlText w:val="(%1)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" w15:restartNumberingAfterBreak="0">
    <w:nsid w:val="13485733"/>
    <w:multiLevelType w:val="hybridMultilevel"/>
    <w:tmpl w:val="93A0ED32"/>
    <w:lvl w:ilvl="0" w:tplc="132A7EF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5" w15:restartNumberingAfterBreak="0">
    <w:nsid w:val="1995189A"/>
    <w:multiLevelType w:val="hybridMultilevel"/>
    <w:tmpl w:val="93A0ED32"/>
    <w:lvl w:ilvl="0" w:tplc="132A7EF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6" w15:restartNumberingAfterBreak="0">
    <w:nsid w:val="1DE91C38"/>
    <w:multiLevelType w:val="hybridMultilevel"/>
    <w:tmpl w:val="7B4208D8"/>
    <w:lvl w:ilvl="0" w:tplc="5ED6B99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F16BEC"/>
    <w:multiLevelType w:val="hybridMultilevel"/>
    <w:tmpl w:val="93A0ED32"/>
    <w:lvl w:ilvl="0" w:tplc="132A7EF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8" w15:restartNumberingAfterBreak="0">
    <w:nsid w:val="272B5F11"/>
    <w:multiLevelType w:val="hybridMultilevel"/>
    <w:tmpl w:val="93A0ED32"/>
    <w:lvl w:ilvl="0" w:tplc="132A7EF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9" w15:restartNumberingAfterBreak="0">
    <w:nsid w:val="2DA13DBA"/>
    <w:multiLevelType w:val="hybridMultilevel"/>
    <w:tmpl w:val="7B4208D8"/>
    <w:lvl w:ilvl="0" w:tplc="5ED6B99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6709DE"/>
    <w:multiLevelType w:val="hybridMultilevel"/>
    <w:tmpl w:val="7B4208D8"/>
    <w:lvl w:ilvl="0" w:tplc="5ED6B99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08656C"/>
    <w:multiLevelType w:val="hybridMultilevel"/>
    <w:tmpl w:val="C6786C2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5ED6B992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CC72AE"/>
    <w:multiLevelType w:val="hybridMultilevel"/>
    <w:tmpl w:val="8E18957E"/>
    <w:lvl w:ilvl="0" w:tplc="B9D82DB0">
      <w:start w:val="1"/>
      <w:numFmt w:val="decimal"/>
      <w:lvlText w:val="(%1)"/>
      <w:lvlJc w:val="left"/>
      <w:pPr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5" w:hanging="480"/>
      </w:pPr>
    </w:lvl>
    <w:lvl w:ilvl="2" w:tplc="0409001B" w:tentative="1">
      <w:start w:val="1"/>
      <w:numFmt w:val="lowerRoman"/>
      <w:lvlText w:val="%3."/>
      <w:lvlJc w:val="right"/>
      <w:pPr>
        <w:ind w:left="735" w:hanging="480"/>
      </w:pPr>
    </w:lvl>
    <w:lvl w:ilvl="3" w:tplc="0409000F" w:tentative="1">
      <w:start w:val="1"/>
      <w:numFmt w:val="decimal"/>
      <w:lvlText w:val="%4."/>
      <w:lvlJc w:val="left"/>
      <w:pPr>
        <w:ind w:left="1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5" w:hanging="480"/>
      </w:pPr>
    </w:lvl>
    <w:lvl w:ilvl="5" w:tplc="0409001B" w:tentative="1">
      <w:start w:val="1"/>
      <w:numFmt w:val="lowerRoman"/>
      <w:lvlText w:val="%6."/>
      <w:lvlJc w:val="right"/>
      <w:pPr>
        <w:ind w:left="2175" w:hanging="480"/>
      </w:pPr>
    </w:lvl>
    <w:lvl w:ilvl="6" w:tplc="0409000F" w:tentative="1">
      <w:start w:val="1"/>
      <w:numFmt w:val="decimal"/>
      <w:lvlText w:val="%7."/>
      <w:lvlJc w:val="left"/>
      <w:pPr>
        <w:ind w:left="2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5" w:hanging="480"/>
      </w:pPr>
    </w:lvl>
    <w:lvl w:ilvl="8" w:tplc="0409001B" w:tentative="1">
      <w:start w:val="1"/>
      <w:numFmt w:val="lowerRoman"/>
      <w:lvlText w:val="%9."/>
      <w:lvlJc w:val="right"/>
      <w:pPr>
        <w:ind w:left="3615" w:hanging="480"/>
      </w:pPr>
    </w:lvl>
  </w:abstractNum>
  <w:abstractNum w:abstractNumId="13" w15:restartNumberingAfterBreak="0">
    <w:nsid w:val="3B50294D"/>
    <w:multiLevelType w:val="hybridMultilevel"/>
    <w:tmpl w:val="93A0ED32"/>
    <w:lvl w:ilvl="0" w:tplc="132A7EF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4" w15:restartNumberingAfterBreak="0">
    <w:nsid w:val="461D1478"/>
    <w:multiLevelType w:val="hybridMultilevel"/>
    <w:tmpl w:val="93A0ED32"/>
    <w:lvl w:ilvl="0" w:tplc="132A7EF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5" w15:restartNumberingAfterBreak="0">
    <w:nsid w:val="467C34E9"/>
    <w:multiLevelType w:val="hybridMultilevel"/>
    <w:tmpl w:val="93A0ED32"/>
    <w:lvl w:ilvl="0" w:tplc="132A7EF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6" w15:restartNumberingAfterBreak="0">
    <w:nsid w:val="4BBC2DE8"/>
    <w:multiLevelType w:val="hybridMultilevel"/>
    <w:tmpl w:val="93A0ED32"/>
    <w:lvl w:ilvl="0" w:tplc="132A7EF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7" w15:restartNumberingAfterBreak="0">
    <w:nsid w:val="54807D36"/>
    <w:multiLevelType w:val="hybridMultilevel"/>
    <w:tmpl w:val="7B4208D8"/>
    <w:lvl w:ilvl="0" w:tplc="5ED6B99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F840E1"/>
    <w:multiLevelType w:val="hybridMultilevel"/>
    <w:tmpl w:val="93A0ED32"/>
    <w:lvl w:ilvl="0" w:tplc="132A7EF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9" w15:restartNumberingAfterBreak="0">
    <w:nsid w:val="5A6943FC"/>
    <w:multiLevelType w:val="hybridMultilevel"/>
    <w:tmpl w:val="CB72718C"/>
    <w:lvl w:ilvl="0" w:tplc="5ED6B99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4A43AE"/>
    <w:multiLevelType w:val="hybridMultilevel"/>
    <w:tmpl w:val="93A0ED32"/>
    <w:lvl w:ilvl="0" w:tplc="132A7EF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1" w15:restartNumberingAfterBreak="0">
    <w:nsid w:val="67FD2B58"/>
    <w:multiLevelType w:val="hybridMultilevel"/>
    <w:tmpl w:val="8E18957E"/>
    <w:lvl w:ilvl="0" w:tplc="B9D82DB0">
      <w:start w:val="1"/>
      <w:numFmt w:val="decimal"/>
      <w:lvlText w:val="(%1)"/>
      <w:lvlJc w:val="left"/>
      <w:pPr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5" w:hanging="480"/>
      </w:pPr>
    </w:lvl>
    <w:lvl w:ilvl="2" w:tplc="0409001B" w:tentative="1">
      <w:start w:val="1"/>
      <w:numFmt w:val="lowerRoman"/>
      <w:lvlText w:val="%3."/>
      <w:lvlJc w:val="right"/>
      <w:pPr>
        <w:ind w:left="735" w:hanging="480"/>
      </w:pPr>
    </w:lvl>
    <w:lvl w:ilvl="3" w:tplc="0409000F" w:tentative="1">
      <w:start w:val="1"/>
      <w:numFmt w:val="decimal"/>
      <w:lvlText w:val="%4."/>
      <w:lvlJc w:val="left"/>
      <w:pPr>
        <w:ind w:left="1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5" w:hanging="480"/>
      </w:pPr>
    </w:lvl>
    <w:lvl w:ilvl="5" w:tplc="0409001B" w:tentative="1">
      <w:start w:val="1"/>
      <w:numFmt w:val="lowerRoman"/>
      <w:lvlText w:val="%6."/>
      <w:lvlJc w:val="right"/>
      <w:pPr>
        <w:ind w:left="2175" w:hanging="480"/>
      </w:pPr>
    </w:lvl>
    <w:lvl w:ilvl="6" w:tplc="0409000F" w:tentative="1">
      <w:start w:val="1"/>
      <w:numFmt w:val="decimal"/>
      <w:lvlText w:val="%7."/>
      <w:lvlJc w:val="left"/>
      <w:pPr>
        <w:ind w:left="2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5" w:hanging="480"/>
      </w:pPr>
    </w:lvl>
    <w:lvl w:ilvl="8" w:tplc="0409001B" w:tentative="1">
      <w:start w:val="1"/>
      <w:numFmt w:val="lowerRoman"/>
      <w:lvlText w:val="%9."/>
      <w:lvlJc w:val="right"/>
      <w:pPr>
        <w:ind w:left="3615" w:hanging="480"/>
      </w:pPr>
    </w:lvl>
  </w:abstractNum>
  <w:abstractNum w:abstractNumId="22" w15:restartNumberingAfterBreak="0">
    <w:nsid w:val="6A731DF5"/>
    <w:multiLevelType w:val="hybridMultilevel"/>
    <w:tmpl w:val="93A0ED32"/>
    <w:lvl w:ilvl="0" w:tplc="132A7EF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3" w15:restartNumberingAfterBreak="0">
    <w:nsid w:val="6E841E5F"/>
    <w:multiLevelType w:val="hybridMultilevel"/>
    <w:tmpl w:val="48BA6978"/>
    <w:lvl w:ilvl="0" w:tplc="548C0C6E">
      <w:start w:val="1"/>
      <w:numFmt w:val="taiwaneseCountingThousand"/>
      <w:lvlText w:val="(%1)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4" w15:restartNumberingAfterBreak="0">
    <w:nsid w:val="6F9A3BA2"/>
    <w:multiLevelType w:val="hybridMultilevel"/>
    <w:tmpl w:val="93A0ED32"/>
    <w:lvl w:ilvl="0" w:tplc="132A7EF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5" w15:restartNumberingAfterBreak="0">
    <w:nsid w:val="7195254D"/>
    <w:multiLevelType w:val="hybridMultilevel"/>
    <w:tmpl w:val="47D087A2"/>
    <w:lvl w:ilvl="0" w:tplc="5ED6B99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5ED6B99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356F09"/>
    <w:multiLevelType w:val="hybridMultilevel"/>
    <w:tmpl w:val="93A0ED32"/>
    <w:lvl w:ilvl="0" w:tplc="132A7EF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7" w15:restartNumberingAfterBreak="0">
    <w:nsid w:val="77C87E9A"/>
    <w:multiLevelType w:val="hybridMultilevel"/>
    <w:tmpl w:val="7B4208D8"/>
    <w:lvl w:ilvl="0" w:tplc="5ED6B99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5D0962"/>
    <w:multiLevelType w:val="hybridMultilevel"/>
    <w:tmpl w:val="08F4F4F8"/>
    <w:lvl w:ilvl="0" w:tplc="BA3C1AC6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hint="eastAsia"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8"/>
  </w:num>
  <w:num w:numId="3">
    <w:abstractNumId w:val="26"/>
  </w:num>
  <w:num w:numId="4">
    <w:abstractNumId w:val="14"/>
  </w:num>
  <w:num w:numId="5">
    <w:abstractNumId w:val="15"/>
  </w:num>
  <w:num w:numId="6">
    <w:abstractNumId w:val="21"/>
  </w:num>
  <w:num w:numId="7">
    <w:abstractNumId w:val="16"/>
  </w:num>
  <w:num w:numId="8">
    <w:abstractNumId w:val="2"/>
  </w:num>
  <w:num w:numId="9">
    <w:abstractNumId w:val="19"/>
  </w:num>
  <w:num w:numId="10">
    <w:abstractNumId w:val="6"/>
  </w:num>
  <w:num w:numId="11">
    <w:abstractNumId w:val="17"/>
  </w:num>
  <w:num w:numId="12">
    <w:abstractNumId w:val="12"/>
  </w:num>
  <w:num w:numId="13">
    <w:abstractNumId w:val="9"/>
  </w:num>
  <w:num w:numId="14">
    <w:abstractNumId w:val="27"/>
  </w:num>
  <w:num w:numId="15">
    <w:abstractNumId w:val="0"/>
  </w:num>
  <w:num w:numId="16">
    <w:abstractNumId w:val="22"/>
  </w:num>
  <w:num w:numId="17">
    <w:abstractNumId w:val="25"/>
  </w:num>
  <w:num w:numId="18">
    <w:abstractNumId w:val="3"/>
  </w:num>
  <w:num w:numId="19">
    <w:abstractNumId w:val="24"/>
  </w:num>
  <w:num w:numId="20">
    <w:abstractNumId w:val="4"/>
  </w:num>
  <w:num w:numId="21">
    <w:abstractNumId w:val="5"/>
  </w:num>
  <w:num w:numId="22">
    <w:abstractNumId w:val="13"/>
  </w:num>
  <w:num w:numId="23">
    <w:abstractNumId w:val="23"/>
  </w:num>
  <w:num w:numId="24">
    <w:abstractNumId w:val="1"/>
  </w:num>
  <w:num w:numId="25">
    <w:abstractNumId w:val="8"/>
  </w:num>
  <w:num w:numId="26">
    <w:abstractNumId w:val="18"/>
  </w:num>
  <w:num w:numId="27">
    <w:abstractNumId w:val="10"/>
  </w:num>
  <w:num w:numId="28">
    <w:abstractNumId w:val="20"/>
  </w:num>
  <w:num w:numId="2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43"/>
    <w:rsid w:val="00007B88"/>
    <w:rsid w:val="000204F6"/>
    <w:rsid w:val="000362A3"/>
    <w:rsid w:val="000419FF"/>
    <w:rsid w:val="0006344D"/>
    <w:rsid w:val="00065387"/>
    <w:rsid w:val="00067E54"/>
    <w:rsid w:val="00070AB6"/>
    <w:rsid w:val="0007191C"/>
    <w:rsid w:val="00072403"/>
    <w:rsid w:val="000738C6"/>
    <w:rsid w:val="000812B7"/>
    <w:rsid w:val="00090610"/>
    <w:rsid w:val="0009227F"/>
    <w:rsid w:val="000933A7"/>
    <w:rsid w:val="0009771F"/>
    <w:rsid w:val="000A0366"/>
    <w:rsid w:val="000A452C"/>
    <w:rsid w:val="000B278A"/>
    <w:rsid w:val="000B2BEB"/>
    <w:rsid w:val="000D6EB5"/>
    <w:rsid w:val="000E4DD0"/>
    <w:rsid w:val="00110E5B"/>
    <w:rsid w:val="0011330A"/>
    <w:rsid w:val="00115722"/>
    <w:rsid w:val="00121293"/>
    <w:rsid w:val="00123A80"/>
    <w:rsid w:val="001271DF"/>
    <w:rsid w:val="0014339C"/>
    <w:rsid w:val="00145C83"/>
    <w:rsid w:val="00153640"/>
    <w:rsid w:val="00164468"/>
    <w:rsid w:val="001719D1"/>
    <w:rsid w:val="0019258D"/>
    <w:rsid w:val="001B0DA1"/>
    <w:rsid w:val="001B1212"/>
    <w:rsid w:val="001B3A2D"/>
    <w:rsid w:val="001C76AC"/>
    <w:rsid w:val="001E0466"/>
    <w:rsid w:val="001E1E03"/>
    <w:rsid w:val="001E5A02"/>
    <w:rsid w:val="001E6D51"/>
    <w:rsid w:val="001F335C"/>
    <w:rsid w:val="001F3476"/>
    <w:rsid w:val="002005EF"/>
    <w:rsid w:val="00203BF8"/>
    <w:rsid w:val="002061ED"/>
    <w:rsid w:val="00207891"/>
    <w:rsid w:val="00232383"/>
    <w:rsid w:val="002362CF"/>
    <w:rsid w:val="00240B99"/>
    <w:rsid w:val="00251C00"/>
    <w:rsid w:val="00255F89"/>
    <w:rsid w:val="00264C1C"/>
    <w:rsid w:val="00267CBB"/>
    <w:rsid w:val="00273B79"/>
    <w:rsid w:val="002800B2"/>
    <w:rsid w:val="00280AC7"/>
    <w:rsid w:val="00295B52"/>
    <w:rsid w:val="002C0855"/>
    <w:rsid w:val="002C461A"/>
    <w:rsid w:val="002C57D5"/>
    <w:rsid w:val="002C6813"/>
    <w:rsid w:val="002F3EDD"/>
    <w:rsid w:val="00316C2C"/>
    <w:rsid w:val="00321542"/>
    <w:rsid w:val="00330BC6"/>
    <w:rsid w:val="0034072E"/>
    <w:rsid w:val="00364261"/>
    <w:rsid w:val="00371821"/>
    <w:rsid w:val="00376DAC"/>
    <w:rsid w:val="003779D7"/>
    <w:rsid w:val="00383A83"/>
    <w:rsid w:val="0038575E"/>
    <w:rsid w:val="003868B2"/>
    <w:rsid w:val="003A2704"/>
    <w:rsid w:val="003A77EC"/>
    <w:rsid w:val="003B4751"/>
    <w:rsid w:val="003D3890"/>
    <w:rsid w:val="003E04AF"/>
    <w:rsid w:val="003E286C"/>
    <w:rsid w:val="003E30E3"/>
    <w:rsid w:val="003E740F"/>
    <w:rsid w:val="003F416B"/>
    <w:rsid w:val="003F7F1D"/>
    <w:rsid w:val="00402BE1"/>
    <w:rsid w:val="004103A6"/>
    <w:rsid w:val="004276AD"/>
    <w:rsid w:val="00433FC7"/>
    <w:rsid w:val="0043594B"/>
    <w:rsid w:val="00440897"/>
    <w:rsid w:val="00443CE3"/>
    <w:rsid w:val="00446D72"/>
    <w:rsid w:val="004474E7"/>
    <w:rsid w:val="00451EEE"/>
    <w:rsid w:val="00455BC0"/>
    <w:rsid w:val="00463881"/>
    <w:rsid w:val="00465C40"/>
    <w:rsid w:val="00465E70"/>
    <w:rsid w:val="004710B6"/>
    <w:rsid w:val="00480C7B"/>
    <w:rsid w:val="00482A5C"/>
    <w:rsid w:val="004A1B40"/>
    <w:rsid w:val="004A5D8B"/>
    <w:rsid w:val="004A6D63"/>
    <w:rsid w:val="004B278D"/>
    <w:rsid w:val="004B7FA5"/>
    <w:rsid w:val="004C2351"/>
    <w:rsid w:val="004D450E"/>
    <w:rsid w:val="004D70CF"/>
    <w:rsid w:val="004E1AAB"/>
    <w:rsid w:val="004F6438"/>
    <w:rsid w:val="004F7BBF"/>
    <w:rsid w:val="0050518C"/>
    <w:rsid w:val="00507335"/>
    <w:rsid w:val="005103A9"/>
    <w:rsid w:val="00531EBE"/>
    <w:rsid w:val="00534A43"/>
    <w:rsid w:val="0053689B"/>
    <w:rsid w:val="0054017D"/>
    <w:rsid w:val="005411A1"/>
    <w:rsid w:val="00542033"/>
    <w:rsid w:val="00545A63"/>
    <w:rsid w:val="0056662B"/>
    <w:rsid w:val="0056689B"/>
    <w:rsid w:val="00567475"/>
    <w:rsid w:val="00567D01"/>
    <w:rsid w:val="00567D5D"/>
    <w:rsid w:val="005802ED"/>
    <w:rsid w:val="0058666D"/>
    <w:rsid w:val="00590A2D"/>
    <w:rsid w:val="005A0427"/>
    <w:rsid w:val="005A2C60"/>
    <w:rsid w:val="005B52C9"/>
    <w:rsid w:val="005C36E0"/>
    <w:rsid w:val="005D5132"/>
    <w:rsid w:val="005E30A1"/>
    <w:rsid w:val="005E3F56"/>
    <w:rsid w:val="005E4431"/>
    <w:rsid w:val="005E6464"/>
    <w:rsid w:val="0060487C"/>
    <w:rsid w:val="00604DA8"/>
    <w:rsid w:val="00605944"/>
    <w:rsid w:val="00613B9B"/>
    <w:rsid w:val="006172ED"/>
    <w:rsid w:val="006347CB"/>
    <w:rsid w:val="00641C86"/>
    <w:rsid w:val="0066607F"/>
    <w:rsid w:val="00666797"/>
    <w:rsid w:val="00666DFD"/>
    <w:rsid w:val="0067475C"/>
    <w:rsid w:val="006862EF"/>
    <w:rsid w:val="006A1209"/>
    <w:rsid w:val="006C3491"/>
    <w:rsid w:val="006D1CDE"/>
    <w:rsid w:val="006D378E"/>
    <w:rsid w:val="006E184E"/>
    <w:rsid w:val="006F522F"/>
    <w:rsid w:val="006F54A7"/>
    <w:rsid w:val="006F5776"/>
    <w:rsid w:val="0070163B"/>
    <w:rsid w:val="00703D7E"/>
    <w:rsid w:val="00704C3D"/>
    <w:rsid w:val="0071771D"/>
    <w:rsid w:val="00737D47"/>
    <w:rsid w:val="00750C05"/>
    <w:rsid w:val="00751CC1"/>
    <w:rsid w:val="00751FB1"/>
    <w:rsid w:val="007612DB"/>
    <w:rsid w:val="00773E2F"/>
    <w:rsid w:val="0077412F"/>
    <w:rsid w:val="00777B32"/>
    <w:rsid w:val="0078506A"/>
    <w:rsid w:val="00786C55"/>
    <w:rsid w:val="00787E2E"/>
    <w:rsid w:val="007948A3"/>
    <w:rsid w:val="00795637"/>
    <w:rsid w:val="007A05CC"/>
    <w:rsid w:val="007C11FA"/>
    <w:rsid w:val="007C1792"/>
    <w:rsid w:val="007C25A1"/>
    <w:rsid w:val="007C3DAA"/>
    <w:rsid w:val="008015FB"/>
    <w:rsid w:val="008054C5"/>
    <w:rsid w:val="00815244"/>
    <w:rsid w:val="0081526B"/>
    <w:rsid w:val="00822199"/>
    <w:rsid w:val="00823C82"/>
    <w:rsid w:val="008273AA"/>
    <w:rsid w:val="0084109A"/>
    <w:rsid w:val="008600D2"/>
    <w:rsid w:val="00864554"/>
    <w:rsid w:val="00865075"/>
    <w:rsid w:val="0087274E"/>
    <w:rsid w:val="00880A2A"/>
    <w:rsid w:val="0088120B"/>
    <w:rsid w:val="00892074"/>
    <w:rsid w:val="0089515E"/>
    <w:rsid w:val="008B31EA"/>
    <w:rsid w:val="008C1B33"/>
    <w:rsid w:val="008C3495"/>
    <w:rsid w:val="008C67F5"/>
    <w:rsid w:val="008E58C6"/>
    <w:rsid w:val="008F278B"/>
    <w:rsid w:val="00921C51"/>
    <w:rsid w:val="0092374E"/>
    <w:rsid w:val="00937F52"/>
    <w:rsid w:val="00940373"/>
    <w:rsid w:val="00942AFE"/>
    <w:rsid w:val="009467D2"/>
    <w:rsid w:val="009666AF"/>
    <w:rsid w:val="009775C0"/>
    <w:rsid w:val="009825A4"/>
    <w:rsid w:val="00986587"/>
    <w:rsid w:val="00992D24"/>
    <w:rsid w:val="009B66E9"/>
    <w:rsid w:val="009B67B2"/>
    <w:rsid w:val="009C10A7"/>
    <w:rsid w:val="009C32A5"/>
    <w:rsid w:val="009C70E0"/>
    <w:rsid w:val="009D5003"/>
    <w:rsid w:val="009E2226"/>
    <w:rsid w:val="009F0F62"/>
    <w:rsid w:val="009F51B4"/>
    <w:rsid w:val="00A02E84"/>
    <w:rsid w:val="00A0467F"/>
    <w:rsid w:val="00A06327"/>
    <w:rsid w:val="00A07BEF"/>
    <w:rsid w:val="00A225B5"/>
    <w:rsid w:val="00A244EE"/>
    <w:rsid w:val="00A277C3"/>
    <w:rsid w:val="00A27E8E"/>
    <w:rsid w:val="00A432BF"/>
    <w:rsid w:val="00A44DA3"/>
    <w:rsid w:val="00A50827"/>
    <w:rsid w:val="00A5125A"/>
    <w:rsid w:val="00A51F00"/>
    <w:rsid w:val="00A52C52"/>
    <w:rsid w:val="00A54751"/>
    <w:rsid w:val="00A55835"/>
    <w:rsid w:val="00A762CA"/>
    <w:rsid w:val="00A86936"/>
    <w:rsid w:val="00A9377E"/>
    <w:rsid w:val="00A95CE1"/>
    <w:rsid w:val="00AB69ED"/>
    <w:rsid w:val="00AC23F3"/>
    <w:rsid w:val="00AD224C"/>
    <w:rsid w:val="00AD68E8"/>
    <w:rsid w:val="00AE33BD"/>
    <w:rsid w:val="00AE6FB3"/>
    <w:rsid w:val="00B0136D"/>
    <w:rsid w:val="00B16DD2"/>
    <w:rsid w:val="00B27F44"/>
    <w:rsid w:val="00B3015F"/>
    <w:rsid w:val="00B35661"/>
    <w:rsid w:val="00B52709"/>
    <w:rsid w:val="00B64CB4"/>
    <w:rsid w:val="00B67D8D"/>
    <w:rsid w:val="00B720CA"/>
    <w:rsid w:val="00B92418"/>
    <w:rsid w:val="00BB2F20"/>
    <w:rsid w:val="00BB5F5C"/>
    <w:rsid w:val="00BC4552"/>
    <w:rsid w:val="00BC5866"/>
    <w:rsid w:val="00BE27D7"/>
    <w:rsid w:val="00BE396B"/>
    <w:rsid w:val="00BE7388"/>
    <w:rsid w:val="00BF20A7"/>
    <w:rsid w:val="00C03519"/>
    <w:rsid w:val="00C0635F"/>
    <w:rsid w:val="00C16565"/>
    <w:rsid w:val="00C23035"/>
    <w:rsid w:val="00C323C4"/>
    <w:rsid w:val="00C37E0F"/>
    <w:rsid w:val="00C405AD"/>
    <w:rsid w:val="00C7440C"/>
    <w:rsid w:val="00C86506"/>
    <w:rsid w:val="00CA4D1F"/>
    <w:rsid w:val="00CB0DD9"/>
    <w:rsid w:val="00CB1B64"/>
    <w:rsid w:val="00CC2531"/>
    <w:rsid w:val="00CD04F8"/>
    <w:rsid w:val="00CD0960"/>
    <w:rsid w:val="00CE2E3D"/>
    <w:rsid w:val="00CE335F"/>
    <w:rsid w:val="00CF3C22"/>
    <w:rsid w:val="00D15306"/>
    <w:rsid w:val="00D15BE0"/>
    <w:rsid w:val="00D16E22"/>
    <w:rsid w:val="00D23624"/>
    <w:rsid w:val="00D41200"/>
    <w:rsid w:val="00D41EB9"/>
    <w:rsid w:val="00D506A7"/>
    <w:rsid w:val="00D51A21"/>
    <w:rsid w:val="00D55C53"/>
    <w:rsid w:val="00D6604E"/>
    <w:rsid w:val="00D72787"/>
    <w:rsid w:val="00D75F9E"/>
    <w:rsid w:val="00D76048"/>
    <w:rsid w:val="00D81D58"/>
    <w:rsid w:val="00D8556A"/>
    <w:rsid w:val="00D92275"/>
    <w:rsid w:val="00D95870"/>
    <w:rsid w:val="00D96D77"/>
    <w:rsid w:val="00DA1F1B"/>
    <w:rsid w:val="00DA2F8B"/>
    <w:rsid w:val="00DA544E"/>
    <w:rsid w:val="00DB042D"/>
    <w:rsid w:val="00DB34F5"/>
    <w:rsid w:val="00DC4877"/>
    <w:rsid w:val="00E06CEA"/>
    <w:rsid w:val="00E106A8"/>
    <w:rsid w:val="00E126EA"/>
    <w:rsid w:val="00E17989"/>
    <w:rsid w:val="00E22CC6"/>
    <w:rsid w:val="00E37828"/>
    <w:rsid w:val="00E41162"/>
    <w:rsid w:val="00E53DCD"/>
    <w:rsid w:val="00E545B3"/>
    <w:rsid w:val="00E67E77"/>
    <w:rsid w:val="00E67F3A"/>
    <w:rsid w:val="00E714CF"/>
    <w:rsid w:val="00E71755"/>
    <w:rsid w:val="00E743BA"/>
    <w:rsid w:val="00E77174"/>
    <w:rsid w:val="00E80BC0"/>
    <w:rsid w:val="00E91707"/>
    <w:rsid w:val="00E933E8"/>
    <w:rsid w:val="00EA002C"/>
    <w:rsid w:val="00EB2274"/>
    <w:rsid w:val="00EC0352"/>
    <w:rsid w:val="00EC0A1E"/>
    <w:rsid w:val="00EC4A92"/>
    <w:rsid w:val="00EE51B0"/>
    <w:rsid w:val="00EE7726"/>
    <w:rsid w:val="00F00B51"/>
    <w:rsid w:val="00F05344"/>
    <w:rsid w:val="00F06AC3"/>
    <w:rsid w:val="00F24833"/>
    <w:rsid w:val="00F3082E"/>
    <w:rsid w:val="00F62A75"/>
    <w:rsid w:val="00F62AF5"/>
    <w:rsid w:val="00FA2DCF"/>
    <w:rsid w:val="00FB417B"/>
    <w:rsid w:val="00FC1676"/>
    <w:rsid w:val="00FC7401"/>
    <w:rsid w:val="00FD2A30"/>
    <w:rsid w:val="00FD35FF"/>
    <w:rsid w:val="00FD60C2"/>
    <w:rsid w:val="00FE2486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91AC3F68-321E-421C-AA1F-DEBDB304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43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4A4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line="240" w:lineRule="auto"/>
      <w:ind w:right="-1005"/>
    </w:pPr>
    <w:rPr>
      <w:rFonts w:ascii="標楷體" w:eastAsia="標楷體"/>
      <w:b/>
      <w:sz w:val="40"/>
    </w:rPr>
  </w:style>
  <w:style w:type="character" w:customStyle="1" w:styleId="a4">
    <w:name w:val="本文 字元"/>
    <w:basedOn w:val="a0"/>
    <w:link w:val="a3"/>
    <w:rsid w:val="00534A43"/>
    <w:rPr>
      <w:rFonts w:ascii="標楷體" w:eastAsia="標楷體" w:hAnsi="Times New Roman" w:cs="Times New Roman"/>
      <w:b/>
      <w:kern w:val="0"/>
      <w:sz w:val="40"/>
      <w:szCs w:val="20"/>
    </w:rPr>
  </w:style>
  <w:style w:type="paragraph" w:customStyle="1" w:styleId="a5">
    <w:name w:val="壹、"/>
    <w:basedOn w:val="a6"/>
    <w:rsid w:val="00534A43"/>
    <w:pPr>
      <w:adjustRightInd/>
      <w:spacing w:before="120" w:after="120" w:line="240" w:lineRule="auto"/>
      <w:jc w:val="left"/>
    </w:pPr>
    <w:rPr>
      <w:rFonts w:ascii="雅真中楷" w:eastAsia="雅真中楷"/>
      <w:kern w:val="2"/>
      <w:sz w:val="56"/>
    </w:rPr>
  </w:style>
  <w:style w:type="paragraph" w:styleId="a6">
    <w:name w:val="Date"/>
    <w:basedOn w:val="a"/>
    <w:next w:val="a"/>
    <w:link w:val="a7"/>
    <w:uiPriority w:val="99"/>
    <w:semiHidden/>
    <w:unhideWhenUsed/>
    <w:rsid w:val="00534A43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534A43"/>
    <w:rPr>
      <w:rFonts w:ascii="Times New Roman" w:eastAsia="新細明體" w:hAnsi="Times New Roman" w:cs="Times New Roman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330BC6"/>
    <w:pPr>
      <w:widowControl/>
      <w:adjustRightInd/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  <w:style w:type="paragraph" w:styleId="HTML">
    <w:name w:val="HTML Preformatted"/>
    <w:basedOn w:val="a"/>
    <w:link w:val="HTML0"/>
    <w:uiPriority w:val="99"/>
    <w:unhideWhenUsed/>
    <w:rsid w:val="00330B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330BC6"/>
    <w:rPr>
      <w:rFonts w:ascii="細明體" w:eastAsia="細明體" w:hAnsi="細明體" w:cs="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45A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545A6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5A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545A6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38575E"/>
    <w:pPr>
      <w:adjustRightInd/>
      <w:spacing w:line="240" w:lineRule="auto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d">
    <w:name w:val="Balloon Text"/>
    <w:basedOn w:val="a"/>
    <w:link w:val="ae"/>
    <w:semiHidden/>
    <w:unhideWhenUsed/>
    <w:rsid w:val="009C70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C70E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6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47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2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1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0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141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8266">
          <w:marLeft w:val="24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477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457">
          <w:marLeft w:val="24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12">
          <w:marLeft w:val="24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834">
          <w:marLeft w:val="24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49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365">
          <w:marLeft w:val="24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801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83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02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277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29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20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4510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4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554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0212">
          <w:marLeft w:val="24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2865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639">
          <w:marLeft w:val="24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320">
          <w:marLeft w:val="24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852">
          <w:marLeft w:val="3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08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9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0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810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7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489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460">
          <w:marLeft w:val="24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4383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950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4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4892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90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49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46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777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84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312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5489">
          <w:marLeft w:val="3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692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11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6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54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76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1993">
          <w:marLeft w:val="24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343">
          <w:marLeft w:val="24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60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43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92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09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987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55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7210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3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558">
          <w:marLeft w:val="24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7762">
          <w:marLeft w:val="24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林文德</cp:lastModifiedBy>
  <cp:revision>2</cp:revision>
  <cp:lastPrinted>2017-11-27T07:57:00Z</cp:lastPrinted>
  <dcterms:created xsi:type="dcterms:W3CDTF">2017-12-14T02:30:00Z</dcterms:created>
  <dcterms:modified xsi:type="dcterms:W3CDTF">2017-12-14T02:30:00Z</dcterms:modified>
</cp:coreProperties>
</file>